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460" w:right="1940" w:hanging="452"/>
        <w:spacing w:after="0" w:line="438"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4" w:lineRule="exact"/>
        <w:rPr>
          <w:sz w:val="24"/>
          <w:szCs w:val="24"/>
          <w:color w:val="auto"/>
        </w:rPr>
      </w:pPr>
    </w:p>
    <w:p>
      <w:pPr>
        <w:ind w:left="392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No. 333-100768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WYNN LAS VEGAS, LLC</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320"/>
          </w:cols>
          <w:pgMar w:left="240" w:top="230" w:right="339" w:bottom="1440" w:gutter="0" w:footer="0" w:header="0"/>
        </w:sectPr>
      </w:pPr>
    </w:p>
    <w:p>
      <w:pPr>
        <w:spacing w:after="0" w:line="175"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NEVADA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88-0494875</w:t>
      </w:r>
    </w:p>
    <w:p>
      <w:pPr>
        <w:spacing w:after="0" w:line="55" w:lineRule="exact"/>
        <w:rPr>
          <w:sz w:val="24"/>
          <w:szCs w:val="24"/>
          <w:color w:val="auto"/>
        </w:rPr>
      </w:pPr>
    </w:p>
    <w:p>
      <w:pPr>
        <w:sectPr>
          <w:pgSz w:w="11900" w:h="16838" w:orient="portrait"/>
          <w:cols w:equalWidth="0" w:num="2">
            <w:col w:w="7600" w:space="720"/>
            <w:col w:w="3000"/>
          </w:cols>
          <w:pgMar w:left="240" w:top="230" w:right="339" w:bottom="1440" w:gutter="0" w:footer="0" w:header="0"/>
          <w:type w:val="continuous"/>
        </w:sect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14"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38" w:orient="portrait"/>
          <w:cols w:equalWidth="0" w:num="2">
            <w:col w:w="7500" w:space="720"/>
            <w:col w:w="3100"/>
          </w:cols>
          <w:pgMar w:left="240" w:top="230" w:right="3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3131 Las Vegas Boulevard South—Las Vegas, Nevada 89109</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2"/>
          <w:szCs w:val="12"/>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196850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p>
      <w:pPr>
        <w:spacing w:after="0" w:line="200" w:lineRule="exact"/>
        <w:rPr>
          <w:sz w:val="24"/>
          <w:szCs w:val="24"/>
          <w:color w:val="auto"/>
        </w:rPr>
      </w:pPr>
    </w:p>
    <w:p>
      <w:pPr>
        <w:spacing w:after="0" w:line="277" w:lineRule="exact"/>
        <w:rPr>
          <w:sz w:val="24"/>
          <w:szCs w:val="24"/>
          <w:color w:val="auto"/>
        </w:rPr>
      </w:pPr>
    </w:p>
    <w:p>
      <w:pPr>
        <w:ind w:right="1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ind w:left="460"/>
        <w:spacing w:after="0" w:line="207" w:lineRule="exact"/>
        <w:tabs>
          <w:tab w:leader="none" w:pos="2440" w:val="left"/>
          <w:tab w:leader="none" w:pos="58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580" w:val="left"/>
          <w:tab w:leader="none" w:pos="92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7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Wynn Resorts Holdings, LLC owns all of the membership interests of the Registrant as of November 5,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WYNN LAS VEGAS, LLC AND SUBSIDIARIES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00" w:type="dxa"/>
            <w:vAlign w:val="bottom"/>
            <w:gridSpan w:val="13"/>
          </w:tcPr>
          <w:p>
            <w:pPr>
              <w:ind w:left="60"/>
              <w:spacing w:after="0"/>
              <w:rPr>
                <w:sz w:val="20"/>
                <w:szCs w:val="20"/>
                <w:color w:val="auto"/>
              </w:rPr>
            </w:pPr>
            <w:r>
              <w:rPr>
                <w:rFonts w:ascii="Arial" w:cs="Arial" w:eastAsia="Arial" w:hAnsi="Arial"/>
                <w:sz w:val="18"/>
                <w:szCs w:val="18"/>
                <w:b w:val="1"/>
                <w:bCs w:val="1"/>
                <w:color w:val="auto"/>
              </w:rPr>
              <w:t>Financial Information</w:t>
            </w:r>
          </w:p>
        </w:tc>
        <w:tc>
          <w:tcPr>
            <w:tcW w:w="900" w:type="dxa"/>
            <w:vAlign w:val="bottom"/>
          </w:tcPr>
          <w:p>
            <w:pPr>
              <w:spacing w:after="0"/>
              <w:rPr>
                <w:sz w:val="19"/>
                <w:szCs w:val="19"/>
                <w:color w:val="auto"/>
              </w:rPr>
            </w:pP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Item 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1"/>
          </w:tcPr>
          <w:p>
            <w:pPr>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spacing w:after="0"/>
              <w:rPr>
                <w:sz w:val="24"/>
                <w:szCs w:val="24"/>
                <w:color w:val="auto"/>
              </w:rPr>
            </w:pPr>
          </w:p>
        </w:tc>
      </w:tr>
      <w:tr>
        <w:trPr>
          <w:trHeight w:val="286"/>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2010 (unaudited) and December 31, 2009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1"/>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(unaudited) – Three and nine months ended September 30, 2010 and 2009</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Condensed Consolidated Statements of Cash Flows (unaudited) – Nine months ended September 30, 2010 and 2009</w:t>
              </w:r>
            </w:hyperlink>
          </w:p>
        </w:tc>
        <w:tc>
          <w:tcPr>
            <w:tcW w:w="60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4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 (unaudited)</w:t>
              </w:r>
            </w:hyperlink>
          </w:p>
        </w:tc>
        <w:tc>
          <w:tcPr>
            <w:tcW w:w="47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240" w:type="dxa"/>
            <w:vAlign w:val="bottom"/>
            <w:gridSpan w:val="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Controls and Procedures</w:t>
              </w:r>
            </w:hyperlink>
          </w:p>
        </w:tc>
        <w:tc>
          <w:tcPr>
            <w:tcW w:w="780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3"/>
        </w:trPr>
        <w:tc>
          <w:tcPr>
            <w:tcW w:w="6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0" w:type="dxa"/>
            <w:vAlign w:val="bottom"/>
          </w:tcPr>
          <w:p>
            <w:pPr>
              <w:spacing w:after="0"/>
              <w:rPr>
                <w:sz w:val="24"/>
                <w:szCs w:val="24"/>
                <w:color w:val="auto"/>
              </w:rPr>
            </w:pPr>
          </w:p>
        </w:tc>
        <w:tc>
          <w:tcPr>
            <w:tcW w:w="9740" w:type="dxa"/>
            <w:vAlign w:val="bottom"/>
            <w:gridSpan w:val="12"/>
          </w:tcPr>
          <w:p>
            <w:pPr>
              <w:ind w:left="60"/>
              <w:spacing w:after="0"/>
              <w:rPr>
                <w:sz w:val="20"/>
                <w:szCs w:val="20"/>
                <w:color w:val="auto"/>
              </w:rPr>
            </w:pPr>
            <w:r>
              <w:rPr>
                <w:rFonts w:ascii="Arial" w:cs="Arial" w:eastAsia="Arial" w:hAnsi="Arial"/>
                <w:sz w:val="18"/>
                <w:szCs w:val="18"/>
                <w:b w:val="1"/>
                <w:bCs w:val="1"/>
                <w:color w:val="auto"/>
              </w:rPr>
              <w:t>Other Information</w:t>
            </w:r>
          </w:p>
        </w:tc>
        <w:tc>
          <w:tcPr>
            <w:tcW w:w="900" w:type="dxa"/>
            <w:vAlign w:val="bottom"/>
          </w:tcPr>
          <w:p>
            <w:pPr>
              <w:spacing w:after="0"/>
              <w:rPr>
                <w:sz w:val="24"/>
                <w:szCs w:val="24"/>
                <w:color w:val="auto"/>
              </w:rPr>
            </w:pPr>
          </w:p>
        </w:tc>
      </w:tr>
      <w:tr>
        <w:trPr>
          <w:trHeight w:val="286"/>
        </w:trPr>
        <w:tc>
          <w:tcPr>
            <w:tcW w:w="620" w:type="dxa"/>
            <w:vAlign w:val="bottom"/>
          </w:tcPr>
          <w:p>
            <w:pPr>
              <w:spacing w:after="0"/>
              <w:rPr>
                <w:sz w:val="20"/>
                <w:szCs w:val="20"/>
                <w:color w:val="auto"/>
              </w:rPr>
            </w:pPr>
            <w:r>
              <w:rPr>
                <w:rFonts w:ascii="Arial" w:cs="Arial" w:eastAsia="Arial" w:hAnsi="Arial"/>
                <w:sz w:val="18"/>
                <w:szCs w:val="18"/>
                <w:color w:val="auto"/>
              </w:rPr>
              <w:t>Item IA</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520" w:type="dxa"/>
            <w:vAlign w:val="bottom"/>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620" w:type="dxa"/>
            <w:vAlign w:val="bottom"/>
          </w:tcPr>
          <w:p>
            <w:pPr>
              <w:spacing w:after="0"/>
              <w:rPr>
                <w:sz w:val="20"/>
                <w:szCs w:val="20"/>
                <w:color w:val="auto"/>
              </w:rPr>
            </w:pPr>
            <w:r>
              <w:rPr>
                <w:rFonts w:ascii="Arial" w:cs="Arial" w:eastAsia="Arial" w:hAnsi="Arial"/>
                <w:sz w:val="18"/>
                <w:szCs w:val="18"/>
                <w:color w:val="auto"/>
              </w:rPr>
              <w:t>Item 6.</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tcBorders>
              <w:top w:val="single" w:sz="8" w:color="0000EE"/>
            </w:tcBorders>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530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90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w:t>
              </w:r>
            </w:hyperlink>
          </w:p>
        </w:tc>
        <w:tc>
          <w:tcPr>
            <w:tcW w:w="580" w:type="dxa"/>
            <w:vAlign w:val="bottom"/>
            <w:tcBorders>
              <w:top w:val="single" w:sz="8" w:color="0000EE"/>
            </w:tcBorders>
          </w:tcPr>
          <w:p>
            <w:pPr>
              <w:spacing w:after="0"/>
              <w:rPr>
                <w:sz w:val="24"/>
                <w:szCs w:val="24"/>
                <w:color w:val="auto"/>
              </w:rPr>
            </w:pPr>
          </w:p>
        </w:tc>
        <w:tc>
          <w:tcPr>
            <w:tcW w:w="894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83"/>
        </w:trPr>
        <w:tc>
          <w:tcPr>
            <w:tcW w:w="6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500" w:type="dxa"/>
            <w:vAlign w:val="bottom"/>
            <w:gridSpan w:val="8"/>
          </w:tcPr>
          <w:p>
            <w:pPr>
              <w:jc w:val="right"/>
              <w:ind w:right="1420"/>
              <w:spacing w:after="0"/>
              <w:rPr>
                <w:sz w:val="20"/>
                <w:szCs w:val="20"/>
                <w:color w:val="auto"/>
              </w:rPr>
            </w:pPr>
            <w:r>
              <w:rPr>
                <w:rFonts w:ascii="Arial" w:cs="Arial" w:eastAsia="Arial" w:hAnsi="Arial"/>
                <w:sz w:val="18"/>
                <w:szCs w:val="18"/>
                <w:color w:val="auto"/>
              </w:rPr>
              <w:t>2</w:t>
            </w:r>
          </w:p>
        </w:tc>
        <w:tc>
          <w:tcPr>
            <w:tcW w:w="7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ind w:left="400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86,237</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92,670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110,860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20,049</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3,752,037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3,851,668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47,955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4,142,660</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4,254,324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270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320" w:type="dxa"/>
            <w:vAlign w:val="bottom"/>
          </w:tcPr>
          <w:p>
            <w:pPr>
              <w:spacing w:after="0"/>
              <w:rPr>
                <w:sz w:val="18"/>
                <w:szCs w:val="18"/>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68,785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101,507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246,186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230,688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2,630,528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96,920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82,339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2,983,727</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2,868,771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1,970,946</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1,912,146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(812,013)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(526,593)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1,158,933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4,142,660</w:t>
            </w:r>
          </w:p>
        </w:tc>
        <w:tc>
          <w:tcPr>
            <w:tcW w:w="320" w:type="dxa"/>
            <w:vAlign w:val="bottom"/>
          </w:tcPr>
          <w:p>
            <w:pPr>
              <w:spacing w:after="0"/>
              <w:rPr>
                <w:sz w:val="19"/>
                <w:szCs w:val="19"/>
                <w:color w:val="auto"/>
              </w:rPr>
            </w:pP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4,254,324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0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20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$ 138,381</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$143,988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395,081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75,594</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76,867</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232,030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111,809</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96,839</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319,229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51,995</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51,341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157,523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377,779</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369,035</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1,103,863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1,071,095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(43,276)</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(44,574)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(132,432)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(142,153)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vMerge w:val="continue"/>
          </w:tcPr>
          <w:p>
            <w:pPr>
              <w:spacing w:after="0"/>
              <w:rPr>
                <w:sz w:val="20"/>
                <w:szCs w:val="20"/>
                <w:color w:val="auto"/>
              </w:rPr>
            </w:pPr>
          </w:p>
        </w:tc>
        <w:tc>
          <w:tcPr>
            <w:tcW w:w="14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334,503</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324,461</w:t>
            </w: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971,431</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40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Casino</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70,748</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69,582</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216,160</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29,855</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27,822</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91,305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67,577</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61,226</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193,947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35,920</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36,311</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105,371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59,071</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62,508</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175,966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2,541</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5,114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11,823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5,020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4,814</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14,581</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84</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560" w:type="dxa"/>
            <w:vAlign w:val="bottom"/>
            <w:gridSpan w:val="3"/>
          </w:tcPr>
          <w:p>
            <w:pPr>
              <w:jc w:val="right"/>
              <w:ind w:right="440"/>
              <w:spacing w:after="0"/>
              <w:rPr>
                <w:sz w:val="20"/>
                <w:szCs w:val="20"/>
                <w:color w:val="auto"/>
              </w:rPr>
            </w:pPr>
            <w:r>
              <w:rPr>
                <w:rFonts w:ascii="Arial" w:cs="Arial" w:eastAsia="Arial" w:hAnsi="Arial"/>
                <w:sz w:val="18"/>
                <w:szCs w:val="18"/>
                <w:color w:val="auto"/>
              </w:rPr>
              <w:t>63,330</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77,811</w:t>
            </w: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209,839</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16,552</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18,288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350,698</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345,347</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1,039,333</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1,016,558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(16,195)</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(20,886)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(67,902)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(87,616)</w:t>
            </w:r>
          </w:p>
        </w:tc>
        <w:tc>
          <w:tcPr>
            <w:tcW w:w="0" w:type="dxa"/>
            <w:vAlign w:val="bottom"/>
          </w:tcPr>
          <w:p>
            <w:pPr>
              <w:spacing w:after="0"/>
              <w:rPr>
                <w:sz w:val="1"/>
                <w:szCs w:val="1"/>
                <w:color w:val="auto"/>
              </w:rPr>
            </w:pPr>
          </w:p>
        </w:tc>
      </w:tr>
      <w:tr>
        <w:trPr>
          <w:trHeight w:val="222"/>
        </w:trPr>
        <w:tc>
          <w:tcPr>
            <w:tcW w:w="56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118</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2560" w:type="dxa"/>
            <w:vAlign w:val="bottom"/>
            <w:gridSpan w:val="3"/>
          </w:tcPr>
          <w:p>
            <w:pPr>
              <w:jc w:val="right"/>
              <w:ind w:right="380"/>
              <w:spacing w:after="0"/>
              <w:rPr>
                <w:sz w:val="20"/>
                <w:szCs w:val="20"/>
                <w:color w:val="auto"/>
              </w:rPr>
            </w:pPr>
            <w:r>
              <w:rPr>
                <w:rFonts w:ascii="Arial" w:cs="Arial" w:eastAsia="Arial" w:hAnsi="Arial"/>
                <w:sz w:val="18"/>
                <w:szCs w:val="18"/>
                <w:color w:val="auto"/>
              </w:rPr>
              <w:t>(51,442)</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(38,943)</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(142,726)</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2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(1,314)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(3,978)</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(5,869)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2560" w:type="dxa"/>
            <w:vAlign w:val="bottom"/>
            <w:gridSpan w:val="3"/>
          </w:tcPr>
          <w:p>
            <w:pPr>
              <w:jc w:val="right"/>
              <w:ind w:right="380"/>
              <w:spacing w:after="0"/>
              <w:rPr>
                <w:sz w:val="20"/>
                <w:szCs w:val="20"/>
                <w:color w:val="auto"/>
              </w:rPr>
            </w:pPr>
            <w:r>
              <w:rPr>
                <w:rFonts w:ascii="Arial" w:cs="Arial" w:eastAsia="Arial" w:hAnsi="Arial"/>
                <w:sz w:val="18"/>
                <w:szCs w:val="18"/>
                <w:color w:val="auto"/>
              </w:rPr>
              <w:t>(66,281)</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(69,433)</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1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133</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14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vMerge w:val="continue"/>
          </w:tcPr>
          <w:p>
            <w:pPr>
              <w:spacing w:after="0"/>
              <w:rPr>
                <w:sz w:val="19"/>
                <w:szCs w:val="19"/>
                <w:color w:val="auto"/>
              </w:rPr>
            </w:pPr>
          </w:p>
        </w:tc>
        <w:tc>
          <w:tcPr>
            <w:tcW w:w="1400" w:type="dxa"/>
            <w:vAlign w:val="bottom"/>
          </w:tcPr>
          <w:p>
            <w:pPr>
              <w:spacing w:after="0"/>
              <w:rPr>
                <w:sz w:val="19"/>
                <w:szCs w:val="19"/>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(118,786)</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(42,865)</w:t>
            </w:r>
          </w:p>
        </w:tc>
        <w:tc>
          <w:tcPr>
            <w:tcW w:w="100" w:type="dxa"/>
            <w:vAlign w:val="bottom"/>
          </w:tcPr>
          <w:p>
            <w:pPr>
              <w:spacing w:after="0"/>
              <w:rPr>
                <w:sz w:val="19"/>
                <w:szCs w:val="19"/>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(217,518)</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(117,782)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(134,981)</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(63,751)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(285,420)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9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9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(285,420)</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$(205,398)</w:t>
            </w: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209,839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233,680</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8,800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7,072</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Loss on extinguishment of debt/exchange offer</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64,673</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12,102</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15,541</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Equity in income (loss) from unconsolidated affiliates, net of distributions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746</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11,823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10,195</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3,339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7,453</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5,869</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3,978</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6,367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2,603</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14,067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14,684</w:t>
            </w:r>
          </w:p>
        </w:tc>
      </w:tr>
      <w:tr>
        <w:trPr>
          <w:trHeight w:val="216"/>
        </w:trPr>
        <w:tc>
          <w:tcPr>
            <w:tcW w:w="9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(28,826)</w:t>
            </w:r>
          </w:p>
        </w:tc>
      </w:tr>
      <w:tr>
        <w:trPr>
          <w:trHeight w:val="216"/>
        </w:trPr>
        <w:tc>
          <w:tcPr>
            <w:tcW w:w="916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15,003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4,677</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79,263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66,405</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expenditures, net of construction payables and retention</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(108,700)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(224,084)</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(5,371)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4,403</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4,202</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(110,077)</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(215,479)</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(1,603,730)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(289,426)</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1,676,528</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150,542</w:t>
            </w: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the Parent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328,451</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Payment of financing costs</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(72,101)</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(10,560)</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50,697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179,007</w:t>
            </w:r>
          </w:p>
        </w:tc>
      </w:tr>
      <w:tr>
        <w:trPr>
          <w:trHeight w:val="222"/>
        </w:trPr>
        <w:tc>
          <w:tcPr>
            <w:tcW w:w="91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19,883</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29,933</w:t>
            </w:r>
          </w:p>
        </w:tc>
      </w:tr>
      <w:tr>
        <w:trPr>
          <w:trHeight w:val="216"/>
        </w:trPr>
        <w:tc>
          <w:tcPr>
            <w:tcW w:w="916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1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66,354</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123,315</w:t>
            </w:r>
          </w:p>
        </w:tc>
      </w:tr>
      <w:tr>
        <w:trPr>
          <w:trHeight w:val="27"/>
        </w:trPr>
        <w:tc>
          <w:tcPr>
            <w:tcW w:w="9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86,237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$ 153,248</w:t>
            </w:r>
          </w:p>
        </w:tc>
      </w:tr>
      <w:tr>
        <w:trPr>
          <w:trHeight w:val="20"/>
        </w:trPr>
        <w:tc>
          <w:tcPr>
            <w:tcW w:w="9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left="240" w:right="8280" w:hanging="232"/>
        <w:spacing w:after="0" w:line="347"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Wynn Las Vegas, LLC was formed on April 17, 2001 as a Nevada limited liability company.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 The Company was organized primarily to construct and operate “Wynn Las Vegas,” a destination resort and casino on the “Strip” in Las Vegas, Nevada. Wynn Las Vegas opened on April 28, 2005. On December 22, 2008, the Company opened Encore at Wynn Las Vegas (“Encore”), an expansion of Wynn Las Vegas. Encore is a 2,034 all-suite hotel fully integrated with Wynn Las Vegas.</w:t>
      </w:r>
    </w:p>
    <w:p>
      <w:pPr>
        <w:spacing w:after="0" w:line="144"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Wynn Las Vegas Capital Corp. (“Wynn Capital”) is a wholly owned subsidiary of the Company incorporated on June 3, 2002, solely for the purpose of obtaining financing for Wynn Las Vegas. Wynn Capital is authorized to issue 2,000 shares of common stock, par value $0.01. At September 30, 2010, the Company owned the one share that was issued and outstanding. Wynn Capital has neither any significant net assets nor has had any operating activity. Its sole function is to serve as the co-issuer of the mortgage notes described below. Wynn Las Vegas, LLC and Wynn Capital together are hereinafter referred to as the “Issuers”.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subsidiaries. The Company’s investment in the 50%-owned joint venture operating the Ferrari and Maserati automobile dealership inside Wynn Las Vegas is accounted for under the equity method. All significant intercompany accounts and transactions have been eliminated.</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and nine months ended September 30, 2010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2009.</w:t>
      </w:r>
    </w:p>
    <w:p>
      <w:pPr>
        <w:spacing w:after="0" w:line="193" w:lineRule="exact"/>
        <w:rPr>
          <w:sz w:val="20"/>
          <w:szCs w:val="20"/>
          <w:color w:val="auto"/>
        </w:rPr>
      </w:pPr>
    </w:p>
    <w:p>
      <w:pPr>
        <w:ind w:left="240" w:right="7920" w:hanging="232"/>
        <w:spacing w:after="0" w:line="417" w:lineRule="auto"/>
        <w:tabs>
          <w:tab w:leader="none" w:pos="187"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i w:val="1"/>
          <w:iCs w:val="1"/>
          <w:color w:val="auto"/>
        </w:rPr>
        <w:t>Accounts Receivable and Credit Risk</w:t>
      </w:r>
    </w:p>
    <w:p>
      <w:pPr>
        <w:spacing w:after="0" w:line="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2010 and December 31, 2009, approximately 64% and 68%, respectively, of the Company’s markers were due from customers residing in foreign countries, primarily in Asia. Business or economic conditions or other significant events in these countries could affect the collectibility of such receivables.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32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allowance for doubtful accounts is maintained to reduce the Company’s receivables to their estimated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Revenues are recognized net of certain sales incentives which are recorded as a reduction of revenue. Consequently, the Company’s casino revenues are reduced by discounts and points earned in customer loyalty programs, such as the players club loyalty program.</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9"/>
              </w:rPr>
              <w:t>Three Months Ended</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7"/>
              </w:rPr>
              <w:t>Nine Months Ended</w:t>
            </w:r>
          </w:p>
        </w:tc>
      </w:t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September 30,</w:t>
            </w:r>
          </w:p>
        </w:tc>
        <w:tc>
          <w:tcPr>
            <w:tcW w:w="1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5"/>
              </w:rPr>
              <w:t>September 30,</w:t>
            </w:r>
          </w:p>
        </w:tc>
      </w:tr>
      <w:tr>
        <w:trPr>
          <w:trHeight w:val="142"/>
        </w:trPr>
        <w:tc>
          <w:tcPr>
            <w:tcW w:w="6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2010</w:t>
            </w:r>
          </w:p>
        </w:tc>
        <w:tc>
          <w:tcPr>
            <w:tcW w:w="5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9,465</w:t>
            </w:r>
          </w:p>
        </w:tc>
        <w:tc>
          <w:tcPr>
            <w:tcW w:w="16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$11,471</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$30,396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$36,188</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14,640</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color w:val="auto"/>
              </w:rPr>
              <w:t>15,262</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44,150</w:t>
            </w:r>
          </w:p>
        </w:tc>
        <w:tc>
          <w:tcPr>
            <w:tcW w:w="580" w:type="dxa"/>
            <w:vAlign w:val="bottom"/>
          </w:tcPr>
          <w:p>
            <w:pPr>
              <w:jc w:val="right"/>
              <w:spacing w:after="0"/>
              <w:rPr>
                <w:sz w:val="20"/>
                <w:szCs w:val="20"/>
                <w:color w:val="auto"/>
              </w:rPr>
            </w:pPr>
            <w:r>
              <w:rPr>
                <w:rFonts w:ascii="Arial" w:cs="Arial" w:eastAsia="Arial" w:hAnsi="Arial"/>
                <w:sz w:val="18"/>
                <w:szCs w:val="18"/>
                <w:color w:val="auto"/>
              </w:rPr>
              <w:t>46,247</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3,309</w:t>
            </w:r>
          </w:p>
        </w:tc>
        <w:tc>
          <w:tcPr>
            <w:tcW w:w="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14,947</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8,214</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29,181</w:t>
            </w:r>
          </w:p>
        </w:tc>
        <w:tc>
          <w:tcPr>
            <w:tcW w:w="16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30,042</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89,493</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90,649</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Gaming Taxes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Company is subject to taxes based on gross gaming revenues, subject to applicable adjustments. These gaming taxes are an assessment on the Company’s gaming revenues and are recorded as an expense within the “Casino” line item in the accompanying Condensed Consolidated Statements of Operations. These taxes totaled approximately $10 million and $10.3 million for the three months ended September 30, 2010 and 2009, respectively. For the nine months ended September 30, 2010 and 2009, these taxes totaled approximately $27.9 million and $27.8 million, respectively.</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expenses advertising costs the first time the advertising takes place. Advertising costs incurred in development periods are included in pre-opening costs. Once a project is completed, advertising costs are included in general and administrative expenses. For the three months ended September 30, 2010 and 2009, advertising costs totaled approximately $4.0 million and $3.7 million, respectively. For the nine months ended September 30, 2010 and 2009, advertising costs totaled approximately $10.4 million and $14.1 million, respectively.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Share-Based Compensation</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Company accounts for share based compensation related to equity shares of Wynn Resorts granted to its employees by recognizing the costs of the employee services received in exchange for the equity award instrument based on the grant date fair value of the awards over the service period. For the nine months ended September 30, 2010 and 2009, the Company recorded $8.8 million and $7.1 million, respectively, in share based compensation with a corresponding credit to contributed capital.</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Certain amounts in the condensed consolidated financial statements for 2009 have been reclassified to be consistent with the current year presentation.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reclassifications had no effect on the previously reported net loss.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9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The Company adopted the new accounting standards on January 1, 2010. The adoption of these new accounting standards did not have a material effect on the Company’s condensed consolidated financial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Supplemental Disclosure of Cash Flow Information</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Interest paid for the nine months ended September 30, 2010 and 2009 totaled approximately $107 million and $77.6 million, respectively. Interest capitalized for the nine months ended September 30, 2010 totaled approximately $0.6 million. There was no interest capitalized during the nine months ended September 30, 2009.</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During the nine months ended September 30, 2010 and 2009, capital expenditures include a decrease of approximately $7.6 million and approximately $179.6 million, respectively, in construction payables and retention recorded through amounts due to affiliates.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Receivables,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consisted of the following (amounts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5"/>
          </w:tcPr>
          <w:p>
            <w:pPr>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138,510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149,786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Hotel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13,062</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17,490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162,498</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178,266</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(69,828)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(67,406)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92,670</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2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consisted of the following (amounts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September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6"/>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  719,708</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692,677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2,586,562</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2,554,224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Airplane</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44,349</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44,254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1,352,983</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1,325,677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14,296</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23,973</w:t>
            </w:r>
          </w:p>
        </w:tc>
        <w:tc>
          <w:tcPr>
            <w:tcW w:w="10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4,717,898</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w w:val="87"/>
              </w:rPr>
              <w:t>4,640,805</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gridSpan w:val="4"/>
            <w:shd w:val="clear" w:color="auto" w:fill="CCEEFF"/>
          </w:tcPr>
          <w:p>
            <w:pPr>
              <w:jc w:val="right"/>
              <w:ind w:right="474"/>
              <w:spacing w:after="0"/>
              <w:rPr>
                <w:sz w:val="20"/>
                <w:szCs w:val="20"/>
                <w:color w:val="auto"/>
              </w:rPr>
            </w:pPr>
            <w:r>
              <w:rPr>
                <w:rFonts w:ascii="Arial" w:cs="Arial" w:eastAsia="Arial" w:hAnsi="Arial"/>
                <w:sz w:val="18"/>
                <w:szCs w:val="18"/>
                <w:color w:val="auto"/>
              </w:rPr>
              <w:t>(965,861)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(789,137)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4"/>
              </w:rPr>
              <w:t>$ 3,752,037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3,851,668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Long-Term Debt</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220" w:type="dxa"/>
            <w:vAlign w:val="bottom"/>
            <w:gridSpan w:val="2"/>
          </w:tcPr>
          <w:p>
            <w:pPr>
              <w:ind w:left="460"/>
              <w:spacing w:after="0"/>
              <w:rPr>
                <w:sz w:val="20"/>
                <w:szCs w:val="20"/>
                <w:color w:val="auto"/>
              </w:rPr>
            </w:pPr>
            <w:r>
              <w:rPr>
                <w:rFonts w:ascii="Arial" w:cs="Arial" w:eastAsia="Arial" w:hAnsi="Arial"/>
                <w:sz w:val="18"/>
                <w:szCs w:val="18"/>
                <w:color w:val="auto"/>
              </w:rPr>
              <w:t>Long-term debt consisted of the following (amounts in thousands):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w w:val="96"/>
              </w:rPr>
              <w:t>September 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auto"/>
            </w:tcBorders>
            <w:gridSpan w:val="3"/>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 xml:space="preserve">6 </w:t>
            </w:r>
            <w:r>
              <w:rPr>
                <w:rFonts w:ascii="Arial" w:cs="Arial" w:eastAsia="Arial" w:hAnsi="Arial"/>
                <w:sz w:val="11"/>
                <w:szCs w:val="11"/>
                <w:color w:val="auto"/>
                <w:w w:val="89"/>
              </w:rPr>
              <w:t>5</w:t>
            </w:r>
            <w:r>
              <w:rPr>
                <w:rFonts w:ascii="Arial" w:cs="Arial" w:eastAsia="Arial" w:hAnsi="Arial"/>
                <w:sz w:val="18"/>
                <w:szCs w:val="18"/>
                <w:color w:val="auto"/>
                <w:w w:val="89"/>
              </w:rPr>
              <w:t>/</w:t>
            </w:r>
            <w:r>
              <w:rPr>
                <w:rFonts w:ascii="Arial" w:cs="Arial" w:eastAsia="Arial" w:hAnsi="Arial"/>
                <w:sz w:val="13"/>
                <w:szCs w:val="13"/>
                <w:color w:val="auto"/>
                <w:w w:val="89"/>
              </w:rPr>
              <w:t>8</w:t>
            </w:r>
            <w:r>
              <w:rPr>
                <w:rFonts w:ascii="Arial" w:cs="Arial" w:eastAsia="Arial" w:hAnsi="Arial"/>
                <w:sz w:val="18"/>
                <w:szCs w:val="18"/>
                <w:color w:val="auto"/>
                <w:w w:val="89"/>
              </w:rPr>
              <w:t>% First Mortgage Notes, due December 1, 2014, net of original issue discount of $8,214 at December 31, 2009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$1,626,016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480" w:type="dxa"/>
            <w:vAlign w:val="bottom"/>
            <w:gridSpan w:val="4"/>
          </w:tcPr>
          <w:p>
            <w:pPr>
              <w:spacing w:after="0"/>
              <w:rPr>
                <w:sz w:val="20"/>
                <w:szCs w:val="20"/>
                <w:color w:val="auto"/>
              </w:rPr>
            </w:pPr>
            <w:r>
              <w:rPr>
                <w:rFonts w:ascii="Arial" w:cs="Arial" w:eastAsia="Arial" w:hAnsi="Arial"/>
                <w:sz w:val="18"/>
                <w:szCs w:val="18"/>
                <w:color w:val="auto"/>
                <w:w w:val="88"/>
              </w:rPr>
              <w:t xml:space="preserve">7 </w:t>
            </w:r>
            <w:r>
              <w:rPr>
                <w:rFonts w:ascii="Arial" w:cs="Arial" w:eastAsia="Arial" w:hAnsi="Arial"/>
                <w:sz w:val="11"/>
                <w:szCs w:val="11"/>
                <w:color w:val="auto"/>
                <w:w w:val="88"/>
              </w:rPr>
              <w:t>7</w:t>
            </w:r>
            <w:r>
              <w:rPr>
                <w:rFonts w:ascii="Arial" w:cs="Arial" w:eastAsia="Arial" w:hAnsi="Arial"/>
                <w:sz w:val="18"/>
                <w:szCs w:val="18"/>
                <w:color w:val="auto"/>
                <w:w w:val="88"/>
              </w:rPr>
              <w:t>/</w:t>
            </w:r>
            <w:r>
              <w:rPr>
                <w:rFonts w:ascii="Arial" w:cs="Arial" w:eastAsia="Arial" w:hAnsi="Arial"/>
                <w:sz w:val="13"/>
                <w:szCs w:val="13"/>
                <w:color w:val="auto"/>
                <w:w w:val="88"/>
              </w:rPr>
              <w:t>8</w:t>
            </w:r>
            <w:r>
              <w:rPr>
                <w:rFonts w:ascii="Arial" w:cs="Arial" w:eastAsia="Arial" w:hAnsi="Arial"/>
                <w:sz w:val="18"/>
                <w:szCs w:val="18"/>
                <w:color w:val="auto"/>
                <w:w w:val="88"/>
              </w:rPr>
              <w:t>% First Mortgage Notes, due November 1, 2017, net of original issue discount of $9,940 at September 30, 2010 and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220" w:type="dxa"/>
            <w:vAlign w:val="bottom"/>
            <w:gridSpan w:val="2"/>
          </w:tcPr>
          <w:p>
            <w:pPr>
              <w:ind w:left="220"/>
              <w:spacing w:after="0"/>
              <w:rPr>
                <w:sz w:val="20"/>
                <w:szCs w:val="20"/>
                <w:color w:val="auto"/>
              </w:rPr>
            </w:pPr>
            <w:r>
              <w:rPr>
                <w:rFonts w:ascii="Arial" w:cs="Arial" w:eastAsia="Arial" w:hAnsi="Arial"/>
                <w:sz w:val="18"/>
                <w:szCs w:val="18"/>
                <w:color w:val="auto"/>
              </w:rPr>
              <w:t>$10,529 at December 31, 2009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490,060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489,471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xml:space="preserve">7 </w:t>
            </w:r>
            <w:r>
              <w:rPr>
                <w:rFonts w:ascii="Arial" w:cs="Arial" w:eastAsia="Arial" w:hAnsi="Arial"/>
                <w:sz w:val="11"/>
                <w:szCs w:val="11"/>
                <w:color w:val="auto"/>
                <w:w w:val="94"/>
              </w:rPr>
              <w:t>7</w:t>
            </w:r>
            <w:r>
              <w:rPr>
                <w:rFonts w:ascii="Arial" w:cs="Arial" w:eastAsia="Arial" w:hAnsi="Arial"/>
                <w:sz w:val="18"/>
                <w:szCs w:val="18"/>
                <w:color w:val="auto"/>
                <w:w w:val="94"/>
              </w:rPr>
              <w:t>/</w:t>
            </w:r>
            <w:r>
              <w:rPr>
                <w:rFonts w:ascii="Arial" w:cs="Arial" w:eastAsia="Arial" w:hAnsi="Arial"/>
                <w:sz w:val="13"/>
                <w:szCs w:val="13"/>
                <w:color w:val="auto"/>
                <w:w w:val="94"/>
              </w:rPr>
              <w:t>8</w:t>
            </w:r>
            <w:r>
              <w:rPr>
                <w:rFonts w:ascii="Arial" w:cs="Arial" w:eastAsia="Arial" w:hAnsi="Arial"/>
                <w:sz w:val="18"/>
                <w:szCs w:val="18"/>
                <w:color w:val="auto"/>
                <w:w w:val="94"/>
              </w:rPr>
              <w:t>% First Mortgage Notes, due May 1, 2020, net of original issue discount of $2,533 at September 30, 2010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349,477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August 15, 2020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1,320,000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 due July 15, 2013; interest at LIBOR plus 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252,717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Revolving Credit Facility, due July 17, 2015; interest on LIBOR plus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 due August 15, 2013; interest at LIBOR plus 1.875%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80,446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Arial" w:cs="Arial" w:eastAsia="Arial" w:hAnsi="Arial"/>
                <w:sz w:val="18"/>
                <w:szCs w:val="18"/>
                <w:color w:val="auto"/>
              </w:rPr>
              <w:t>Term Loan Facility, due August 17, 2015; interest at LIBOR plus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330,605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color w:val="auto"/>
              </w:rPr>
              <w:t>Payable to Affiliate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65,770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2,631,578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2,552,570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20" w:type="dxa"/>
            <w:vAlign w:val="bottom"/>
            <w:gridSpan w:val="2"/>
          </w:tcPr>
          <w:p>
            <w:pPr>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1280" w:type="dxa"/>
            <w:vAlign w:val="bottom"/>
            <w:gridSpan w:val="5"/>
          </w:tcPr>
          <w:p>
            <w:pPr>
              <w:jc w:val="right"/>
              <w:ind w:right="6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$ 2,630,528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2,551,520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20" w:type="dxa"/>
            <w:vAlign w:val="bottom"/>
            <w:gridSpan w:val="2"/>
            <w:vMerge w:val="restart"/>
          </w:tcPr>
          <w:p>
            <w:pPr>
              <w:ind w:left="568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First Mortgage Notes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On March 26, 2010, the Issuers, each a direct or indirect wholly owned subsidiary of Wynn Resorts, Limited, commenced an offer to exchange all outstanding 6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xml:space="preserve">% First Mortgage Notes due 2014 (the “2014 Notes”) for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due 2020 (the “2020 Notes”) of the Issuers, upon the terms and subject to the conditions set forth in an offering memorandum and a related letter of transmittal (the “exchange offer”). The exchange offer was conditioned upon, among other things, the tender of at least $250 million aggregate principal amount of 2014 Notes. The 2020 Notes were offered only to qualified institutional buyers and outside the United States in accordance with Rule 144A and Regulation S, respectively, under the Securities Act of 1933, as amended (the “Securities Act”). As of April 23, 2010, the expiration date, approximately $382 million of the 2014 Notes were validly tendered for exchange to the 2020 Notes. This includes $30 million of the 2014 Notes that were purchased by Wynn Resorts in 2009, and are included in payable to affiliate in the table above. The exchange offer closed on April 28, 2010.</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The 2020 Notes rank pari passu in right of payment with borrowings under Wynn Las Vegas, LLC’s credit facilities and the Issuers’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2017 (the “2017 Notes”). The 2020 Notes are senior secured obligations of the issuers, will be guaranteed by certain of Wynn Las Vegas, LLC’s subsidiaries and are secured by a first priority lien on substantially all of the existing and future assets of the Issuers and guarantors and, subject to approval from the Nevada Gaming Commission, a first priority lien on the equity interests of Wynn Las Vegas, LLC, all of which is the same collateral that secures borrowings under Wynn Las Vegas, LLC’s credit facilities and the 2017 Notes.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noteholders who validly tendered 2014 Notes prior to the early delivery time received an early delivery payment on April 28, 2010 of 1% of the amount tendered in cash which totaled approximately $3.8 million. In accordance with accounting standards, this was included as deferred financing costs and is being amortized over the life of the 2020 Notes. The direct costs of the exchange offer incurred with third parties of $4.4 million were expensed and are included in Gain / (loss) on extinguishment of debt / exchange offer in the accompanying Condensed Consolidated Statement of Operations.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On August 4, 2010, the Issuers issued $1.32 billion aggregate principal amount of 7 </w:t>
      </w:r>
      <w:r>
        <w:rPr>
          <w:rFonts w:ascii="Arial" w:cs="Arial" w:eastAsia="Arial" w:hAnsi="Arial"/>
          <w:sz w:val="10"/>
          <w:szCs w:val="10"/>
          <w:color w:val="auto"/>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First Mortgage Notes due August 15, 2020 (the “New 2020 Notes”). The New 2020 Notes were issued at par. The New 2020 Notes were offered only to qualified institutional buyers and outside the U.S. in accordance with Rule 144A and Regulation S, respectively, under the Securities Act of 1933. Wynn Las Vegas, LLC used the net proceeds of the offering along with the proceeds of a $50 million capital contribution from Wynn Resorts, Limited to purchase, and, as applicable, make consent payments for, any and all of the Issuers’ 2014 Notes that were validly tendered and accepted for payment pursuant to Wynn Las Vegas, LLC’s concurrent offer to purchase and consent solicitation with respect to the 2014 Notes and to redeem all of the 2014 Notes not tendered. On or prior to August 3, 2010, valid tenders had been received with respect to approximately $987 million of the $1.3 billion aggregate principal amount of 2014 Notes outstanding. On August 4, 2010, tendering holders received the tender offer consideration in the amount of $1,004.38, plus a consent payment of $30 for each $1,000 principal amount of 2014 Notes which totaled $33.9 million. The consent solicitation expired on August 3, 2010 and the tender offer expired on August 18, 2010. In accordance with accounting standards the consideration and consent fees were expensed and are included in Gain / (loss) on extinguishment of debt / exchange offer in the accompanying Condensed Consolidated Statement of Operations.</w:t>
      </w:r>
    </w:p>
    <w:p>
      <w:pPr>
        <w:spacing w:after="0" w:line="12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August 4, 2010, the Trustee, at the request of the Issuers, gave notice of redemption of any and all of the outstanding 2014 Notes. The redemption price was equal to 103.313% of the aggregate principal amount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2014 Notes redeemed plus accrued and unpaid interest thereon to September 3, 2010. The total redemption amount paid was $10.9 million. In accordance with accounting standards the redemption fees were expensed and are included in Gain / (loss) on extinguishment of debt / exchange offer in the accompanying Condensed Consolidated Statement of Operations.</w:t>
      </w:r>
    </w:p>
    <w:p>
      <w:pPr>
        <w:spacing w:after="0" w:line="14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Also in connection with this transaction, unamortized debt issue costs and original issue discount related to the 2014 Notes totaling $19.2 million were expensed and are included in Gain / (loss) on extinguishment of debt / exchange offer in the accompanying Condensed Consolidated Statement of Operations.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New 2020 Notes rank pari passu in right of payment with borrowings under Wynn Las Vegas, LLC’s credit facilities, the 2017 Notes and existing 2020 Notes. The New 2020 Notes are senior secured obligations of the Issuers, guaranteed by certain of Wynn Las Vegas, LLC’s subsidiaries and secured on an equal and ratable basis (with certain exceptions) by a first priority lien on substantially all of the existing and future assets of the Issuers and guarantors, and, subject to prior approval from the Nevada gaming authorities, a first priority lien on the equity interests of Wynn Las Vegas, LLC, all of which is the same collateral that secures borrowings under Wynn Las Vegas, LLC’s credit facilities, the 2014 Notes, the 2017 Notes and the existing 2020 Notes.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New 2020 Notes have not been registered under the Securities Act of 1933 or under any state securities laws. Therefore, the issuers may not offer or sell the notes within the United States to, or for the account or benefit of, any United States person unless the offer or sale would qualify for a registration exemption from the Securities Act and applicable state securities laws.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Credit Facility</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Concurrently with the issuance of the New 2020 Notes, the Company entered into a seventh amendment, dated August 4, 2010, to the Wynn Las Vegas Amended and Restated Credit Agreement (the “Credit Agreement”). After giving effect to this amendment, the maturity date with respect to a portion of the revolving credit facility and the term facility was extended to July 2015 and August 2015, respectively, and the interest margin in respect of the extended portion will increase after June 30, 2013. In addition, lenders made incremental term loans of $248.5 million having a maturity date of August 2015. The amendment made certain other changes including eliminating the maximum Consolidated Leverage Ratio and reducing the minimum Consolidated Interest Coverage Ratio to 1:00 to 1 through June 2013.</w:t>
      </w:r>
    </w:p>
    <w:p>
      <w:pPr>
        <w:spacing w:after="0" w:line="14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As of September 30, 2010, the Credit Agreement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September 30, 2010, the Wynn Las Vegas Term Loan was fully drawn and $30.1 million was outstanding under the Wynn Las Vegas Revolver. The Company also had $19.7 million of outstanding letters of credit that reduce availability under the Wynn Las Vegas Revolver. The Company has availability of approximately $317.2 million under the Wynn Las Vegas Revolver as of September 30, 2010.</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During the nine months ended September 30, 2009, Wynn Resorts purchased $65.8 million face amount of the 2014 Notes through open market purchases at a discount. In April 2010, $30 million of these first mortgage notes were exchanged for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as described above. In August 2010, as part of the tender transaction noted above, Wynn Resorts tendered its remaining $35.8 million of 2014 Notes. The purchase of the notes by Wynn Resorts has not been contributed to the Company and the notes have not been retired.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Accordingly, $30 million and $65.8 million of the first mortgage notes held by Wynn Resorts remain on the Company’s balance sheet as a payable to affiliate within Long-term Debt at September 30, 2010 and December 31, 2009,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2010, management believes the Company was in compliance with all debt covenants.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net book value of the 2014 Notes, the 2017 Notes, the 2020 Notes and the New 2020 Notes at September 30, 2010 and December 31, 2009, was approximately $2.2 billion at each period end. The estimated fair value of the first mortgage notes based upon most recent trades at September 30, 2010 and December 31, 2009, was approximately $2.3 billion and $2.2 billion, respectively. The net book value of the Company’s other debt instruments was $442 million and the fair value of such debt was approximately $426 million as of September 30,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Interest Rate Swap</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 has entered into a floating-for-fixed interest rate swap arrangement in order to manage interest rate risk relating to certain of its debt facilities. The Company’s interest rate swap agreement modifies the Company’s exposure to interest rate risk by converting a portion of the Company’s floating-rate debt to a fixed rate. The interest rate swap essentially fixes the interest rate at the percentage noted below; however, changes in the fair value of the interest rate swap for each reporting period have been recorded as an increase/decrease in swap fair value in the accompanying Condensed Consolidated Statements of Operations, as the interest rate swap does not qualify for hedge accounting.</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measures the fair value of its interest rate swap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the interest rate swap as Level 2.</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currently has one interest rate swap agreement to hedge a portion of the underlying interest rate risk on borrowings under the Wynn Las Vegas Credit Facilities. Under this swap agreement, the Company pays a fixed interest rate of 2.485% on borrowings of $250 million incurred under the Wynn Las Vegas Credit Facilities in exchange for receipts on the same amount at a variable interest rate based on the applicable LIBOR at the time of payment. This interest rate swap fixes the interest rate on $250 million of borrowings at approximately 5.485%. This interest rate swap agreement matures in November 2012. As of September 30, 2010 and December 31, 2009, the fair value of this interest rate swap was a liability of $10.1 million and $4.2 million, respectively.</w:t>
      </w:r>
    </w:p>
    <w:p>
      <w:pPr>
        <w:spacing w:after="0" w:line="191" w:lineRule="exact"/>
        <w:rPr>
          <w:sz w:val="20"/>
          <w:szCs w:val="20"/>
          <w:color w:val="auto"/>
        </w:rPr>
      </w:pPr>
    </w:p>
    <w:p>
      <w:pPr>
        <w:ind w:left="240" w:right="8800" w:hanging="232"/>
        <w:spacing w:after="0" w:line="417" w:lineRule="auto"/>
        <w:tabs>
          <w:tab w:leader="none" w:pos="187"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net </w:t>
      </w:r>
      <w:r>
        <w:rPr>
          <w:rFonts w:ascii="Arial" w:cs="Arial" w:eastAsia="Arial" w:hAnsi="Arial"/>
          <w:sz w:val="15"/>
          <w:szCs w:val="15"/>
          <w:i w:val="1"/>
          <w:iCs w:val="1"/>
          <w:color w:val="auto"/>
        </w:rPr>
        <w:t>Amounts Due to Affiliates, net</w:t>
      </w:r>
    </w:p>
    <w:p>
      <w:pPr>
        <w:spacing w:after="0" w:line="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As of September 30, 2010, the Company’s current Due to affiliates was primarily comprised of construction payables of approximately $13.9 million, construction retention of approximately $1.7 million and other net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amounts due to affiliates totaling $8.4 million (including corporate allocations discussed below). The long-term Due to affiliates is management fees of approximately $96.9 million (equal to 1.5% of net revenues and payable upon meeting certain leverage ratios as specified in the documents governing the Company’s credit facilities and the first mortgage notes indentures).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December 31, 2009, the Company’s current Due to affiliates was primarily comprised of construction payables of approximately $21.4 million, construction retention of approximately $1.8 million and other net amounts due from affiliates totaling $1.7 million (including corporate allocations discussed below). The long-term Due to affiliates is management fees of $82.3 million (equal to 1.5% of net revenues and payable upon meeting certain leverage ratios as specified in the documents governing the Company’s credit facilities and the first mortgage notes indentures).</w:t>
      </w:r>
    </w:p>
    <w:p>
      <w:pPr>
        <w:spacing w:after="0" w:line="113"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Company periodically settles amounts due to affiliates with cash receipts and payments, except for the management fee, which is payable upon meeting certain leverage ratios specified in the documents governing the first mortgage notes and the credit facilities.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Corporate Allocations</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accompanying condensed consolidated statements of operations include allocations from Wynn Resorts for legal, accounting, human resources,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Through September 30, 2008, the Company settled these corporate allocation charges with Wynn Resorts on a periodic basis as discussed in “Amounts Due to Affiliates, net” above. Beginning in the fourth quarter of 2008 through the third quarter 2009, the Company did not settle its corporate allocation and accordingly, such allocations were recorded as a contribution to equity from Wynn Resorts. In the fourth quarter 2009, the Company resumed settling its corporate allocations with Wynn Resorts. During the nine months ended September 30, 2010 and 2009, approximately $17 million and $16.5 million, respectively, were charged to the Company for such corporate allocations.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Amounts Due to Officers, net</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including household services, construction work and other personal services. The cost of these services is transferred to Wynn Resorts on a periodic basis. Mr. Wynn and these other officers and directors have amounts on deposit with Wynn Resorts to prepay any such items, which are replenished on an ongoing basis as needed.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March 17, 2010, Elaine P. Wynn, a director of Wynn Resorts, and Wynn Las Vegas entered into an Agreement of Lease (the “EW Lease”) for the lease of a villa suite as Elaine P. Wynn’s personal residence. The EW Lease was approved by the Audit Committee of the Board of Directors of the Company. The term of the lease commenced as of March 1, 2010 and terminates December 31, 2010. Pursuant to the terms of the EW</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Lease, Elaine P. Wynn will pay annual rent equal to $350,000, which amount was determined by the Audit Committee with the assistance of a third-party appraisal. Certain services for, and maintenance of, the villa suite are included in the rental. The EW Lease superseded the terms of a prior agreement.</w:t>
      </w:r>
    </w:p>
    <w:p>
      <w:pPr>
        <w:spacing w:after="0" w:line="6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March 18, 2010, Mr. Wynn and Wynn Las Vegas entered into an Amended and Restated Agreement of Lease (the “SW Lease”) for a villa to serve as Mr. Wynn’s personal residence. The SW Lease amends and restates a prior lease. The SW Lease was approved by the Audit Committee of the Board of Directors of the Company. The term of the SW lease commenced as of March 1, 2010 and runs concurrent with Mr. Wynn’s employment agreement with the Company; provided that either party may terminate on 90 days notice. Pursuant to the SW Lease, the rental value of the villa will be treated as imputed income to Mr. Wynn, and will be equal to the fair market value of the accommodations provided. Effective March 1, 2010, and for the first two years of the term of the SW Lease, the rental value will be $503,831 per year. The rental value for the villa will be re-determined every two years during the term of the lease by the Audit Committee, with the assistance of an independent third-party appraisal. Certain services for, and maintenance of, the villa is included in the rental.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Charges and Other</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Property charges generally include costs related to the retirement of assets for remodels and asset abandonments. Property charges and other for the three months ended September 30, 2010 and 2009 were $16.6 million and $0.2 million, respectively. Property charges and other for the three months ended September 30, 2010 include a contract termination payment of $14.9 million related to a management contract for certain of the nightclubs at Wynn Las Vegas as well as miscellaneous renovations and abandonments at Wynn Las Vegas and Encore. Property charges and other for the three months ended September 30, 2009 related to miscellaneous renovations and abandonments at Wynn Las Vegas and Encore.</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Property charges and other for the nine months ended September 30, 2010 and 2009 were $18.3 million and $7.5 million respectively. Property charges and other for the nine months ended September 30, 2010 include a contract termination payment of $14.9 million related to a management contract for certain of the nightclubs at Wynn Las Vegas, as well as miscellaneous renovations and abandonments at Wynn Las Vegas and Encore. Property charges and other for the nine months ended September 30, 2009, include the write-off of $5.3 million of aircraft purchase deposits that were cancelled. The remaining property charges for the nine months ended September 30, 2009 were related to miscellaneous renovations and abandonments at Wynn Las Vegas and Encore.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2" w:lineRule="exact"/>
        <w:rPr>
          <w:sz w:val="20"/>
          <w:szCs w:val="20"/>
          <w:color w:val="auto"/>
        </w:rPr>
      </w:pPr>
    </w:p>
    <w:p>
      <w:pPr>
        <w:ind w:right="864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Company does not have any material litigation as of September 30, 2010.</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Use Tax on Complimentary Meals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March 2008, the Nevada Supreme Court ruled, in the matter captioned </w:t>
      </w:r>
      <w:r>
        <w:rPr>
          <w:rFonts w:ascii="Arial" w:cs="Arial" w:eastAsia="Arial" w:hAnsi="Arial"/>
          <w:sz w:val="18"/>
          <w:szCs w:val="18"/>
          <w:i w:val="1"/>
          <w:iCs w:val="1"/>
          <w:color w:val="auto"/>
        </w:rPr>
        <w:t>Sparks Nugget, Inc. vs. The State of Nevada Ex Rel. Department of Taxation</w:t>
      </w:r>
      <w:r>
        <w:rPr>
          <w:rFonts w:ascii="Arial" w:cs="Arial" w:eastAsia="Arial" w:hAnsi="Arial"/>
          <w:sz w:val="18"/>
          <w:szCs w:val="18"/>
          <w:color w:val="auto"/>
        </w:rPr>
        <w:t>, that food and non-alcoholic beverages purchased for use in providing complimentary meals to customers and to employees was exempt from sales and use tax. In July 2008, the Court denied the State’s motion for rehearing. Through April 2008, Wynn Las Vegas has paid use tax on these items and has filed for refunds for the periods from April 2005 to April 2008. The amount subject to these refunds is approximately $5.4 million. As of September 30, 2010, the Company had not recorded a receivable related to this matter.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Consolidating Financial Information of Guarantors and Issuers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consolidating information relates to the Issuers of the First Mortgage Notes and their guarantor subsidiaries (World Travel, LLC; Las Vegas Jet, LLC; Wynn Show Performers, LLC; Wynn Golf, LLC; Kevyn, LLC; and Wynn Sunrise, LLC) and non-guarantor subsidiary (Wynn Completion Guarantor, LLC) as of September 30, 2010 and December 31, 2009, and for the nine months ended September 30, 2010 and 2009.</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The following consolidating information is presented in the form provided because: (i) the guarantor subsidiaries are wholly owned subsidiaries of Wynn Las Vegas, LLC (an issuer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First Mortgage Notes); (ii) the guarantee is considered to be full and unconditional (that is, if the Issuers fail to make a scheduled payment, the guarantor subsidiaries are obligated to make the scheduled payment immediately and, if they do not, any holder of the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xml:space="preserv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may immediately bring suit directly against the guarantor subsidiaries for payment of all amounts due and payable); and (iii) the guarantee is joint and several.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8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86,232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92,670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92,670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71,071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19,827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269,800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270,027</w:t>
            </w:r>
          </w:p>
        </w:tc>
        <w:tc>
          <w:tcPr>
            <w:tcW w:w="0" w:type="dxa"/>
            <w:vAlign w:val="bottom"/>
          </w:tcPr>
          <w:p>
            <w:pPr>
              <w:spacing w:after="0"/>
              <w:rPr>
                <w:sz w:val="1"/>
                <w:szCs w:val="1"/>
                <w:color w:val="auto"/>
              </w:rPr>
            </w:pPr>
          </w:p>
        </w:tc>
      </w:tr>
      <w:tr>
        <w:trPr>
          <w:trHeight w:val="322"/>
        </w:trPr>
        <w:tc>
          <w:tcPr>
            <w:tcW w:w="5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3,557,178</w:t>
            </w:r>
          </w:p>
        </w:tc>
        <w:tc>
          <w:tcPr>
            <w:tcW w:w="10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194,859</w:t>
            </w:r>
          </w:p>
        </w:tc>
        <w:tc>
          <w:tcPr>
            <w:tcW w:w="100" w:type="dxa"/>
            <w:vAlign w:val="bottom"/>
          </w:tcPr>
          <w:p>
            <w:pPr>
              <w:spacing w:after="0"/>
              <w:rPr>
                <w:sz w:val="24"/>
                <w:szCs w:val="24"/>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3,752,037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47,955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47,955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(18,891)</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18,891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3,973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3,918,566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205,198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4,142,660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8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34,194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46,229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44,179</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9,696</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16,604</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68,785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(161,545)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193,391</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58,142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195,925</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246,186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2,594,478</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36,050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2,630,528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96,920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2,759,633</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231,975</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2,983,727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1,970,946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1,970,946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Accumulated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(812,013)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(39,307)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31,421</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(812,013)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1,158,933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(26,777)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18,891</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1,158,933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3,918,566</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205,198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18,891</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4,142,660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4"/>
              </w:rPr>
              <w:t>Guarantor</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7"/>
              </w:rPr>
              <w:t>Issuers</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6"/>
              </w:rPr>
              <w:t>Subsidiary</w:t>
            </w: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196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65,998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110,860</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110,860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80,861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24,864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282,583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3,653,786</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197,882</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3,851,668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8,731</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6,144</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Deferred financing costs,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42,025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58,733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(16,450)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3,761</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3,761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660"/>
              <w:spacing w:after="0"/>
              <w:rPr>
                <w:sz w:val="20"/>
                <w:szCs w:val="20"/>
                <w:color w:val="auto"/>
              </w:rPr>
            </w:pPr>
            <w:r>
              <w:rPr>
                <w:rFonts w:ascii="Arial" w:cs="Arial" w:eastAsia="Arial" w:hAnsi="Arial"/>
                <w:sz w:val="18"/>
                <w:szCs w:val="18"/>
                <w:b w:val="1"/>
                <w:bCs w:val="1"/>
                <w:color w:val="auto"/>
              </w:rPr>
              <w:t>LIABILITIES AND MEMBER’S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28,226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17,595</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36,342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16,153</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101,340</w:t>
            </w: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101,507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(163,895)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193,256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42,872</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195,697</w:t>
            </w:r>
          </w:p>
        </w:tc>
        <w:tc>
          <w:tcPr>
            <w:tcW w:w="10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230,688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2,514,420</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37,100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2,551,520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Due to affiliates, net</w:t>
            </w:r>
          </w:p>
        </w:tc>
        <w:tc>
          <w:tcPr>
            <w:tcW w:w="10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82,339</w:t>
            </w:r>
          </w:p>
        </w:tc>
        <w:tc>
          <w:tcPr>
            <w:tcW w:w="10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w w:val="84"/>
              </w:rPr>
              <w:t>2,643,855</w:t>
            </w:r>
          </w:p>
        </w:tc>
        <w:tc>
          <w:tcPr>
            <w:tcW w:w="10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232,797</w:t>
            </w:r>
          </w:p>
        </w:tc>
        <w:tc>
          <w:tcPr>
            <w:tcW w:w="10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20"/>
                <w:szCs w:val="20"/>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2,868,771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Member’s equity:</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Contributed capital</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4"/>
              </w:rPr>
              <w:t>1,912,146</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12,530</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(12,530)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1,912,146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Retained earnings (deficit)</w:t>
            </w: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(526,593)</w:t>
            </w:r>
          </w:p>
        </w:tc>
        <w:tc>
          <w:tcPr>
            <w:tcW w:w="10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(36,866)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7,886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28,980</w:t>
            </w: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(526,593)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member’s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1,385,553</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5"/>
              </w:rPr>
              <w:t>(24,336)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1,385,553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member’s equity</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4,029,408</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208,461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16,450</w:t>
            </w:r>
          </w:p>
        </w:tc>
        <w:tc>
          <w:tcPr>
            <w:tcW w:w="6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4,254,324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2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Casino</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$ 138,381</w:t>
            </w:r>
          </w:p>
        </w:tc>
        <w:tc>
          <w:tcPr>
            <w:tcW w:w="340" w:type="dxa"/>
            <w:vAlign w:val="bottom"/>
          </w:tcPr>
          <w:p>
            <w:pPr>
              <w:spacing w:after="0"/>
              <w:rPr>
                <w:sz w:val="18"/>
                <w:szCs w:val="18"/>
                <w:color w:val="auto"/>
              </w:rPr>
            </w:pPr>
          </w:p>
        </w:tc>
        <w:tc>
          <w:tcPr>
            <w:tcW w:w="5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$ 138,381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75,594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500" w:type="dxa"/>
            <w:vAlign w:val="bottom"/>
            <w:gridSpan w:val="3"/>
          </w:tcPr>
          <w:p>
            <w:pPr>
              <w:jc w:val="right"/>
              <w:ind w:right="340"/>
              <w:spacing w:after="0"/>
              <w:rPr>
                <w:sz w:val="20"/>
                <w:szCs w:val="20"/>
                <w:color w:val="auto"/>
              </w:rPr>
            </w:pPr>
            <w:r>
              <w:rPr>
                <w:rFonts w:ascii="Arial" w:cs="Arial" w:eastAsia="Arial" w:hAnsi="Arial"/>
                <w:sz w:val="18"/>
                <w:szCs w:val="18"/>
                <w:color w:val="auto"/>
              </w:rPr>
              <w:t>111,809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111,809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(133)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377,912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377,779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(43,276)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334,636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334,503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Casino</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70,748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29,855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67,577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59,361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59,071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5,020</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62,402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928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4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350,060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w w:val="79"/>
              </w:rPr>
              <w:t>771</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ind w:left="240"/>
              <w:spacing w:after="0"/>
              <w:rPr>
                <w:sz w:val="20"/>
                <w:szCs w:val="20"/>
                <w:color w:val="auto"/>
              </w:rPr>
            </w:pPr>
            <w:r>
              <w:rPr>
                <w:rFonts w:ascii="Arial" w:cs="Arial" w:eastAsia="Arial" w:hAnsi="Arial"/>
                <w:sz w:val="18"/>
                <w:szCs w:val="18"/>
                <w:color w:val="auto"/>
              </w:rPr>
              <w:t>(133)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350,698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(15,424)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15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(51,265)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(51,442)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1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1500" w:type="dxa"/>
            <w:vAlign w:val="bottom"/>
            <w:gridSpan w:val="3"/>
          </w:tcPr>
          <w:p>
            <w:pPr>
              <w:jc w:val="right"/>
              <w:ind w:right="280"/>
              <w:spacing w:after="0"/>
              <w:rPr>
                <w:sz w:val="20"/>
                <w:szCs w:val="20"/>
                <w:color w:val="auto"/>
              </w:rPr>
            </w:pPr>
            <w:r>
              <w:rPr>
                <w:rFonts w:ascii="Arial" w:cs="Arial" w:eastAsia="Arial" w:hAnsi="Arial"/>
                <w:sz w:val="18"/>
                <w:szCs w:val="18"/>
                <w:color w:val="auto"/>
              </w:rPr>
              <w:t>(66,281)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133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815</w:t>
            </w:r>
          </w:p>
        </w:tc>
        <w:tc>
          <w:tcPr>
            <w:tcW w:w="3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(119,557)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815</w:t>
            </w:r>
          </w:p>
        </w:tc>
        <w:tc>
          <w:tcPr>
            <w:tcW w:w="36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(118,786)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(134,981)</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815</w:t>
            </w:r>
          </w:p>
        </w:tc>
        <w:tc>
          <w:tcPr>
            <w:tcW w:w="3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4"/>
              </w:rPr>
              <w:t>Guarantor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Issuers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rPr>
              <w:t>Subsidiary</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3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$143,988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$143,988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76,867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96,839</w:t>
            </w:r>
          </w:p>
        </w:tc>
        <w:tc>
          <w:tcPr>
            <w:tcW w:w="2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96,839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51,391</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369,085</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369,035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(44,574)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324,511</w:t>
            </w: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324,461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69,582</w:t>
            </w:r>
          </w:p>
        </w:tc>
        <w:tc>
          <w:tcPr>
            <w:tcW w:w="2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69,582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27,822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61,226</w:t>
            </w:r>
          </w:p>
        </w:tc>
        <w:tc>
          <w:tcPr>
            <w:tcW w:w="2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36,311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62,967</w:t>
            </w:r>
          </w:p>
        </w:tc>
        <w:tc>
          <w:tcPr>
            <w:tcW w:w="2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40"/>
              <w:spacing w:after="0"/>
              <w:rPr>
                <w:sz w:val="20"/>
                <w:szCs w:val="20"/>
                <w:color w:val="auto"/>
              </w:rPr>
            </w:pPr>
            <w:r>
              <w:rPr>
                <w:rFonts w:ascii="Arial" w:cs="Arial" w:eastAsia="Arial" w:hAnsi="Arial"/>
                <w:sz w:val="18"/>
                <w:szCs w:val="18"/>
                <w:color w:val="auto"/>
              </w:rPr>
              <w:t>(50)</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62,508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5,114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4,814</w:t>
            </w:r>
          </w:p>
        </w:tc>
        <w:tc>
          <w:tcPr>
            <w:tcW w:w="2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76,620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77,811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344,615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782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(50)</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345,347</w:t>
            </w: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(20,104)</w:t>
            </w:r>
          </w:p>
        </w:tc>
        <w:tc>
          <w:tcPr>
            <w:tcW w:w="2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0"/>
                <w:szCs w:val="20"/>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(20,886)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(38,719)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(3,978)</w:t>
            </w:r>
          </w:p>
        </w:tc>
        <w:tc>
          <w:tcPr>
            <w:tcW w:w="200" w:type="dxa"/>
            <w:vAlign w:val="bottom"/>
          </w:tcPr>
          <w:p>
            <w:pPr>
              <w:spacing w:after="0"/>
              <w:rPr>
                <w:sz w:val="18"/>
                <w:szCs w:val="18"/>
                <w:color w:val="auto"/>
              </w:rPr>
            </w:pPr>
          </w:p>
        </w:tc>
        <w:tc>
          <w:tcPr>
            <w:tcW w:w="11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(956)</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(43,647)</w:t>
            </w:r>
          </w:p>
        </w:tc>
        <w:tc>
          <w:tcPr>
            <w:tcW w:w="20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320"/>
              <w:spacing w:after="0"/>
              <w:rPr>
                <w:sz w:val="20"/>
                <w:szCs w:val="20"/>
                <w:color w:val="auto"/>
              </w:rPr>
            </w:pPr>
            <w:r>
              <w:rPr>
                <w:rFonts w:ascii="Arial" w:cs="Arial" w:eastAsia="Arial" w:hAnsi="Arial"/>
                <w:sz w:val="18"/>
                <w:szCs w:val="18"/>
                <w:color w:val="auto"/>
              </w:rPr>
              <w:t>956</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(42,865)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 (63,751)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956</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(63,751)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180" w:type="dxa"/>
            <w:vAlign w:val="bottom"/>
            <w:gridSpan w:val="2"/>
          </w:tcPr>
          <w:p>
            <w:pPr>
              <w:jc w:val="right"/>
              <w:ind w:right="14"/>
              <w:spacing w:after="0"/>
              <w:rPr>
                <w:sz w:val="20"/>
                <w:szCs w:val="20"/>
                <w:color w:val="auto"/>
              </w:rPr>
            </w:pPr>
            <w:r>
              <w:rPr>
                <w:rFonts w:ascii="Arial" w:cs="Arial" w:eastAsia="Arial" w:hAnsi="Arial"/>
                <w:sz w:val="18"/>
                <w:szCs w:val="18"/>
                <w:color w:val="auto"/>
              </w:rPr>
              <w:t>19</w:t>
            </w: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60" w:type="dxa"/>
            <w:vAlign w:val="bottom"/>
          </w:tcPr>
          <w:p>
            <w:pPr>
              <w:spacing w:after="0"/>
              <w:rPr>
                <w:sz w:val="14"/>
                <w:szCs w:val="14"/>
                <w:color w:val="auto"/>
              </w:rPr>
            </w:pPr>
          </w:p>
        </w:tc>
        <w:tc>
          <w:tcPr>
            <w:tcW w:w="12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87"/>
              </w:rPr>
              <w:t>Eliminating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Entries</w:t>
            </w: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395,081</w:t>
            </w:r>
          </w:p>
        </w:tc>
        <w:tc>
          <w:tcPr>
            <w:tcW w:w="3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395,081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319,229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1,104,033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1,103,863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(132,432)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(132,432)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971,601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971,431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216,160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216,160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193,947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105,371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177,105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(927)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175,966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14,581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Pre-opening costs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206,742</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3,097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209,839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1,037,333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2,212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ind w:left="24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1,039,333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(65,732)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(67,902)</w:t>
            </w:r>
          </w:p>
        </w:tc>
        <w:tc>
          <w:tcPr>
            <w:tcW w:w="0" w:type="dxa"/>
            <w:vAlign w:val="bottom"/>
          </w:tcPr>
          <w:p>
            <w:pPr>
              <w:spacing w:after="0"/>
              <w:rPr>
                <w:sz w:val="1"/>
                <w:szCs w:val="1"/>
                <w:color w:val="auto"/>
              </w:rPr>
            </w:pPr>
          </w:p>
        </w:tc>
      </w:tr>
      <w:tr>
        <w:trPr>
          <w:trHeight w:val="330"/>
        </w:trPr>
        <w:tc>
          <w:tcPr>
            <w:tcW w:w="47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(142,234)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swap fair value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Loss on extinguishment of debt/exchange offer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(69,433)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(219,688)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(271)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(217,518)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(285,420)</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(2,441)</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(285,420)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7"/>
              </w:rPr>
              <w:t>Guarantor</w:t>
            </w:r>
          </w:p>
        </w:tc>
        <w:tc>
          <w:tcPr>
            <w:tcW w:w="24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Nonguarantor</w:t>
            </w:r>
          </w:p>
        </w:tc>
        <w:tc>
          <w:tcPr>
            <w:tcW w:w="5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Eliminating</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7"/>
              </w:rPr>
              <w:t>Issuers</w:t>
            </w:r>
          </w:p>
        </w:tc>
        <w:tc>
          <w:tcPr>
            <w:tcW w:w="24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Subsidiaries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97"/>
              </w:rPr>
              <w:t>Subsidiary</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Entries</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385,812</w:t>
            </w:r>
          </w:p>
        </w:tc>
        <w:tc>
          <w:tcPr>
            <w:tcW w:w="320" w:type="dxa"/>
            <w:vAlign w:val="bottom"/>
          </w:tcPr>
          <w:p>
            <w:pPr>
              <w:spacing w:after="0"/>
              <w:rPr>
                <w:sz w:val="18"/>
                <w:szCs w:val="18"/>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293,693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293,693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147,801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379</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Gross revenues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1,070,716</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379</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1,071,095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(142,153)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(142,153)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tcPr>
          <w:p>
            <w:pPr>
              <w:ind w:left="860"/>
              <w:spacing w:after="0"/>
              <w:rPr>
                <w:sz w:val="20"/>
                <w:szCs w:val="20"/>
                <w:color w:val="auto"/>
              </w:rPr>
            </w:pPr>
            <w:r>
              <w:rPr>
                <w:rFonts w:ascii="Arial" w:cs="Arial" w:eastAsia="Arial" w:hAnsi="Arial"/>
                <w:sz w:val="18"/>
                <w:szCs w:val="18"/>
                <w:color w:val="auto"/>
              </w:rPr>
              <w:t>Net revenues</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928,563</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79"/>
              </w:rPr>
              <w:t>379</w:t>
            </w: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928,942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Casino</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206,269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206,269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80,824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180,169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180,169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186,157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(1,757)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w w:val="79"/>
              </w:rPr>
              <w:t>379</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184,779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Management fees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230,118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costs and expenses</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1,009,112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79"/>
              </w:rPr>
              <w:t>379</w:t>
            </w:r>
          </w:p>
        </w:tc>
        <w:tc>
          <w:tcPr>
            <w:tcW w:w="5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1,016,558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(80,549)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(7,067)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(87,616)</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(112,654)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vMerge w:val="restart"/>
          </w:tcPr>
          <w:p>
            <w:pPr>
              <w:ind w:left="860"/>
              <w:spacing w:after="0"/>
              <w:rPr>
                <w:sz w:val="20"/>
                <w:szCs w:val="20"/>
                <w:color w:val="auto"/>
              </w:rPr>
            </w:pPr>
            <w:r>
              <w:rPr>
                <w:rFonts w:ascii="Arial" w:cs="Arial" w:eastAsia="Arial" w:hAnsi="Arial"/>
                <w:sz w:val="18"/>
                <w:szCs w:val="18"/>
                <w:color w:val="auto"/>
              </w:rPr>
              <w:t>Other income (expense), net</w:t>
            </w: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(124,849)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8,237</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(117,782)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(205,398)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(8,237)</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(205,398)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Non-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7"/>
              </w:rPr>
              <w:t>guarantor</w:t>
            </w:r>
          </w:p>
        </w:tc>
        <w:tc>
          <w:tcPr>
            <w:tcW w:w="6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Issuers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4"/>
              </w:rPr>
              <w:t>Subsidiaries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Net income (loss)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(285,420)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(2,441)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2,441</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(285,420)</w:t>
            </w:r>
          </w:p>
        </w:tc>
      </w:tr>
      <w:tr>
        <w:trPr>
          <w:trHeight w:val="20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by (used in) operating 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206,742</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3,097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209,839</w:t>
            </w: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8,800</w:t>
            </w: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Loss from extinguishment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64,673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64,673</w:t>
            </w:r>
          </w:p>
        </w:tc>
      </w:tr>
      <w:tr>
        <w:trPr>
          <w:trHeight w:val="208"/>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Amortization and writeoff of deferred financing costs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12,102</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12,102</w:t>
            </w:r>
          </w:p>
        </w:tc>
      </w:tr>
      <w:tr>
        <w:trPr>
          <w:trHeight w:val="208"/>
        </w:trPr>
        <w:tc>
          <w:tcPr>
            <w:tcW w:w="4780" w:type="dxa"/>
            <w:vAlign w:val="bottom"/>
          </w:tcPr>
          <w:p>
            <w:pPr>
              <w:ind w:left="440"/>
              <w:spacing w:after="0"/>
              <w:rPr>
                <w:sz w:val="20"/>
                <w:szCs w:val="20"/>
                <w:color w:val="auto"/>
              </w:rPr>
            </w:pPr>
            <w:r>
              <w:rPr>
                <w:rFonts w:ascii="Arial" w:cs="Arial" w:eastAsia="Arial" w:hAnsi="Arial"/>
                <w:sz w:val="18"/>
                <w:szCs w:val="18"/>
                <w:color w:val="auto"/>
                <w:w w:val="95"/>
              </w:rPr>
              <w:t>Equity in income (loss) from unconsolidated affiliates,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780" w:type="dxa"/>
            <w:vAlign w:val="bottom"/>
          </w:tcPr>
          <w:p>
            <w:pPr>
              <w:ind w:left="660"/>
              <w:spacing w:after="0"/>
              <w:rPr>
                <w:sz w:val="20"/>
                <w:szCs w:val="20"/>
                <w:color w:val="auto"/>
              </w:rPr>
            </w:pPr>
            <w:r>
              <w:rPr>
                <w:rFonts w:ascii="Arial" w:cs="Arial" w:eastAsia="Arial" w:hAnsi="Arial"/>
                <w:sz w:val="18"/>
                <w:szCs w:val="18"/>
                <w:color w:val="auto"/>
              </w:rPr>
              <w:t>of distributions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2,441</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(212)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(2,441)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(212)</w:t>
            </w: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doubtful accounts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11,823</w:t>
            </w: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Property charges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3,339</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3,339</w:t>
            </w: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swap fair value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5,869</w:t>
            </w: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Increase (decrease) in cash from changes in:</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Receivables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w:t>
            </w:r>
          </w:p>
        </w:tc>
      </w:tr>
      <w:tr>
        <w:trPr>
          <w:trHeight w:val="216"/>
        </w:trPr>
        <w:tc>
          <w:tcPr>
            <w:tcW w:w="4780" w:type="dxa"/>
            <w:vAlign w:val="bottom"/>
          </w:tcPr>
          <w:p>
            <w:pPr>
              <w:ind w:left="880"/>
              <w:spacing w:after="0"/>
              <w:rPr>
                <w:sz w:val="20"/>
                <w:szCs w:val="20"/>
                <w:color w:val="auto"/>
              </w:rPr>
            </w:pPr>
            <w:r>
              <w:rPr>
                <w:rFonts w:ascii="Arial" w:cs="Arial" w:eastAsia="Arial" w:hAnsi="Arial"/>
                <w:sz w:val="18"/>
                <w:szCs w:val="18"/>
                <w:color w:val="auto"/>
              </w:rPr>
              <w:t>Inventories and prepaid expenses and other</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13,966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14,067</w:t>
            </w:r>
          </w:p>
        </w:tc>
      </w:tr>
      <w:tr>
        <w:trPr>
          <w:trHeight w:val="216"/>
        </w:trPr>
        <w:tc>
          <w:tcPr>
            <w:tcW w:w="47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Accounts payable, accrued expenses and other</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13,013</w:t>
            </w:r>
          </w:p>
        </w:tc>
      </w:tr>
      <w:tr>
        <w:trPr>
          <w:trHeight w:val="223"/>
        </w:trPr>
        <w:tc>
          <w:tcPr>
            <w:tcW w:w="4780" w:type="dxa"/>
            <w:vAlign w:val="bottom"/>
          </w:tcPr>
          <w:p>
            <w:pPr>
              <w:ind w:left="880"/>
              <w:spacing w:after="0"/>
              <w:rPr>
                <w:sz w:val="20"/>
                <w:szCs w:val="20"/>
                <w:color w:val="auto"/>
              </w:rPr>
            </w:pPr>
            <w:r>
              <w:rPr>
                <w:rFonts w:ascii="Arial" w:cs="Arial" w:eastAsia="Arial" w:hAnsi="Arial"/>
                <w:sz w:val="18"/>
                <w:szCs w:val="18"/>
                <w:color w:val="auto"/>
              </w:rPr>
              <w:t>Due to affiliates, net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19,856</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(4,853)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15,003</w:t>
            </w:r>
          </w:p>
        </w:tc>
      </w:tr>
      <w:tr>
        <w:trPr>
          <w:trHeight w:val="208"/>
        </w:trPr>
        <w:tc>
          <w:tcPr>
            <w:tcW w:w="4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operating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83,478</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(4,215)</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79,263</w:t>
            </w:r>
          </w:p>
        </w:tc>
      </w:tr>
      <w:tr>
        <w:trPr>
          <w:trHeight w:val="290"/>
        </w:trPr>
        <w:tc>
          <w:tcPr>
            <w:tcW w:w="47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Capital expenditures, net of construction payables and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retentions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(108,626)</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(108,700)</w:t>
            </w: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Deposits and other 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(5,371)</w:t>
            </w: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Due to affiliates,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4,988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3,776</w:t>
            </w: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Proceeds from sale of assets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08"/>
        </w:trPr>
        <w:tc>
          <w:tcPr>
            <w:tcW w:w="4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investing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(114,991)</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4,914</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(110,077)</w:t>
            </w:r>
          </w:p>
        </w:tc>
      </w:tr>
      <w:tr>
        <w:trPr>
          <w:trHeight w:val="290"/>
        </w:trPr>
        <w:tc>
          <w:tcPr>
            <w:tcW w:w="47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Principal payments on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6"/>
              </w:rPr>
              <w:t>(1,602,680)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(1,603,730)</w:t>
            </w:r>
          </w:p>
        </w:tc>
      </w:tr>
      <w:tr>
        <w:trPr>
          <w:trHeight w:val="216"/>
        </w:trPr>
        <w:tc>
          <w:tcPr>
            <w:tcW w:w="4780" w:type="dxa"/>
            <w:vAlign w:val="bottom"/>
          </w:tcPr>
          <w:p>
            <w:pPr>
              <w:ind w:left="440"/>
              <w:spacing w:after="0"/>
              <w:rPr>
                <w:sz w:val="20"/>
                <w:szCs w:val="20"/>
                <w:color w:val="auto"/>
              </w:rPr>
            </w:pPr>
            <w:r>
              <w:rPr>
                <w:rFonts w:ascii="Arial" w:cs="Arial" w:eastAsia="Arial" w:hAnsi="Arial"/>
                <w:sz w:val="18"/>
                <w:szCs w:val="18"/>
                <w:color w:val="auto"/>
              </w:rPr>
              <w:t>Proceeds from issuance of long-term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1,676,528</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1,676,528</w:t>
            </w: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contribution from the Parent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w:t>
            </w: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Payments of financing costs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(72,101)</w:t>
            </w:r>
          </w:p>
        </w:tc>
        <w:tc>
          <w:tcPr>
            <w:tcW w:w="180" w:type="dxa"/>
            <w:vAlign w:val="bottom"/>
          </w:tcPr>
          <w:p>
            <w:pPr>
              <w:spacing w:after="0"/>
              <w:rPr>
                <w:sz w:val="19"/>
                <w:szCs w:val="19"/>
                <w:color w:val="auto"/>
              </w:rPr>
            </w:pPr>
          </w:p>
        </w:tc>
        <w:tc>
          <w:tcPr>
            <w:tcW w:w="8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(72,101)</w:t>
            </w:r>
          </w:p>
        </w:tc>
      </w:tr>
      <w:tr>
        <w:trPr>
          <w:trHeight w:val="208"/>
        </w:trPr>
        <w:tc>
          <w:tcPr>
            <w:tcW w:w="47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in) financing</w:t>
            </w: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7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activities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51,747</w:t>
            </w: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50,697</w:t>
            </w:r>
          </w:p>
        </w:tc>
      </w:tr>
      <w:tr>
        <w:trPr>
          <w:trHeight w:val="290"/>
        </w:trPr>
        <w:tc>
          <w:tcPr>
            <w:tcW w:w="4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19,883</w:t>
            </w:r>
          </w:p>
        </w:tc>
      </w:tr>
      <w:tr>
        <w:trPr>
          <w:trHeight w:val="223"/>
        </w:trPr>
        <w:tc>
          <w:tcPr>
            <w:tcW w:w="4780" w:type="dxa"/>
            <w:vAlign w:val="bottom"/>
          </w:tcPr>
          <w:p>
            <w:pPr>
              <w:ind w:left="440"/>
              <w:spacing w:after="0"/>
              <w:rPr>
                <w:sz w:val="20"/>
                <w:szCs w:val="20"/>
                <w:color w:val="auto"/>
              </w:rPr>
            </w:pPr>
            <w:r>
              <w:rPr>
                <w:rFonts w:ascii="Arial" w:cs="Arial" w:eastAsia="Arial" w:hAnsi="Arial"/>
                <w:sz w:val="18"/>
                <w:szCs w:val="18"/>
                <w:color w:val="auto"/>
              </w:rPr>
              <w:t>Balance, beginning of period</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65,998</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79"/>
              </w:rPr>
              <w:t>351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9"/>
              </w:rPr>
              <w:t>5</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66,354</w:t>
            </w:r>
          </w:p>
        </w:tc>
        <w:tc>
          <w:tcPr>
            <w:tcW w:w="100" w:type="dxa"/>
            <w:vAlign w:val="bottom"/>
          </w:tcPr>
          <w:p>
            <w:pPr>
              <w:spacing w:after="0"/>
              <w:rPr>
                <w:sz w:val="19"/>
                <w:szCs w:val="19"/>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end of period</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86,232</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5</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86,237</w:t>
            </w:r>
          </w:p>
        </w:tc>
      </w:tr>
      <w:tr>
        <w:trPr>
          <w:trHeight w:val="20"/>
        </w:trPr>
        <w:tc>
          <w:tcPr>
            <w:tcW w:w="4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4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4"/>
              </w:rPr>
              <w:t>Guarantor</w:t>
            </w:r>
          </w:p>
        </w:tc>
        <w:tc>
          <w:tcPr>
            <w:tcW w:w="28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Non-guarantor</w:t>
            </w:r>
          </w:p>
        </w:tc>
        <w:tc>
          <w:tcPr>
            <w:tcW w:w="62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Eliminating</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Issuers</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Subsidiaries</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1"/>
              </w:rPr>
              <w:t>Subsidiaries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Entries</w:t>
            </w:r>
          </w:p>
        </w:tc>
        <w:tc>
          <w:tcPr>
            <w:tcW w:w="28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$(205,398)</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(8,237)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8,237</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$(205,398)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230,118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3,562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233,680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Amortization and writeoff of deferred financing costs and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other</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15,541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15,541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(loss) from unconsolidated affiliates, net</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distributions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8,237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Provision for doubtful accounts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10,195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Decrease in swap fair value</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3,978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Receivables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2,598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 and prepaid expenses and other</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14,786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Accounts payable, accrued expenses and other</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(28,695)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(28,826)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Due to affiliates, net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9,643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4,677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080" w:type="dxa"/>
            <w:vAlign w:val="bottom"/>
          </w:tcPr>
          <w:p>
            <w:pPr>
              <w:ind w:left="1280"/>
              <w:spacing w:after="0"/>
              <w:rPr>
                <w:sz w:val="20"/>
                <w:szCs w:val="20"/>
                <w:color w:val="auto"/>
              </w:rPr>
            </w:pPr>
            <w:r>
              <w:rPr>
                <w:rFonts w:ascii="Arial" w:cs="Arial" w:eastAsia="Arial" w:hAnsi="Arial"/>
                <w:sz w:val="18"/>
                <w:szCs w:val="18"/>
                <w:color w:val="auto"/>
              </w:rPr>
              <w:t>Net cash provided by (used in) operating</w:t>
            </w:r>
          </w:p>
        </w:tc>
        <w:tc>
          <w:tcPr>
            <w:tcW w:w="7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1500"/>
              <w:spacing w:after="0"/>
              <w:rPr>
                <w:sz w:val="20"/>
                <w:szCs w:val="20"/>
                <w:color w:val="auto"/>
              </w:rPr>
            </w:pPr>
            <w:r>
              <w:rPr>
                <w:rFonts w:ascii="Arial" w:cs="Arial" w:eastAsia="Arial" w:hAnsi="Arial"/>
                <w:sz w:val="18"/>
                <w:szCs w:val="18"/>
                <w:color w:val="auto"/>
              </w:rPr>
              <w:t>activities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70,266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(3,866)</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66,405</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08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Capital expenditures, net of construction payables and</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640"/>
              <w:spacing w:after="0"/>
              <w:rPr>
                <w:sz w:val="20"/>
                <w:szCs w:val="20"/>
                <w:color w:val="auto"/>
              </w:rPr>
            </w:pPr>
            <w:r>
              <w:rPr>
                <w:rFonts w:ascii="Arial" w:cs="Arial" w:eastAsia="Arial" w:hAnsi="Arial"/>
                <w:sz w:val="18"/>
                <w:szCs w:val="18"/>
                <w:color w:val="auto"/>
              </w:rPr>
              <w:t>retentions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(223,947)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(224,084)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Deposits and other assets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Due to affiliates, net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7,036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(2,834)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4,202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investing</w:t>
            </w: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(220,596)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5,117</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(215,479)</w:t>
            </w:r>
          </w:p>
        </w:tc>
        <w:tc>
          <w:tcPr>
            <w:tcW w:w="0" w:type="dxa"/>
            <w:vAlign w:val="bottom"/>
          </w:tcPr>
          <w:p>
            <w:pPr>
              <w:spacing w:after="0"/>
              <w:rPr>
                <w:sz w:val="1"/>
                <w:szCs w:val="1"/>
                <w:color w:val="auto"/>
              </w:rPr>
            </w:pPr>
          </w:p>
        </w:tc>
      </w:tr>
      <w:tr>
        <w:trPr>
          <w:trHeight w:val="290"/>
        </w:trPr>
        <w:tc>
          <w:tcPr>
            <w:tcW w:w="51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on long-term debt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(288,376)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150,542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150,542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contribution from the Parent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328,451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328,451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Payments of financing costs</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(10,560)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(10,560)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w:t>
            </w:r>
          </w:p>
        </w:tc>
        <w:tc>
          <w:tcPr>
            <w:tcW w:w="7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activities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180,057</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(1,050)</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179,007</w:t>
            </w:r>
          </w:p>
        </w:tc>
        <w:tc>
          <w:tcPr>
            <w:tcW w:w="0" w:type="dxa"/>
            <w:vAlign w:val="bottom"/>
          </w:tcPr>
          <w:p>
            <w:pPr>
              <w:spacing w:after="0"/>
              <w:rPr>
                <w:sz w:val="1"/>
                <w:szCs w:val="1"/>
                <w:color w:val="auto"/>
              </w:rPr>
            </w:pPr>
          </w:p>
        </w:tc>
      </w:tr>
      <w:tr>
        <w:trPr>
          <w:trHeight w:val="290"/>
        </w:trPr>
        <w:tc>
          <w:tcPr>
            <w:tcW w:w="51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7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Balance, beginning of period</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123,315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123,315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end of period</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$ 153,042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$ 153,248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Las Vegas, LLC, a Nevada limited liability company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3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volatility and weakness in world-wide credit and financial markets globally and from governmental intervention in the financial markets;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further decreases in levels of travel, leisure and consumer spending;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occupancy rates and average daily room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conditions precedent to funding under the agreements governing the disbursement of the proceeds of borrowings under our credit facilities;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compliance with all provisions in our credit agreements;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competition in the casino/hotel and resort industries and action taken by our competitors in reaction to adverse economic conditions;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dependence on two properties for all of our cash flow;</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state law regarding water rights;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laws regarding healthcare;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impact that an outbreak of an infectious disease, such as avian flu, or the impact of a natural disaster may have on the travel and leisure industry;</w:t>
      </w:r>
    </w:p>
    <w:p>
      <w:pPr>
        <w:spacing w:after="0" w:line="1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On December 22, 2008, we expanded Wynn Las Vegas with the opening of Encore at Wynn Las Vegas (“Encore”).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Wynn Las Vegas features:</w:t>
      </w:r>
    </w:p>
    <w:p>
      <w:pPr>
        <w:spacing w:after="0" w:line="90" w:lineRule="exact"/>
        <w:rPr>
          <w:sz w:val="20"/>
          <w:szCs w:val="20"/>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 a poker room, and a race and sports book;</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21 food and beverage outlets featuring signature chefs;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90" w:lineRule="exact"/>
        <w:rPr>
          <w:rFonts w:ascii="Arial" w:cs="Arial" w:eastAsia="Arial" w:hAnsi="Arial"/>
          <w:sz w:val="18"/>
          <w:szCs w:val="18"/>
          <w:color w:val="auto"/>
        </w:rPr>
      </w:pPr>
    </w:p>
    <w:p>
      <w:pPr>
        <w:ind w:left="780" w:right="2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by Alexander McQueen, Brioni, Cartier, Chanel, Dior, Graff, Louis Vuitton, Manolo Blahnik, Oscar de la Renta, Vertu and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 full service spa and salon;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showroom, two nightclubs and lounges.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Encore features:</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approximately 76,000 square foot casino offering 24-hour gaming and a full range of games, including private gaming salons;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luxury hotel accommodation in 2,034 all-suite rooms;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approximately 27,000 square feet of high-end brand name retail shopping, including stores and boutiques by Hermes, Chanel and others;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swimming pools, private cabanas, a full service spa and salon;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beach club, showroom, two nightclubs and lounges.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Construction and Future Development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response to our evaluation of our property and the reactions of our guests, we have and expect to continue to remodel and make enhancements and refinements to our resort complex.</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July 2010, we commenced a project to refurbish and upgrade the rooms and suites at Wynn Las Vegas. The total project budget is approximately $83 million and is expected to be completed early in the second quarter of 2011. As a part of this project we are temporarily removing floors from service which reduces our total number of rooms available during the construction period.</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Approximately 142 acres of land immediately adjacent to Wynn Las Vegas is currently improved with a golf course. While we may develop this property in the future; due to the current economic environment and certain restrictions in our credit facilities, we have no immediate plans to develop this property.</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and Operating Environment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Due to a number of factors affecting the U.S., including a slowdown in global economies, high unemployment and reduced consumer spending, the outlook for Las Vegas continues to remain highly uncertain. This slow down began in 2008 and has continued throughout 2009 and into the first nine months of 2010. Based on our experience over this past year and current market conditions, we believe that our operations will continue to experience lower than historical room rates, casino volumes and departmental profitability. Significant new supply in Las Vegas has and will continue to put additional pressure on occupancy and room rates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believe that our operating results for the nine months ended September 30, 2010 were adversely impacted by changes in consumer spending and significant new supply that was added to the Las Vegas market in late 2009. Disruptions in the global financial and stock markets, reduced levels of consumer spending and additional supply have and may continue to adversely impact our financial results.</w:t>
      </w:r>
    </w:p>
    <w:p>
      <w:pPr>
        <w:spacing w:after="0" w:line="14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Wynn Las Vegas and Encore. We currently rely solely upon the operations of this resort complex for our operating cash flow. Concentration of our cash flow in one resort complex exposes us to certain risks that competitors, whose operations are more diversified, may be better able to control. In addition to the concentration of operations in a single resort complex, many of our customers are high-end gaming customers who wager on credit, thus exposing us to credit risk. High-end gaming also increases the potential for variability in our results.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recorded a net loss for the quarter ended September 30, 2010 of $135 million compared to a net loss of $63.8 million recorded during the quarter ended September 30, 2009. The 2010 results include a $66.3 million loss on early extinguishment of debt and exchange offer costs. For the nine months ended September 30, 2010 we recorded a net loss of $285.4 million compared to a net loss of $205.4 million for the nine months ended September 30, 2009. See below for a more detailed discussion regarding our results.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condensed consolidated statement of operations is presented. Below are definitions of the statistics discussed:</w:t>
      </w:r>
    </w:p>
    <w:p>
      <w:pPr>
        <w:spacing w:after="0" w:line="5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by total rooms occupied.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 by total rooms available.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2010 compared to the three months ended September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Net revenues for the three months ended September 30, 2010 are comprised of $138.4 million in casino revenues (41.4% of total net revenues) and $196.1 million of net non-casino revenues (58.6% of total net revenues). Net revenues for the three months ended September 30, 2009 were comprised of $144 million in casino revenues (44.4% of total net revenues) and $180.5 million of net non-casino revenues (55.6% of total net revenues).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 decrease in casino revenues of approximately $5.6 million (or 3.9%) to $138.4 million for the three months ended September 30, 2010, compared to $144 million for the three months ended September 30, 2009. During the three months ended September 30, 2010, we experienced a 5.2% increase in drop and a decrease in the average table games win percentage compared to the prior year quarter. Our average table games win percentage (before discounts) of 22.8% was within the expected range of 21% to 24% for the three months ended September 30, 2010. For the three months ended September 30, 2009, our average table games win percentage (before discounts) was 23.7%. Slot handle decreased 18.8% during the three months ended September 30, 2010 compared to the prior year quarter; however slot win only declined 3.4% as more play shifted to higher hold machines.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the three months ended September 30, 2010, room revenues were approximately $75.6 million, which represents a $1.3 million (or 1.7%) decrease over the $76.9 million generated in the three months ended September 30, 2009. Our occupancy percentage increased from the prior year, and room rates were flat. However, due to our remodel of the rooms at Wynn Las Vegas, we had approximately 6.2% fewer room nights available during the quarter which resulted in a decrease in room revenues compared to the 2009 quarter. This room remodel is expected to be completed in the second quarter of 2011. We believe that room occupancy and rate remain at depressed levels due to the current economic conditions in which we operate in the U.S. and increased capacity in the Las Vegas market with the opening of a new large scale casino hotel in December 2009. See the table below for key operating measures related to our room revenue.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8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5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50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$ 210</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$ 210</w:t>
            </w:r>
          </w:p>
        </w:tc>
        <w:tc>
          <w:tcPr>
            <w:tcW w:w="20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Occupancy</w:t>
            </w:r>
          </w:p>
        </w:tc>
        <w:tc>
          <w:tcPr>
            <w:tcW w:w="4880" w:type="dxa"/>
            <w:vAlign w:val="bottom"/>
            <w:gridSpan w:val="3"/>
          </w:tcPr>
          <w:p>
            <w:pPr>
              <w:jc w:val="right"/>
              <w:ind w:right="652"/>
              <w:spacing w:after="0"/>
              <w:rPr>
                <w:sz w:val="20"/>
                <w:szCs w:val="20"/>
                <w:color w:val="auto"/>
              </w:rPr>
            </w:pPr>
            <w:r>
              <w:rPr>
                <w:rFonts w:ascii="Arial" w:cs="Arial" w:eastAsia="Arial" w:hAnsi="Arial"/>
                <w:sz w:val="18"/>
                <w:szCs w:val="18"/>
                <w:color w:val="auto"/>
              </w:rPr>
              <w:t>87.8%</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83.9%</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4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$ 184</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$ 176</w:t>
            </w:r>
          </w:p>
        </w:tc>
        <w:tc>
          <w:tcPr>
            <w:tcW w:w="2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Other non-casino revenues for the three months ended September 30, 2010 include food and beverage revenues of approximately $111.8 million, retail revenues of approximately $20.7 million, entertainment revenues of approximately $18.1 million, and other revenues from outlets such as the spa and salon, of approximately $13.2 million. Other non-gaming revenues for the three months ended September 30, 2009 included food and beverage revenues of approximately $96.8 million, retail revenues of approximately $21 million, entertainment revenues of approximately $16.6 million, and other revenues from outlets, including the spa and salon, of approximately $13.8 million. The increase in food and beverage revenue is due primarily to business in our nightclubs including the opening of the Encore Beach Club and Surrender nightclub in May 2010. Entertainment revenues increased over the prior year quarter primarily due to performances by Garth Brooks in the Encore Theater which commenced in December 2009, as well as increased revenue from our Le Rêve show.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During the three months ended September 30, 2010, departmental expenses included casino expenses of $70.7 million, room expenses of $29.9 million, food and beverage expenses of $67.6 million, and entertainment, retail and other expenses of $35.9 million. Also included are general and administrative expenses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approximately $59.1 million and approximately $2.5 million charged as a provision for doubtful accounts receivable. During the three months ended September 30, 2009, departmental expenses included casino expenses of $69.6 million, room expenses of $27.8 million, food and beverage expenses of $61.2 million, and entertainment, retail and other expenses of $36.3 million. Also included are general and administrative expenses of approximately $62.5 million and approximately $5.1 million charged as a provision for doubtful accounts receivable. The increase in casino expenses was attributable to additional employee benefit expenses and marketing costs. Rooms expense increased due to higher marketing and promotional costs. Food and beverage expenses increased commensurate with the increase in revenue.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Entertainment, retail and other expenses in aggregate remained constant as compared to the prior year quarter. Entertainment expenses increased primarily as a result of performances by Garth Brooks in the Encore Theater at Wynn Las Vegas however, were offset by lower expenses associated with our retail operations. General and administrative expenses decreased as a result of lower property taxes and our cost savings initiatives. Our provision for doubtful accounts receivable decreased during the three months ended September 30, 2010, compared to the prior year’s quarter due to strong collections during the quarter ended September 30, 2010.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$5 million for the quarter ended September 30, 2010, compared to $4.8 million for the quarter ended September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Depreciation and amortization for the three months ended September 30, 2010 was $63.3 million compared to $77.8 million for the three months ended September 30, 2009. This decrease is primarily due to assets with a 5-year life being fully depreciated as of April 2010 at Wynn Las Vegas, off set by depreciation of the assets of the Encore Beach Club which were placed into service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Property charges and other for the three months ended September 30, 2010, were $16.6 million compared to $0.2 million for the three months ended September 30, 2009. Property charges and other for the three months ended September 30, 2010 include a contract termination payment of $14.9 million related to a management contract for certain of the nightclubs at our resorts, as well as miscellaneous renovations and abandonments at Wynn Las Vegas and Encore.</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Property charges and other for the three months ended September 30, 2009, include miscellaneous renovations and abandonments at Wynn Las Vegas and Encore.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 xml:space="preserve">Interest expense was $51.4 million for the three months ended September 30, 2010, compared to $38.9 million for the three months ended September 30, 2009. There was no interest capitalized during the three months ended September 30, 2010 or 2009. Interest expense increased approximately $12.5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issued in October 2009 and a higher rate on the 2020 Notes, slightly offset by lower average borrowings outstanding on the Wynn Las Vegas credit facilities.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period. We recorded an expense of approximately $1.3 million for the three months ended September 30, 2010, resulting from the decrease in the fair value of our interest rate swap from June 30, 2010 to September 30, 2010. We recorded an expense of approximately $4 million for the three months ended September 30, 2009, resulting from the decrease in the fair value of our interest rate swap from August 2009 (the date we entered into the agreement) to September 30, 2009.</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described in Note 6 to our Condensed Consolidated Financial Statements in this Quarterly Report on Form 10-Q, we completed a tender offer for the outstanding 6 </w:t>
      </w:r>
      <w:r>
        <w:rPr>
          <w:rFonts w:ascii="Arial" w:cs="Arial" w:eastAsia="Arial" w:hAnsi="Arial"/>
          <w:sz w:val="11"/>
          <w:szCs w:val="11"/>
          <w:color w:val="auto"/>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(the “2014 Notes”) and subsequent call of all the remaining amounts once the tender was completed. In connection with these transactions, we recorded a loss on extinguishment of debt of $65.1 million. This included the tender offer consideration, the call premium and the related write off of the unamortized debt issue costs and original issue discount.</w:t>
      </w:r>
    </w:p>
    <w:p>
      <w:pPr>
        <w:spacing w:after="0" w:line="143" w:lineRule="exact"/>
        <w:rPr>
          <w:sz w:val="20"/>
          <w:szCs w:val="20"/>
          <w:color w:val="auto"/>
        </w:rPr>
      </w:pPr>
    </w:p>
    <w:p>
      <w:pPr>
        <w:jc w:val="both"/>
        <w:ind w:right="80" w:firstLine="456"/>
        <w:spacing w:after="0" w:line="370" w:lineRule="auto"/>
        <w:rPr>
          <w:sz w:val="20"/>
          <w:szCs w:val="20"/>
          <w:color w:val="auto"/>
        </w:rPr>
      </w:pPr>
      <w:r>
        <w:rPr>
          <w:rFonts w:ascii="Arial" w:cs="Arial" w:eastAsia="Arial" w:hAnsi="Arial"/>
          <w:sz w:val="15"/>
          <w:szCs w:val="15"/>
          <w:color w:val="auto"/>
        </w:rPr>
        <w:t>Also, as described in Note 6 to our Condensed Consolidated Financial Statements in this Quarterly Report on Form 10-Q we completed an exchange offer for a portion of the 2014 Notes in April 2010. In connection with that exchange offer, the direct costs incurred with third parties of $1.2 million were expensed.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2010 compared to the nine months ended September 30, 2009.</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Net revenues for the nine months ended September 30, 2010 are comprised of $395.1 million in casino revenues (40.7% of total net revenues) and $576.3 million of net non-casino revenues (59.3% of total net revenues). Net revenues for the nine months ended September 30, 2009 were comprised of $385.8 million in casino revenues (41.5% of total net revenues) and $543.1 million of net non-casino revenues (58.5% of total net revenues).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Casino revenues are comprised of the net win from our table games and slot machine operations. We experienced an increase in casino revenues of approximately $9.3 million (or 2.4%) to $395.1 million for the nine months ended September 30, 2010, compared to $385.8 million for the nine months ended September 30, 2009. During the nine months ended September 30, 2010, we experienced a 3.6% increase in drop and an increase in the average table games win percentage compared to the prior year. Our average table games win percentage (before discounts) of 22.1% was within the expected range of 21% to 24% for the nine months ended September 30, 2010. For the nine months ended September 30, 2009, our average table games win percentage (before discounts) was 20.7%. Slot handle decreased 21.9% during the nine months ended September 30, 2010 as compared to 2009; however slot win, net of free play and progressive accruals only decreased 9.8% compared to the prior year as more play shifted to higher hold machines.</w:t>
      </w:r>
    </w:p>
    <w:p>
      <w:pPr>
        <w:spacing w:after="0" w:line="118"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For the nine months ended September 30, 2010, room revenues were approximately $232 million, which represents an $11.4 million (or 4.7%) decrease over the $243.4 million generated in the nine months ended September 30, 2009. We continued to experience a decrease in room rates during the nine months ended September 30, 2010, compared to the nine months ended September 30, 2009. We believe this is due to the current economic conditions in which we operate in the U.S. and the increased capacity in the Las Vegas market including the opening of a new large scale casino hotel in Las Vegas in December 2009. Also, due to our remodel of the rooms at Wynn Las Vegas beginning in July 2010, we had 2.1% fewer room nights available during the nine months ended September 30, 2010 which resulted in a decrease in room revenues compared to the prior year. This room remodel is expected to be completed in the second quarter of 2011. See the table below for key operating measures related to our room revenue.</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3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September 30,</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28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$ 203</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$ 217</w:t>
            </w:r>
          </w:p>
        </w:tc>
        <w:tc>
          <w:tcPr>
            <w:tcW w:w="2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Occupancy</w:t>
            </w:r>
          </w:p>
        </w:tc>
        <w:tc>
          <w:tcPr>
            <w:tcW w:w="6600" w:type="dxa"/>
            <w:vAlign w:val="bottom"/>
            <w:gridSpan w:val="3"/>
          </w:tcPr>
          <w:p>
            <w:pPr>
              <w:jc w:val="right"/>
              <w:ind w:right="652"/>
              <w:spacing w:after="0"/>
              <w:rPr>
                <w:sz w:val="20"/>
                <w:szCs w:val="20"/>
                <w:color w:val="auto"/>
              </w:rPr>
            </w:pPr>
            <w:r>
              <w:rPr>
                <w:rFonts w:ascii="Arial" w:cs="Arial" w:eastAsia="Arial" w:hAnsi="Arial"/>
                <w:sz w:val="18"/>
                <w:szCs w:val="18"/>
                <w:color w:val="auto"/>
              </w:rPr>
              <w:t>90.0%</w:t>
            </w:r>
          </w:p>
        </w:tc>
        <w:tc>
          <w:tcPr>
            <w:tcW w:w="620" w:type="dxa"/>
            <w:vAlign w:val="bottom"/>
            <w:gridSpan w:val="3"/>
          </w:tcPr>
          <w:p>
            <w:pPr>
              <w:jc w:val="right"/>
              <w:ind w:right="60"/>
              <w:spacing w:after="0"/>
              <w:rPr>
                <w:sz w:val="20"/>
                <w:szCs w:val="20"/>
                <w:color w:val="auto"/>
              </w:rPr>
            </w:pPr>
            <w:r>
              <w:rPr>
                <w:rFonts w:ascii="Arial" w:cs="Arial" w:eastAsia="Arial" w:hAnsi="Arial"/>
                <w:sz w:val="18"/>
                <w:szCs w:val="18"/>
                <w:color w:val="auto"/>
              </w:rPr>
              <w:t>86.6%</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$ 183</w:t>
            </w:r>
          </w:p>
        </w:tc>
        <w:tc>
          <w:tcPr>
            <w:tcW w:w="8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$ 188</w:t>
            </w:r>
          </w:p>
        </w:tc>
        <w:tc>
          <w:tcPr>
            <w:tcW w:w="200" w:type="dxa"/>
            <w:vAlign w:val="bottom"/>
            <w:shd w:val="clear" w:color="auto" w:fill="CCEEFF"/>
          </w:tcPr>
          <w:p>
            <w:pPr>
              <w:spacing w:after="0"/>
              <w:rPr>
                <w:sz w:val="18"/>
                <w:szCs w:val="18"/>
                <w:color w:val="auto"/>
              </w:rPr>
            </w:pPr>
          </w:p>
        </w:tc>
      </w:tr>
      <w:tr>
        <w:trPr>
          <w:trHeight w:val="363"/>
        </w:trPr>
        <w:tc>
          <w:tcPr>
            <w:tcW w:w="3280" w:type="dxa"/>
            <w:vAlign w:val="bottom"/>
          </w:tcPr>
          <w:p>
            <w:pPr>
              <w:spacing w:after="0"/>
              <w:rPr>
                <w:sz w:val="24"/>
                <w:szCs w:val="24"/>
                <w:color w:val="auto"/>
              </w:rPr>
            </w:pPr>
          </w:p>
        </w:tc>
        <w:tc>
          <w:tcPr>
            <w:tcW w:w="5340" w:type="dxa"/>
            <w:vAlign w:val="bottom"/>
          </w:tcPr>
          <w:p>
            <w:pPr>
              <w:jc w:val="right"/>
              <w:ind w:right="3192"/>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non-casino revenues for the nine months ended September 30, 2010 include food and beverage revenues of approximately $319.2 million, retail revenues of approximately $61 million, entertainment revenues of approximately $51.9 million, and other revenues from outlets such as the spa and salon, of approximately $44.6 million. Other non-gaming revenues for the nine months ended September 30, 2009 included food and beverage revenues of approximately $293.7 million, retail revenues of approximately $62.7 million, entertainment revenues of approximately $41.6 million, and other revenues from outlets, including the spa and salon, of approximately $43.9 million. The increase in food and beverage revenue is due primarily to business in our nightclubs including the opening of the Encore Beach Club and Surrender nightclub in May 2010. Entertainment revenues increased over the prior year primarily due to performances by Garth Brooks in the Encore Theater which started in December 2009, as well as increased revenue from our Le Rêve show.</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During the nine months ended September 30, 2010, departmental expenses included casino expenses of $216.2 million, room expenses of $91.3 million, food and beverage expenses of $193.9 million, and entertainment, retail and other expenses of $105.4 million. Also included are general and administrative expenses of approximately $176 million and approximately $11.8 million charged as a provision for doubtful accounts receivable. During the nine months ended September 30, 2009, departmental expenses included casino expenses of $206.3 million, room expenses of $80.8 million, food and beverage expenses of $180.2 million, and entertainment, retail and other expenses of $99.3 million. Also included are general and administrative expenses of approximately $184.8 million and approximately $10.2 million charged as a provision for doubtful accounts receivable. The increase in casino and room expenses was primarily attributable to additional customer acquisition and marketing costs as well as increased employee benefit expenses. Food and beverage expenses increased commensurate with the increase in revenue.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Entertainment, retail and other expenses increased primarily as a result of performances by Garth Brooks in the Encore Theater at Wynn Las Vegas as noted above. General and administrative expenses decreased as a result of lower advertising expenses and our cost savings initiatives offset partially by higher repairs and replacement expenses associated with general property maintenance.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Management fees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opening Wynn Las Vegas, management fees payable to Wynn Resorts for certain corporate management services have been charged and accrued at a rate equal to 1.5% of net revenues. These fees will be paid upon meeting certain leverage ratios and satisfying certain other criteria set forth in our credit facilities and the first mortgage notes indentures. Management fees were $14.6 million for the nine months ended September 30, 2010, compared to $13.9 million for the nine months ended September 30,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During the nine months ended September 30, 2010, we incurred $2.1 million of pre-opening costs. We incurred no preopening costs for the nine months ended September 30, 2009. Pre-opening costs incurred during the nine months ended September 30, 2010, were related the Encore Beach Club which opened in May 2010.</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Depreciation and amortization for the nine months ended September 30, 2010 was $209.8 million compared to $233.7 million for the nine months ended September 30, 2009. This decrease is primarily due to assets with a 5-year life being fully depreciated as of April 2010 at Wynn Las Vegas, off set by depreciation of the assets of the Encore Beach Club which were placed into service in May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Property charges and other for the nine months ended September 30, 2010, were $18.3 million compared to approximately $7.5 million for the nine months ended September 30, 2009. Property charges and other for the nine months ended September 30, 2010 include a contract termination payment of $14.9 million related to a management contract for certain of the nightclubs at our resorts, as well as miscellaneous renovations and abandonments at Wynn Las Vegas and Encore.</w:t>
      </w:r>
    </w:p>
    <w:p>
      <w:pPr>
        <w:spacing w:after="0" w:line="143" w:lineRule="exact"/>
        <w:rPr>
          <w:sz w:val="20"/>
          <w:szCs w:val="20"/>
          <w:color w:val="auto"/>
        </w:rPr>
      </w:pPr>
    </w:p>
    <w:p>
      <w:pPr>
        <w:ind w:right="740" w:firstLine="456"/>
        <w:spacing w:after="0" w:line="332" w:lineRule="auto"/>
        <w:rPr>
          <w:sz w:val="20"/>
          <w:szCs w:val="20"/>
          <w:color w:val="auto"/>
        </w:rPr>
      </w:pPr>
      <w:r>
        <w:rPr>
          <w:rFonts w:ascii="Arial" w:cs="Arial" w:eastAsia="Arial" w:hAnsi="Arial"/>
          <w:sz w:val="16"/>
          <w:szCs w:val="16"/>
          <w:color w:val="auto"/>
        </w:rPr>
        <w:t>Property charges and other for the nine months ended September 30, 2009, include the write-off of $5.3 million of aircraft purchase deposits. The remaining property charges were related to miscellaneous renovations and abandonments at Wynn Las Vegas and Encore.</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response to our evaluation of our resort complex and the reactions of our guests, we continue to make enhancements. The costs relating to assets retired as a result of these enhancement and remodel efforts will be expensed as property charges.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Interest expense was $142.7 million, net of capitalized interest of $0.6 million, for the nine months ended September 30, 2010, compared to $113.4 million for the nine months ended September 30, 2009. There was no interest capitalized during the nine months ended September 30, 2009. Interest expense increased approximately $29.3 million primarily due to increased interest related to the $500 million 7 </w:t>
      </w:r>
      <w:r>
        <w:rPr>
          <w:rFonts w:ascii="Arial" w:cs="Arial" w:eastAsia="Arial" w:hAnsi="Arial"/>
          <w:sz w:val="10"/>
          <w:szCs w:val="10"/>
          <w:color w:val="auto"/>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First Mortgage Notes issued in October 2009 and a higher rate on the 2020 Notes, offset by lower average borrowings outstanding on the Wynn Las Vegas credit facilities.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Changes in the fair value of our interest rate swaps are recorded as an increase (or decrease) in swap fair value in each period. We recorded an expense of approximately $5.9 million for the nine months ended September 30, 2010, resulting from the decrease in the fair value of our interest rate swap from December 31, 2009 to September 30, 2010. We recorded an expense of approximately $4 million for the nine months ended September 30, 2009, resulting from the decrease in the fair value of our interest rate swap from August 2009 (the date we entered into the agreement) to September 30, 2009.</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described in Note 6 to our Condensed Consolidated Financial Statements in this Quarterly Report on Form 10-Q, in September 2010 we completed a tender offer for the outstanding 2014 Notes and subsequent call of all the remaining amounts once the tender was completed. In connection with these transactions, we recorded a loss on extinguishment of debt of $ 65.1 million. This included the tender consideration, the call premium and the related write off of the unamortized debt issue costs and original issue discount.</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Also, as described in Note 6 to our Condensed Consolidated Financial Statements we completed an exchange offer for a portion of the 2014 Notes in April 2010. In connection with that exchange offer, the direct costs incurred with third parties of $4.4 million were expensed.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operating cash flows primarily consist of operating income generated by our resort (excluding depreciation and other non-cash charges), interest paid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high-end international customers who play on credit. Our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Net cash provided by operations for the nine months ended September 30, 2010 was $79.3 million compared to $66.4 million used in operations for the nine months ended September 30, 2009. Operating cash flows were positively impacted by an improvement in our operating loss and benefits from ordinary working capital changes.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At September 30, 2010, we had approximately $86.2 million of cash and cash equivalents available for use without restriction, including for operations, debt service and retirement, new development activities, enhancements to Wynn Las Vegas and Encore and general corporate purposes. We require a certain amount of cash on hand for operations. We anticipate such funds, together with any other cash needs during 2010 in excess of what we generate from operations or additional borrowings, will be provided with capital contributions from Wynn Resorts. As of September 30, 2010, we had approximately $317.2 million available to draw under our Wynn Las Vegas credit facilities. Except for scheduled quarterly payments on one note payable, we have no debt maturities until July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Capital expenditures were approximately $108.7 million for the nine months ended September 30, 2010, and related primarily to the Encore Beach Club and the Wynn Las Vegas room remodel project.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As of September 30, 2010, the Wynn Las Vegas Amended and Restated Credit Agreement consisted of a $108.5 million revolving credit facility, due July 2013 and a $258.4 million revolving credit facility due July 2015 (together the “Wynn Las Vegas Revolver”) and a fully drawn $44.3 million term loan facility due August 2013 and a fully drawn $330.6 million term loan facility due August 2015 (together the “Wynn Las Vegas Term Loan”). As of September 30, 2010, the Wynn Las Vegas Term Loan was fully drawn and we had borrowed $30.1 million under the Wynn Las Vegas Revolver. We also had $19.7 million of outstanding letters of credit that reduce our availability under the Wynn Las Vegas Revolver. We have availability of approximately $317.2 million under the Wynn Las Vegas Revolver as of September 30, 2010.</w:t>
      </w:r>
    </w:p>
    <w:p>
      <w:pPr>
        <w:spacing w:after="0" w:line="120"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Wynn Las Vegas Credit Facilities rank pari passu in right of payment with their existing and future senior indebtedness, including indebtedness with respect to the 7 </w:t>
      </w:r>
      <w:r>
        <w:rPr>
          <w:rFonts w:ascii="Arial" w:cs="Arial" w:eastAsia="Arial" w:hAnsi="Arial"/>
          <w:sz w:val="10"/>
          <w:szCs w:val="10"/>
          <w:color w:val="auto"/>
        </w:rPr>
        <w:t>3</w:t>
      </w:r>
      <w:r>
        <w:rPr>
          <w:rFonts w:ascii="Arial" w:cs="Arial" w:eastAsia="Arial" w:hAnsi="Arial"/>
          <w:sz w:val="15"/>
          <w:szCs w:val="15"/>
          <w:color w:val="auto"/>
        </w:rPr>
        <w:t>/</w:t>
      </w:r>
      <w:r>
        <w:rPr>
          <w:rFonts w:ascii="Arial" w:cs="Arial" w:eastAsia="Arial" w:hAnsi="Arial"/>
          <w:sz w:val="11"/>
          <w:szCs w:val="11"/>
          <w:color w:val="auto"/>
        </w:rPr>
        <w:t>4</w:t>
      </w:r>
      <w:r>
        <w:rPr>
          <w:rFonts w:ascii="Arial" w:cs="Arial" w:eastAsia="Arial" w:hAnsi="Arial"/>
          <w:sz w:val="15"/>
          <w:szCs w:val="15"/>
          <w:color w:val="auto"/>
        </w:rPr>
        <w:t xml:space="preserve">% and 7 </w:t>
      </w:r>
      <w:r>
        <w:rPr>
          <w:rFonts w:ascii="Arial" w:cs="Arial" w:eastAsia="Arial" w:hAnsi="Arial"/>
          <w:sz w:val="10"/>
          <w:szCs w:val="10"/>
          <w:color w:val="auto"/>
        </w:rPr>
        <w:t>7</w:t>
      </w:r>
      <w:r>
        <w:rPr>
          <w:rFonts w:ascii="Arial" w:cs="Arial" w:eastAsia="Arial" w:hAnsi="Arial"/>
          <w:sz w:val="15"/>
          <w:szCs w:val="15"/>
          <w:color w:val="auto"/>
        </w:rPr>
        <w:t>/</w:t>
      </w:r>
      <w:r>
        <w:rPr>
          <w:rFonts w:ascii="Arial" w:cs="Arial" w:eastAsia="Arial" w:hAnsi="Arial"/>
          <w:sz w:val="11"/>
          <w:szCs w:val="11"/>
          <w:color w:val="auto"/>
        </w:rPr>
        <w:t>8</w:t>
      </w:r>
      <w:r>
        <w:rPr>
          <w:rFonts w:ascii="Arial" w:cs="Arial" w:eastAsia="Arial" w:hAnsi="Arial"/>
          <w:sz w:val="15"/>
          <w:szCs w:val="15"/>
          <w:color w:val="auto"/>
        </w:rPr>
        <w:t>% First Mortgage Notes and senior in right of payment to all of their existing and future subordinated indebtedness.</w:t>
      </w:r>
    </w:p>
    <w:p>
      <w:pPr>
        <w:spacing w:after="0" w:line="9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 xml:space="preserve">In March 2010, Wynn Las Vegas commenced an offer to exchange all of the outstanding 2014 Notes for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2020 (the “2020 Notes”). Approximately $352 million of the 2014 Notes were validly tendered for exchange to the 2020 Notes. For a description of this transaction see Note 6 to the Condensed Consolidated Financial Statements in this Quarterly Report on Form 10-Q.</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In August 2010, Wynn Las Vegas issued $1.32 billion of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First Mortgage Notes due 2020 (the “New 2020 Notes”), the proceeds of which were used to tender for and redeem all of its 2014 Notes. Concurrently with the issuance of the New 2020 Notes, Wynn Las Vegas amended its credit facilities to extend the maturity date and include incremental term loans. For a description of this transaction see Note 6 to the Condensed Consolidated Financial Statements in this Quarterly Report on Form 10-Q.</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nine months ended September 30, 2010 and 2009, Wynn Resorts made capital contributions to us in the amount of $50 million and $328.5 million, respectively. The proceeds from these contributions were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used to fund construction costs of Encore paid during the nine months ended September 30, 2009 and to fund paydowns on the Wynn Las Vegas Credit Facilities.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Except for the April 2010 exchange offer at Wynn Las Vegas, the extinguishment of the 2014 Notes and the issuance of the New 2020 Notes described in Note 6 to the Condensed Consolidated Financial Statements in this quarterly Report on Form 10-Q, there have been no material changes during the nine months ended September 30, 2010 to our contractual obligations or off-balance sheet arrangements as disclosed in our Annual Report on Form 10-K for the year ended December 31, 2009.</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Liquidity Matters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are restricted under the indentures governing the 2017 Notes, the 2020 Notes and the New 2020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 In addition, the Credit Facilities contain similar restrictions.</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Wynn Las Vegas, LLC intends to fund its operations and capital requirements from operating cash flow and availability under our credit facilities. We cannot be sure that Wynn Las Vegas, LLC will generate sufficient cash flow from operations or that future borrowings will be sufficient to enable us to service and repay Wynn Las Vegas, LLC’s indebtedness and to fund its other liquidity needs. We cannot be sure that we will be able to refinance any of our indebtedness on acceptable terms or at all.</w:t>
      </w:r>
    </w:p>
    <w:p>
      <w:pPr>
        <w:spacing w:after="0" w:line="143" w:lineRule="exact"/>
        <w:rPr>
          <w:sz w:val="20"/>
          <w:szCs w:val="20"/>
          <w:color w:val="auto"/>
        </w:rPr>
      </w:pPr>
    </w:p>
    <w:p>
      <w:pPr>
        <w:ind w:right="340" w:firstLine="456"/>
        <w:spacing w:after="0" w:line="370" w:lineRule="auto"/>
        <w:rPr>
          <w:sz w:val="20"/>
          <w:szCs w:val="20"/>
          <w:color w:val="auto"/>
        </w:rPr>
      </w:pPr>
      <w:r>
        <w:rPr>
          <w:rFonts w:ascii="Arial" w:cs="Arial" w:eastAsia="Arial" w:hAnsi="Arial"/>
          <w:sz w:val="15"/>
          <w:szCs w:val="15"/>
          <w:color w:val="auto"/>
        </w:rPr>
        <w:t>On a continuing basis, we, our subsidiaries, and/or Wynn Resorts will evaluate, depending on market conditions, purchasing, refinancing, exchanging, tendering for or retiring certain of our outstanding debt in privately negotiated transactions, open market transactions or by other direct or indirect means.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2009. There have been no material changes to these policies for the nine months ended September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June 2009, the Financial Accounting Standards Board (the “FASB”) issued new accounting standards regarding the consolidation of variable interest entities. These new accounting standards address the effects of elimination of the qualifying special-purpose entity concept from previous standards. These new accounting standards amend previous guidance in determining whether an enterprise has a controlling financial interest in a variable interest entity. This determination identifies the primary beneficiary of a variable interest entity as the enterprise that has both the power to direct the activities of a variable interest entity that most significantly impacts the entity’s economic performance and the ability to absorb losses or the right to receive benefits of the entity that could potentially be significant to the variable interest entity. We adopted the new accounting standards on January 1, 2010. The adoption of these new accounting standards did not have a material effect on our condensed consolidated financial statements.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Our primary exposure to market risk is interest rate risk associated with our debt facilities that bear interest based on floating rates. We attempt to manage interest rate risk by managing the mix of long-term fixed rate borrowings and variable rate borrowings, and in the past by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of September 30, 2010, we have one interest rate swap agreement to hedge a portion of the underlying interest rate risk on borrowings under the Wynn Las Vegas Credit Agreement. Under this swap agreement, we pay a fixed interest rate of 2.485% on borrowings of $250 million incurred under the Wynn Las Vegas Credit Agreement in exchange for receipts on the same amount at a variable interest rate based on the applicable LIBOR at the time of payment. This interest rate swap fixes the interest rate on $250 million of borrowings under the Wynn Las Vegas Credit Agreement at approximately 5.485%. This interest rate swap agreement matures in November 2012. Changes in the fair value of this interest rate swap have and will continue to be recorded as an increase/ (decrease) in swap fair value in our Condensed Consolidated Statements of Operations as the swap does not qualify for hedge accounting.</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of September 30, 2010, our interest rate swap had an approximate liability fair value of $10.1 million and is included in long-term liabilities in the accompanying Condensed Consolidated Balance Sheets. The fair value approximates the amount we would have paid if this contract had settled at the valuation date.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jc w:val="both"/>
        <w:ind w:right="280" w:firstLine="456"/>
        <w:spacing w:after="0" w:line="370" w:lineRule="auto"/>
        <w:rPr>
          <w:sz w:val="20"/>
          <w:szCs w:val="20"/>
          <w:color w:val="auto"/>
        </w:rPr>
      </w:pPr>
      <w:r>
        <w:rPr>
          <w:rFonts w:ascii="Arial" w:cs="Arial" w:eastAsia="Arial" w:hAnsi="Arial"/>
          <w:sz w:val="15"/>
          <w:szCs w:val="15"/>
          <w:color w:val="auto"/>
        </w:rPr>
        <w:t>As of September 30, 2010, approximately 93% of our long-term debt was based on fixed rates including the notional amount of our swap. Based on our borrowings as of September 30, 2010, an assumed 1% change in variable rates would cause our annual interest cost to change by approximately $1.9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80" w:firstLine="464"/>
        <w:spacing w:after="0" w:line="288" w:lineRule="auto"/>
        <w:tabs>
          <w:tab w:leader="none" w:pos="69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are effective in ensuring that information required to be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70" w:lineRule="auto"/>
        <w:rPr>
          <w:sz w:val="20"/>
          <w:szCs w:val="20"/>
          <w:color w:val="auto"/>
        </w:rPr>
      </w:pPr>
      <w:r>
        <w:rPr>
          <w:rFonts w:ascii="Arial" w:cs="Arial" w:eastAsia="Arial" w:hAnsi="Arial"/>
          <w:sz w:val="15"/>
          <w:szCs w:val="15"/>
          <w:color w:val="auto"/>
        </w:rPr>
        <w:t>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62" w:lineRule="exact"/>
        <w:rPr>
          <w:sz w:val="20"/>
          <w:szCs w:val="20"/>
          <w:color w:val="auto"/>
        </w:rPr>
      </w:pPr>
    </w:p>
    <w:p>
      <w:pPr>
        <w:ind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2009. There were no material changes to those risk factors during the nine months ended September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 xml:space="preserve">Restrictions imposed by our debt instruments significantly restrict us, subject to certain exceptions for payment of allocable corporate overhead, from declaring or paying dividends or distributions. Specifically, we are restricted under the indentures governing the 7 </w:t>
      </w:r>
      <w:r>
        <w:rPr>
          <w:rFonts w:ascii="Arial" w:cs="Arial" w:eastAsia="Arial" w:hAnsi="Arial"/>
          <w:sz w:val="11"/>
          <w:szCs w:val="11"/>
          <w:color w:val="auto"/>
        </w:rPr>
        <w:t>3</w:t>
      </w:r>
      <w:r>
        <w:rPr>
          <w:rFonts w:ascii="Arial" w:cs="Arial" w:eastAsia="Arial" w:hAnsi="Arial"/>
          <w:sz w:val="18"/>
          <w:szCs w:val="18"/>
          <w:color w:val="auto"/>
        </w:rPr>
        <w:t>/</w:t>
      </w:r>
      <w:r>
        <w:rPr>
          <w:rFonts w:ascii="Arial" w:cs="Arial" w:eastAsia="Arial" w:hAnsi="Arial"/>
          <w:sz w:val="13"/>
          <w:szCs w:val="13"/>
          <w:color w:val="auto"/>
        </w:rPr>
        <w:t>4</w:t>
      </w:r>
      <w:r>
        <w:rPr>
          <w:rFonts w:ascii="Arial" w:cs="Arial" w:eastAsia="Arial" w:hAnsi="Arial"/>
          <w:sz w:val="18"/>
          <w:szCs w:val="18"/>
          <w:color w:val="auto"/>
        </w:rPr>
        <w:t xml:space="preserve">% and 7 </w:t>
      </w:r>
      <w:r>
        <w:rPr>
          <w:rFonts w:ascii="Arial" w:cs="Arial" w:eastAsia="Arial" w:hAnsi="Arial"/>
          <w:sz w:val="11"/>
          <w:szCs w:val="11"/>
          <w:color w:val="auto"/>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 In addition, our Credit Facilities contain similar restrictions.</w:t>
      </w:r>
    </w:p>
    <w:p>
      <w:pPr>
        <w:spacing w:after="0" w:line="12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240" w:top="459" w:right="5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386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4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500" w:type="dxa"/>
            <w:vAlign w:val="bottom"/>
          </w:tcPr>
          <w:p>
            <w:pPr>
              <w:spacing w:after="0"/>
              <w:rPr>
                <w:sz w:val="24"/>
                <w:szCs w:val="24"/>
                <w:color w:val="auto"/>
              </w:rPr>
            </w:pPr>
          </w:p>
        </w:tc>
      </w:tr>
      <w:tr>
        <w:trPr>
          <w:trHeight w:val="316"/>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Articles of Organization of Wynn Las Vegas, LLC. (1)</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Second Amended and Restated Operating Agreement of Wynn Las Vegas, LLC. (1)</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Indenture, dated as of August 4, 2010, among Wynn Las Vegas, LLC, Wynn Las Vegas Capital Corp., the Guarantors named therein and</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U.S. Bank National Association, as trustee. (2)</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4.2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2"/>
              </w:rPr>
              <w:t>Third Supplemental Indenture, dated August 4, 2010, among Wynn Las Vegas, LLC, Wynn Las Vegas Capital Corp., the Guarantors</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named therein and U.S. Bank National Association, as trustee. (2)</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0"/>
              </w:rPr>
              <w:t>Registration Rights Agreement, dated as of August 4, 2010, by and among Wynn Las Vegas, LLC, Wynn Las Vegas Capital Corp., the</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5"/>
              </w:rPr>
              <w:t>Guarantors, Deutsche Bank Securities Inc., Banc of America Securities LLC, J.P. Morgan Securities Inc., Morgan Stanley &amp; Co.</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Incorporated, RBS Securities Inc. and UBS Securities LLC. (2)</w:t>
            </w:r>
          </w:p>
        </w:tc>
      </w:tr>
      <w:tr>
        <w:trPr>
          <w:trHeight w:val="318"/>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10.2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Seventh Amendment to Amended and Restated Credit Agreement dated as of August 4, 2010 among Wynn Las Vegas, LLC, Wynn Las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1"/>
              </w:rPr>
              <w:t>Vegas Capital Corp., Wynn Show Performers, LLC, Wynn Golf, LLC, Wynn Sunrise, LLC, World Travel, LLC, Kevyn, LLC, Las Vegas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98"/>
              </w:rPr>
              <w:t>Jet, LLC, Wynn Resorts Holdings, LLC, Wynn Completion Guarantor, LLC and Deutsche Bank Trust Company Americas, as</w:t>
            </w:r>
          </w:p>
        </w:tc>
      </w:tr>
      <w:tr>
        <w:trPr>
          <w:trHeight w:val="216"/>
        </w:trPr>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w w:val="89"/>
              </w:rPr>
              <w:t>Administrative Agent on behalf of the several banks and other financial institutions or entities from time to time party to Wynn Las Vegas,</w:t>
            </w:r>
          </w:p>
        </w:tc>
      </w:tr>
      <w:tr>
        <w:trPr>
          <w:trHeight w:val="222"/>
        </w:trPr>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LLC’s Amended and Restated Credit Agreement, dated as of August 15, 2006. (2)</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*31.2</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*32.1</w:t>
            </w:r>
          </w:p>
        </w:tc>
        <w:tc>
          <w:tcPr>
            <w:tcW w:w="10220" w:type="dxa"/>
            <w:vAlign w:val="bottom"/>
            <w:gridSpan w:val="3"/>
          </w:tcPr>
          <w:p>
            <w:pPr>
              <w:ind w:left="48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364"/>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0" w:lineRule="exact"/>
        <w:rPr>
          <w:sz w:val="20"/>
          <w:szCs w:val="20"/>
          <w:color w:val="auto"/>
        </w:rPr>
      </w:pPr>
    </w:p>
    <w:p>
      <w:pPr>
        <w:ind w:left="460" w:right="1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Registration Statement on Form S-4 filed by the Registrant on April 13, 2005 (File No. 333-124052) and incorporated herein by reference.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Previously filed with the Current Report on Form 8-K filed by the Registrant on August 5, 2010, and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WYNN LAS VEGAS</w:t>
      </w:r>
    </w:p>
    <w:p>
      <w:pPr>
        <w:spacing w:after="0" w:line="312" w:lineRule="exact"/>
        <w:rPr>
          <w:sz w:val="20"/>
          <w:szCs w:val="20"/>
          <w:color w:val="auto"/>
        </w:rPr>
      </w:pPr>
    </w:p>
    <w:p>
      <w:pPr>
        <w:spacing w:after="0"/>
        <w:tabs>
          <w:tab w:leader="none" w:pos="5560" w:val="left"/>
          <w:tab w:leader="none" w:pos="7700" w:val="left"/>
          <w:tab w:leader="none" w:pos="8060" w:val="left"/>
        </w:tabs>
        <w:rPr>
          <w:sz w:val="20"/>
          <w:szCs w:val="20"/>
          <w:color w:val="auto"/>
        </w:rPr>
      </w:pPr>
      <w:r>
        <w:rPr>
          <w:rFonts w:ascii="Arial" w:cs="Arial" w:eastAsia="Arial" w:hAnsi="Arial"/>
          <w:sz w:val="18"/>
          <w:szCs w:val="18"/>
          <w:color w:val="auto"/>
        </w:rPr>
        <w:t>Dated: November 5, 2010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P</w:t>
      </w:r>
      <w:r>
        <w:rPr>
          <w:rFonts w:ascii="Arial" w:cs="Arial" w:eastAsia="Arial" w:hAnsi="Arial"/>
          <w:sz w:val="13"/>
          <w:szCs w:val="13"/>
          <w:color w:val="auto"/>
        </w:rPr>
        <w:t>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4734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3"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Scott Peterson</w:t>
      </w:r>
    </w:p>
    <w:p>
      <w:pPr>
        <w:jc w:val="center"/>
        <w:ind w:left="5940"/>
        <w:spacing w:after="0" w:line="221"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5940"/>
        <w:spacing w:after="0"/>
        <w:rPr>
          <w:sz w:val="20"/>
          <w:szCs w:val="20"/>
          <w:color w:val="auto"/>
        </w:rPr>
      </w:pPr>
      <w:r>
        <w:rPr>
          <w:rFonts w:ascii="Arial" w:cs="Arial" w:eastAsia="Arial" w:hAnsi="Arial"/>
          <w:sz w:val="14"/>
          <w:szCs w:val="14"/>
          <w:b w:val="1"/>
          <w:bCs w:val="1"/>
          <w:color w:val="auto"/>
        </w:rPr>
        <w:t>(Principal Financial Officer)</w:t>
      </w:r>
    </w:p>
    <w:p>
      <w:pPr>
        <w:spacing w:after="0" w:line="12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540"/>
          </w:cols>
          <w:pgMar w:left="240" w:top="459" w:right="11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Andrew Pascal, certify that:</w:t>
      </w:r>
    </w:p>
    <w:p>
      <w:pPr>
        <w:spacing w:after="0" w:line="212"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Pascal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Pascal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39"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Periodic Report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and Rule 15d – 14(a)</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Scott Peterson, certify that:</w:t>
      </w:r>
    </w:p>
    <w:p>
      <w:pPr>
        <w:spacing w:after="0" w:line="212"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Las Vegas,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November 5, 2010</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63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Scott Peterson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3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Las Vegas, LLC (the “Company”) for the quarter ended September 30, 2010 as filed with the Securities and Exchange Commission on the date hereof (the “Report”), Andrew Pascal,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62"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Andrew Pascal</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30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Andrew Pascal</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President</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November 5, 2010</w:t>
            </w:r>
          </w:p>
        </w:tc>
      </w:tr>
      <w:tr>
        <w:trPr>
          <w:trHeight w:val="43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Name:</w:t>
            </w:r>
          </w:p>
        </w:tc>
        <w:tc>
          <w:tcPr>
            <w:tcW w:w="4300" w:type="dxa"/>
            <w:vAlign w:val="bottom"/>
          </w:tcPr>
          <w:p>
            <w:pPr>
              <w:ind w:left="140"/>
              <w:spacing w:after="0"/>
              <w:rPr>
                <w:sz w:val="20"/>
                <w:szCs w:val="20"/>
                <w:color w:val="auto"/>
              </w:rPr>
            </w:pPr>
            <w:r>
              <w:rPr>
                <w:rFonts w:ascii="Arial" w:cs="Arial" w:eastAsia="Arial" w:hAnsi="Arial"/>
                <w:sz w:val="18"/>
                <w:szCs w:val="18"/>
                <w:color w:val="auto"/>
              </w:rPr>
              <w:t>Scott Peterson</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0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620" w:type="dxa"/>
            <w:vAlign w:val="bottom"/>
          </w:tcPr>
          <w:p>
            <w:pPr>
              <w:spacing w:after="0"/>
              <w:rPr>
                <w:sz w:val="18"/>
                <w:szCs w:val="18"/>
                <w:color w:val="auto"/>
              </w:rPr>
            </w:pPr>
          </w:p>
        </w:tc>
        <w:tc>
          <w:tcPr>
            <w:tcW w:w="430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4300" w:type="dxa"/>
            <w:vAlign w:val="bottom"/>
          </w:tcPr>
          <w:p>
            <w:pPr>
              <w:ind w:left="140"/>
              <w:spacing w:after="0"/>
              <w:rPr>
                <w:sz w:val="20"/>
                <w:szCs w:val="20"/>
                <w:color w:val="auto"/>
              </w:rPr>
            </w:pPr>
            <w:r>
              <w:rPr>
                <w:rFonts w:ascii="Arial" w:cs="Arial" w:eastAsia="Arial" w:hAnsi="Arial"/>
                <w:sz w:val="18"/>
                <w:szCs w:val="18"/>
                <w:color w:val="auto"/>
              </w:rPr>
              <w:t>November 5, 2010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8"/>
    </w:lvl>
  </w:abstractNum>
  <w:abstractNum w:abstractNumId="5">
    <w:nsid w:val="66EF438D"/>
    <w:multiLevelType w:val="hybridMultilevel"/>
    <w:lvl w:ilvl="0">
      <w:lvlJc w:val="left"/>
      <w:lvlText w:val="%1."/>
      <w:numFmt w:val="decimal"/>
      <w:start w:val="10"/>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2"/>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2019-12-10T21:36:24Z</dcterms:created>
  <dcterms:modified xsi:type="dcterms:W3CDTF">2019-12-10T21:36:24Z</dcterms:modified>
</cp:coreProperties>
</file>