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2260600</wp:posOffset>
            </wp:positionH>
            <wp:positionV relativeFrom="paragraph">
              <wp:posOffset>219075</wp:posOffset>
            </wp:positionV>
            <wp:extent cx="27444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2260600</wp:posOffset>
            </wp:positionH>
            <wp:positionV relativeFrom="paragraph">
              <wp:posOffset>281305</wp:posOffset>
            </wp:positionV>
            <wp:extent cx="27444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March 9, 2018</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tbl>
      <w:tblPr>
        <w:tblLayout w:type="fixed"/>
        <w:tblInd w:w="600" w:type="dxa"/>
        <w:tblCellMar>
          <w:top w:w="0" w:type="dxa"/>
          <w:left w:w="0" w:type="dxa"/>
          <w:bottom w:w="0" w:type="dxa"/>
          <w:right w:w="0" w:type="dxa"/>
        </w:tblCellMar>
      </w:tblPr>
      <w:tr>
        <w:trPr>
          <w:trHeight w:val="234"/>
        </w:trPr>
        <w:tc>
          <w:tcPr>
            <w:tcW w:w="2860" w:type="dxa"/>
            <w:vAlign w:val="bottom"/>
          </w:tcPr>
          <w:p>
            <w:pPr>
              <w:jc w:val="center"/>
              <w:ind w:right="279"/>
              <w:spacing w:after="0"/>
              <w:rPr>
                <w:sz w:val="20"/>
                <w:szCs w:val="20"/>
                <w:color w:val="auto"/>
              </w:rPr>
            </w:pPr>
            <w:r>
              <w:rPr>
                <w:rFonts w:ascii="Arial" w:cs="Arial" w:eastAsia="Arial" w:hAnsi="Arial"/>
                <w:sz w:val="18"/>
                <w:szCs w:val="18"/>
                <w:b w:val="1"/>
                <w:bCs w:val="1"/>
                <w:color w:val="auto"/>
                <w:w w:val="90"/>
              </w:rPr>
              <w:t>Nevada</w:t>
            </w:r>
          </w:p>
        </w:tc>
        <w:tc>
          <w:tcPr>
            <w:tcW w:w="4580" w:type="dxa"/>
            <w:vAlign w:val="bottom"/>
          </w:tcPr>
          <w:p>
            <w:pPr>
              <w:ind w:left="1620"/>
              <w:spacing w:after="0"/>
              <w:rPr>
                <w:sz w:val="20"/>
                <w:szCs w:val="20"/>
                <w:color w:val="auto"/>
              </w:rPr>
            </w:pPr>
            <w:r>
              <w:rPr>
                <w:rFonts w:ascii="Arial" w:cs="Arial" w:eastAsia="Arial" w:hAnsi="Arial"/>
                <w:sz w:val="18"/>
                <w:szCs w:val="18"/>
                <w:b w:val="1"/>
                <w:bCs w:val="1"/>
                <w:color w:val="auto"/>
              </w:rPr>
              <w:t>000-50028</w:t>
            </w:r>
          </w:p>
        </w:tc>
        <w:tc>
          <w:tcPr>
            <w:tcW w:w="156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r>
      <w:tr>
        <w:trPr>
          <w:trHeight w:val="180"/>
        </w:trPr>
        <w:tc>
          <w:tcPr>
            <w:tcW w:w="2860" w:type="dxa"/>
            <w:vAlign w:val="bottom"/>
          </w:tcPr>
          <w:p>
            <w:pPr>
              <w:jc w:val="center"/>
              <w:ind w:right="259"/>
              <w:spacing w:after="0"/>
              <w:rPr>
                <w:sz w:val="20"/>
                <w:szCs w:val="20"/>
                <w:color w:val="auto"/>
              </w:rPr>
            </w:pPr>
            <w:r>
              <w:rPr>
                <w:rFonts w:ascii="Arial" w:cs="Arial" w:eastAsia="Arial" w:hAnsi="Arial"/>
                <w:sz w:val="14"/>
                <w:szCs w:val="14"/>
                <w:b w:val="1"/>
                <w:bCs w:val="1"/>
                <w:color w:val="auto"/>
                <w:w w:val="93"/>
              </w:rPr>
              <w:t>(State or other jurisdiction</w:t>
            </w:r>
          </w:p>
        </w:tc>
        <w:tc>
          <w:tcPr>
            <w:tcW w:w="4580" w:type="dxa"/>
            <w:vAlign w:val="bottom"/>
          </w:tcPr>
          <w:p>
            <w:pPr>
              <w:ind w:left="1620"/>
              <w:spacing w:after="0"/>
              <w:rPr>
                <w:sz w:val="20"/>
                <w:szCs w:val="20"/>
                <w:color w:val="auto"/>
              </w:rPr>
            </w:pPr>
            <w:r>
              <w:rPr>
                <w:rFonts w:ascii="Arial" w:cs="Arial" w:eastAsia="Arial" w:hAnsi="Arial"/>
                <w:sz w:val="14"/>
                <w:szCs w:val="14"/>
                <w:b w:val="1"/>
                <w:bCs w:val="1"/>
                <w:color w:val="auto"/>
              </w:rPr>
              <w:t>(Commission</w:t>
            </w:r>
          </w:p>
        </w:tc>
        <w:tc>
          <w:tcPr>
            <w:tcW w:w="1560" w:type="dxa"/>
            <w:vAlign w:val="bottom"/>
          </w:tcPr>
          <w:p>
            <w:pPr>
              <w:jc w:val="center"/>
              <w:ind w:left="36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860" w:type="dxa"/>
            <w:vAlign w:val="bottom"/>
          </w:tcPr>
          <w:p>
            <w:pPr>
              <w:jc w:val="center"/>
              <w:ind w:right="279"/>
              <w:spacing w:after="0"/>
              <w:rPr>
                <w:sz w:val="20"/>
                <w:szCs w:val="20"/>
                <w:color w:val="auto"/>
              </w:rPr>
            </w:pPr>
            <w:r>
              <w:rPr>
                <w:rFonts w:ascii="Arial" w:cs="Arial" w:eastAsia="Arial" w:hAnsi="Arial"/>
                <w:sz w:val="14"/>
                <w:szCs w:val="14"/>
                <w:b w:val="1"/>
                <w:bCs w:val="1"/>
                <w:color w:val="auto"/>
                <w:w w:val="94"/>
              </w:rPr>
              <w:t>of incorporation)</w:t>
            </w:r>
          </w:p>
        </w:tc>
        <w:tc>
          <w:tcPr>
            <w:tcW w:w="4580" w:type="dxa"/>
            <w:vAlign w:val="bottom"/>
          </w:tcPr>
          <w:p>
            <w:pPr>
              <w:ind w:left="1600"/>
              <w:spacing w:after="0"/>
              <w:rPr>
                <w:sz w:val="20"/>
                <w:szCs w:val="20"/>
                <w:color w:val="auto"/>
              </w:rPr>
            </w:pPr>
            <w:r>
              <w:rPr>
                <w:rFonts w:ascii="Arial" w:cs="Arial" w:eastAsia="Arial" w:hAnsi="Arial"/>
                <w:sz w:val="14"/>
                <w:szCs w:val="14"/>
                <w:b w:val="1"/>
                <w:bCs w:val="1"/>
                <w:color w:val="auto"/>
              </w:rPr>
              <w:t>File Number)</w:t>
            </w:r>
          </w:p>
        </w:tc>
        <w:tc>
          <w:tcPr>
            <w:tcW w:w="1560" w:type="dxa"/>
            <w:vAlign w:val="bottom"/>
          </w:tcPr>
          <w:p>
            <w:pPr>
              <w:jc w:val="center"/>
              <w:ind w:left="361"/>
              <w:spacing w:after="0"/>
              <w:rPr>
                <w:sz w:val="20"/>
                <w:szCs w:val="20"/>
                <w:color w:val="auto"/>
              </w:rPr>
            </w:pPr>
            <w:r>
              <w:rPr>
                <w:rFonts w:ascii="Arial" w:cs="Arial" w:eastAsia="Arial" w:hAnsi="Arial"/>
                <w:sz w:val="14"/>
                <w:szCs w:val="14"/>
                <w:b w:val="1"/>
                <w:bCs w:val="1"/>
                <w:color w:val="auto"/>
                <w:w w:val="94"/>
              </w:rPr>
              <w:t>Identification No.)</w:t>
            </w:r>
          </w:p>
        </w:tc>
      </w:tr>
      <w:tr>
        <w:trPr>
          <w:trHeight w:val="237"/>
        </w:trPr>
        <w:tc>
          <w:tcPr>
            <w:tcW w:w="2860" w:type="dxa"/>
            <w:vAlign w:val="bottom"/>
          </w:tcPr>
          <w:p>
            <w:pPr>
              <w:jc w:val="center"/>
              <w:ind w:right="279"/>
              <w:spacing w:after="0"/>
              <w:rPr>
                <w:sz w:val="20"/>
                <w:szCs w:val="20"/>
                <w:color w:val="auto"/>
              </w:rPr>
            </w:pPr>
            <w:r>
              <w:rPr>
                <w:rFonts w:ascii="Arial" w:cs="Arial" w:eastAsia="Arial" w:hAnsi="Arial"/>
                <w:sz w:val="18"/>
                <w:szCs w:val="18"/>
                <w:b w:val="1"/>
                <w:bCs w:val="1"/>
                <w:color w:val="auto"/>
                <w:w w:val="88"/>
              </w:rPr>
              <w:t>3131 Las Vegas Boulevard South</w:t>
            </w:r>
          </w:p>
        </w:tc>
        <w:tc>
          <w:tcPr>
            <w:tcW w:w="458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34"/>
        </w:trPr>
        <w:tc>
          <w:tcPr>
            <w:tcW w:w="2860" w:type="dxa"/>
            <w:vAlign w:val="bottom"/>
          </w:tcPr>
          <w:p>
            <w:pPr>
              <w:jc w:val="center"/>
              <w:ind w:right="259"/>
              <w:spacing w:after="0"/>
              <w:rPr>
                <w:sz w:val="20"/>
                <w:szCs w:val="20"/>
                <w:color w:val="auto"/>
              </w:rPr>
            </w:pPr>
            <w:r>
              <w:rPr>
                <w:rFonts w:ascii="Arial" w:cs="Arial" w:eastAsia="Arial" w:hAnsi="Arial"/>
                <w:sz w:val="18"/>
                <w:szCs w:val="18"/>
                <w:b w:val="1"/>
                <w:bCs w:val="1"/>
                <w:color w:val="auto"/>
                <w:w w:val="88"/>
              </w:rPr>
              <w:t>Las Vegas, Nevada</w:t>
            </w:r>
          </w:p>
        </w:tc>
        <w:tc>
          <w:tcPr>
            <w:tcW w:w="4580" w:type="dxa"/>
            <w:vAlign w:val="bottom"/>
          </w:tcPr>
          <w:p>
            <w:pPr>
              <w:spacing w:after="0"/>
              <w:rPr>
                <w:sz w:val="20"/>
                <w:szCs w:val="20"/>
                <w:color w:val="auto"/>
              </w:rPr>
            </w:pPr>
          </w:p>
        </w:tc>
        <w:tc>
          <w:tcPr>
            <w:tcW w:w="156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r>
      <w:tr>
        <w:trPr>
          <w:trHeight w:val="218"/>
        </w:trPr>
        <w:tc>
          <w:tcPr>
            <w:tcW w:w="2860" w:type="dxa"/>
            <w:vAlign w:val="bottom"/>
          </w:tcPr>
          <w:p>
            <w:pPr>
              <w:jc w:val="center"/>
              <w:ind w:right="2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580" w:type="dxa"/>
            <w:vAlign w:val="bottom"/>
          </w:tcPr>
          <w:p>
            <w:pPr>
              <w:spacing w:after="0"/>
              <w:rPr>
                <w:sz w:val="18"/>
                <w:szCs w:val="18"/>
                <w:color w:val="auto"/>
              </w:rPr>
            </w:pPr>
          </w:p>
        </w:tc>
        <w:tc>
          <w:tcPr>
            <w:tcW w:w="1560" w:type="dxa"/>
            <w:vAlign w:val="bottom"/>
          </w:tcPr>
          <w:p>
            <w:pPr>
              <w:jc w:val="center"/>
              <w:ind w:left="361"/>
              <w:spacing w:after="0"/>
              <w:rPr>
                <w:sz w:val="20"/>
                <w:szCs w:val="20"/>
                <w:color w:val="auto"/>
              </w:rPr>
            </w:pPr>
            <w:r>
              <w:rPr>
                <w:rFonts w:ascii="Arial" w:cs="Arial" w:eastAsia="Arial" w:hAnsi="Arial"/>
                <w:sz w:val="14"/>
                <w:szCs w:val="14"/>
                <w:b w:val="1"/>
                <w:bCs w:val="1"/>
                <w:color w:val="auto"/>
                <w:w w:val="98"/>
              </w:rPr>
              <w:t>(Zip Code)</w:t>
            </w:r>
          </w:p>
        </w:tc>
      </w:tr>
      <w:tr>
        <w:trPr>
          <w:trHeight w:val="273"/>
        </w:trPr>
        <w:tc>
          <w:tcPr>
            <w:tcW w:w="2860" w:type="dxa"/>
            <w:vAlign w:val="bottom"/>
          </w:tcPr>
          <w:p>
            <w:pPr>
              <w:spacing w:after="0"/>
              <w:rPr>
                <w:sz w:val="23"/>
                <w:szCs w:val="23"/>
                <w:color w:val="auto"/>
              </w:rPr>
            </w:pPr>
          </w:p>
        </w:tc>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0"/>
              </w:rPr>
              <w:t>(702) 770-7555</w:t>
            </w:r>
          </w:p>
        </w:tc>
        <w:tc>
          <w:tcPr>
            <w:tcW w:w="1560" w:type="dxa"/>
            <w:vAlign w:val="bottom"/>
          </w:tcPr>
          <w:p>
            <w:pPr>
              <w:spacing w:after="0"/>
              <w:rPr>
                <w:sz w:val="23"/>
                <w:szCs w:val="23"/>
                <w:color w:val="auto"/>
              </w:rPr>
            </w:pPr>
          </w:p>
        </w:tc>
      </w:tr>
      <w:tr>
        <w:trPr>
          <w:trHeight w:val="166"/>
        </w:trPr>
        <w:tc>
          <w:tcPr>
            <w:tcW w:w="2860" w:type="dxa"/>
            <w:vAlign w:val="bottom"/>
          </w:tcPr>
          <w:p>
            <w:pPr>
              <w:spacing w:after="0"/>
              <w:rPr>
                <w:sz w:val="14"/>
                <w:szCs w:val="14"/>
                <w:color w:val="auto"/>
              </w:rPr>
            </w:pPr>
          </w:p>
        </w:tc>
        <w:tc>
          <w:tcPr>
            <w:tcW w:w="4580" w:type="dxa"/>
            <w:vAlign w:val="bottom"/>
          </w:tcPr>
          <w:p>
            <w:pPr>
              <w:jc w:val="center"/>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60" w:type="dxa"/>
            <w:vAlign w:val="bottom"/>
          </w:tcPr>
          <w:p>
            <w:pPr>
              <w:spacing w:after="0"/>
              <w:rPr>
                <w:sz w:val="14"/>
                <w:szCs w:val="14"/>
                <w:color w:val="auto"/>
              </w:rPr>
            </w:pPr>
          </w:p>
        </w:tc>
      </w:tr>
      <w:tr>
        <w:trPr>
          <w:trHeight w:val="212"/>
        </w:trPr>
        <w:tc>
          <w:tcPr>
            <w:tcW w:w="2860" w:type="dxa"/>
            <w:vAlign w:val="bottom"/>
          </w:tcPr>
          <w:p>
            <w:pPr>
              <w:spacing w:after="0"/>
              <w:rPr>
                <w:sz w:val="18"/>
                <w:szCs w:val="18"/>
                <w:color w:val="auto"/>
              </w:rPr>
            </w:pPr>
          </w:p>
        </w:tc>
        <w:tc>
          <w:tcPr>
            <w:tcW w:w="4580" w:type="dxa"/>
            <w:vAlign w:val="bottom"/>
          </w:tcPr>
          <w:p>
            <w:pPr>
              <w:jc w:val="center"/>
              <w:spacing w:after="0"/>
              <w:rPr>
                <w:sz w:val="20"/>
                <w:szCs w:val="20"/>
                <w:color w:val="auto"/>
              </w:rPr>
            </w:pPr>
            <w:r>
              <w:rPr>
                <w:rFonts w:ascii="Arial" w:cs="Arial" w:eastAsia="Arial" w:hAnsi="Arial"/>
                <w:sz w:val="18"/>
                <w:szCs w:val="18"/>
                <w:b w:val="1"/>
                <w:bCs w:val="1"/>
                <w:color w:val="auto"/>
                <w:w w:val="92"/>
              </w:rPr>
              <w:t>Not Applicable</w:t>
            </w:r>
          </w:p>
        </w:tc>
        <w:tc>
          <w:tcPr>
            <w:tcW w:w="1560" w:type="dxa"/>
            <w:vAlign w:val="bottom"/>
          </w:tcPr>
          <w:p>
            <w:pPr>
              <w:spacing w:after="0"/>
              <w:rPr>
                <w:sz w:val="18"/>
                <w:szCs w:val="18"/>
                <w:color w:val="auto"/>
              </w:rPr>
            </w:pPr>
          </w:p>
        </w:tc>
      </w:tr>
      <w:tr>
        <w:trPr>
          <w:trHeight w:val="186"/>
        </w:trPr>
        <w:tc>
          <w:tcPr>
            <w:tcW w:w="2860" w:type="dxa"/>
            <w:vAlign w:val="bottom"/>
          </w:tcPr>
          <w:p>
            <w:pPr>
              <w:spacing w:after="0"/>
              <w:rPr>
                <w:sz w:val="16"/>
                <w:szCs w:val="16"/>
                <w:color w:val="auto"/>
              </w:rPr>
            </w:pPr>
          </w:p>
        </w:tc>
        <w:tc>
          <w:tcPr>
            <w:tcW w:w="4580" w:type="dxa"/>
            <w:vAlign w:val="bottom"/>
          </w:tcPr>
          <w:p>
            <w:pPr>
              <w:jc w:val="center"/>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560" w:type="dxa"/>
            <w:vAlign w:val="bottom"/>
          </w:tcPr>
          <w:p>
            <w:pPr>
              <w:spacing w:after="0"/>
              <w:rPr>
                <w:sz w:val="16"/>
                <w:szCs w:val="16"/>
                <w:color w:val="auto"/>
              </w:rPr>
            </w:pPr>
          </w:p>
        </w:tc>
      </w:tr>
    </w:tbl>
    <w:p>
      <w:pPr>
        <w:spacing w:after="0" w:line="200" w:lineRule="exact"/>
        <w:rPr>
          <w:sz w:val="24"/>
          <w:szCs w:val="24"/>
          <w:color w:val="auto"/>
        </w:rPr>
      </w:pPr>
    </w:p>
    <w:p>
      <w:pPr>
        <w:spacing w:after="0" w:line="216" w:lineRule="exact"/>
        <w:rPr>
          <w:sz w:val="24"/>
          <w:szCs w:val="24"/>
          <w:color w:val="auto"/>
        </w:rPr>
      </w:pPr>
    </w:p>
    <w:p>
      <w:pPr>
        <w:ind w:right="120"/>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 w:lineRule="exact"/>
        <w:rPr>
          <w:sz w:val="24"/>
          <w:szCs w:val="24"/>
          <w:color w:val="auto"/>
        </w:rPr>
      </w:pPr>
    </w:p>
    <w:p>
      <w:pPr>
        <w:ind w:right="6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92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9" w:lineRule="exact"/>
        <w:rPr>
          <w:sz w:val="24"/>
          <w:szCs w:val="24"/>
          <w:color w:val="auto"/>
        </w:rPr>
      </w:pPr>
    </w:p>
    <w:p>
      <w:pPr>
        <w:ind w:right="1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420"/>
          </w:cols>
          <w:pgMar w:left="240" w:top="1111" w:right="239" w:bottom="1440" w:gutter="0" w:footer="0" w:header="0"/>
        </w:sectPr>
      </w:pPr>
    </w:p>
    <w:bookmarkStart w:id="1" w:name="page2"/>
    <w:bookmarkEnd w:id="1"/>
    <w:p>
      <w:pPr>
        <w:ind w:left="40"/>
        <w:spacing w:after="0"/>
        <w:tabs>
          <w:tab w:leader="none" w:pos="10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March 9, 2018, Wynn Resorts, Limited (the "Company") issued a press release announcing that it has entered into a commitment letter with Deutsche Bank for a 364-day term loan facility to the Company in an aggregate principal amount of up to $800 million. If utilized, the Company intends to use the net proceeds of this committed financing, and cash on hand, to repay the promissory note that the Company previously issued to Aruze USA, Inc. The press release is furnished herewith as Exhibit 99.1.</w:t>
      </w:r>
    </w:p>
    <w:p>
      <w:pPr>
        <w:spacing w:after="0" w:line="18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information furnished in this Current Report on Form 8-K,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339" w:lineRule="exact"/>
        <w:rPr>
          <w:sz w:val="20"/>
          <w:szCs w:val="20"/>
          <w:color w:val="auto"/>
        </w:rPr>
      </w:pPr>
    </w:p>
    <w:p>
      <w:pPr>
        <w:ind w:left="40"/>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200" w:lineRule="exact"/>
        <w:rPr>
          <w:sz w:val="20"/>
          <w:szCs w:val="20"/>
          <w:color w:val="auto"/>
        </w:rPr>
      </w:pPr>
    </w:p>
    <w:p>
      <w:pPr>
        <w:spacing w:after="0" w:line="273"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1040" w:type="dxa"/>
            <w:vAlign w:val="bottom"/>
          </w:tcPr>
          <w:p>
            <w:pPr>
              <w:spacing w:after="0"/>
              <w:rPr>
                <w:sz w:val="20"/>
                <w:szCs w:val="20"/>
                <w:color w:val="auto"/>
              </w:rPr>
            </w:pPr>
            <w:r>
              <w:rPr>
                <w:rFonts w:ascii="Arial" w:cs="Arial" w:eastAsia="Arial" w:hAnsi="Arial"/>
                <w:sz w:val="14"/>
                <w:szCs w:val="14"/>
                <w:b w:val="1"/>
                <w:bCs w:val="1"/>
                <w:color w:val="auto"/>
              </w:rPr>
              <w:t>Exhibit No.</w:t>
            </w:r>
          </w:p>
        </w:tc>
        <w:tc>
          <w:tcPr>
            <w:tcW w:w="452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215"/>
        </w:trPr>
        <w:tc>
          <w:tcPr>
            <w:tcW w:w="1040" w:type="dxa"/>
            <w:vAlign w:val="bottom"/>
          </w:tcPr>
          <w:p>
            <w:pPr>
              <w:spacing w:after="0"/>
              <w:rPr>
                <w:sz w:val="20"/>
                <w:szCs w:val="20"/>
                <w:color w:val="auto"/>
              </w:rPr>
            </w:pPr>
            <w:r>
              <w:rPr>
                <w:rFonts w:ascii="Arial" w:cs="Arial" w:eastAsia="Arial" w:hAnsi="Arial"/>
                <w:sz w:val="18"/>
                <w:szCs w:val="18"/>
                <w:color w:val="auto"/>
              </w:rPr>
              <w:t>99.1</w:t>
            </w:r>
          </w:p>
        </w:tc>
        <w:tc>
          <w:tcPr>
            <w:tcW w:w="4520" w:type="dxa"/>
            <w:vAlign w:val="bottom"/>
            <w:tcBorders>
              <w:bottom w:val="single" w:sz="8" w:color="0000FF"/>
            </w:tcBorders>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Press release, dated March 9, 2018, of Wynn Resorts, Limited.</w:t>
              </w:r>
            </w:hyperlink>
          </w:p>
        </w:tc>
      </w:tr>
    </w:tbl>
    <w:p>
      <w:pPr>
        <w:sectPr>
          <w:pgSz w:w="11900" w:h="16838" w:orient="portrait"/>
          <w:cols w:equalWidth="0" w:num="1">
            <w:col w:w="11420"/>
          </w:cols>
          <w:pgMar w:left="240" w:top="526" w:right="239" w:bottom="1440" w:gutter="0" w:footer="0" w:header="0"/>
        </w:sectPr>
      </w:pPr>
    </w:p>
    <w:bookmarkStart w:id="2" w:name="page3"/>
    <w:bookmarkEnd w:id="2"/>
    <w:p>
      <w:pPr>
        <w:ind w:left="536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2" w:lineRule="exact"/>
        <w:rPr>
          <w:sz w:val="20"/>
          <w:szCs w:val="20"/>
          <w:color w:val="auto"/>
        </w:rPr>
      </w:pPr>
    </w:p>
    <w:p>
      <w:pPr>
        <w:ind w:left="6960"/>
        <w:spacing w:after="0"/>
        <w:rPr>
          <w:sz w:val="20"/>
          <w:szCs w:val="20"/>
          <w:color w:val="auto"/>
        </w:rPr>
      </w:pPr>
      <w:r>
        <w:rPr>
          <w:rFonts w:ascii="Arial" w:cs="Arial" w:eastAsia="Arial" w:hAnsi="Arial"/>
          <w:sz w:val="18"/>
          <w:szCs w:val="18"/>
          <w:b w:val="1"/>
          <w:bCs w:val="1"/>
          <w:color w:val="auto"/>
        </w:rPr>
        <w:t>WYNN RESORTS, LIMITED</w:t>
      </w:r>
    </w:p>
    <w:p>
      <w:pPr>
        <w:spacing w:after="0" w:line="337" w:lineRule="exact"/>
        <w:rPr>
          <w:sz w:val="20"/>
          <w:szCs w:val="20"/>
          <w:color w:val="auto"/>
        </w:rPr>
      </w:pPr>
    </w:p>
    <w:p>
      <w:pPr>
        <w:ind w:left="40"/>
        <w:spacing w:after="0"/>
        <w:tabs>
          <w:tab w:leader="none" w:pos="6080" w:val="left"/>
          <w:tab w:leader="none" w:pos="6940" w:val="left"/>
        </w:tabs>
        <w:rPr>
          <w:sz w:val="20"/>
          <w:szCs w:val="20"/>
          <w:color w:val="auto"/>
        </w:rPr>
      </w:pPr>
      <w:r>
        <w:rPr>
          <w:rFonts w:ascii="Arial" w:cs="Arial" w:eastAsia="Arial" w:hAnsi="Arial"/>
          <w:sz w:val="18"/>
          <w:szCs w:val="18"/>
          <w:color w:val="auto"/>
        </w:rPr>
        <w:t>Dated: March 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4404360</wp:posOffset>
            </wp:positionH>
            <wp:positionV relativeFrom="paragraph">
              <wp:posOffset>31750</wp:posOffset>
            </wp:positionV>
            <wp:extent cx="24701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4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Chief Financial Officer and Treasurer</w:t>
      </w:r>
    </w:p>
    <w:p>
      <w:pPr>
        <w:spacing w:after="0" w:line="6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0780"/>
          </w:cols>
          <w:pgMar w:left="240" w:top="364" w:right="8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Wynn Resorts Receives Commitment Letter for Funding Promissory Note</w:t>
      </w:r>
    </w:p>
    <w:p>
      <w:pPr>
        <w:spacing w:after="0" w:line="226" w:lineRule="exact"/>
        <w:rPr>
          <w:sz w:val="20"/>
          <w:szCs w:val="20"/>
          <w:color w:val="auto"/>
        </w:rPr>
      </w:pPr>
    </w:p>
    <w:p>
      <w:pPr>
        <w:jc w:val="both"/>
        <w:spacing w:after="0" w:line="265" w:lineRule="auto"/>
        <w:rPr>
          <w:sz w:val="20"/>
          <w:szCs w:val="20"/>
          <w:color w:val="auto"/>
        </w:rPr>
      </w:pPr>
      <w:r>
        <w:rPr>
          <w:rFonts w:ascii="Arial" w:cs="Arial" w:eastAsia="Arial" w:hAnsi="Arial"/>
          <w:sz w:val="21"/>
          <w:szCs w:val="21"/>
          <w:color w:val="auto"/>
        </w:rPr>
        <w:t>LAS VEGAS, March 9, 2018 (BUSINESS WIRE) — Wynn Resorts, Limited (NASDAQ:WYNN) announced today that it has entered into a commitment letter with Deutsche Bank for a 364-day term loan facility to the Company in an aggregate principal amount of up to $800 million. If utilized, the Company intends to use the net proceeds of this committed financing, and cash on hand, to repay the promissory note that the Company previously issued to Aruze USA, Inc.</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347" w:lineRule="exact"/>
        <w:rPr>
          <w:sz w:val="20"/>
          <w:szCs w:val="20"/>
          <w:color w:val="auto"/>
        </w:rPr>
      </w:pPr>
    </w:p>
    <w:p>
      <w:pPr>
        <w:jc w:val="both"/>
        <w:spacing w:after="0" w:line="288" w:lineRule="auto"/>
        <w:rPr>
          <w:sz w:val="20"/>
          <w:szCs w:val="20"/>
          <w:color w:val="auto"/>
        </w:rPr>
      </w:pPr>
      <w:r>
        <w:rPr>
          <w:rFonts w:ascii="Arial" w:cs="Arial" w:eastAsia="Arial" w:hAnsi="Arial"/>
          <w:sz w:val="19"/>
          <w:szCs w:val="19"/>
          <w:color w:val="auto"/>
        </w:rPr>
        <w:t>This release contains forward-looking statements, including those related to the Company’s financing plans. Forward-looking information involves important risks and uncertainties that could significantly affect anticipated results in the future, and, accordingly, such results may differ from those expressed in any forward-looking statements. These risks and uncertainties include, but are not limited to, competition in the casino/hotel and resorts industries, the controversy related to Stephen A. Wynn and his separation from the Company, dependence on key employees, levels of travel, leisure and casino spending, general domestic or international economic conditions, and changes in gaming laws or regulations. Additional information concerning potential factors that could affect the Company’s financial results is included in the Company’s Annual Report on Form 10-K for the year ended December 31, 2017 and the Company’s other periodic reports filed with the Securities and Exchange Commission. Wynn Resorts, Limited is not under any obligation to (and expressly disclaims any such obligation to) update its forward-looking statements as a result of new information, future events or otherwise, except as required by law.</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SOURCE: Wynn Resorts, Limited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Wynn Resorts, Limited</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Craig Billings, Chief Financial Officer &amp; Treasurer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702-770-7000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investorrelations@wynnresorts.com</w:t>
      </w:r>
    </w:p>
    <w:sectPr>
      <w:pgSz w:w="11900" w:h="16838" w:orient="portrait"/>
      <w:cols w:equalWidth="0" w:num="1">
        <w:col w:w="11420"/>
      </w:cols>
      <w:pgMar w:left="240" w:top="36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2019-12-28T23:18:30Z</dcterms:created>
  <dcterms:modified xsi:type="dcterms:W3CDTF">2019-12-28T23:18:30Z</dcterms:modified>
</cp:coreProperties>
</file>