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2167890</wp:posOffset>
            </wp:positionH>
            <wp:positionV relativeFrom="paragraph">
              <wp:posOffset>236855</wp:posOffset>
            </wp:positionV>
            <wp:extent cx="2806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700"/>
        <w:spacing w:after="0"/>
        <w:rPr>
          <w:sz w:val="20"/>
          <w:szCs w:val="20"/>
          <w:color w:val="auto"/>
        </w:rPr>
      </w:pPr>
      <w:r>
        <w:rPr>
          <w:rFonts w:ascii="Arial" w:cs="Arial" w:eastAsia="Arial" w:hAnsi="Arial"/>
          <w:sz w:val="31"/>
          <w:szCs w:val="31"/>
          <w:b w:val="1"/>
          <w:bCs w:val="1"/>
          <w:color w:val="auto"/>
        </w:rPr>
        <w:t>FORM 8-K/A</w:t>
      </w:r>
    </w:p>
    <w:p>
      <w:pPr>
        <w:spacing w:after="0" w:line="54" w:lineRule="exact"/>
        <w:rPr>
          <w:sz w:val="24"/>
          <w:szCs w:val="24"/>
          <w:color w:val="auto"/>
        </w:rPr>
      </w:pPr>
    </w:p>
    <w:p>
      <w:pPr>
        <w:ind w:left="4340"/>
        <w:spacing w:after="0"/>
        <w:rPr>
          <w:sz w:val="20"/>
          <w:szCs w:val="20"/>
          <w:color w:val="auto"/>
        </w:rPr>
      </w:pPr>
      <w:r>
        <w:rPr>
          <w:rFonts w:ascii="Arial" w:cs="Arial" w:eastAsia="Arial" w:hAnsi="Arial"/>
          <w:sz w:val="31"/>
          <w:szCs w:val="3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2167890</wp:posOffset>
            </wp:positionH>
            <wp:positionV relativeFrom="paragraph">
              <wp:posOffset>80645</wp:posOffset>
            </wp:positionV>
            <wp:extent cx="2806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2167890</wp:posOffset>
            </wp:positionH>
            <wp:positionV relativeFrom="paragraph">
              <wp:posOffset>247015</wp:posOffset>
            </wp:positionV>
            <wp:extent cx="2806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75" w:lineRule="exact"/>
        <w:rPr>
          <w:sz w:val="24"/>
          <w:szCs w:val="24"/>
          <w:color w:val="auto"/>
        </w:rPr>
      </w:pPr>
    </w:p>
    <w:tbl>
      <w:tblPr>
        <w:tblLayout w:type="fixed"/>
        <w:tblInd w:w="1400" w:type="dxa"/>
        <w:tblCellMar>
          <w:top w:w="0" w:type="dxa"/>
          <w:left w:w="0" w:type="dxa"/>
          <w:bottom w:w="0" w:type="dxa"/>
          <w:right w:w="0" w:type="dxa"/>
        </w:tblCellMar>
      </w:tblPr>
      <w:tr>
        <w:trPr>
          <w:trHeight w:val="228"/>
        </w:trPr>
        <w:tc>
          <w:tcPr>
            <w:tcW w:w="2540" w:type="dxa"/>
            <w:vAlign w:val="bottom"/>
          </w:tcPr>
          <w:p>
            <w:pPr>
              <w:jc w:val="center"/>
              <w:ind w:right="2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60"/>
              <w:spacing w:after="0"/>
              <w:rPr>
                <w:sz w:val="20"/>
                <w:szCs w:val="20"/>
                <w:color w:val="auto"/>
              </w:rPr>
            </w:pPr>
            <w:r>
              <w:rPr>
                <w:rFonts w:ascii="Arial" w:cs="Arial" w:eastAsia="Arial" w:hAnsi="Arial"/>
                <w:sz w:val="17"/>
                <w:szCs w:val="17"/>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71"/>
        </w:trPr>
        <w:tc>
          <w:tcPr>
            <w:tcW w:w="254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(State or other jurisdiction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4"/>
              </w:rPr>
              <w:t>(I.R.S. Employer</w:t>
            </w:r>
          </w:p>
        </w:tc>
      </w:tr>
      <w:tr>
        <w:trPr>
          <w:trHeight w:val="183"/>
        </w:trPr>
        <w:tc>
          <w:tcPr>
            <w:tcW w:w="254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0"/>
        </w:trPr>
        <w:tc>
          <w:tcPr>
            <w:tcW w:w="2540" w:type="dxa"/>
            <w:vAlign w:val="bottom"/>
          </w:tcPr>
          <w:p>
            <w:pPr>
              <w:jc w:val="center"/>
              <w:ind w:right="2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7"/>
        </w:trPr>
        <w:tc>
          <w:tcPr>
            <w:tcW w:w="254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20" w:type="dxa"/>
            <w:vAlign w:val="bottom"/>
          </w:tcPr>
          <w:p>
            <w:pPr>
              <w:jc w:val="right"/>
              <w:ind w:right="263"/>
              <w:spacing w:after="0"/>
              <w:rPr>
                <w:sz w:val="20"/>
                <w:szCs w:val="20"/>
                <w:color w:val="auto"/>
              </w:rPr>
            </w:pPr>
            <w:r>
              <w:rPr>
                <w:rFonts w:ascii="Arial" w:cs="Arial" w:eastAsia="Arial" w:hAnsi="Arial"/>
                <w:sz w:val="17"/>
                <w:szCs w:val="17"/>
                <w:b w:val="1"/>
                <w:bCs w:val="1"/>
                <w:color w:val="auto"/>
              </w:rPr>
              <w:t>89109</w:t>
            </w:r>
          </w:p>
        </w:tc>
      </w:tr>
      <w:tr>
        <w:trPr>
          <w:trHeight w:val="196"/>
        </w:trPr>
        <w:tc>
          <w:tcPr>
            <w:tcW w:w="254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680" w:type="dxa"/>
            <w:vAlign w:val="bottom"/>
          </w:tcPr>
          <w:p>
            <w:pPr>
              <w:spacing w:after="0"/>
              <w:rPr>
                <w:sz w:val="17"/>
                <w:szCs w:val="17"/>
                <w:color w:val="auto"/>
              </w:rPr>
            </w:pP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5"/>
              </w:rPr>
              <w:t>(Zip Code)</w:t>
            </w:r>
          </w:p>
        </w:tc>
      </w:tr>
      <w:tr>
        <w:trPr>
          <w:trHeight w:val="722"/>
        </w:trPr>
        <w:tc>
          <w:tcPr>
            <w:tcW w:w="254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7"/>
                <w:szCs w:val="17"/>
                <w:b w:val="1"/>
                <w:bCs w:val="1"/>
                <w:color w:val="auto"/>
              </w:rPr>
              <w:t>(702) 770-7555</w:t>
            </w:r>
          </w:p>
        </w:tc>
        <w:tc>
          <w:tcPr>
            <w:tcW w:w="1520" w:type="dxa"/>
            <w:vAlign w:val="bottom"/>
          </w:tcPr>
          <w:p>
            <w:pPr>
              <w:spacing w:after="0"/>
              <w:rPr>
                <w:sz w:val="24"/>
                <w:szCs w:val="24"/>
                <w:color w:val="auto"/>
              </w:rPr>
            </w:pPr>
          </w:p>
        </w:tc>
      </w:tr>
      <w:tr>
        <w:trPr>
          <w:trHeight w:val="183"/>
        </w:trPr>
        <w:tc>
          <w:tcPr>
            <w:tcW w:w="254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2167890</wp:posOffset>
            </wp:positionH>
            <wp:positionV relativeFrom="paragraph">
              <wp:posOffset>76835</wp:posOffset>
            </wp:positionV>
            <wp:extent cx="2806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6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3"/>
              </w:rPr>
              <w:t>Trading Symbol(s)</w:t>
            </w:r>
          </w:p>
        </w:tc>
        <w:tc>
          <w:tcPr>
            <w:tcW w:w="4960" w:type="dxa"/>
            <w:vAlign w:val="bottom"/>
            <w:gridSpan w:val="2"/>
          </w:tcPr>
          <w:p>
            <w:pPr>
              <w:jc w:val="center"/>
              <w:ind w:left="163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00" w:type="dxa"/>
            <w:vAlign w:val="bottom"/>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3800" w:type="dxa"/>
            <w:vAlign w:val="bottom"/>
            <w:gridSpan w:val="3"/>
          </w:tcPr>
          <w:p>
            <w:pPr>
              <w:jc w:val="center"/>
              <w:ind w:right="800"/>
              <w:spacing w:after="0"/>
              <w:rPr>
                <w:sz w:val="20"/>
                <w:szCs w:val="20"/>
                <w:color w:val="auto"/>
              </w:rPr>
            </w:pPr>
            <w:r>
              <w:rPr>
                <w:rFonts w:ascii="Arial" w:cs="Arial" w:eastAsia="Arial" w:hAnsi="Arial"/>
                <w:sz w:val="17"/>
                <w:szCs w:val="17"/>
                <w:color w:val="auto"/>
                <w:w w:val="93"/>
              </w:rPr>
              <w:t>Common stock, par value $0.01</w:t>
            </w:r>
          </w:p>
        </w:tc>
        <w:tc>
          <w:tcPr>
            <w:tcW w:w="1400" w:type="dxa"/>
            <w:vAlign w:val="bottom"/>
          </w:tcPr>
          <w:p>
            <w:pPr>
              <w:jc w:val="center"/>
              <w:spacing w:after="0"/>
              <w:rPr>
                <w:sz w:val="20"/>
                <w:szCs w:val="20"/>
                <w:color w:val="auto"/>
              </w:rPr>
            </w:pPr>
            <w:r>
              <w:rPr>
                <w:rFonts w:ascii="Arial" w:cs="Arial" w:eastAsia="Arial" w:hAnsi="Arial"/>
                <w:sz w:val="17"/>
                <w:szCs w:val="17"/>
                <w:color w:val="auto"/>
              </w:rPr>
              <w:t>WYNN</w:t>
            </w:r>
          </w:p>
        </w:tc>
        <w:tc>
          <w:tcPr>
            <w:tcW w:w="172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3"/>
              </w:rPr>
              <w:t>Nasdaq Global Select Market</w:t>
            </w:r>
          </w:p>
        </w:tc>
        <w:tc>
          <w:tcPr>
            <w:tcW w:w="900" w:type="dxa"/>
            <w:vAlign w:val="bottom"/>
          </w:tcPr>
          <w:p>
            <w:pPr>
              <w:spacing w:after="0"/>
              <w:rPr>
                <w:sz w:val="21"/>
                <w:szCs w:val="21"/>
                <w:color w:val="auto"/>
              </w:rPr>
            </w:pPr>
          </w:p>
        </w:tc>
      </w:tr>
      <w:tr>
        <w:trPr>
          <w:trHeight w:val="203"/>
        </w:trPr>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4"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43" w:lineRule="exact"/>
        <w:rPr>
          <w:sz w:val="24"/>
          <w:szCs w:val="24"/>
          <w:color w:val="auto"/>
        </w:rPr>
      </w:pPr>
    </w:p>
    <w:p>
      <w:pPr>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511810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56"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This Current Report on Form 8-K/A (this “Amendment”) is being filed to amend the Current Report on Form 8-K filed by Wynn Resorts, Limited (the “Company”) with the Securities and Exchange Commission on May 8, 2023 (the “Original Form 8-K”). The sole purpose of this Amendment is to disclose the Company’s decision regarding how frequently it will conduct future stockholder advisory votes to approve the compensation of its named executive officers (commonly referred to as a “Say-on-Pay” advisory vote). This Amendment does not amend, modify, or supplement the Original Form 8-K in any other respect.</w:t>
      </w:r>
    </w:p>
    <w:p>
      <w:pPr>
        <w:spacing w:after="0" w:line="21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1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Based on the final results of the stockholder vote at the Company’s 2023 Annual Meeting of Stockholders held on May 4, 2023, including stockholders’ non-binding recommendation to hold future Say-on-Pay advisory votes every year, the board of directors of the Company (the “Board”) has determined that future Say-on-Pay advisory votes will be conducted every year. The Board will re-evaluate this determination after the next required stockholder advisory vote on the frequency of future Say-on-Pay advisory votes (which will be at the Company’s 2029 Annual Meeting of Stockholders, unless presented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954405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WYNN RESORTS, LIMITED</w:t>
      </w:r>
    </w:p>
    <w:p>
      <w:pPr>
        <w:spacing w:after="0" w:line="86" w:lineRule="exact"/>
        <w:rPr>
          <w:sz w:val="20"/>
          <w:szCs w:val="20"/>
          <w:color w:val="auto"/>
        </w:rPr>
      </w:pPr>
    </w:p>
    <w:p>
      <w:pPr>
        <w:ind w:left="460"/>
        <w:spacing w:after="0"/>
        <w:tabs>
          <w:tab w:leader="none" w:pos="6300" w:val="left"/>
          <w:tab w:leader="none" w:pos="7080" w:val="left"/>
        </w:tabs>
        <w:rPr>
          <w:sz w:val="20"/>
          <w:szCs w:val="20"/>
          <w:color w:val="auto"/>
        </w:rPr>
      </w:pPr>
      <w:r>
        <w:rPr>
          <w:rFonts w:ascii="Arial" w:cs="Arial" w:eastAsia="Arial" w:hAnsi="Arial"/>
          <w:sz w:val="17"/>
          <w:szCs w:val="17"/>
          <w:color w:val="auto"/>
        </w:rPr>
        <w:t>Dated: May 12,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25400</wp:posOffset>
            </wp:positionV>
            <wp:extent cx="2781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Ellen F. Whittemore</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Executive Vice President, General Counsel &amp; Secretary</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2023-05-12T15:46:20Z</dcterms:created>
  <dcterms:modified xsi:type="dcterms:W3CDTF">2023-05-12T15:46:20Z</dcterms:modified>
</cp:coreProperties>
</file>