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170180</wp:posOffset>
            </wp:positionV>
            <wp:extent cx="289115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37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2125980</wp:posOffset>
            </wp:positionH>
            <wp:positionV relativeFrom="paragraph">
              <wp:posOffset>46990</wp:posOffset>
            </wp:positionV>
            <wp:extent cx="289115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3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CURRENT REPORT</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OF THE SECURITIES EXCHANGE ACT OF 1934</w:t>
      </w:r>
    </w:p>
    <w:p>
      <w:pPr>
        <w:spacing w:after="0" w:line="19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Date of Report (Date of earliest event reported): August 6,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2142490</wp:posOffset>
            </wp:positionH>
            <wp:positionV relativeFrom="paragraph">
              <wp:posOffset>83820</wp:posOffset>
            </wp:positionV>
            <wp:extent cx="289115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891155" cy="8255"/>
                    </a:xfrm>
                    <a:prstGeom prst="rect">
                      <a:avLst/>
                    </a:prstGeom>
                    <a:noFill/>
                  </pic:spPr>
                </pic:pic>
              </a:graphicData>
            </a:graphic>
          </wp:anchor>
        </w:drawing>
      </w:r>
    </w:p>
    <w:p>
      <w:pPr>
        <w:spacing w:after="0" w:line="2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2"/>
          <w:szCs w:val="42"/>
          <w:b w:val="1"/>
          <w:bCs w:val="1"/>
          <w:color w:val="auto"/>
        </w:rPr>
        <w:t>WYNN RESORTS, LIMITED</w:t>
      </w:r>
    </w:p>
    <w:p>
      <w:pPr>
        <w:spacing w:after="0" w:line="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71" w:lineRule="exact"/>
        <w:rPr>
          <w:sz w:val="24"/>
          <w:szCs w:val="24"/>
          <w:color w:val="auto"/>
        </w:rPr>
      </w:pPr>
    </w:p>
    <w:tbl>
      <w:tblPr>
        <w:tblLayout w:type="fixed"/>
        <w:tblInd w:w="0" w:type="dxa"/>
        <w:tblCellMar>
          <w:top w:w="0" w:type="dxa"/>
          <w:left w:w="0" w:type="dxa"/>
          <w:bottom w:w="0" w:type="dxa"/>
          <w:right w:w="0" w:type="dxa"/>
        </w:tblCellMar>
      </w:tblPr>
      <w:tr>
        <w:trPr>
          <w:trHeight w:val="220"/>
        </w:trPr>
        <w:tc>
          <w:tcPr>
            <w:tcW w:w="860" w:type="dxa"/>
            <w:vAlign w:val="bottom"/>
          </w:tcPr>
          <w:p>
            <w:pPr>
              <w:spacing w:after="0"/>
              <w:rPr>
                <w:sz w:val="19"/>
                <w:szCs w:val="19"/>
                <w:color w:val="auto"/>
              </w:rPr>
            </w:pPr>
          </w:p>
        </w:tc>
        <w:tc>
          <w:tcPr>
            <w:tcW w:w="2480" w:type="dxa"/>
            <w:vAlign w:val="bottom"/>
            <w:gridSpan w:val="2"/>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6"/>
              </w:rPr>
              <w:t>Nevada</w:t>
            </w:r>
          </w:p>
        </w:tc>
        <w:tc>
          <w:tcPr>
            <w:tcW w:w="3720" w:type="dxa"/>
            <w:vAlign w:val="bottom"/>
            <w:gridSpan w:val="3"/>
          </w:tcPr>
          <w:p>
            <w:pPr>
              <w:ind w:left="1780"/>
              <w:spacing w:after="0"/>
              <w:rPr>
                <w:sz w:val="20"/>
                <w:szCs w:val="20"/>
                <w:color w:val="auto"/>
              </w:rPr>
            </w:pPr>
            <w:r>
              <w:rPr>
                <w:rFonts w:ascii="Times New Roman" w:cs="Times New Roman" w:eastAsia="Times New Roman" w:hAnsi="Times New Roman"/>
                <w:sz w:val="18"/>
                <w:szCs w:val="18"/>
                <w:b w:val="1"/>
                <w:bCs w:val="1"/>
                <w:color w:val="auto"/>
              </w:rPr>
              <w:t>000-50028</w:t>
            </w:r>
          </w:p>
        </w:tc>
        <w:tc>
          <w:tcPr>
            <w:tcW w:w="3260" w:type="dxa"/>
            <w:vAlign w:val="bottom"/>
            <w:gridSpan w:val="2"/>
          </w:tcPr>
          <w:p>
            <w:pPr>
              <w:jc w:val="right"/>
              <w:ind w:right="490"/>
              <w:spacing w:after="0"/>
              <w:rPr>
                <w:sz w:val="20"/>
                <w:szCs w:val="20"/>
                <w:color w:val="auto"/>
              </w:rPr>
            </w:pPr>
            <w:r>
              <w:rPr>
                <w:rFonts w:ascii="Times New Roman" w:cs="Times New Roman" w:eastAsia="Times New Roman" w:hAnsi="Times New Roman"/>
                <w:sz w:val="18"/>
                <w:szCs w:val="18"/>
                <w:b w:val="1"/>
                <w:bCs w:val="1"/>
                <w:color w:val="auto"/>
              </w:rPr>
              <w:t>46-0484987</w:t>
            </w:r>
          </w:p>
        </w:tc>
        <w:tc>
          <w:tcPr>
            <w:tcW w:w="920" w:type="dxa"/>
            <w:vAlign w:val="bottom"/>
          </w:tcPr>
          <w:p>
            <w:pPr>
              <w:spacing w:after="0"/>
              <w:rPr>
                <w:sz w:val="19"/>
                <w:szCs w:val="19"/>
                <w:color w:val="auto"/>
              </w:rPr>
            </w:pPr>
          </w:p>
        </w:tc>
      </w:tr>
      <w:tr>
        <w:trPr>
          <w:trHeight w:val="145"/>
        </w:trPr>
        <w:tc>
          <w:tcPr>
            <w:tcW w:w="860" w:type="dxa"/>
            <w:vAlign w:val="bottom"/>
          </w:tcPr>
          <w:p>
            <w:pPr>
              <w:spacing w:after="0"/>
              <w:rPr>
                <w:sz w:val="12"/>
                <w:szCs w:val="12"/>
                <w:color w:val="auto"/>
              </w:rPr>
            </w:pPr>
          </w:p>
        </w:tc>
        <w:tc>
          <w:tcPr>
            <w:tcW w:w="2480" w:type="dxa"/>
            <w:vAlign w:val="bottom"/>
            <w:gridSpan w:val="2"/>
          </w:tcPr>
          <w:p>
            <w:pPr>
              <w:jc w:val="center"/>
              <w:ind w:right="600"/>
              <w:spacing w:after="0" w:line="145" w:lineRule="exact"/>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520" w:type="dxa"/>
            <w:vAlign w:val="bottom"/>
          </w:tcPr>
          <w:p>
            <w:pPr>
              <w:spacing w:after="0"/>
              <w:rPr>
                <w:sz w:val="12"/>
                <w:szCs w:val="12"/>
                <w:color w:val="auto"/>
              </w:rPr>
            </w:pPr>
          </w:p>
        </w:tc>
        <w:tc>
          <w:tcPr>
            <w:tcW w:w="3200" w:type="dxa"/>
            <w:vAlign w:val="bottom"/>
            <w:gridSpan w:val="2"/>
          </w:tcPr>
          <w:p>
            <w:pPr>
              <w:ind w:left="1260"/>
              <w:spacing w:after="0" w:line="145" w:lineRule="exact"/>
              <w:rPr>
                <w:sz w:val="20"/>
                <w:szCs w:val="20"/>
                <w:color w:val="auto"/>
              </w:rPr>
            </w:pPr>
            <w:r>
              <w:rPr>
                <w:rFonts w:ascii="Times New Roman" w:cs="Times New Roman" w:eastAsia="Times New Roman" w:hAnsi="Times New Roman"/>
                <w:sz w:val="14"/>
                <w:szCs w:val="14"/>
                <w:b w:val="1"/>
                <w:bCs w:val="1"/>
                <w:color w:val="auto"/>
              </w:rPr>
              <w:t>(Commission</w:t>
            </w:r>
          </w:p>
        </w:tc>
        <w:tc>
          <w:tcPr>
            <w:tcW w:w="840" w:type="dxa"/>
            <w:vAlign w:val="bottom"/>
          </w:tcPr>
          <w:p>
            <w:pPr>
              <w:spacing w:after="0"/>
              <w:rPr>
                <w:sz w:val="12"/>
                <w:szCs w:val="12"/>
                <w:color w:val="auto"/>
              </w:rPr>
            </w:pPr>
          </w:p>
        </w:tc>
        <w:tc>
          <w:tcPr>
            <w:tcW w:w="3340" w:type="dxa"/>
            <w:vAlign w:val="bottom"/>
            <w:gridSpan w:val="2"/>
          </w:tcPr>
          <w:p>
            <w:pPr>
              <w:jc w:val="center"/>
              <w:ind w:right="480"/>
              <w:spacing w:after="0" w:line="145"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85"/>
        </w:trPr>
        <w:tc>
          <w:tcPr>
            <w:tcW w:w="860" w:type="dxa"/>
            <w:vAlign w:val="bottom"/>
          </w:tcPr>
          <w:p>
            <w:pPr>
              <w:spacing w:after="0"/>
              <w:rPr>
                <w:sz w:val="16"/>
                <w:szCs w:val="16"/>
                <w:color w:val="auto"/>
              </w:rPr>
            </w:pPr>
          </w:p>
        </w:tc>
        <w:tc>
          <w:tcPr>
            <w:tcW w:w="2480" w:type="dxa"/>
            <w:vAlign w:val="bottom"/>
            <w:gridSpan w:val="2"/>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520" w:type="dxa"/>
            <w:vAlign w:val="bottom"/>
          </w:tcPr>
          <w:p>
            <w:pPr>
              <w:spacing w:after="0"/>
              <w:rPr>
                <w:sz w:val="16"/>
                <w:szCs w:val="16"/>
                <w:color w:val="auto"/>
              </w:rPr>
            </w:pPr>
          </w:p>
        </w:tc>
        <w:tc>
          <w:tcPr>
            <w:tcW w:w="3200" w:type="dxa"/>
            <w:vAlign w:val="bottom"/>
            <w:gridSpan w:val="2"/>
          </w:tcPr>
          <w:p>
            <w:pPr>
              <w:ind w:left="124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840" w:type="dxa"/>
            <w:vAlign w:val="bottom"/>
          </w:tcPr>
          <w:p>
            <w:pPr>
              <w:spacing w:after="0"/>
              <w:rPr>
                <w:sz w:val="16"/>
                <w:szCs w:val="16"/>
                <w:color w:val="auto"/>
              </w:rPr>
            </w:pPr>
          </w:p>
        </w:tc>
        <w:tc>
          <w:tcPr>
            <w:tcW w:w="33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27"/>
        </w:trPr>
        <w:tc>
          <w:tcPr>
            <w:tcW w:w="3340" w:type="dxa"/>
            <w:vAlign w:val="bottom"/>
            <w:gridSpan w:val="3"/>
          </w:tcPr>
          <w:p>
            <w:pPr>
              <w:jc w:val="center"/>
              <w:ind w:left="177"/>
              <w:spacing w:after="0"/>
              <w:rPr>
                <w:sz w:val="20"/>
                <w:szCs w:val="20"/>
                <w:color w:val="auto"/>
              </w:rPr>
            </w:pPr>
            <w:r>
              <w:rPr>
                <w:rFonts w:ascii="Times New Roman" w:cs="Times New Roman" w:eastAsia="Times New Roman" w:hAnsi="Times New Roman"/>
                <w:sz w:val="18"/>
                <w:szCs w:val="18"/>
                <w:b w:val="1"/>
                <w:bCs w:val="1"/>
                <w:color w:val="auto"/>
                <w:w w:val="96"/>
              </w:rPr>
              <w:t>3131 Las Vegas Boulevard South</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0"/>
        </w:trPr>
        <w:tc>
          <w:tcPr>
            <w:tcW w:w="860" w:type="dxa"/>
            <w:vAlign w:val="bottom"/>
          </w:tcPr>
          <w:p>
            <w:pPr>
              <w:spacing w:after="0"/>
              <w:rPr>
                <w:sz w:val="19"/>
                <w:szCs w:val="19"/>
                <w:color w:val="auto"/>
              </w:rPr>
            </w:pPr>
          </w:p>
        </w:tc>
        <w:tc>
          <w:tcPr>
            <w:tcW w:w="2480" w:type="dxa"/>
            <w:vAlign w:val="bottom"/>
            <w:gridSpan w:val="2"/>
          </w:tcPr>
          <w:p>
            <w:pPr>
              <w:ind w:left="120"/>
              <w:spacing w:after="0"/>
              <w:rPr>
                <w:sz w:val="20"/>
                <w:szCs w:val="20"/>
                <w:color w:val="auto"/>
              </w:rPr>
            </w:pPr>
            <w:r>
              <w:rPr>
                <w:rFonts w:ascii="Times New Roman" w:cs="Times New Roman" w:eastAsia="Times New Roman" w:hAnsi="Times New Roman"/>
                <w:sz w:val="18"/>
                <w:szCs w:val="18"/>
                <w:b w:val="1"/>
                <w:bCs w:val="1"/>
                <w:color w:val="auto"/>
              </w:rPr>
              <w:t>Las Vegas, Nevada</w:t>
            </w:r>
          </w:p>
        </w:tc>
        <w:tc>
          <w:tcPr>
            <w:tcW w:w="52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3260" w:type="dxa"/>
            <w:vAlign w:val="bottom"/>
            <w:gridSpan w:val="2"/>
          </w:tcPr>
          <w:p>
            <w:pPr>
              <w:jc w:val="right"/>
              <w:ind w:right="710"/>
              <w:spacing w:after="0"/>
              <w:rPr>
                <w:sz w:val="20"/>
                <w:szCs w:val="20"/>
                <w:color w:val="auto"/>
              </w:rPr>
            </w:pPr>
            <w:r>
              <w:rPr>
                <w:rFonts w:ascii="Times New Roman" w:cs="Times New Roman" w:eastAsia="Times New Roman" w:hAnsi="Times New Roman"/>
                <w:sz w:val="18"/>
                <w:szCs w:val="18"/>
                <w:b w:val="1"/>
                <w:bCs w:val="1"/>
                <w:color w:val="auto"/>
              </w:rPr>
              <w:t>89109</w:t>
            </w:r>
          </w:p>
        </w:tc>
        <w:tc>
          <w:tcPr>
            <w:tcW w:w="920" w:type="dxa"/>
            <w:vAlign w:val="bottom"/>
          </w:tcPr>
          <w:p>
            <w:pPr>
              <w:spacing w:after="0"/>
              <w:rPr>
                <w:sz w:val="19"/>
                <w:szCs w:val="19"/>
                <w:color w:val="auto"/>
              </w:rPr>
            </w:pPr>
          </w:p>
        </w:tc>
      </w:tr>
      <w:tr>
        <w:trPr>
          <w:trHeight w:val="185"/>
        </w:trPr>
        <w:tc>
          <w:tcPr>
            <w:tcW w:w="3340" w:type="dxa"/>
            <w:vAlign w:val="bottom"/>
            <w:gridSpan w:val="3"/>
          </w:tcPr>
          <w:p>
            <w:pPr>
              <w:jc w:val="center"/>
              <w:ind w:left="177"/>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52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34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670"/>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3720" w:type="dxa"/>
            <w:vAlign w:val="bottom"/>
            <w:gridSpan w:val="3"/>
          </w:tcPr>
          <w:p>
            <w:pPr>
              <w:jc w:val="center"/>
              <w:ind w:left="778"/>
              <w:spacing w:after="0"/>
              <w:rPr>
                <w:sz w:val="20"/>
                <w:szCs w:val="20"/>
                <w:color w:val="auto"/>
              </w:rPr>
            </w:pPr>
            <w:r>
              <w:rPr>
                <w:rFonts w:ascii="Times New Roman" w:cs="Times New Roman" w:eastAsia="Times New Roman" w:hAnsi="Times New Roman"/>
                <w:sz w:val="18"/>
                <w:szCs w:val="18"/>
                <w:b w:val="1"/>
                <w:bCs w:val="1"/>
                <w:color w:val="auto"/>
                <w:w w:val="97"/>
              </w:rPr>
              <w:t>(702) 770-7555</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5"/>
        </w:trPr>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380" w:type="dxa"/>
            <w:vAlign w:val="bottom"/>
            <w:gridSpan w:val="5"/>
          </w:tcPr>
          <w:p>
            <w:pPr>
              <w:jc w:val="center"/>
              <w:ind w:right="3860"/>
              <w:spacing w:after="0"/>
              <w:rPr>
                <w:sz w:val="20"/>
                <w:szCs w:val="20"/>
                <w:color w:val="auto"/>
              </w:rPr>
            </w:pPr>
            <w:r>
              <w:rPr>
                <w:rFonts w:ascii="Times New Roman" w:cs="Times New Roman" w:eastAsia="Times New Roman" w:hAnsi="Times New Roman"/>
                <w:sz w:val="14"/>
                <w:szCs w:val="14"/>
                <w:b w:val="1"/>
                <w:bCs w:val="1"/>
                <w:color w:val="auto"/>
                <w:w w:val="99"/>
              </w:rPr>
              <w:t>(Registrant’s telephone number, including area code)</w:t>
            </w:r>
          </w:p>
        </w:tc>
      </w:tr>
      <w:tr>
        <w:trPr>
          <w:trHeight w:val="407"/>
        </w:trPr>
        <w:tc>
          <w:tcPr>
            <w:tcW w:w="86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0" w:type="dxa"/>
            <w:vAlign w:val="bottom"/>
            <w:gridSpan w:val="2"/>
          </w:tcPr>
          <w:p>
            <w:pPr>
              <w:jc w:val="center"/>
              <w:ind w:left="241"/>
              <w:spacing w:after="0"/>
              <w:rPr>
                <w:sz w:val="20"/>
                <w:szCs w:val="20"/>
                <w:color w:val="auto"/>
              </w:rPr>
            </w:pPr>
            <w:r>
              <w:rPr>
                <w:rFonts w:ascii="Times New Roman" w:cs="Times New Roman" w:eastAsia="Times New Roman" w:hAnsi="Times New Roman"/>
                <w:sz w:val="18"/>
                <w:szCs w:val="18"/>
                <w:b w:val="1"/>
                <w:bCs w:val="1"/>
                <w:color w:val="auto"/>
                <w:w w:val="96"/>
              </w:rPr>
              <w:t>Not Applicable</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85"/>
        </w:trPr>
        <w:tc>
          <w:tcPr>
            <w:tcW w:w="86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7900" w:type="dxa"/>
            <w:vAlign w:val="bottom"/>
            <w:gridSpan w:val="6"/>
          </w:tcPr>
          <w:p>
            <w:pPr>
              <w:jc w:val="center"/>
              <w:ind w:right="3340"/>
              <w:spacing w:after="0"/>
              <w:rPr>
                <w:sz w:val="20"/>
                <w:szCs w:val="20"/>
                <w:color w:val="auto"/>
              </w:rPr>
            </w:pPr>
            <w:r>
              <w:rPr>
                <w:rFonts w:ascii="Times New Roman" w:cs="Times New Roman" w:eastAsia="Times New Roman" w:hAnsi="Times New Roman"/>
                <w:sz w:val="14"/>
                <w:szCs w:val="14"/>
                <w:b w:val="1"/>
                <w:bCs w:val="1"/>
                <w:color w:val="auto"/>
              </w:rPr>
              <w:t>(Former name or former address, if changed since last report)</w:t>
            </w:r>
          </w:p>
        </w:tc>
      </w:tr>
      <w:tr>
        <w:trPr>
          <w:trHeight w:val="24"/>
        </w:trPr>
        <w:tc>
          <w:tcPr>
            <w:tcW w:w="86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242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572"/>
        </w:trPr>
        <w:tc>
          <w:tcPr>
            <w:tcW w:w="706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tc>
        <w:tc>
          <w:tcPr>
            <w:tcW w:w="84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211"/>
        </w:trPr>
        <w:tc>
          <w:tcPr>
            <w:tcW w:w="860" w:type="dxa"/>
            <w:vAlign w:val="bottom"/>
          </w:tcPr>
          <w:p>
            <w:pPr>
              <w:spacing w:after="0"/>
              <w:rPr>
                <w:sz w:val="18"/>
                <w:szCs w:val="18"/>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Title of each class</w:t>
            </w:r>
          </w:p>
        </w:tc>
        <w:tc>
          <w:tcPr>
            <w:tcW w:w="11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0" w:type="dxa"/>
            <w:vAlign w:val="bottom"/>
            <w:gridSpan w:val="2"/>
          </w:tcPr>
          <w:p>
            <w:pPr>
              <w:jc w:val="center"/>
              <w:ind w:right="1800"/>
              <w:spacing w:after="0"/>
              <w:rPr>
                <w:sz w:val="20"/>
                <w:szCs w:val="20"/>
                <w:color w:val="auto"/>
              </w:rPr>
            </w:pPr>
            <w:r>
              <w:rPr>
                <w:rFonts w:ascii="Times New Roman" w:cs="Times New Roman" w:eastAsia="Times New Roman" w:hAnsi="Times New Roman"/>
                <w:sz w:val="18"/>
                <w:szCs w:val="18"/>
                <w:b w:val="1"/>
                <w:bCs w:val="1"/>
                <w:color w:val="auto"/>
                <w:w w:val="96"/>
              </w:rPr>
              <w:t>Trading Symbol(s)</w:t>
            </w:r>
          </w:p>
        </w:tc>
        <w:tc>
          <w:tcPr>
            <w:tcW w:w="4180" w:type="dxa"/>
            <w:vAlign w:val="bottom"/>
            <w:gridSpan w:val="3"/>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7"/>
              </w:rPr>
              <w:t>Name of each exchange on which registered</w:t>
            </w:r>
          </w:p>
        </w:tc>
      </w:tr>
      <w:tr>
        <w:trPr>
          <w:trHeight w:val="20"/>
        </w:trPr>
        <w:tc>
          <w:tcPr>
            <w:tcW w:w="860" w:type="dxa"/>
            <w:vAlign w:val="bottom"/>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60" w:type="dxa"/>
            <w:vAlign w:val="bottom"/>
            <w:gridSpan w:val="2"/>
            <w:shd w:val="clear" w:color="auto" w:fill="000000"/>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r>
      <w:tr>
        <w:trPr>
          <w:trHeight w:val="243"/>
        </w:trPr>
        <w:tc>
          <w:tcPr>
            <w:tcW w:w="3340" w:type="dxa"/>
            <w:vAlign w:val="bottom"/>
            <w:gridSpan w:val="3"/>
          </w:tcPr>
          <w:p>
            <w:pPr>
              <w:jc w:val="center"/>
              <w:ind w:right="300"/>
              <w:spacing w:after="0"/>
              <w:rPr>
                <w:sz w:val="20"/>
                <w:szCs w:val="20"/>
                <w:color w:val="auto"/>
              </w:rPr>
            </w:pPr>
            <w:r>
              <w:rPr>
                <w:rFonts w:ascii="Times New Roman" w:cs="Times New Roman" w:eastAsia="Times New Roman" w:hAnsi="Times New Roman"/>
                <w:sz w:val="18"/>
                <w:szCs w:val="18"/>
                <w:color w:val="auto"/>
                <w:w w:val="97"/>
              </w:rPr>
              <w:t>Common stock, par value $0.01</w:t>
            </w:r>
          </w:p>
        </w:tc>
        <w:tc>
          <w:tcPr>
            <w:tcW w:w="520" w:type="dxa"/>
            <w:vAlign w:val="bottom"/>
          </w:tcPr>
          <w:p>
            <w:pPr>
              <w:spacing w:after="0"/>
              <w:rPr>
                <w:sz w:val="21"/>
                <w:szCs w:val="21"/>
                <w:color w:val="auto"/>
              </w:rPr>
            </w:pPr>
          </w:p>
        </w:tc>
        <w:tc>
          <w:tcPr>
            <w:tcW w:w="3200" w:type="dxa"/>
            <w:vAlign w:val="bottom"/>
            <w:gridSpan w:val="2"/>
          </w:tcPr>
          <w:p>
            <w:pPr>
              <w:jc w:val="center"/>
              <w:ind w:right="1780"/>
              <w:spacing w:after="0"/>
              <w:rPr>
                <w:sz w:val="20"/>
                <w:szCs w:val="20"/>
                <w:color w:val="auto"/>
              </w:rPr>
            </w:pPr>
            <w:r>
              <w:rPr>
                <w:rFonts w:ascii="Times New Roman" w:cs="Times New Roman" w:eastAsia="Times New Roman" w:hAnsi="Times New Roman"/>
                <w:sz w:val="18"/>
                <w:szCs w:val="18"/>
                <w:color w:val="auto"/>
                <w:w w:val="96"/>
              </w:rPr>
              <w:t>WYNN</w:t>
            </w:r>
          </w:p>
        </w:tc>
        <w:tc>
          <w:tcPr>
            <w:tcW w:w="4180" w:type="dxa"/>
            <w:vAlign w:val="bottom"/>
            <w:gridSpan w:val="3"/>
          </w:tcPr>
          <w:p>
            <w:pPr>
              <w:jc w:val="center"/>
              <w:ind w:right="940"/>
              <w:spacing w:after="0"/>
              <w:rPr>
                <w:sz w:val="20"/>
                <w:szCs w:val="20"/>
                <w:color w:val="auto"/>
              </w:rPr>
            </w:pPr>
            <w:r>
              <w:rPr>
                <w:rFonts w:ascii="Times New Roman" w:cs="Times New Roman" w:eastAsia="Times New Roman" w:hAnsi="Times New Roman"/>
                <w:sz w:val="18"/>
                <w:szCs w:val="18"/>
                <w:color w:val="auto"/>
                <w:w w:val="97"/>
              </w:rPr>
              <w:t>Nasdaq Global Select Market</w:t>
            </w:r>
          </w:p>
        </w:tc>
      </w:tr>
      <w:tr>
        <w:trPr>
          <w:trHeight w:val="204"/>
        </w:trPr>
        <w:tc>
          <w:tcPr>
            <w:tcW w:w="860" w:type="dxa"/>
            <w:vAlign w:val="bottom"/>
            <w:tcBorders>
              <w:bottom w:val="single" w:sz="8" w:color="auto"/>
            </w:tcBorders>
          </w:tcPr>
          <w:p>
            <w:pPr>
              <w:spacing w:after="0"/>
              <w:rPr>
                <w:sz w:val="17"/>
                <w:szCs w:val="17"/>
                <w:color w:val="auto"/>
              </w:rPr>
            </w:pPr>
          </w:p>
        </w:tc>
        <w:tc>
          <w:tcPr>
            <w:tcW w:w="13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4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r>
    </w:tbl>
    <w:p>
      <w:pPr>
        <w:spacing w:after="0" w:line="324" w:lineRule="exact"/>
        <w:rPr>
          <w:sz w:val="24"/>
          <w:szCs w:val="24"/>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6"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3" w:lineRule="exact"/>
        <w:rPr>
          <w:rFonts w:ascii="MS PGothic" w:cs="MS PGothic" w:eastAsia="MS PGothic" w:hAnsi="MS PGothic"/>
          <w:sz w:val="18"/>
          <w:szCs w:val="18"/>
          <w:color w:val="auto"/>
        </w:rPr>
      </w:pPr>
    </w:p>
    <w:p>
      <w:pPr>
        <w:ind w:left="360" w:hanging="355"/>
        <w:spacing w:after="0"/>
        <w:tabs>
          <w:tab w:leader="none" w:pos="3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7" w:lineRule="exact"/>
        <w:rPr>
          <w:sz w:val="24"/>
          <w:szCs w:val="24"/>
          <w:color w:val="auto"/>
        </w:rPr>
      </w:pPr>
    </w:p>
    <w:p>
      <w:pPr>
        <w:spacing w:after="0" w:line="24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 w:lineRule="exact"/>
        <w:rPr>
          <w:sz w:val="24"/>
          <w:szCs w:val="24"/>
          <w:color w:val="auto"/>
        </w:rPr>
      </w:pPr>
    </w:p>
    <w:p>
      <w:pPr>
        <w:spacing w:after="0" w:line="224"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671830</wp:posOffset>
            </wp:positionV>
            <wp:extent cx="7160895" cy="4191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60895" cy="41910"/>
                    </a:xfrm>
                    <a:prstGeom prst="rect">
                      <a:avLst/>
                    </a:prstGeom>
                    <a:noFill/>
                  </pic:spPr>
                </pic:pic>
              </a:graphicData>
            </a:graphic>
          </wp:anchor>
        </w:drawing>
      </w:r>
    </w:p>
    <w:p>
      <w:pPr>
        <w:sectPr>
          <w:pgSz w:w="11900" w:h="16838" w:orient="portrait"/>
          <w:cols w:equalWidth="0" w:num="1">
            <w:col w:w="11240"/>
          </w:cols>
          <w:pgMar w:left="320" w:top="1027" w:right="339" w:bottom="1440" w:gutter="0" w:footer="0" w:header="0"/>
        </w:sectPr>
      </w:pPr>
    </w:p>
    <w:bookmarkStart w:id="1" w:name="page2"/>
    <w:bookmarkEnd w:id="1"/>
    <w:p>
      <w:pPr>
        <w:ind w:left="2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6"/>
          <w:szCs w:val="16"/>
          <w:b w:val="1"/>
          <w:bCs w:val="1"/>
          <w:color w:val="auto"/>
        </w:rPr>
        <w:t>Results of Operations and Financial Condition.</w:t>
      </w:r>
    </w:p>
    <w:p>
      <w:pPr>
        <w:spacing w:after="0" w:line="203" w:lineRule="exact"/>
        <w:rPr>
          <w:sz w:val="20"/>
          <w:szCs w:val="20"/>
          <w:color w:val="auto"/>
        </w:rPr>
      </w:pPr>
    </w:p>
    <w:p>
      <w:pPr>
        <w:jc w:val="both"/>
        <w:ind w:firstLine="434"/>
        <w:spacing w:after="0" w:line="293" w:lineRule="auto"/>
        <w:rPr>
          <w:sz w:val="20"/>
          <w:szCs w:val="20"/>
          <w:color w:val="auto"/>
        </w:rPr>
      </w:pPr>
      <w:r>
        <w:rPr>
          <w:rFonts w:ascii="Times New Roman" w:cs="Times New Roman" w:eastAsia="Times New Roman" w:hAnsi="Times New Roman"/>
          <w:sz w:val="16"/>
          <w:szCs w:val="16"/>
          <w:color w:val="auto"/>
        </w:rPr>
        <w:t>On August 6, 2024, Wynn Resorts, Limited (the "Company") issued a press release announcing its results of operations for the quarter ended June 30, 2024. The press release is furnished herewith as Exhibit 99.1. The information furnished under Items 2.02 and 7.01 of this report, including Exhibit 99.1 attached hereto, shall not be deemed “filed” for purposes of Section 18 of the Securities Exchange Act of 1934, as amended, nor shall it be deemed incorporated by reference in any filing under the Securities Act of 1933, as amended, except as shall be expressly set forth by specific reference in such filing.</w:t>
      </w:r>
    </w:p>
    <w:p>
      <w:pPr>
        <w:spacing w:after="0" w:line="86" w:lineRule="exact"/>
        <w:rPr>
          <w:sz w:val="20"/>
          <w:szCs w:val="20"/>
          <w:color w:val="auto"/>
        </w:rPr>
      </w:pPr>
    </w:p>
    <w:p>
      <w:pPr>
        <w:ind w:left="2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7.01</w:t>
      </w:r>
      <w:r>
        <w:rPr>
          <w:sz w:val="20"/>
          <w:szCs w:val="20"/>
          <w:color w:val="auto"/>
        </w:rPr>
        <w:tab/>
      </w:r>
      <w:r>
        <w:rPr>
          <w:rFonts w:ascii="Times New Roman" w:cs="Times New Roman" w:eastAsia="Times New Roman" w:hAnsi="Times New Roman"/>
          <w:sz w:val="16"/>
          <w:szCs w:val="16"/>
          <w:b w:val="1"/>
          <w:bCs w:val="1"/>
          <w:color w:val="auto"/>
        </w:rPr>
        <w:t>Regulation FD Disclosure.</w:t>
      </w:r>
    </w:p>
    <w:p>
      <w:pPr>
        <w:spacing w:after="0" w:line="19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information set forth under Item 2.02 of this report is incorporated herein by reference.</w:t>
      </w:r>
    </w:p>
    <w:p>
      <w:pPr>
        <w:spacing w:after="0" w:line="146" w:lineRule="exact"/>
        <w:rPr>
          <w:sz w:val="20"/>
          <w:szCs w:val="20"/>
          <w:color w:val="auto"/>
        </w:rPr>
      </w:pPr>
    </w:p>
    <w:p>
      <w:pPr>
        <w:ind w:left="20"/>
        <w:spacing w:after="0"/>
        <w:tabs>
          <w:tab w:leader="none" w:pos="134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6"/>
          <w:szCs w:val="16"/>
          <w:b w:val="1"/>
          <w:bCs w:val="1"/>
          <w:color w:val="auto"/>
        </w:rPr>
        <w:t>Other Events.</w:t>
      </w:r>
    </w:p>
    <w:p>
      <w:pPr>
        <w:spacing w:after="0" w:line="203"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On August 6, 2024, the Company announced that its Board of Directors declared a quarterly cash dividend of $0.25 per share, payable on August 30, 2024 to stockholders of record as of August 19, 2024.</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Item 9.01</w:t>
            </w: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Financial Statements and Exhibits.</w:t>
            </w:r>
          </w:p>
        </w:tc>
      </w:tr>
      <w:tr>
        <w:trPr>
          <w:trHeight w:val="303"/>
        </w:trPr>
        <w:tc>
          <w:tcPr>
            <w:tcW w:w="20" w:type="dxa"/>
            <w:vAlign w:val="bottom"/>
          </w:tcPr>
          <w:p>
            <w:pPr>
              <w:spacing w:after="0"/>
              <w:rPr>
                <w:sz w:val="24"/>
                <w:szCs w:val="24"/>
                <w:color w:val="auto"/>
              </w:rPr>
            </w:pPr>
          </w:p>
        </w:tc>
        <w:tc>
          <w:tcPr>
            <w:tcW w:w="134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rPr>
              <w:t>(d) Exhibits.</w:t>
            </w:r>
          </w:p>
        </w:tc>
        <w:tc>
          <w:tcPr>
            <w:tcW w:w="68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5440" w:type="dxa"/>
            <w:vAlign w:val="bottom"/>
          </w:tcPr>
          <w:p>
            <w:pPr>
              <w:spacing w:after="0"/>
              <w:rPr>
                <w:sz w:val="24"/>
                <w:szCs w:val="24"/>
                <w:color w:val="auto"/>
              </w:rPr>
            </w:pPr>
          </w:p>
        </w:tc>
      </w:tr>
      <w:tr>
        <w:trPr>
          <w:trHeight w:val="172"/>
        </w:trPr>
        <w:tc>
          <w:tcPr>
            <w:tcW w:w="20" w:type="dxa"/>
            <w:vAlign w:val="bottom"/>
          </w:tcPr>
          <w:p>
            <w:pPr>
              <w:spacing w:after="0"/>
              <w:rPr>
                <w:sz w:val="14"/>
                <w:szCs w:val="14"/>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9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0"/>
        </w:trPr>
        <w:tc>
          <w:tcPr>
            <w:tcW w:w="2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5440" w:type="dxa"/>
            <w:vAlign w:val="bottom"/>
          </w:tcPr>
          <w:p>
            <w:pPr>
              <w:spacing w:after="0" w:line="20" w:lineRule="exact"/>
              <w:rPr>
                <w:sz w:val="1"/>
                <w:szCs w:val="1"/>
                <w:color w:val="auto"/>
              </w:rPr>
            </w:pPr>
          </w:p>
        </w:tc>
      </w:tr>
      <w:tr>
        <w:trPr>
          <w:trHeight w:val="269"/>
        </w:trPr>
        <w:tc>
          <w:tcPr>
            <w:tcW w:w="20" w:type="dxa"/>
            <w:vAlign w:val="bottom"/>
          </w:tcPr>
          <w:p>
            <w:pPr>
              <w:spacing w:after="0"/>
              <w:rPr>
                <w:sz w:val="23"/>
                <w:szCs w:val="23"/>
                <w:color w:val="auto"/>
              </w:rPr>
            </w:pPr>
          </w:p>
        </w:tc>
        <w:tc>
          <w:tcPr>
            <w:tcW w:w="680" w:type="dxa"/>
            <w:vAlign w:val="bottom"/>
          </w:tcPr>
          <w:p>
            <w:pPr>
              <w:spacing w:after="0"/>
              <w:rPr>
                <w:sz w:val="20"/>
                <w:szCs w:val="20"/>
                <w:color w:val="auto"/>
              </w:rPr>
            </w:pPr>
            <w:r>
              <w:rPr>
                <w:rFonts w:ascii="Times New Roman" w:cs="Times New Roman" w:eastAsia="Times New Roman" w:hAnsi="Times New Roman"/>
                <w:sz w:val="18"/>
                <w:szCs w:val="18"/>
                <w:color w:val="auto"/>
              </w:rPr>
              <w:t>99.1</w:t>
            </w:r>
          </w:p>
        </w:tc>
        <w:tc>
          <w:tcPr>
            <w:tcW w:w="660" w:type="dxa"/>
            <w:vAlign w:val="bottom"/>
          </w:tcPr>
          <w:p>
            <w:pPr>
              <w:spacing w:after="0"/>
              <w:rPr>
                <w:sz w:val="23"/>
                <w:szCs w:val="23"/>
                <w:color w:val="auto"/>
              </w:rPr>
            </w:pPr>
          </w:p>
        </w:tc>
        <w:tc>
          <w:tcPr>
            <w:tcW w:w="4440" w:type="dxa"/>
            <w:vAlign w:val="bottom"/>
            <w:tcBorders>
              <w:bottom w:val="single" w:sz="8" w:color="0000FF"/>
            </w:tcBorders>
            <w:gridSpan w:val="2"/>
          </w:tcPr>
          <w:p>
            <w:pPr>
              <w:spacing w:after="0"/>
              <w:rPr>
                <w:sz w:val="20"/>
                <w:szCs w:val="20"/>
                <w:color w:val="auto"/>
              </w:rPr>
            </w:pPr>
            <w:r>
              <w:rPr>
                <w:rFonts w:ascii="Times New Roman" w:cs="Times New Roman" w:eastAsia="Times New Roman" w:hAnsi="Times New Roman"/>
                <w:sz w:val="18"/>
                <w:szCs w:val="18"/>
                <w:color w:val="0000FF"/>
                <w:w w:val="96"/>
              </w:rPr>
              <w:t>Press release, dated August 6, 2024, of Wynn Resorts, Limited.</w:t>
            </w:r>
          </w:p>
        </w:tc>
        <w:tc>
          <w:tcPr>
            <w:tcW w:w="5440" w:type="dxa"/>
            <w:vAlign w:val="bottom"/>
          </w:tcPr>
          <w:p>
            <w:pPr>
              <w:spacing w:after="0"/>
              <w:rPr>
                <w:sz w:val="23"/>
                <w:szCs w:val="23"/>
                <w:color w:val="auto"/>
              </w:rPr>
            </w:pPr>
          </w:p>
        </w:tc>
      </w:tr>
      <w:tr>
        <w:trPr>
          <w:trHeight w:val="243"/>
        </w:trPr>
        <w:tc>
          <w:tcPr>
            <w:tcW w:w="70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tcPr>
          <w:p>
            <w:pPr>
              <w:spacing w:after="0"/>
              <w:rPr>
                <w:sz w:val="21"/>
                <w:szCs w:val="21"/>
                <w:color w:val="auto"/>
              </w:rPr>
            </w:pPr>
          </w:p>
        </w:tc>
        <w:tc>
          <w:tcPr>
            <w:tcW w:w="98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1178"/>
        </w:trPr>
        <w:tc>
          <w:tcPr>
            <w:tcW w:w="2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c>
          <w:tcPr>
            <w:tcW w:w="680" w:type="dxa"/>
            <w:vAlign w:val="bottom"/>
            <w:tcBorders>
              <w:bottom w:val="single" w:sz="8" w:color="9A9A9A"/>
            </w:tcBorders>
          </w:tcPr>
          <w:p>
            <w:pPr>
              <w:spacing w:after="0"/>
              <w:rPr>
                <w:sz w:val="24"/>
                <w:szCs w:val="24"/>
                <w:color w:val="auto"/>
              </w:rPr>
            </w:pPr>
          </w:p>
        </w:tc>
        <w:tc>
          <w:tcPr>
            <w:tcW w:w="3760" w:type="dxa"/>
            <w:vAlign w:val="bottom"/>
            <w:tcBorders>
              <w:bottom w:val="single" w:sz="8" w:color="9A9A9A"/>
            </w:tcBorders>
          </w:tcPr>
          <w:p>
            <w:pPr>
              <w:spacing w:after="0"/>
              <w:rPr>
                <w:sz w:val="24"/>
                <w:szCs w:val="24"/>
                <w:color w:val="auto"/>
              </w:rPr>
            </w:pPr>
          </w:p>
        </w:tc>
        <w:tc>
          <w:tcPr>
            <w:tcW w:w="5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7118350</wp:posOffset>
            </wp:positionH>
            <wp:positionV relativeFrom="paragraph">
              <wp:posOffset>-28575</wp:posOffset>
            </wp:positionV>
            <wp:extent cx="33655" cy="4191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3655" cy="41910"/>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-28575</wp:posOffset>
            </wp:positionV>
            <wp:extent cx="33655" cy="419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55" cy="41910"/>
                    </a:xfrm>
                    <a:prstGeom prst="rect">
                      <a:avLst/>
                    </a:prstGeom>
                    <a:noFill/>
                  </pic:spPr>
                </pic:pic>
              </a:graphicData>
            </a:graphic>
          </wp:anchor>
        </w:drawing>
      </w:r>
    </w:p>
    <w:p>
      <w:pPr>
        <w:sectPr>
          <w:pgSz w:w="11900" w:h="16838" w:orient="portrait"/>
          <w:cols w:equalWidth="0" w:num="1">
            <w:col w:w="11240"/>
          </w:cols>
          <w:pgMar w:left="320" w:top="909"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434"/>
        <w:spacing w:after="0" w:line="268"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54"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b w:val="1"/>
          <w:bCs w:val="1"/>
          <w:color w:val="auto"/>
        </w:rPr>
        <w:t>WYNN RESORTS, LIMITED</w:t>
      </w:r>
    </w:p>
    <w:p>
      <w:pPr>
        <w:spacing w:after="0" w:line="71" w:lineRule="exact"/>
        <w:rPr>
          <w:sz w:val="20"/>
          <w:szCs w:val="20"/>
          <w:color w:val="auto"/>
        </w:rPr>
      </w:pPr>
    </w:p>
    <w:p>
      <w:pPr>
        <w:ind w:left="460"/>
        <w:spacing w:after="0"/>
        <w:tabs>
          <w:tab w:leader="none" w:pos="6860" w:val="left"/>
          <w:tab w:leader="none" w:pos="7600" w:val="left"/>
        </w:tabs>
        <w:rPr>
          <w:sz w:val="20"/>
          <w:szCs w:val="20"/>
          <w:color w:val="auto"/>
        </w:rPr>
      </w:pPr>
      <w:r>
        <w:rPr>
          <w:rFonts w:ascii="Times New Roman" w:cs="Times New Roman" w:eastAsia="Times New Roman" w:hAnsi="Times New Roman"/>
          <w:sz w:val="18"/>
          <w:szCs w:val="18"/>
          <w:color w:val="auto"/>
        </w:rPr>
        <w:t>Dated: August 6, 2024</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6"/>
          <w:szCs w:val="16"/>
          <w:color w:val="auto"/>
        </w:rPr>
        <w:t>/s/ Julie Cameron-Doe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4758055</wp:posOffset>
            </wp:positionH>
            <wp:positionV relativeFrom="paragraph">
              <wp:posOffset>13970</wp:posOffset>
            </wp:positionV>
            <wp:extent cx="244284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42845" cy="8255"/>
                    </a:xfrm>
                    <a:prstGeom prst="rect">
                      <a:avLst/>
                    </a:prstGeom>
                    <a:noFill/>
                  </pic:spPr>
                </pic:pic>
              </a:graphicData>
            </a:graphic>
          </wp:anchor>
        </w:drawing>
      </w:r>
    </w:p>
    <w:p>
      <w:pPr>
        <w:spacing w:after="0" w:line="10"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Julie Cameron-Doe</w:t>
      </w:r>
    </w:p>
    <w:p>
      <w:pPr>
        <w:spacing w:after="0" w:line="21" w:lineRule="exact"/>
        <w:rPr>
          <w:sz w:val="20"/>
          <w:szCs w:val="20"/>
          <w:color w:val="auto"/>
        </w:rPr>
      </w:pPr>
    </w:p>
    <w:p>
      <w:pPr>
        <w:ind w:left="762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240"/>
          </w:cols>
          <w:pgMar w:left="320" w:top="869"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Reports Second Quarter 2024 Results</w:t>
      </w:r>
    </w:p>
    <w:p>
      <w:pPr>
        <w:spacing w:after="0" w:line="242"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LAS VEGAS, August 6, 2024 — Wynn Resorts, Limited (NASDAQ: WYNN) ("Wynn Resorts" or the "Company") today reported financial results for the second quarter ended June 30, 2024.</w:t>
      </w:r>
    </w:p>
    <w:p>
      <w:pPr>
        <w:spacing w:after="0" w:line="196" w:lineRule="exact"/>
        <w:rPr>
          <w:sz w:val="20"/>
          <w:szCs w:val="20"/>
          <w:color w:val="auto"/>
        </w:rPr>
      </w:pPr>
    </w:p>
    <w:p>
      <w:pPr>
        <w:jc w:val="both"/>
        <w:spacing w:after="0" w:line="228" w:lineRule="auto"/>
        <w:rPr>
          <w:sz w:val="20"/>
          <w:szCs w:val="20"/>
          <w:color w:val="auto"/>
        </w:rPr>
      </w:pPr>
      <w:r>
        <w:rPr>
          <w:rFonts w:ascii="Times New Roman" w:cs="Times New Roman" w:eastAsia="Times New Roman" w:hAnsi="Times New Roman"/>
          <w:sz w:val="18"/>
          <w:szCs w:val="18"/>
          <w:color w:val="auto"/>
        </w:rPr>
        <w:t>Operating revenues were $1.73 billion for the second quarter of 2024, an increase of $137.1 million from $1.60 billion for the second quarter of 2023. Net income attributable to Wynn Resorts, Limited was $111.9 million for the second quarter of 2024, compared to net income attributable to Wynn Resorts, Limited of $105.2 million for the second quarter of 2023. Diluted net income per share was $0.91 for the second quarter of 2024, compared to diluted net income per share of $0.84 for the second quarter of 2023. Adjusted Property EBITDAR</w:t>
      </w:r>
      <w:r>
        <w:rPr>
          <w:rFonts w:ascii="Times New Roman" w:cs="Times New Roman" w:eastAsia="Times New Roman" w:hAnsi="Times New Roman"/>
          <w:sz w:val="22"/>
          <w:szCs w:val="22"/>
          <w:color w:val="auto"/>
          <w:vertAlign w:val="superscript"/>
        </w:rPr>
        <w:t>(1)</w:t>
      </w:r>
      <w:r>
        <w:rPr>
          <w:rFonts w:ascii="Times New Roman" w:cs="Times New Roman" w:eastAsia="Times New Roman" w:hAnsi="Times New Roman"/>
          <w:sz w:val="18"/>
          <w:szCs w:val="18"/>
          <w:color w:val="auto"/>
        </w:rPr>
        <w:t xml:space="preserve"> was $571.7 million for the second quarter of 2024, compared to Adjusted Property EBITDAR of $524.5 million for the second quarter of 2023.</w:t>
      </w:r>
    </w:p>
    <w:p>
      <w:pPr>
        <w:spacing w:after="0" w:line="223"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color w:val="auto"/>
        </w:rPr>
        <w:t>"Our second quarter results, including a new second quarter record for Adjusted Property EBITDAR, reflect continued strength throughout our business. I am incredibly proud of our teams in Las Vegas, Macau and Boston," said Craig Billings, CEO of Wynn Resorts, Limited. "Importantly, we continue to invest in growing the business, with construction on Wynn Al Marjan Island in the UAE progressing at a rapid pace. During the quarter, we also finalized a transaction to acquire our pro-rata share of the land on Al Marjan Island Three, including a sizable land bank for potential future development opportunities for Wynn Resorts or for selected third parties complementary to Wynn Al Marjan."</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w:t>
      </w:r>
    </w:p>
    <w:p>
      <w:pPr>
        <w:spacing w:after="0" w:line="11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Operating revenues were $1.73 billion for the second quarter of 2024, an increase of $137.1 million from $1.60 billion for the second quarter of 2023. For the second quarter of 2024, operating revenues increased $79.7 million, $35.7 million, $50.6 million at Wynn Palace, Wynn Macau, and our Las Vegas Operations, respectively, and decreased $9.3 million at Encore Boston Harbor, from the second quarter of 2023.</w:t>
      </w:r>
    </w:p>
    <w:p>
      <w:pPr>
        <w:spacing w:after="0" w:line="206" w:lineRule="exact"/>
        <w:rPr>
          <w:sz w:val="20"/>
          <w:szCs w:val="20"/>
          <w:color w:val="auto"/>
        </w:rPr>
      </w:pPr>
    </w:p>
    <w:p>
      <w:pPr>
        <w:jc w:val="both"/>
        <w:spacing w:after="0" w:line="237" w:lineRule="auto"/>
        <w:rPr>
          <w:sz w:val="20"/>
          <w:szCs w:val="20"/>
          <w:color w:val="auto"/>
        </w:rPr>
      </w:pPr>
      <w:r>
        <w:rPr>
          <w:rFonts w:ascii="Times New Roman" w:cs="Times New Roman" w:eastAsia="Times New Roman" w:hAnsi="Times New Roman"/>
          <w:sz w:val="18"/>
          <w:szCs w:val="18"/>
          <w:color w:val="auto"/>
        </w:rPr>
        <w:t>Net income attributable to Wynn Resorts, Limited was $111.9 million for the second quarter of 2024, compared to net income attributable to Wynn Resorts, Limited of $105.2 million for the second quarter of 2023. Diluted net income per share was $0.91 for the second quarter of 2024, compared to diluted net income per share of $0.84 for the second quarter of 2023. Adjusted net income attributable to Wynn Resorts, Limited</w:t>
      </w:r>
      <w:r>
        <w:rPr>
          <w:rFonts w:ascii="Times New Roman" w:cs="Times New Roman" w:eastAsia="Times New Roman" w:hAnsi="Times New Roman"/>
          <w:sz w:val="22"/>
          <w:szCs w:val="22"/>
          <w:color w:val="auto"/>
          <w:vertAlign w:val="superscript"/>
        </w:rPr>
        <w:t>(2)</w:t>
      </w:r>
      <w:r>
        <w:rPr>
          <w:rFonts w:ascii="Times New Roman" w:cs="Times New Roman" w:eastAsia="Times New Roman" w:hAnsi="Times New Roman"/>
          <w:sz w:val="18"/>
          <w:szCs w:val="18"/>
          <w:color w:val="auto"/>
        </w:rPr>
        <w:t xml:space="preserve"> was $124.5 million, or $1.12 per diluted share, for the second quarter of 2024, compared to adjusted net income attributable to Wynn Resorts, Limited of $103.3 million, or $0.91 per diluted share, for the second quarter of 2023.</w:t>
      </w:r>
    </w:p>
    <w:p>
      <w:pPr>
        <w:spacing w:after="0" w:line="22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Adjusted Property EBITDAR was $571.7 million for the second quarter of 2024, an increase of $47.2 million compared to Adjusted Property EBITDAR of $524.5 million for the second quarter of 2023. For the second quarter of 2024, Adjusted Property EBITDAR increased $27.9 million, $6.3 million, and $6.2 million at Wynn Palace, Wynn Macau, and our Las Vegas Operations, respectively, and decreased $7.0 million at Encore Boston Harbor, from the second quarter of 2023.</w:t>
      </w:r>
    </w:p>
    <w:p>
      <w:pPr>
        <w:spacing w:after="0" w:line="210"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Wynn Resorts, Limited also announced today that its Board of Directors has declared a cash dividend of $0.25 per share, payable on August 30, 2024 to stockholders of record as of August 19, 2024.</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Property Results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Macau Operations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Wynn Palace</w:t>
      </w:r>
    </w:p>
    <w:p>
      <w:pPr>
        <w:spacing w:after="0" w:line="1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Operating revenues from Wynn Palace were $548.0 million for the second quarter of 2024, an increase of $79.7 million from $468.4 million for the second quarter of 2023. Adjusted Property EBITDAR from Wynn Palace was $184.5 million for the second quarter of 2024, compared to $156.6 million for the second quarter of 2023. Table games win percentage in mass market operations was 23.6%, above the 20.3% experienced in the second quarter of 2023. VIP table games win as a percentage of turnover was 4.10%, above the property's expected range of 3.1% to 3.4% and below the 4.24% experienced in the second quarter of 2023.</w:t>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240"/>
          </w:cols>
          <w:pgMar w:left="320" w:top="86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i w:val="1"/>
          <w:iCs w:val="1"/>
          <w:color w:val="auto"/>
        </w:rPr>
        <w:t>Wynn Macau</w:t>
      </w:r>
    </w:p>
    <w:p>
      <w:pPr>
        <w:spacing w:after="0" w:line="1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Operating revenues from Wynn Macau were $337.3 million for the second quarter of 2024, an increase of $35.7 million from $301.6 million for the second quarter of 2023. Adjusted Property EBITDAR from Wynn Macau was $95.9 million for the second quarter of 2024, compared to $89.6 million for the second quarter of 2023. Table games win percentage in mass market operations was 17.5%, below the 17.7% experienced in the second quarter of 2023. VIP table games win as a percentage of turnover was 2.19%, below the property's expected range of 3.1% to 3.4% and below the 4.16% experienced in the second quarter of 2023.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Las Vegas Operations</w:t>
      </w:r>
    </w:p>
    <w:p>
      <w:pPr>
        <w:spacing w:after="0" w:line="1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Operating revenues from our Las Vegas Operations were $628.7 million for the second quarter of 2024, an increase of $50.6 million from $578.1 million for the second quarter of 2023. Adjusted Property EBITDAR from our Las Vegas Operations for the second quarter of 2024 was $230.3 million, compared to $224.1 million for the second quarter of 2023. Table games win percentage for the second quarter of 2024 was 21.9%, slightly below the property's expected range of 22% to 26% and below the 22.9% experienced in the second quarter of 2023.</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Encore Boston Harbor</w:t>
      </w:r>
    </w:p>
    <w:p>
      <w:pPr>
        <w:spacing w:after="0" w:line="113"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Operating revenues from Encore Boston Harbor were $212.6 million for the second quarter of 2024, a decrease of $9.3 million from $221.9 million for the second quarter of 2023. Adjusted Property EBITDAR from Encore Boston Harbor for the second quarter of 2024 was $62.1 million, compared to $69.1 million for the second quarter of 2023. Table games win percentage for the second quarter of 2024 was 19.6%, within the property's expected range of 18% to 22% and below the 22.3% experienced in the second quarter of 2023.</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Wynn Al Marjan Island Development</w:t>
      </w:r>
    </w:p>
    <w:p>
      <w:pPr>
        <w:spacing w:after="0" w:line="24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During the second quarter of 2024, the Company contributed $356.5 million of cash into a 40%-owned joint venture that is constructing the Wynn Al Marjan Island development in the UAE, bringing our life-to-date cash contributions to the project to $514.4 million. The cash contributed in the quarter was used primarily to fund our pro rata portion of the purchase of approximately 155 acres of land underlying the integrated resort development site, including over 70 acres of land for potential future development in Ras Al Khaimah. Wynn Al Marjan Island is currently expected to open in 2027.</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Balance Sheet</w:t>
      </w:r>
    </w:p>
    <w:p>
      <w:pPr>
        <w:spacing w:after="0" w:line="24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Our cash and cash equivalents as of June 30, 2024 totaled $2.38 billion, comprised of $1.38 billion held by Wynn Macau, Limited ("WML") and subsidiaries, $281.1 million held by Wynn Resorts Finance, LLC ("WRF") and subsidiaries excluding WML, and $715.6 million held at Corporate and other. In addition, as of June 30, 2024, we had $500.0 million in short-term investments held at WML. As of June 30, 2024, the available borrowing capacity under the WRF Revolver and the WM Cayman II Revolver was $735.3 million and $312.2 million, respectively.</w:t>
      </w:r>
    </w:p>
    <w:p>
      <w:pPr>
        <w:spacing w:after="0" w:line="205"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Total current and long-term debt outstanding at June 30, 2024 was $11.03 billion, comprised of $6.44 billion of Macau related debt, $1.46 billion of Wynn Las Vegas debt, $2.52 billion of WRF debt, and $614.4 million of debt held by the retail joint venture which we consolidate.</w:t>
      </w:r>
    </w:p>
    <w:p>
      <w:pPr>
        <w:spacing w:after="0" w:line="19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During the second quarter of 2024, the Company repurchased 741,340 shares of its common stock under its publicly announced equity repurchase program at an average price of $91.72 per share, for an aggregate cost of $68.0 million. As of June 30, 2024, the Company had $365.4 million in repurchase authority remaining under the program.</w:t>
      </w: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Conference Call and Other Information</w:t>
      </w:r>
    </w:p>
    <w:p>
      <w:pPr>
        <w:spacing w:after="0" w:line="1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will hold a conference call to discuss its results, including the results of Wynn Resorts Finance, LLC and Wynn Las Vegas, LLC, on August 6, 2024 at 1:30 p.m. PT (4:30 p.m. ET). Interested parties are invited to join the call by accessing a live audio webcast at http://www.wynnresorts.com. On or before August 14, 2024, the Company will make Wynn Resorts Finance, LLC and Wynn Las Vegas, LLC financial information for the quarter ended June 30, 2024 available to noteholders, prospective investors, broker-dealers and securities analysts. Please contact our investor relations office at 702-770-7555 or at investorrelations@wynnresorts.com, to obtain access to such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240"/>
          </w:cols>
          <w:pgMar w:left="320" w:top="86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98" w:lineRule="exact"/>
        <w:rPr>
          <w:sz w:val="20"/>
          <w:szCs w:val="20"/>
          <w:color w:val="auto"/>
        </w:rPr>
      </w:pPr>
    </w:p>
    <w:p>
      <w:pPr>
        <w:jc w:val="both"/>
        <w:spacing w:after="0" w:line="230" w:lineRule="auto"/>
        <w:rPr>
          <w:sz w:val="20"/>
          <w:szCs w:val="20"/>
          <w:color w:val="auto"/>
        </w:rPr>
      </w:pPr>
      <w:r>
        <w:rPr>
          <w:rFonts w:ascii="Times New Roman" w:cs="Times New Roman" w:eastAsia="Times New Roman" w:hAnsi="Times New Roman"/>
          <w:sz w:val="18"/>
          <w:szCs w:val="18"/>
          <w:color w:val="auto"/>
        </w:rPr>
        <w:t>This release contains forward-looking statements regarding operating trends and future results of operations. Such forward-looking statements are subject to a number of risks and uncertainties that could cause actual results to differ materially from those we express in these forward-looking statements, including, but not limited to, reductions in discretionary consumer spending, adverse macroeconomic conditions and their impact on levels of disposable consumer income and wealth, changes in interest rates, inflation, a decline in general economic activity or recession in the U.S. and/or global economies, extensive regulation of our business, pending or future legal proceedings, ability to maintain gaming licenses and concessions, dependence on key employees, general global political conditions, adverse tourism trends, travel disruptions caused by events outside of our control, dependence on a limited number of resorts, competition in the casino/hotel and resort industries, uncertainties over the development and success of new gaming and resort properties, construction and regulatory risks associated with current and future projects (including Wynn Al Marjan Island), cybersecurity risk and our leverage and ability to meet our debt service obligations. Additional information concerning potential factors that could affect the Company's financial results is included in the Company's Annual Report on Form 10-K for the year ended December 31, 2023, as supplemented by the Company's other periodic reports filed with the Securities and Exchange Commission from time to time. The Company is under no obligation to (and expressly disclaims any such obligation to) update or revise its forward-looking statements as a result of new information, future events or otherwise, except as required by law.</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98" w:lineRule="exact"/>
        <w:rPr>
          <w:sz w:val="20"/>
          <w:szCs w:val="20"/>
          <w:color w:val="auto"/>
        </w:rPr>
      </w:pPr>
    </w:p>
    <w:p>
      <w:pPr>
        <w:jc w:val="both"/>
        <w:ind w:firstLine="5"/>
        <w:spacing w:after="0" w:line="230" w:lineRule="auto"/>
        <w:tabs>
          <w:tab w:leader="none" w:pos="26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Property EBITDAR" is net income before interest, income taxes, depreciation and amortization, pre-opening expenses, property charges and other, triple-net operating lease rent expense related to Encore Boston Harbor, management and license fees, corporate expenses and other (including intercompany golf course, meeting and convention, and water rights leases), stock-based compensation, change in derivatives fair value, loss on debt financing transactions, and other non-operating income and expenses. Adjusted Property EBITDAR is presented exclusively as a supplemental disclosure because management believes that it is widely used to measure the performance, and as a basis for valuation, of gaming companies. Management uses Adjusted Property EBITDAR as a measure of the operating performance of its segments and to compare the operating performance of its properties with those of its competitors, as well as a basis for determining certain incentive compensation. We also present Adjusted Property EBITDAR because it is used by some investors to measure a company's ability to incur and service debt, make capital expenditures and meet working capital requirements. Gaming companies have historically reported EBITDAR as a supplement to GAAP. In order to view the operations of their casinos on a more stand-alone basis, gaming companies, including us, have historically excluded from their EBITDAR calculations pre-opening expenses, property charges, corporate expenses and stock-based compensation, that do not relate to the management of specific casino properties. However, Adjusted Property EBITDAR should not be considered as an alternative to operating income as an indicator of our performance, as an alternative to cash flows from operating activities as a measure of liquidity, or as an alternative to any other measure determined in accordance with GAAP. Unlike net income, Adjusted Property EBITDAR does not include depreciation or interest expense and therefore does not reflect current or future capital expenditures or the cost of capital. We have significant uses of cash flows, including capital expenditures, triple-net operating lease rent expense related to Encore Boston Harbor, interest payments, debt principal repayments, income taxes and other non-recurring charges, which are not reflected in Adjusted Property EBITDAR. Also, our calculation of Adjusted Property EBITDAR may be different from the calculation methods used by other companies and, therefore, comparability may be limited.</w:t>
      </w:r>
    </w:p>
    <w:p>
      <w:pPr>
        <w:spacing w:after="0" w:line="207" w:lineRule="exact"/>
        <w:rPr>
          <w:rFonts w:ascii="Times New Roman" w:cs="Times New Roman" w:eastAsia="Times New Roman" w:hAnsi="Times New Roman"/>
          <w:sz w:val="18"/>
          <w:szCs w:val="18"/>
          <w:color w:val="auto"/>
        </w:rPr>
      </w:pPr>
    </w:p>
    <w:p>
      <w:pPr>
        <w:jc w:val="both"/>
        <w:ind w:firstLine="5"/>
        <w:spacing w:after="0" w:line="231" w:lineRule="auto"/>
        <w:tabs>
          <w:tab w:leader="none" w:pos="262"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net income attributable to Wynn Resorts, Limited" is net income attributable to Wynn Resorts, Limited before pre-opening expenses, property charges and other, change in derivatives fair value, loss on debt financing transactions, and foreign currency remeasurement and other, net of noncontrolling interests and income taxes calculated using the specific tax treatment applicable to the adjustments based on their respective jurisdictions. Adjusted net income attributable to Wynn Resorts, Limited and adjusted net income attributable to Wynn Resorts, Limited per diluted share are presented as supplemental disclosures to financial measures in accordance with GAAP because management believes that these non-GAAP financial measures are widely used to measure the performance, and as a principal basis for valuation, of gaming companies. These measures are used by management and/or evaluated by some investors, in addition to net income per share computed in accordance with GAAP, as an additional basis for assessing period-to-period results of our business. Adjusted net income attributable to Wynn Resorts, Limited and adjusted net income attributable to Wynn Resorts, Limited per diluted share may be different from the calculation methods used by other companies and, therefore, comparability may be limited.</w:t>
      </w:r>
    </w:p>
    <w:p>
      <w:pPr>
        <w:spacing w:after="0" w:line="20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The Company has included schedules in the tables that accompany this release that reconcile (i) net income attributable to Wynn Resorts, Limited to adjusted net income attributable to Wynn Resorts, Limited, (ii) operating income (loss) to Adjusted Property EBITDAR, and (iii) net income attributable to Wynn Resorts, Limited to Adjusted Property EBITDAR.</w:t>
      </w: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240"/>
          </w:cols>
          <w:pgMar w:left="320" w:top="869" w:right="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INCOME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224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14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0"/>
        </w:trPr>
        <w:tc>
          <w:tcPr>
            <w:tcW w:w="4920" w:type="dxa"/>
            <w:vAlign w:val="bottom"/>
          </w:tcPr>
          <w:p>
            <w:pPr>
              <w:spacing w:after="0"/>
              <w:rPr>
                <w:sz w:val="16"/>
                <w:szCs w:val="16"/>
                <w:color w:val="auto"/>
              </w:rPr>
            </w:pPr>
          </w:p>
        </w:tc>
        <w:tc>
          <w:tcPr>
            <w:tcW w:w="14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8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60" w:type="dxa"/>
            <w:vAlign w:val="bottom"/>
            <w:tcBorders>
              <w:bottom w:val="single" w:sz="8" w:color="auto"/>
            </w:tcBorders>
          </w:tcPr>
          <w:p>
            <w:pPr>
              <w:spacing w:after="0"/>
              <w:rPr>
                <w:sz w:val="16"/>
                <w:szCs w:val="16"/>
                <w:color w:val="auto"/>
              </w:rPr>
            </w:pPr>
          </w:p>
        </w:tc>
      </w:tr>
      <w:tr>
        <w:trPr>
          <w:trHeight w:val="190"/>
        </w:trPr>
        <w:tc>
          <w:tcPr>
            <w:tcW w:w="4920" w:type="dxa"/>
            <w:vAlign w:val="bottom"/>
            <w:tcBorders>
              <w:bottom w:val="single" w:sz="8" w:color="CCEEFF"/>
            </w:tcBorders>
          </w:tcPr>
          <w:p>
            <w:pPr>
              <w:spacing w:after="0"/>
              <w:rPr>
                <w:sz w:val="16"/>
                <w:szCs w:val="16"/>
                <w:color w:val="auto"/>
              </w:rPr>
            </w:pPr>
          </w:p>
        </w:tc>
        <w:tc>
          <w:tcPr>
            <w:tcW w:w="146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54"/>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10"/>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4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r>
      <w:tr>
        <w:trPr>
          <w:trHeight w:val="224"/>
        </w:trPr>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Casino</w:t>
            </w:r>
          </w:p>
        </w:tc>
        <w:tc>
          <w:tcPr>
            <w:tcW w:w="17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1,008,946</w:t>
            </w:r>
          </w:p>
        </w:tc>
        <w:tc>
          <w:tcPr>
            <w:tcW w:w="8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912,999</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2,130,412</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1,679,991</w:t>
            </w:r>
          </w:p>
        </w:tc>
      </w:tr>
      <w:tr>
        <w:trPr>
          <w:trHeight w:val="224"/>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Rooms</w:t>
            </w:r>
          </w:p>
        </w:tc>
        <w:tc>
          <w:tcPr>
            <w:tcW w:w="1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304,521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276,505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631,935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549,034</w:t>
            </w:r>
          </w:p>
        </w:tc>
      </w:tr>
      <w:tr>
        <w:trPr>
          <w:trHeight w:val="224"/>
        </w:trPr>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Food and beverage</w:t>
            </w: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281,404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257,036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548,342</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489,647</w:t>
            </w:r>
          </w:p>
        </w:tc>
      </w:tr>
      <w:tr>
        <w:trPr>
          <w:trHeight w:val="224"/>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14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138,061</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149,282</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285,152</w:t>
            </w:r>
          </w:p>
        </w:tc>
        <w:tc>
          <w:tcPr>
            <w:tcW w:w="100" w:type="dxa"/>
            <w:vAlign w:val="bottom"/>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300,829</w:t>
            </w:r>
          </w:p>
        </w:tc>
      </w:tr>
      <w:tr>
        <w:trPr>
          <w:trHeight w:val="217"/>
        </w:trPr>
        <w:tc>
          <w:tcPr>
            <w:tcW w:w="4920" w:type="dxa"/>
            <w:vAlign w:val="bottom"/>
            <w:tcBorders>
              <w:bottom w:val="single" w:sz="8" w:color="CCEEFF"/>
            </w:tcBorders>
          </w:tcPr>
          <w:p>
            <w:pPr>
              <w:ind w:left="660"/>
              <w:spacing w:after="0"/>
              <w:rPr>
                <w:sz w:val="20"/>
                <w:szCs w:val="20"/>
                <w:color w:val="auto"/>
              </w:rPr>
            </w:pPr>
            <w:r>
              <w:rPr>
                <w:rFonts w:ascii="Times New Roman" w:cs="Times New Roman" w:eastAsia="Times New Roman" w:hAnsi="Times New Roman"/>
                <w:sz w:val="18"/>
                <w:szCs w:val="18"/>
                <w:b w:val="1"/>
                <w:bCs w:val="1"/>
                <w:color w:val="auto"/>
              </w:rPr>
              <w:t>Total operating revenues</w:t>
            </w:r>
          </w:p>
        </w:tc>
        <w:tc>
          <w:tcPr>
            <w:tcW w:w="14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1,732,932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1,595,822</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3,595,841</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3,019,501</w:t>
            </w:r>
          </w:p>
        </w:tc>
      </w:tr>
      <w:tr>
        <w:trPr>
          <w:trHeight w:val="204"/>
        </w:trPr>
        <w:tc>
          <w:tcPr>
            <w:tcW w:w="492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Operating expenses:</w:t>
            </w: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4"/>
        </w:trPr>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Casino</w:t>
            </w: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614,518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543,643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1,289,957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1,017,028</w:t>
            </w:r>
          </w:p>
        </w:tc>
      </w:tr>
      <w:tr>
        <w:trPr>
          <w:trHeight w:val="224"/>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Rooms</w:t>
            </w:r>
          </w:p>
        </w:tc>
        <w:tc>
          <w:tcPr>
            <w:tcW w:w="1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80,538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73,783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162,615</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146,485</w:t>
            </w:r>
          </w:p>
        </w:tc>
      </w:tr>
      <w:tr>
        <w:trPr>
          <w:trHeight w:val="224"/>
        </w:trPr>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Food and beverage</w:t>
            </w: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221,343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203,922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427,164</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384,541</w:t>
            </w:r>
          </w:p>
        </w:tc>
      </w:tr>
      <w:tr>
        <w:trPr>
          <w:trHeight w:val="224"/>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Entertainment, retail and other</w:t>
            </w:r>
          </w:p>
        </w:tc>
        <w:tc>
          <w:tcPr>
            <w:tcW w:w="1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62,941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85,999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133,953</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178,481</w:t>
            </w:r>
          </w:p>
        </w:tc>
      </w:tr>
      <w:tr>
        <w:trPr>
          <w:trHeight w:val="224"/>
        </w:trPr>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264,727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257,321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536,343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517,093</w:t>
            </w:r>
          </w:p>
        </w:tc>
      </w:tr>
      <w:tr>
        <w:trPr>
          <w:trHeight w:val="224"/>
        </w:trPr>
        <w:tc>
          <w:tcPr>
            <w:tcW w:w="492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1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2,429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(6,640)</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2,516</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(7,184)</w:t>
            </w:r>
          </w:p>
        </w:tc>
      </w:tr>
      <w:tr>
        <w:trPr>
          <w:trHeight w:val="224"/>
        </w:trPr>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Pre-opening</w:t>
            </w: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5,955</w:t>
            </w:r>
          </w:p>
        </w:tc>
      </w:tr>
      <w:tr>
        <w:trPr>
          <w:trHeight w:val="224"/>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176,405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169,962</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351,338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338,774</w:t>
            </w:r>
          </w:p>
        </w:tc>
      </w:tr>
      <w:tr>
        <w:trPr>
          <w:trHeight w:val="224"/>
        </w:trPr>
        <w:tc>
          <w:tcPr>
            <w:tcW w:w="49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14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38,815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16,019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55,763</w:t>
            </w:r>
          </w:p>
        </w:tc>
        <w:tc>
          <w:tcPr>
            <w:tcW w:w="100" w:type="dxa"/>
            <w:vAlign w:val="bottom"/>
            <w:tcBorders>
              <w:bottom w:val="single" w:sz="8" w:color="CCEEFF"/>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18,477</w:t>
            </w:r>
          </w:p>
        </w:tc>
      </w:tr>
      <w:tr>
        <w:trPr>
          <w:trHeight w:val="217"/>
        </w:trPr>
        <w:tc>
          <w:tcPr>
            <w:tcW w:w="4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Total operating expenses</w:t>
            </w:r>
          </w:p>
        </w:tc>
        <w:tc>
          <w:tcPr>
            <w:tcW w:w="14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1,463,274</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1,345,486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2,963,242</w:t>
            </w:r>
          </w:p>
        </w:tc>
        <w:tc>
          <w:tcPr>
            <w:tcW w:w="100" w:type="dxa"/>
            <w:vAlign w:val="bottom"/>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2,599,650</w:t>
            </w:r>
          </w:p>
        </w:tc>
      </w:tr>
      <w:tr>
        <w:trPr>
          <w:trHeight w:val="217"/>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46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269,658</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250,336</w:t>
            </w:r>
          </w:p>
        </w:tc>
        <w:tc>
          <w:tcPr>
            <w:tcW w:w="100" w:type="dxa"/>
            <w:vAlign w:val="bottom"/>
            <w:tcBorders>
              <w:bottom w:val="single" w:sz="8" w:color="CCEEFF"/>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632,599</w:t>
            </w:r>
          </w:p>
        </w:tc>
        <w:tc>
          <w:tcPr>
            <w:tcW w:w="100" w:type="dxa"/>
            <w:vAlign w:val="bottom"/>
            <w:tcBorders>
              <w:bottom w:val="single" w:sz="8" w:color="CCEEFF"/>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419,851</w:t>
            </w:r>
          </w:p>
        </w:tc>
      </w:tr>
      <w:tr>
        <w:trPr>
          <w:trHeight w:val="204"/>
        </w:trPr>
        <w:tc>
          <w:tcPr>
            <w:tcW w:w="4920" w:type="dxa"/>
            <w:vAlign w:val="bottom"/>
            <w:shd w:val="clear" w:color="auto" w:fill="CCEEFF"/>
          </w:tcPr>
          <w:p>
            <w:pPr>
              <w:ind w:left="20"/>
              <w:spacing w:after="0" w:line="204" w:lineRule="exact"/>
              <w:rPr>
                <w:sz w:val="20"/>
                <w:szCs w:val="20"/>
                <w:color w:val="auto"/>
              </w:rPr>
            </w:pPr>
            <w:r>
              <w:rPr>
                <w:rFonts w:ascii="Times New Roman" w:cs="Times New Roman" w:eastAsia="Times New Roman" w:hAnsi="Times New Roman"/>
                <w:sz w:val="18"/>
                <w:szCs w:val="18"/>
                <w:b w:val="1"/>
                <w:bCs w:val="1"/>
                <w:color w:val="auto"/>
              </w:rPr>
              <w:t>Other income (expense):</w:t>
            </w:r>
          </w:p>
        </w:tc>
        <w:tc>
          <w:tcPr>
            <w:tcW w:w="14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r>
      <w:tr>
        <w:trPr>
          <w:trHeight w:val="224"/>
        </w:trPr>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34,884</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44,127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75,056</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84,320</w:t>
            </w:r>
          </w:p>
        </w:tc>
      </w:tr>
      <w:tr>
        <w:trPr>
          <w:trHeight w:val="224"/>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1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(174,596)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(190,243)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(357,000)</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(377,983)</w:t>
            </w:r>
          </w:p>
        </w:tc>
      </w:tr>
      <w:tr>
        <w:trPr>
          <w:trHeight w:val="224"/>
        </w:trPr>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derivatives fair value</w:t>
            </w: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47,382</w:t>
            </w:r>
          </w:p>
        </w:tc>
      </w:tr>
      <w:tr>
        <w:trPr>
          <w:trHeight w:val="224"/>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debt financing transactions</w:t>
            </w:r>
          </w:p>
        </w:tc>
        <w:tc>
          <w:tcPr>
            <w:tcW w:w="1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(15,611)</w:t>
            </w:r>
          </w:p>
        </w:tc>
      </w:tr>
      <w:tr>
        <w:trPr>
          <w:trHeight w:val="224"/>
        </w:trPr>
        <w:tc>
          <w:tcPr>
            <w:tcW w:w="492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146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8,745</w:t>
            </w:r>
          </w:p>
        </w:tc>
        <w:tc>
          <w:tcPr>
            <w:tcW w:w="8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6,959</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(23,655)</w:t>
            </w:r>
          </w:p>
        </w:tc>
      </w:tr>
      <w:tr>
        <w:trPr>
          <w:trHeight w:val="217"/>
        </w:trPr>
        <w:tc>
          <w:tcPr>
            <w:tcW w:w="4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b w:val="1"/>
                <w:bCs w:val="1"/>
                <w:color w:val="auto"/>
              </w:rPr>
              <w:t>Other income (expense), net</w:t>
            </w:r>
          </w:p>
        </w:tc>
        <w:tc>
          <w:tcPr>
            <w:tcW w:w="14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(115,450)</w:t>
            </w:r>
          </w:p>
        </w:tc>
        <w:tc>
          <w:tcPr>
            <w:tcW w:w="8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(118,196)</w:t>
            </w:r>
          </w:p>
        </w:tc>
        <w:tc>
          <w:tcPr>
            <w:tcW w:w="10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(281,879)</w:t>
            </w:r>
          </w:p>
        </w:tc>
        <w:tc>
          <w:tcPr>
            <w:tcW w:w="100" w:type="dxa"/>
            <w:vAlign w:val="bottom"/>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(285,547)</w:t>
            </w:r>
          </w:p>
        </w:tc>
      </w:tr>
      <w:tr>
        <w:trPr>
          <w:trHeight w:val="217"/>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Income before income taxes</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154,208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132,140</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350,720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134,304</w:t>
            </w:r>
          </w:p>
        </w:tc>
      </w:tr>
      <w:tr>
        <w:trPr>
          <w:trHeight w:val="224"/>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4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(7,935)</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(27,949)</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(5,323)</w:t>
            </w:r>
          </w:p>
        </w:tc>
      </w:tr>
      <w:tr>
        <w:trPr>
          <w:trHeight w:val="217"/>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1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146,273</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127,835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322,771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128,981</w:t>
            </w:r>
          </w:p>
        </w:tc>
      </w:tr>
      <w:tr>
        <w:trPr>
          <w:trHeight w:val="224"/>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Less: net income attributable to noncontrolling interests</w:t>
            </w:r>
          </w:p>
        </w:tc>
        <w:tc>
          <w:tcPr>
            <w:tcW w:w="146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(34,330)</w:t>
            </w:r>
          </w:p>
        </w:tc>
        <w:tc>
          <w:tcPr>
            <w:tcW w:w="80" w:type="dxa"/>
            <w:vAlign w:val="bottom"/>
            <w:shd w:val="clear" w:color="auto" w:fill="CCEEFF"/>
          </w:tcPr>
          <w:p>
            <w:pPr>
              <w:spacing w:after="0"/>
              <w:rPr>
                <w:sz w:val="19"/>
                <w:szCs w:val="19"/>
                <w:color w:val="auto"/>
              </w:rPr>
            </w:pP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(22,651)</w:t>
            </w:r>
          </w:p>
        </w:tc>
        <w:tc>
          <w:tcPr>
            <w:tcW w:w="100" w:type="dxa"/>
            <w:vAlign w:val="bottom"/>
            <w:tcBorders>
              <w:bottom w:val="single" w:sz="8" w:color="auto"/>
            </w:tcBorders>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(66,612)</w:t>
            </w:r>
          </w:p>
        </w:tc>
        <w:tc>
          <w:tcPr>
            <w:tcW w:w="100" w:type="dxa"/>
            <w:vAlign w:val="bottom"/>
            <w:tcBorders>
              <w:bottom w:val="single" w:sz="8" w:color="auto"/>
            </w:tcBorders>
            <w:shd w:val="clear" w:color="auto" w:fill="CCEEFF"/>
          </w:tcPr>
          <w:p>
            <w:pPr>
              <w:spacing w:after="0"/>
              <w:rPr>
                <w:sz w:val="19"/>
                <w:szCs w:val="19"/>
                <w:color w:val="auto"/>
              </w:rPr>
            </w:pPr>
          </w:p>
        </w:tc>
        <w:tc>
          <w:tcPr>
            <w:tcW w:w="28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(11,465)</w:t>
            </w:r>
          </w:p>
        </w:tc>
      </w:tr>
      <w:tr>
        <w:trPr>
          <w:trHeight w:val="217"/>
        </w:trPr>
        <w:tc>
          <w:tcPr>
            <w:tcW w:w="4920" w:type="dxa"/>
            <w:vAlign w:val="bottom"/>
          </w:tcPr>
          <w:p>
            <w:pPr>
              <w:ind w:left="20"/>
              <w:spacing w:after="0"/>
              <w:rPr>
                <w:sz w:val="20"/>
                <w:szCs w:val="20"/>
                <w:color w:val="auto"/>
              </w:rPr>
            </w:pPr>
            <w:r>
              <w:rPr>
                <w:rFonts w:ascii="Times New Roman" w:cs="Times New Roman" w:eastAsia="Times New Roman" w:hAnsi="Times New Roman"/>
                <w:sz w:val="18"/>
                <w:szCs w:val="18"/>
                <w:b w:val="1"/>
                <w:bCs w:val="1"/>
                <w:color w:val="auto"/>
              </w:rPr>
              <w:t>Net income attributable to Wynn Resorts, Limited</w:t>
            </w:r>
          </w:p>
        </w:tc>
        <w:tc>
          <w:tcPr>
            <w:tcW w:w="1460" w:type="dxa"/>
            <w:vAlign w:val="bottom"/>
          </w:tcPr>
          <w:p>
            <w:pPr>
              <w:spacing w:after="0"/>
              <w:rPr>
                <w:sz w:val="18"/>
                <w:szCs w:val="18"/>
                <w:color w:val="auto"/>
              </w:rPr>
            </w:pPr>
          </w:p>
        </w:tc>
        <w:tc>
          <w:tcPr>
            <w:tcW w:w="2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b w:val="1"/>
                <w:bCs w:val="1"/>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111,943</w:t>
            </w:r>
          </w:p>
        </w:tc>
        <w:tc>
          <w:tcPr>
            <w:tcW w:w="80" w:type="dxa"/>
            <w:vAlign w:val="bottom"/>
          </w:tcPr>
          <w:p>
            <w:pPr>
              <w:spacing w:after="0"/>
              <w:rPr>
                <w:sz w:val="18"/>
                <w:szCs w:val="18"/>
                <w:color w:val="auto"/>
              </w:rPr>
            </w:pPr>
          </w:p>
        </w:tc>
        <w:tc>
          <w:tcPr>
            <w:tcW w:w="300" w:type="dxa"/>
            <w:vAlign w:val="bottom"/>
            <w:tcBorders>
              <w:bottom w:val="single" w:sz="8" w:color="auto"/>
            </w:tcBorders>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105,184</w:t>
            </w: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256,159</w:t>
            </w:r>
          </w:p>
        </w:tc>
        <w:tc>
          <w:tcPr>
            <w:tcW w:w="38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8"/>
                <w:szCs w:val="18"/>
                <w:b w:val="1"/>
                <w:bCs w:val="1"/>
                <w:color w:val="auto"/>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117,516</w:t>
            </w:r>
          </w:p>
        </w:tc>
      </w:tr>
      <w:tr>
        <w:trPr>
          <w:trHeight w:val="20"/>
        </w:trPr>
        <w:tc>
          <w:tcPr>
            <w:tcW w:w="492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90"/>
        </w:trPr>
        <w:tc>
          <w:tcPr>
            <w:tcW w:w="4920" w:type="dxa"/>
            <w:vAlign w:val="bottom"/>
            <w:shd w:val="clear" w:color="auto" w:fill="CCEEFF"/>
          </w:tcPr>
          <w:p>
            <w:pPr>
              <w:ind w:left="20"/>
              <w:spacing w:after="0" w:line="190" w:lineRule="exact"/>
              <w:rPr>
                <w:sz w:val="20"/>
                <w:szCs w:val="20"/>
                <w:color w:val="auto"/>
              </w:rPr>
            </w:pPr>
            <w:r>
              <w:rPr>
                <w:rFonts w:ascii="Times New Roman" w:cs="Times New Roman" w:eastAsia="Times New Roman" w:hAnsi="Times New Roman"/>
                <w:sz w:val="18"/>
                <w:szCs w:val="18"/>
                <w:color w:val="auto"/>
              </w:rPr>
              <w:t>Basic and diluted net income per common share:</w:t>
            </w:r>
          </w:p>
        </w:tc>
        <w:tc>
          <w:tcPr>
            <w:tcW w:w="146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4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r>
      <w:tr>
        <w:trPr>
          <w:trHeight w:val="224"/>
        </w:trPr>
        <w:tc>
          <w:tcPr>
            <w:tcW w:w="492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attributable to Wynn Resorts, Limited:</w:t>
            </w: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4"/>
        </w:trPr>
        <w:tc>
          <w:tcPr>
            <w:tcW w:w="4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Basic</w:t>
            </w:r>
          </w:p>
        </w:tc>
        <w:tc>
          <w:tcPr>
            <w:tcW w:w="1700" w:type="dxa"/>
            <w:vAlign w:val="bottom"/>
            <w:gridSpan w:val="2"/>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2.31</w:t>
            </w:r>
          </w:p>
        </w:tc>
        <w:tc>
          <w:tcPr>
            <w:tcW w:w="38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1.04</w:t>
            </w:r>
          </w:p>
        </w:tc>
      </w:tr>
      <w:tr>
        <w:trPr>
          <w:trHeight w:val="224"/>
        </w:trPr>
        <w:tc>
          <w:tcPr>
            <w:tcW w:w="4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Diluted</w:t>
            </w:r>
          </w:p>
        </w:tc>
        <w:tc>
          <w:tcPr>
            <w:tcW w:w="1700" w:type="dxa"/>
            <w:vAlign w:val="bottom"/>
            <w:gridSpan w:val="2"/>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0.91</w:t>
            </w:r>
          </w:p>
        </w:tc>
        <w:tc>
          <w:tcPr>
            <w:tcW w:w="80" w:type="dxa"/>
            <w:vAlign w:val="bottom"/>
          </w:tcPr>
          <w:p>
            <w:pPr>
              <w:spacing w:after="0"/>
              <w:rPr>
                <w:sz w:val="19"/>
                <w:szCs w:val="19"/>
                <w:color w:val="auto"/>
              </w:rPr>
            </w:pPr>
          </w:p>
        </w:tc>
        <w:tc>
          <w:tcPr>
            <w:tcW w:w="300" w:type="dxa"/>
            <w:vAlign w:val="bottom"/>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c>
          <w:tcPr>
            <w:tcW w:w="100" w:type="dxa"/>
            <w:vAlign w:val="bottom"/>
          </w:tcPr>
          <w:p>
            <w:pPr>
              <w:spacing w:after="0"/>
              <w:rPr>
                <w:sz w:val="19"/>
                <w:szCs w:val="19"/>
                <w:color w:val="auto"/>
              </w:rPr>
            </w:pPr>
          </w:p>
        </w:tc>
        <w:tc>
          <w:tcPr>
            <w:tcW w:w="2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0.84</w:t>
            </w:r>
          </w:p>
        </w:tc>
      </w:tr>
      <w:tr>
        <w:trPr>
          <w:trHeight w:val="224"/>
        </w:trPr>
        <w:tc>
          <w:tcPr>
            <w:tcW w:w="49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Weighted average common shares outstanding:</w:t>
            </w:r>
          </w:p>
        </w:tc>
        <w:tc>
          <w:tcPr>
            <w:tcW w:w="1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r>
      <w:tr>
        <w:trPr>
          <w:trHeight w:val="224"/>
        </w:trPr>
        <w:tc>
          <w:tcPr>
            <w:tcW w:w="492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Basic</w:t>
            </w:r>
          </w:p>
        </w:tc>
        <w:tc>
          <w:tcPr>
            <w:tcW w:w="14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110,937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112,889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110,980</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112,821</w:t>
            </w:r>
          </w:p>
        </w:tc>
      </w:tr>
      <w:tr>
        <w:trPr>
          <w:trHeight w:val="224"/>
        </w:trPr>
        <w:tc>
          <w:tcPr>
            <w:tcW w:w="4920" w:type="dxa"/>
            <w:vAlign w:val="bottom"/>
            <w:shd w:val="clear" w:color="auto" w:fill="CCEEFF"/>
          </w:tcPr>
          <w:p>
            <w:pPr>
              <w:ind w:left="660"/>
              <w:spacing w:after="0"/>
              <w:rPr>
                <w:sz w:val="20"/>
                <w:szCs w:val="20"/>
                <w:color w:val="auto"/>
              </w:rPr>
            </w:pPr>
            <w:r>
              <w:rPr>
                <w:rFonts w:ascii="Times New Roman" w:cs="Times New Roman" w:eastAsia="Times New Roman" w:hAnsi="Times New Roman"/>
                <w:sz w:val="18"/>
                <w:szCs w:val="18"/>
                <w:color w:val="auto"/>
              </w:rPr>
              <w:t>Diluted</w:t>
            </w:r>
          </w:p>
        </w:tc>
        <w:tc>
          <w:tcPr>
            <w:tcW w:w="146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111,175</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113,198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111,222</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113,143</w:t>
            </w:r>
          </w:p>
        </w:tc>
      </w:tr>
      <w:tr>
        <w:trPr>
          <w:trHeight w:val="842"/>
        </w:trPr>
        <w:tc>
          <w:tcPr>
            <w:tcW w:w="4920" w:type="dxa"/>
            <w:vAlign w:val="bottom"/>
          </w:tcPr>
          <w:p>
            <w:pPr>
              <w:spacing w:after="0"/>
              <w:rPr>
                <w:sz w:val="24"/>
                <w:szCs w:val="24"/>
                <w:color w:val="auto"/>
              </w:rPr>
            </w:pPr>
          </w:p>
        </w:tc>
        <w:tc>
          <w:tcPr>
            <w:tcW w:w="1460" w:type="dxa"/>
            <w:vAlign w:val="bottom"/>
          </w:tcPr>
          <w:p>
            <w:pPr>
              <w:jc w:val="right"/>
              <w:ind w:right="632"/>
              <w:spacing w:after="0"/>
              <w:rPr>
                <w:sz w:val="20"/>
                <w:szCs w:val="20"/>
                <w:color w:val="auto"/>
              </w:rPr>
            </w:pPr>
            <w:r>
              <w:rPr>
                <w:rFonts w:ascii="Times New Roman" w:cs="Times New Roman" w:eastAsia="Times New Roman" w:hAnsi="Times New Roman"/>
                <w:sz w:val="18"/>
                <w:szCs w:val="18"/>
                <w:color w:val="auto"/>
              </w:rPr>
              <w:t>4</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r>
    </w:tbl>
    <w:p>
      <w:pPr>
        <w:sectPr>
          <w:pgSz w:w="11900" w:h="16838" w:orient="portrait"/>
          <w:cols w:equalWidth="0" w:num="1">
            <w:col w:w="11240"/>
          </w:cols>
          <w:pgMar w:left="320" w:top="869"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NET INCOME ATTRIBUTABLE TO WYNN RESORTS, LIMITED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TO ADJUSTED NET INCOME ATTRIBUTABLE TO WYNN RESORTS, LIMITED</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20" w:type="dxa"/>
            <w:vAlign w:val="bottom"/>
            <w:gridSpan w:val="4"/>
          </w:tcPr>
          <w:p>
            <w:pPr>
              <w:jc w:val="right"/>
              <w:ind w:right="414"/>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020" w:type="dxa"/>
            <w:vAlign w:val="bottom"/>
            <w:gridSpan w:val="4"/>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90"/>
        </w:trPr>
        <w:tc>
          <w:tcPr>
            <w:tcW w:w="66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3"/>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66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1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4"/>
                <w:szCs w:val="14"/>
                <w:b w:val="1"/>
                <w:bCs w:val="1"/>
                <w:color w:val="auto"/>
              </w:rPr>
              <w:t>2023</w:t>
            </w:r>
          </w:p>
        </w:tc>
        <w:tc>
          <w:tcPr>
            <w:tcW w:w="8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jc w:val="right"/>
              <w:ind w:right="314"/>
              <w:spacing w:after="0"/>
              <w:rPr>
                <w:sz w:val="20"/>
                <w:szCs w:val="20"/>
                <w:color w:val="auto"/>
              </w:rPr>
            </w:pPr>
            <w:r>
              <w:rPr>
                <w:rFonts w:ascii="Times New Roman" w:cs="Times New Roman" w:eastAsia="Times New Roman" w:hAnsi="Times New Roman"/>
                <w:sz w:val="14"/>
                <w:szCs w:val="14"/>
                <w:b w:val="1"/>
                <w:bCs w:val="1"/>
                <w:color w:val="auto"/>
              </w:rPr>
              <w:t>2023</w:t>
            </w:r>
          </w:p>
        </w:tc>
        <w:tc>
          <w:tcPr>
            <w:tcW w:w="0" w:type="dxa"/>
            <w:vAlign w:val="bottom"/>
          </w:tcPr>
          <w:p>
            <w:pPr>
              <w:spacing w:after="0"/>
              <w:rPr>
                <w:sz w:val="1"/>
                <w:szCs w:val="1"/>
                <w:color w:val="auto"/>
              </w:rPr>
            </w:pPr>
          </w:p>
        </w:tc>
      </w:tr>
      <w:tr>
        <w:trPr>
          <w:trHeight w:val="223"/>
        </w:trPr>
        <w:tc>
          <w:tcPr>
            <w:tcW w:w="66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Wynn Resorts, Limited</w:t>
            </w: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111,943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105,184</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256,159</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117,516</w:t>
            </w:r>
          </w:p>
        </w:tc>
        <w:tc>
          <w:tcPr>
            <w:tcW w:w="0" w:type="dxa"/>
            <w:vAlign w:val="bottom"/>
          </w:tcPr>
          <w:p>
            <w:pPr>
              <w:spacing w:after="0"/>
              <w:rPr>
                <w:sz w:val="1"/>
                <w:szCs w:val="1"/>
                <w:color w:val="auto"/>
              </w:rPr>
            </w:pPr>
          </w:p>
        </w:tc>
      </w:tr>
      <w:tr>
        <w:trPr>
          <w:trHeight w:val="224"/>
        </w:trPr>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Pre-opening expenses</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5,955</w:t>
            </w:r>
          </w:p>
        </w:tc>
        <w:tc>
          <w:tcPr>
            <w:tcW w:w="0" w:type="dxa"/>
            <w:vAlign w:val="bottom"/>
          </w:tcPr>
          <w:p>
            <w:pPr>
              <w:spacing w:after="0"/>
              <w:rPr>
                <w:sz w:val="1"/>
                <w:szCs w:val="1"/>
                <w:color w:val="auto"/>
              </w:rPr>
            </w:pPr>
          </w:p>
        </w:tc>
      </w:tr>
      <w:tr>
        <w:trPr>
          <w:trHeight w:val="224"/>
        </w:trPr>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16,019</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55,763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18,477</w:t>
            </w:r>
          </w:p>
        </w:tc>
        <w:tc>
          <w:tcPr>
            <w:tcW w:w="0" w:type="dxa"/>
            <w:vAlign w:val="bottom"/>
          </w:tcPr>
          <w:p>
            <w:pPr>
              <w:spacing w:after="0"/>
              <w:rPr>
                <w:sz w:val="1"/>
                <w:szCs w:val="1"/>
                <w:color w:val="auto"/>
              </w:rPr>
            </w:pPr>
          </w:p>
        </w:tc>
      </w:tr>
      <w:tr>
        <w:trPr>
          <w:trHeight w:val="224"/>
        </w:trPr>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Change in derivatives fair value</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(15,517)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(47,382)</w:t>
            </w:r>
          </w:p>
        </w:tc>
        <w:tc>
          <w:tcPr>
            <w:tcW w:w="0" w:type="dxa"/>
            <w:vAlign w:val="bottom"/>
          </w:tcPr>
          <w:p>
            <w:pPr>
              <w:spacing w:after="0"/>
              <w:rPr>
                <w:sz w:val="1"/>
                <w:szCs w:val="1"/>
                <w:color w:val="auto"/>
              </w:rPr>
            </w:pPr>
          </w:p>
        </w:tc>
      </w:tr>
      <w:tr>
        <w:trPr>
          <w:trHeight w:val="224"/>
        </w:trPr>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Loss on debt financing transactions</w:t>
            </w:r>
          </w:p>
        </w:tc>
        <w:tc>
          <w:tcPr>
            <w:tcW w:w="26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15,611</w:t>
            </w:r>
          </w:p>
        </w:tc>
        <w:tc>
          <w:tcPr>
            <w:tcW w:w="0" w:type="dxa"/>
            <w:vAlign w:val="bottom"/>
          </w:tcPr>
          <w:p>
            <w:pPr>
              <w:spacing w:after="0"/>
              <w:rPr>
                <w:sz w:val="1"/>
                <w:szCs w:val="1"/>
                <w:color w:val="auto"/>
              </w:rPr>
            </w:pPr>
          </w:p>
        </w:tc>
      </w:tr>
      <w:tr>
        <w:trPr>
          <w:trHeight w:val="224"/>
        </w:trPr>
        <w:tc>
          <w:tcPr>
            <w:tcW w:w="660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Foreign currency remeasurement and other</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(8,745)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(6,959)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23,655</w:t>
            </w:r>
          </w:p>
        </w:tc>
        <w:tc>
          <w:tcPr>
            <w:tcW w:w="0" w:type="dxa"/>
            <w:vAlign w:val="bottom"/>
          </w:tcPr>
          <w:p>
            <w:pPr>
              <w:spacing w:after="0"/>
              <w:rPr>
                <w:sz w:val="1"/>
                <w:szCs w:val="1"/>
                <w:color w:val="auto"/>
              </w:rPr>
            </w:pPr>
          </w:p>
        </w:tc>
      </w:tr>
      <w:tr>
        <w:trPr>
          <w:trHeight w:val="224"/>
        </w:trPr>
        <w:tc>
          <w:tcPr>
            <w:tcW w:w="66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Income tax impact on adjustments</w:t>
            </w: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(9,684)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(10,252)</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24"/>
        </w:trPr>
        <w:tc>
          <w:tcPr>
            <w:tcW w:w="660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Noncontrolling interests impact on adjustments</w:t>
            </w:r>
          </w:p>
        </w:tc>
        <w:tc>
          <w:tcPr>
            <w:tcW w:w="26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6,135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7,078</w:t>
            </w:r>
          </w:p>
        </w:tc>
        <w:tc>
          <w:tcPr>
            <w:tcW w:w="8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(3,892)</w:t>
            </w:r>
          </w:p>
        </w:tc>
        <w:tc>
          <w:tcPr>
            <w:tcW w:w="8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2,830</w:t>
            </w:r>
          </w:p>
        </w:tc>
        <w:tc>
          <w:tcPr>
            <w:tcW w:w="0" w:type="dxa"/>
            <w:vAlign w:val="bottom"/>
          </w:tcPr>
          <w:p>
            <w:pPr>
              <w:spacing w:after="0"/>
              <w:rPr>
                <w:sz w:val="1"/>
                <w:szCs w:val="1"/>
                <w:color w:val="auto"/>
              </w:rPr>
            </w:pPr>
          </w:p>
        </w:tc>
      </w:tr>
      <w:tr>
        <w:trPr>
          <w:trHeight w:val="242"/>
        </w:trPr>
        <w:tc>
          <w:tcPr>
            <w:tcW w:w="6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 attributable to Wynn Resorts, Limited</w:t>
            </w: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124,505</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103,340</w:t>
            </w:r>
          </w:p>
        </w:tc>
        <w:tc>
          <w:tcPr>
            <w:tcW w:w="80" w:type="dxa"/>
            <w:vAlign w:val="bottom"/>
          </w:tcPr>
          <w:p>
            <w:pPr>
              <w:spacing w:after="0"/>
              <w:rPr>
                <w:sz w:val="20"/>
                <w:szCs w:val="20"/>
                <w:color w:val="auto"/>
              </w:rPr>
            </w:pPr>
          </w:p>
        </w:tc>
        <w:tc>
          <w:tcPr>
            <w:tcW w:w="26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301,306</w:t>
            </w:r>
          </w:p>
        </w:tc>
        <w:tc>
          <w:tcPr>
            <w:tcW w:w="80" w:type="dxa"/>
            <w:vAlign w:val="bottom"/>
          </w:tcPr>
          <w:p>
            <w:pPr>
              <w:spacing w:after="0"/>
              <w:rPr>
                <w:sz w:val="20"/>
                <w:szCs w:val="20"/>
                <w:color w:val="auto"/>
              </w:rPr>
            </w:pPr>
          </w:p>
        </w:tc>
        <w:tc>
          <w:tcPr>
            <w:tcW w:w="300" w:type="dxa"/>
            <w:vAlign w:val="bottom"/>
            <w:tcBorders>
              <w:bottom w:val="single" w:sz="8" w:color="auto"/>
            </w:tcBorders>
            <w:shd w:val="clear" w:color="auto" w:fill="CCEEFF"/>
          </w:tcPr>
          <w:p>
            <w:pPr>
              <w:jc w:val="right"/>
              <w:ind w:right="11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136,672</w:t>
            </w:r>
          </w:p>
        </w:tc>
        <w:tc>
          <w:tcPr>
            <w:tcW w:w="0" w:type="dxa"/>
            <w:vAlign w:val="bottom"/>
          </w:tcPr>
          <w:p>
            <w:pPr>
              <w:spacing w:after="0"/>
              <w:rPr>
                <w:sz w:val="1"/>
                <w:szCs w:val="1"/>
                <w:color w:val="auto"/>
              </w:rPr>
            </w:pPr>
          </w:p>
        </w:tc>
      </w:tr>
      <w:tr>
        <w:trPr>
          <w:trHeight w:val="20"/>
        </w:trPr>
        <w:tc>
          <w:tcPr>
            <w:tcW w:w="660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net income attributable to Wynn Resorts, Limited per diluted share</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6600" w:type="dxa"/>
            <w:vAlign w:val="bottom"/>
            <w:vMerge w:val="continue"/>
          </w:tcPr>
          <w:p>
            <w:pPr>
              <w:spacing w:after="0"/>
              <w:rPr>
                <w:sz w:val="17"/>
                <w:szCs w:val="17"/>
                <w:color w:val="auto"/>
              </w:rPr>
            </w:pPr>
          </w:p>
        </w:tc>
        <w:tc>
          <w:tcPr>
            <w:tcW w:w="260" w:type="dxa"/>
            <w:vAlign w:val="bottom"/>
            <w:tcBorders>
              <w:bottom w:val="single" w:sz="8" w:color="auto"/>
            </w:tcBorders>
          </w:tcPr>
          <w:p>
            <w:pPr>
              <w:jc w:val="right"/>
              <w:ind w:right="72"/>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1.12</w:t>
            </w:r>
          </w:p>
        </w:tc>
        <w:tc>
          <w:tcPr>
            <w:tcW w:w="80" w:type="dxa"/>
            <w:vAlign w:val="bottom"/>
          </w:tcPr>
          <w:p>
            <w:pPr>
              <w:spacing w:after="0"/>
              <w:rPr>
                <w:sz w:val="17"/>
                <w:szCs w:val="17"/>
                <w:color w:val="auto"/>
              </w:rPr>
            </w:pPr>
          </w:p>
        </w:tc>
        <w:tc>
          <w:tcPr>
            <w:tcW w:w="320" w:type="dxa"/>
            <w:vAlign w:val="bottom"/>
            <w:tcBorders>
              <w:bottom w:val="single" w:sz="8" w:color="auto"/>
            </w:tcBorders>
          </w:tcPr>
          <w:p>
            <w:pPr>
              <w:jc w:val="right"/>
              <w:ind w:right="112"/>
              <w:spacing w:after="0" w:line="196" w:lineRule="exact"/>
              <w:rPr>
                <w:sz w:val="20"/>
                <w:szCs w:val="20"/>
                <w:color w:val="auto"/>
              </w:rPr>
            </w:pPr>
            <w:r>
              <w:rPr>
                <w:rFonts w:ascii="Times New Roman" w:cs="Times New Roman" w:eastAsia="Times New Roman" w:hAnsi="Times New Roman"/>
                <w:sz w:val="18"/>
                <w:szCs w:val="18"/>
                <w:b w:val="1"/>
                <w:bCs w:val="1"/>
                <w:color w:val="auto"/>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0.91</w:t>
            </w:r>
          </w:p>
        </w:tc>
        <w:tc>
          <w:tcPr>
            <w:tcW w:w="80" w:type="dxa"/>
            <w:vAlign w:val="bottom"/>
          </w:tcPr>
          <w:p>
            <w:pPr>
              <w:spacing w:after="0"/>
              <w:rPr>
                <w:sz w:val="17"/>
                <w:szCs w:val="17"/>
                <w:color w:val="auto"/>
              </w:rPr>
            </w:pPr>
          </w:p>
        </w:tc>
        <w:tc>
          <w:tcPr>
            <w:tcW w:w="260" w:type="dxa"/>
            <w:vAlign w:val="bottom"/>
            <w:tcBorders>
              <w:bottom w:val="single" w:sz="8" w:color="auto"/>
            </w:tcBorders>
          </w:tcPr>
          <w:p>
            <w:pPr>
              <w:jc w:val="right"/>
              <w:ind w:right="72"/>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2.71</w:t>
            </w:r>
          </w:p>
        </w:tc>
        <w:tc>
          <w:tcPr>
            <w:tcW w:w="80" w:type="dxa"/>
            <w:vAlign w:val="bottom"/>
          </w:tcPr>
          <w:p>
            <w:pPr>
              <w:spacing w:after="0"/>
              <w:rPr>
                <w:sz w:val="17"/>
                <w:szCs w:val="17"/>
                <w:color w:val="auto"/>
              </w:rPr>
            </w:pPr>
          </w:p>
        </w:tc>
        <w:tc>
          <w:tcPr>
            <w:tcW w:w="300" w:type="dxa"/>
            <w:vAlign w:val="bottom"/>
            <w:tcBorders>
              <w:bottom w:val="single" w:sz="8" w:color="auto"/>
            </w:tcBorders>
          </w:tcPr>
          <w:p>
            <w:pPr>
              <w:jc w:val="right"/>
              <w:ind w:right="112"/>
              <w:spacing w:after="0" w:line="196" w:lineRule="exact"/>
              <w:rPr>
                <w:sz w:val="20"/>
                <w:szCs w:val="20"/>
                <w:color w:val="auto"/>
              </w:rPr>
            </w:pPr>
            <w:r>
              <w:rPr>
                <w:rFonts w:ascii="Times New Roman" w:cs="Times New Roman" w:eastAsia="Times New Roman" w:hAnsi="Times New Roman"/>
                <w:sz w:val="18"/>
                <w:szCs w:val="18"/>
                <w:b w:val="1"/>
                <w:bCs w:val="1"/>
                <w:color w:val="auto"/>
                <w:w w:val="88"/>
              </w:rPr>
              <w:t>$</w:t>
            </w:r>
          </w:p>
        </w:tc>
        <w:tc>
          <w:tcPr>
            <w:tcW w:w="8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b w:val="1"/>
                <w:bCs w:val="1"/>
                <w:color w:val="auto"/>
              </w:rPr>
              <w:t>1.21</w:t>
            </w:r>
          </w:p>
        </w:tc>
        <w:tc>
          <w:tcPr>
            <w:tcW w:w="0" w:type="dxa"/>
            <w:vAlign w:val="bottom"/>
          </w:tcPr>
          <w:p>
            <w:pPr>
              <w:spacing w:after="0"/>
              <w:rPr>
                <w:sz w:val="1"/>
                <w:szCs w:val="1"/>
                <w:color w:val="auto"/>
              </w:rPr>
            </w:pP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66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6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common shares outstanding - diluted</w:t>
            </w:r>
          </w:p>
        </w:tc>
        <w:tc>
          <w:tcPr>
            <w:tcW w:w="26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111,175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113,198</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111,222</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113,143</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240"/>
          </w:cols>
          <w:pgMar w:left="320" w:top="869" w:right="339" w:bottom="1440" w:gutter="0" w:footer="0" w:header="0"/>
        </w:sectPr>
      </w:pPr>
    </w:p>
    <w:bookmarkStart w:id="8" w:name="page9"/>
    <w:bookmarkEnd w:id="8"/>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RECONCILIATION OF OPERATING INCOME (LOSS) TO ADJUSTED PROPERTY EBITDAR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w w:val="99"/>
              </w:rPr>
              <w:t>Three Months Ended June 30, 2024</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960" w:type="dxa"/>
            <w:vAlign w:val="bottom"/>
          </w:tcPr>
          <w:p>
            <w:pPr>
              <w:spacing w:after="0"/>
              <w:rPr>
                <w:sz w:val="11"/>
                <w:szCs w:val="11"/>
                <w:color w:val="auto"/>
              </w:rPr>
            </w:pPr>
          </w:p>
        </w:tc>
        <w:tc>
          <w:tcPr>
            <w:tcW w:w="10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Wynn Palace</w:t>
            </w:r>
          </w:p>
        </w:tc>
        <w:tc>
          <w:tcPr>
            <w:tcW w:w="1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Wynn Macau</w:t>
            </w:r>
          </w:p>
        </w:tc>
        <w:tc>
          <w:tcPr>
            <w:tcW w:w="9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Other Macau</w:t>
            </w:r>
          </w:p>
        </w:tc>
        <w:tc>
          <w:tcPr>
            <w:tcW w:w="1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60" w:type="dxa"/>
            <w:vAlign w:val="bottom"/>
            <w:gridSpan w:val="2"/>
          </w:tcPr>
          <w:p>
            <w:pPr>
              <w:jc w:val="center"/>
              <w:ind w:right="180"/>
              <w:spacing w:after="0" w:line="127" w:lineRule="exact"/>
              <w:rPr>
                <w:sz w:val="20"/>
                <w:szCs w:val="20"/>
                <w:color w:val="auto"/>
              </w:rPr>
            </w:pPr>
            <w:r>
              <w:rPr>
                <w:rFonts w:ascii="Times New Roman" w:cs="Times New Roman" w:eastAsia="Times New Roman" w:hAnsi="Times New Roman"/>
                <w:sz w:val="14"/>
                <w:szCs w:val="14"/>
                <w:b w:val="1"/>
                <w:bCs w:val="1"/>
                <w:color w:val="auto"/>
                <w:w w:val="96"/>
              </w:rPr>
              <w:t>Total Macau</w:t>
            </w: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w w:val="98"/>
              </w:rPr>
              <w:t>Las Vegas</w:t>
            </w:r>
          </w:p>
        </w:tc>
        <w:tc>
          <w:tcPr>
            <w:tcW w:w="1040" w:type="dxa"/>
            <w:vAlign w:val="bottom"/>
            <w:gridSpan w:val="3"/>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Encore Boston</w:t>
            </w:r>
          </w:p>
        </w:tc>
        <w:tc>
          <w:tcPr>
            <w:tcW w:w="1060" w:type="dxa"/>
            <w:vAlign w:val="bottom"/>
            <w:gridSpan w:val="3"/>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1"/>
                <w:szCs w:val="11"/>
                <w:color w:val="auto"/>
              </w:rPr>
            </w:pPr>
          </w:p>
        </w:tc>
        <w:tc>
          <w:tcPr>
            <w:tcW w:w="760" w:type="dxa"/>
            <w:vAlign w:val="bottom"/>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96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Operations</w:t>
            </w: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6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Harbor</w:t>
            </w:r>
          </w:p>
        </w:tc>
        <w:tc>
          <w:tcPr>
            <w:tcW w:w="20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4"/>
              </w:rPr>
              <w:t>Other</w:t>
            </w: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108,249</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61,172</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(7,486)</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161,935</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124,738</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(17,827)</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812</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269,658</w:t>
            </w:r>
          </w:p>
        </w:tc>
        <w:tc>
          <w:tcPr>
            <w:tcW w:w="0" w:type="dxa"/>
            <w:vAlign w:val="bottom"/>
          </w:tcPr>
          <w:p>
            <w:pPr>
              <w:spacing w:after="0"/>
              <w:rPr>
                <w:sz w:val="1"/>
                <w:szCs w:val="1"/>
                <w:color w:val="auto"/>
              </w:rPr>
            </w:pPr>
          </w:p>
        </w:tc>
      </w:tr>
      <w:tr>
        <w:trPr>
          <w:trHeight w:val="191"/>
        </w:trPr>
        <w:tc>
          <w:tcPr>
            <w:tcW w:w="2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Pre-opening expenses</w:t>
            </w:r>
          </w:p>
        </w:tc>
        <w:tc>
          <w:tcPr>
            <w:tcW w:w="2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334</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515</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709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1,558</w:t>
            </w:r>
          </w:p>
        </w:tc>
        <w:tc>
          <w:tcPr>
            <w:tcW w:w="0" w:type="dxa"/>
            <w:vAlign w:val="bottom"/>
          </w:tcPr>
          <w:p>
            <w:pPr>
              <w:spacing w:after="0"/>
              <w:rPr>
                <w:sz w:val="1"/>
                <w:szCs w:val="1"/>
                <w:color w:val="auto"/>
              </w:rPr>
            </w:pPr>
          </w:p>
        </w:tc>
      </w:tr>
      <w:tr>
        <w:trPr>
          <w:trHeight w:val="204"/>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55,316</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20,035</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75,741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61,885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31,733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7,046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176,405</w:t>
            </w:r>
          </w:p>
        </w:tc>
        <w:tc>
          <w:tcPr>
            <w:tcW w:w="0" w:type="dxa"/>
            <w:vAlign w:val="bottom"/>
          </w:tcPr>
          <w:p>
            <w:pPr>
              <w:spacing w:after="0"/>
              <w:rPr>
                <w:sz w:val="1"/>
                <w:szCs w:val="1"/>
                <w:color w:val="auto"/>
              </w:rPr>
            </w:pPr>
          </w:p>
        </w:tc>
      </w:tr>
      <w:tr>
        <w:trPr>
          <w:trHeight w:val="191"/>
        </w:trPr>
        <w:tc>
          <w:tcPr>
            <w:tcW w:w="2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Property charges and other</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272</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883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1,157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1,906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35,926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38,815</w:t>
            </w:r>
          </w:p>
        </w:tc>
        <w:tc>
          <w:tcPr>
            <w:tcW w:w="0" w:type="dxa"/>
            <w:vAlign w:val="bottom"/>
          </w:tcPr>
          <w:p>
            <w:pPr>
              <w:spacing w:after="0"/>
              <w:rPr>
                <w:sz w:val="1"/>
                <w:szCs w:val="1"/>
                <w:color w:val="auto"/>
              </w:rPr>
            </w:pPr>
          </w:p>
        </w:tc>
      </w:tr>
      <w:tr>
        <w:trPr>
          <w:trHeight w:val="204"/>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Management and license fees</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17,360</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10,486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27,846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29,675</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10,395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(67,916)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1"/>
        </w:trPr>
        <w:tc>
          <w:tcPr>
            <w:tcW w:w="2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Corporate expenses and other</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2,005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1,999</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5,983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9,987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7,957</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1,752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14,014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33,710</w:t>
            </w:r>
          </w:p>
        </w:tc>
        <w:tc>
          <w:tcPr>
            <w:tcW w:w="0" w:type="dxa"/>
            <w:vAlign w:val="bottom"/>
          </w:tcPr>
          <w:p>
            <w:pPr>
              <w:spacing w:after="0"/>
              <w:rPr>
                <w:sz w:val="1"/>
                <w:szCs w:val="1"/>
                <w:color w:val="auto"/>
              </w:rPr>
            </w:pPr>
          </w:p>
        </w:tc>
      </w:tr>
      <w:tr>
        <w:trPr>
          <w:trHeight w:val="204"/>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1,257</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1,336</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1,111</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3,704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3,838</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8,230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16,167</w:t>
            </w:r>
          </w:p>
        </w:tc>
        <w:tc>
          <w:tcPr>
            <w:tcW w:w="0" w:type="dxa"/>
            <w:vAlign w:val="bottom"/>
          </w:tcPr>
          <w:p>
            <w:pPr>
              <w:spacing w:after="0"/>
              <w:rPr>
                <w:sz w:val="1"/>
                <w:szCs w:val="1"/>
                <w:color w:val="auto"/>
              </w:rPr>
            </w:pPr>
          </w:p>
        </w:tc>
      </w:tr>
      <w:tr>
        <w:trPr>
          <w:trHeight w:val="191"/>
        </w:trPr>
        <w:tc>
          <w:tcPr>
            <w:tcW w:w="2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Triple-net operating lease rent expense</w:t>
            </w:r>
          </w:p>
        </w:tc>
        <w:tc>
          <w:tcPr>
            <w:tcW w:w="2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35,342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35,342</w:t>
            </w:r>
          </w:p>
        </w:tc>
        <w:tc>
          <w:tcPr>
            <w:tcW w:w="0" w:type="dxa"/>
            <w:vAlign w:val="bottom"/>
          </w:tcPr>
          <w:p>
            <w:pPr>
              <w:spacing w:after="0"/>
              <w:rPr>
                <w:sz w:val="1"/>
                <w:szCs w:val="1"/>
                <w:color w:val="auto"/>
              </w:rPr>
            </w:pPr>
          </w:p>
        </w:tc>
      </w:tr>
      <w:tr>
        <w:trPr>
          <w:trHeight w:val="222"/>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Property EBITDAR</w:t>
            </w: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184,459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95,911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280,370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230,333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62,131</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(1,179)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571,655</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8"/>
        </w:trPr>
        <w:tc>
          <w:tcPr>
            <w:tcW w:w="2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200" w:type="dxa"/>
            <w:vAlign w:val="bottom"/>
            <w:gridSpan w:val="7"/>
          </w:tcPr>
          <w:p>
            <w:pPr>
              <w:ind w:left="60"/>
              <w:spacing w:after="0"/>
              <w:rPr>
                <w:sz w:val="20"/>
                <w:szCs w:val="20"/>
                <w:color w:val="auto"/>
              </w:rPr>
            </w:pPr>
            <w:r>
              <w:rPr>
                <w:rFonts w:ascii="Times New Roman" w:cs="Times New Roman" w:eastAsia="Times New Roman" w:hAnsi="Times New Roman"/>
                <w:sz w:val="14"/>
                <w:szCs w:val="14"/>
                <w:b w:val="1"/>
                <w:bCs w:val="1"/>
                <w:color w:val="auto"/>
                <w:w w:val="99"/>
              </w:rPr>
              <w:t>Three Months Ended June 30, 2023</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960" w:type="dxa"/>
            <w:vAlign w:val="bottom"/>
          </w:tcPr>
          <w:p>
            <w:pPr>
              <w:spacing w:after="0"/>
              <w:rPr>
                <w:sz w:val="10"/>
                <w:szCs w:val="10"/>
                <w:color w:val="auto"/>
              </w:rPr>
            </w:pPr>
          </w:p>
        </w:tc>
        <w:tc>
          <w:tcPr>
            <w:tcW w:w="10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Wynn Palace</w:t>
            </w:r>
          </w:p>
        </w:tc>
        <w:tc>
          <w:tcPr>
            <w:tcW w:w="1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Wynn Macau</w:t>
            </w:r>
          </w:p>
        </w:tc>
        <w:tc>
          <w:tcPr>
            <w:tcW w:w="940" w:type="dxa"/>
            <w:vAlign w:val="bottom"/>
            <w:gridSpan w:val="2"/>
            <w:vMerge w:val="restart"/>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Other Macau</w:t>
            </w:r>
          </w:p>
        </w:tc>
        <w:tc>
          <w:tcPr>
            <w:tcW w:w="1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96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w w:val="96"/>
              </w:rPr>
              <w:t>Total Macau</w:t>
            </w:r>
          </w:p>
        </w:tc>
        <w:tc>
          <w:tcPr>
            <w:tcW w:w="120" w:type="dxa"/>
            <w:vAlign w:val="bottom"/>
          </w:tcPr>
          <w:p>
            <w:pPr>
              <w:spacing w:after="0"/>
              <w:rPr>
                <w:sz w:val="10"/>
                <w:szCs w:val="10"/>
                <w:color w:val="auto"/>
              </w:rPr>
            </w:pPr>
          </w:p>
        </w:tc>
        <w:tc>
          <w:tcPr>
            <w:tcW w:w="94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98"/>
              </w:rPr>
              <w:t>Las Vegas</w:t>
            </w:r>
          </w:p>
        </w:tc>
        <w:tc>
          <w:tcPr>
            <w:tcW w:w="1040" w:type="dxa"/>
            <w:vAlign w:val="bottom"/>
            <w:gridSpan w:val="3"/>
          </w:tcPr>
          <w:p>
            <w:pPr>
              <w:jc w:val="center"/>
              <w:ind w:right="80"/>
              <w:spacing w:after="0" w:line="125" w:lineRule="exact"/>
              <w:rPr>
                <w:sz w:val="20"/>
                <w:szCs w:val="20"/>
                <w:color w:val="auto"/>
              </w:rPr>
            </w:pPr>
            <w:r>
              <w:rPr>
                <w:rFonts w:ascii="Times New Roman" w:cs="Times New Roman" w:eastAsia="Times New Roman" w:hAnsi="Times New Roman"/>
                <w:sz w:val="14"/>
                <w:szCs w:val="14"/>
                <w:b w:val="1"/>
                <w:bCs w:val="1"/>
                <w:color w:val="auto"/>
              </w:rPr>
              <w:t>Encore Boston</w:t>
            </w:r>
          </w:p>
        </w:tc>
        <w:tc>
          <w:tcPr>
            <w:tcW w:w="1060" w:type="dxa"/>
            <w:vAlign w:val="bottom"/>
            <w:gridSpan w:val="3"/>
          </w:tcPr>
          <w:p>
            <w:pPr>
              <w:jc w:val="center"/>
              <w:ind w:right="80"/>
              <w:spacing w:after="0" w:line="125"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0"/>
                <w:szCs w:val="10"/>
                <w:color w:val="auto"/>
              </w:rPr>
            </w:pPr>
          </w:p>
        </w:tc>
        <w:tc>
          <w:tcPr>
            <w:tcW w:w="760" w:type="dxa"/>
            <w:vAlign w:val="bottom"/>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296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940" w:type="dxa"/>
            <w:vAlign w:val="bottom"/>
            <w:gridSpan w:val="2"/>
            <w:vMerge w:val="continue"/>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Operations</w:t>
            </w: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6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Harbor</w:t>
            </w:r>
          </w:p>
        </w:tc>
        <w:tc>
          <w:tcPr>
            <w:tcW w:w="20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4"/>
              </w:rPr>
              <w:t>Other</w:t>
            </w: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80,275</w:t>
            </w:r>
          </w:p>
        </w:tc>
        <w:tc>
          <w:tcPr>
            <w:tcW w:w="10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47,267</w:t>
            </w: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color w:val="auto"/>
                <w:w w:val="85"/>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(5,855)</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121,687</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123,270</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(11,003)</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16,382</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250,336</w:t>
            </w:r>
          </w:p>
        </w:tc>
        <w:tc>
          <w:tcPr>
            <w:tcW w:w="0" w:type="dxa"/>
            <w:vAlign w:val="bottom"/>
          </w:tcPr>
          <w:p>
            <w:pPr>
              <w:spacing w:after="0"/>
              <w:rPr>
                <w:sz w:val="1"/>
                <w:szCs w:val="1"/>
                <w:color w:val="auto"/>
              </w:rPr>
            </w:pPr>
          </w:p>
        </w:tc>
      </w:tr>
      <w:tr>
        <w:trPr>
          <w:trHeight w:val="191"/>
        </w:trPr>
        <w:tc>
          <w:tcPr>
            <w:tcW w:w="2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Pre-opening expenses</w:t>
            </w:r>
          </w:p>
        </w:tc>
        <w:tc>
          <w:tcPr>
            <w:tcW w:w="2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1,141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1,477</w:t>
            </w:r>
          </w:p>
        </w:tc>
        <w:tc>
          <w:tcPr>
            <w:tcW w:w="0" w:type="dxa"/>
            <w:vAlign w:val="bottom"/>
          </w:tcPr>
          <w:p>
            <w:pPr>
              <w:spacing w:after="0"/>
              <w:rPr>
                <w:sz w:val="1"/>
                <w:szCs w:val="1"/>
                <w:color w:val="auto"/>
              </w:rPr>
            </w:pPr>
          </w:p>
        </w:tc>
      </w:tr>
      <w:tr>
        <w:trPr>
          <w:trHeight w:val="204"/>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53,908</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20,527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74,815</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57,521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30,198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7,428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169,962</w:t>
            </w:r>
          </w:p>
        </w:tc>
        <w:tc>
          <w:tcPr>
            <w:tcW w:w="0" w:type="dxa"/>
            <w:vAlign w:val="bottom"/>
          </w:tcPr>
          <w:p>
            <w:pPr>
              <w:spacing w:after="0"/>
              <w:rPr>
                <w:sz w:val="1"/>
                <w:szCs w:val="1"/>
                <w:color w:val="auto"/>
              </w:rPr>
            </w:pPr>
          </w:p>
        </w:tc>
      </w:tr>
      <w:tr>
        <w:trPr>
          <w:trHeight w:val="191"/>
        </w:trPr>
        <w:tc>
          <w:tcPr>
            <w:tcW w:w="2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Property charges and other</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1,534</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6,603</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8,149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6,938</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128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16,019</w:t>
            </w:r>
          </w:p>
        </w:tc>
        <w:tc>
          <w:tcPr>
            <w:tcW w:w="0" w:type="dxa"/>
            <w:vAlign w:val="bottom"/>
          </w:tcPr>
          <w:p>
            <w:pPr>
              <w:spacing w:after="0"/>
              <w:rPr>
                <w:sz w:val="1"/>
                <w:szCs w:val="1"/>
                <w:color w:val="auto"/>
              </w:rPr>
            </w:pPr>
          </w:p>
        </w:tc>
      </w:tr>
      <w:tr>
        <w:trPr>
          <w:trHeight w:val="204"/>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Management and license fees</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15,074</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9,487</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24,561</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27,441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10,746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(62,748)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1"/>
        </w:trPr>
        <w:tc>
          <w:tcPr>
            <w:tcW w:w="2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Corporate expenses and other</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2,885</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2,894</w:t>
            </w: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4,428</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10,207</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7,330</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1,949</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13,262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32,748</w:t>
            </w:r>
          </w:p>
        </w:tc>
        <w:tc>
          <w:tcPr>
            <w:tcW w:w="0" w:type="dxa"/>
            <w:vAlign w:val="bottom"/>
          </w:tcPr>
          <w:p>
            <w:pPr>
              <w:spacing w:after="0"/>
              <w:rPr>
                <w:sz w:val="1"/>
                <w:szCs w:val="1"/>
                <w:color w:val="auto"/>
              </w:rPr>
            </w:pPr>
          </w:p>
        </w:tc>
      </w:tr>
      <w:tr>
        <w:trPr>
          <w:trHeight w:val="204"/>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2,931</w:t>
            </w: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2,812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1,035</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6,778</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1,621</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443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9,443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18,285</w:t>
            </w:r>
          </w:p>
        </w:tc>
        <w:tc>
          <w:tcPr>
            <w:tcW w:w="0" w:type="dxa"/>
            <w:vAlign w:val="bottom"/>
          </w:tcPr>
          <w:p>
            <w:pPr>
              <w:spacing w:after="0"/>
              <w:rPr>
                <w:sz w:val="1"/>
                <w:szCs w:val="1"/>
                <w:color w:val="auto"/>
              </w:rPr>
            </w:pPr>
          </w:p>
        </w:tc>
      </w:tr>
      <w:tr>
        <w:trPr>
          <w:trHeight w:val="191"/>
        </w:trPr>
        <w:tc>
          <w:tcPr>
            <w:tcW w:w="2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Triple-net operating lease rent expense</w:t>
            </w:r>
          </w:p>
        </w:tc>
        <w:tc>
          <w:tcPr>
            <w:tcW w:w="2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80" w:type="dxa"/>
            <w:vAlign w:val="bottom"/>
          </w:tcPr>
          <w:p>
            <w:pPr>
              <w:spacing w:after="0"/>
              <w:rPr>
                <w:sz w:val="16"/>
                <w:szCs w:val="16"/>
                <w:color w:val="auto"/>
              </w:rPr>
            </w:pPr>
          </w:p>
        </w:tc>
        <w:tc>
          <w:tcPr>
            <w:tcW w:w="7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300" w:type="dxa"/>
            <w:vAlign w:val="bottom"/>
          </w:tcPr>
          <w:p>
            <w:pPr>
              <w:spacing w:after="0"/>
              <w:rPr>
                <w:sz w:val="16"/>
                <w:szCs w:val="16"/>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35,631</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35,631</w:t>
            </w:r>
          </w:p>
        </w:tc>
        <w:tc>
          <w:tcPr>
            <w:tcW w:w="0" w:type="dxa"/>
            <w:vAlign w:val="bottom"/>
          </w:tcPr>
          <w:p>
            <w:pPr>
              <w:spacing w:after="0"/>
              <w:rPr>
                <w:sz w:val="1"/>
                <w:szCs w:val="1"/>
                <w:color w:val="auto"/>
              </w:rPr>
            </w:pPr>
          </w:p>
        </w:tc>
      </w:tr>
      <w:tr>
        <w:trPr>
          <w:trHeight w:val="222"/>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Property EBITDAR</w:t>
            </w: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156,607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89,590</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246,197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224,121</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69,104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(14,964)</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524,458</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69"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ectPr>
          <w:pgSz w:w="11900" w:h="16838" w:orient="portrait"/>
          <w:cols w:equalWidth="0" w:num="1">
            <w:col w:w="11240"/>
          </w:cols>
          <w:pgMar w:left="320" w:top="869" w:right="339" w:bottom="1440" w:gutter="0" w:footer="0" w:header="0"/>
          <w:type w:val="continuous"/>
        </w:sectPr>
      </w:pPr>
    </w:p>
    <w:bookmarkStart w:id="9" w:name="page10"/>
    <w:bookmarkEnd w:id="9"/>
    <w:p>
      <w:pPr>
        <w:ind w:left="352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23" w:lineRule="exact"/>
        <w:rPr>
          <w:sz w:val="20"/>
          <w:szCs w:val="20"/>
          <w:color w:val="auto"/>
        </w:rPr>
      </w:pPr>
    </w:p>
    <w:p>
      <w:pPr>
        <w:ind w:left="1900"/>
        <w:spacing w:after="0"/>
        <w:rPr>
          <w:sz w:val="20"/>
          <w:szCs w:val="20"/>
          <w:color w:val="auto"/>
        </w:rPr>
      </w:pPr>
      <w:r>
        <w:rPr>
          <w:rFonts w:ascii="Times New Roman" w:cs="Times New Roman" w:eastAsia="Times New Roman" w:hAnsi="Times New Roman"/>
          <w:sz w:val="18"/>
          <w:szCs w:val="18"/>
          <w:b w:val="1"/>
          <w:bCs w:val="1"/>
          <w:color w:val="auto"/>
        </w:rPr>
        <w:t>RECONCILIATION OF OPERATING INCOME (LOSS) TO ADJUSTED PROPERTY EBITDAR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29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1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 2024</w:t>
            </w:r>
          </w:p>
        </w:tc>
        <w:tc>
          <w:tcPr>
            <w:tcW w:w="1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4"/>
        </w:trPr>
        <w:tc>
          <w:tcPr>
            <w:tcW w:w="2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7"/>
        </w:trPr>
        <w:tc>
          <w:tcPr>
            <w:tcW w:w="2960" w:type="dxa"/>
            <w:vAlign w:val="bottom"/>
          </w:tcPr>
          <w:p>
            <w:pPr>
              <w:spacing w:after="0"/>
              <w:rPr>
                <w:sz w:val="11"/>
                <w:szCs w:val="11"/>
                <w:color w:val="auto"/>
              </w:rPr>
            </w:pPr>
          </w:p>
        </w:tc>
        <w:tc>
          <w:tcPr>
            <w:tcW w:w="10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Wynn Palace</w:t>
            </w:r>
          </w:p>
        </w:tc>
        <w:tc>
          <w:tcPr>
            <w:tcW w:w="1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Wynn Macau</w:t>
            </w:r>
          </w:p>
        </w:tc>
        <w:tc>
          <w:tcPr>
            <w:tcW w:w="1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Other Macau</w:t>
            </w:r>
          </w:p>
        </w:tc>
        <w:tc>
          <w:tcPr>
            <w:tcW w:w="80" w:type="dxa"/>
            <w:vAlign w:val="bottom"/>
          </w:tcPr>
          <w:p>
            <w:pPr>
              <w:spacing w:after="0"/>
              <w:rPr>
                <w:sz w:val="11"/>
                <w:szCs w:val="11"/>
                <w:color w:val="auto"/>
              </w:rPr>
            </w:pPr>
          </w:p>
        </w:tc>
        <w:tc>
          <w:tcPr>
            <w:tcW w:w="960" w:type="dxa"/>
            <w:vAlign w:val="bottom"/>
            <w:gridSpan w:val="2"/>
          </w:tcPr>
          <w:p>
            <w:pPr>
              <w:jc w:val="center"/>
              <w:ind w:right="180"/>
              <w:spacing w:after="0" w:line="127" w:lineRule="exact"/>
              <w:rPr>
                <w:sz w:val="20"/>
                <w:szCs w:val="20"/>
                <w:color w:val="auto"/>
              </w:rPr>
            </w:pPr>
            <w:r>
              <w:rPr>
                <w:rFonts w:ascii="Times New Roman" w:cs="Times New Roman" w:eastAsia="Times New Roman" w:hAnsi="Times New Roman"/>
                <w:sz w:val="14"/>
                <w:szCs w:val="14"/>
                <w:b w:val="1"/>
                <w:bCs w:val="1"/>
                <w:color w:val="auto"/>
                <w:w w:val="96"/>
              </w:rPr>
              <w:t>Total Macau</w:t>
            </w:r>
          </w:p>
        </w:tc>
        <w:tc>
          <w:tcPr>
            <w:tcW w:w="120" w:type="dxa"/>
            <w:vAlign w:val="bottom"/>
          </w:tcPr>
          <w:p>
            <w:pPr>
              <w:spacing w:after="0"/>
              <w:rPr>
                <w:sz w:val="11"/>
                <w:szCs w:val="11"/>
                <w:color w:val="auto"/>
              </w:rPr>
            </w:pPr>
          </w:p>
        </w:tc>
        <w:tc>
          <w:tcPr>
            <w:tcW w:w="940" w:type="dxa"/>
            <w:vAlign w:val="bottom"/>
            <w:gridSpan w:val="2"/>
          </w:tcPr>
          <w:p>
            <w:pPr>
              <w:jc w:val="center"/>
              <w:ind w:right="220"/>
              <w:spacing w:after="0" w:line="127" w:lineRule="exact"/>
              <w:rPr>
                <w:sz w:val="20"/>
                <w:szCs w:val="20"/>
                <w:color w:val="auto"/>
              </w:rPr>
            </w:pPr>
            <w:r>
              <w:rPr>
                <w:rFonts w:ascii="Times New Roman" w:cs="Times New Roman" w:eastAsia="Times New Roman" w:hAnsi="Times New Roman"/>
                <w:sz w:val="14"/>
                <w:szCs w:val="14"/>
                <w:b w:val="1"/>
                <w:bCs w:val="1"/>
                <w:color w:val="auto"/>
                <w:w w:val="98"/>
              </w:rPr>
              <w:t>Las Vegas</w:t>
            </w:r>
          </w:p>
        </w:tc>
        <w:tc>
          <w:tcPr>
            <w:tcW w:w="1040" w:type="dxa"/>
            <w:vAlign w:val="bottom"/>
            <w:gridSpan w:val="3"/>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Encore Boston</w:t>
            </w:r>
          </w:p>
        </w:tc>
        <w:tc>
          <w:tcPr>
            <w:tcW w:w="1060" w:type="dxa"/>
            <w:vAlign w:val="bottom"/>
            <w:gridSpan w:val="3"/>
          </w:tcPr>
          <w:p>
            <w:pPr>
              <w:jc w:val="center"/>
              <w:ind w:right="80"/>
              <w:spacing w:after="0" w:line="127"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1"/>
                <w:szCs w:val="11"/>
                <w:color w:val="auto"/>
              </w:rPr>
            </w:pPr>
          </w:p>
        </w:tc>
        <w:tc>
          <w:tcPr>
            <w:tcW w:w="760" w:type="dxa"/>
            <w:vAlign w:val="bottom"/>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96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Operations</w:t>
            </w: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6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Harbor</w:t>
            </w:r>
          </w:p>
        </w:tc>
        <w:tc>
          <w:tcPr>
            <w:tcW w:w="20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4"/>
              </w:rPr>
              <w:t>Other</w:t>
            </w: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221,841</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162,176</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(16,099)</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367,918</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271,187</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(34,919)</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28,413</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632,599</w:t>
            </w:r>
          </w:p>
        </w:tc>
        <w:tc>
          <w:tcPr>
            <w:tcW w:w="0" w:type="dxa"/>
            <w:vAlign w:val="bottom"/>
          </w:tcPr>
          <w:p>
            <w:pPr>
              <w:spacing w:after="0"/>
              <w:rPr>
                <w:sz w:val="1"/>
                <w:szCs w:val="1"/>
                <w:color w:val="auto"/>
              </w:rPr>
            </w:pPr>
          </w:p>
        </w:tc>
      </w:tr>
      <w:tr>
        <w:trPr>
          <w:trHeight w:val="191"/>
        </w:trPr>
        <w:tc>
          <w:tcPr>
            <w:tcW w:w="2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Pre-opening expenses</w:t>
            </w:r>
          </w:p>
        </w:tc>
        <w:tc>
          <w:tcPr>
            <w:tcW w:w="2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2,210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3,593</w:t>
            </w:r>
          </w:p>
        </w:tc>
        <w:tc>
          <w:tcPr>
            <w:tcW w:w="0" w:type="dxa"/>
            <w:vAlign w:val="bottom"/>
          </w:tcPr>
          <w:p>
            <w:pPr>
              <w:spacing w:after="0"/>
              <w:rPr>
                <w:sz w:val="1"/>
                <w:szCs w:val="1"/>
                <w:color w:val="auto"/>
              </w:rPr>
            </w:pPr>
          </w:p>
        </w:tc>
      </w:tr>
      <w:tr>
        <w:trPr>
          <w:trHeight w:val="204"/>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110,443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40,079</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770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151,292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120,629</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63,076</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16,341</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351,338</w:t>
            </w:r>
          </w:p>
        </w:tc>
        <w:tc>
          <w:tcPr>
            <w:tcW w:w="0" w:type="dxa"/>
            <w:vAlign w:val="bottom"/>
          </w:tcPr>
          <w:p>
            <w:pPr>
              <w:spacing w:after="0"/>
              <w:rPr>
                <w:sz w:val="1"/>
                <w:szCs w:val="1"/>
                <w:color w:val="auto"/>
              </w:rPr>
            </w:pPr>
          </w:p>
        </w:tc>
      </w:tr>
      <w:tr>
        <w:trPr>
          <w:trHeight w:val="191"/>
        </w:trPr>
        <w:tc>
          <w:tcPr>
            <w:tcW w:w="2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Property charges and other</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11,692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446</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12,250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2,175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41,168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55,763</w:t>
            </w:r>
          </w:p>
        </w:tc>
        <w:tc>
          <w:tcPr>
            <w:tcW w:w="0" w:type="dxa"/>
            <w:vAlign w:val="bottom"/>
          </w:tcPr>
          <w:p>
            <w:pPr>
              <w:spacing w:after="0"/>
              <w:rPr>
                <w:sz w:val="1"/>
                <w:szCs w:val="1"/>
                <w:color w:val="auto"/>
              </w:rPr>
            </w:pPr>
          </w:p>
        </w:tc>
      </w:tr>
      <w:tr>
        <w:trPr>
          <w:trHeight w:val="204"/>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Management and license fees</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36,288</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23,345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59,633</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59,917</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21,023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(140,573)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1"/>
        </w:trPr>
        <w:tc>
          <w:tcPr>
            <w:tcW w:w="2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Corporate expenses and other</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4,388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4,501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13,120</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22,009</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15,951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3,718</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31,937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73,615</w:t>
            </w:r>
          </w:p>
        </w:tc>
        <w:tc>
          <w:tcPr>
            <w:tcW w:w="0" w:type="dxa"/>
            <w:vAlign w:val="bottom"/>
          </w:tcPr>
          <w:p>
            <w:pPr>
              <w:spacing w:after="0"/>
              <w:rPr>
                <w:sz w:val="1"/>
                <w:szCs w:val="1"/>
                <w:color w:val="auto"/>
              </w:rPr>
            </w:pPr>
          </w:p>
        </w:tc>
      </w:tr>
      <w:tr>
        <w:trPr>
          <w:trHeight w:val="204"/>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2,550</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2,097</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6,824</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6,000</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805</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16,907</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30,536</w:t>
            </w:r>
          </w:p>
        </w:tc>
        <w:tc>
          <w:tcPr>
            <w:tcW w:w="0" w:type="dxa"/>
            <w:vAlign w:val="bottom"/>
          </w:tcPr>
          <w:p>
            <w:pPr>
              <w:spacing w:after="0"/>
              <w:rPr>
                <w:sz w:val="1"/>
                <w:szCs w:val="1"/>
                <w:color w:val="auto"/>
              </w:rPr>
            </w:pPr>
          </w:p>
        </w:tc>
      </w:tr>
      <w:tr>
        <w:trPr>
          <w:trHeight w:val="191"/>
        </w:trPr>
        <w:tc>
          <w:tcPr>
            <w:tcW w:w="2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Triple-net operating lease rent expense</w:t>
            </w:r>
          </w:p>
        </w:tc>
        <w:tc>
          <w:tcPr>
            <w:tcW w:w="2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70,746</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70,746</w:t>
            </w:r>
          </w:p>
        </w:tc>
        <w:tc>
          <w:tcPr>
            <w:tcW w:w="0" w:type="dxa"/>
            <w:vAlign w:val="bottom"/>
          </w:tcPr>
          <w:p>
            <w:pPr>
              <w:spacing w:after="0"/>
              <w:rPr>
                <w:sz w:val="1"/>
                <w:szCs w:val="1"/>
                <w:color w:val="auto"/>
              </w:rPr>
            </w:pPr>
          </w:p>
        </w:tc>
      </w:tr>
      <w:tr>
        <w:trPr>
          <w:trHeight w:val="222"/>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Property EBITDAR</w:t>
            </w: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386,829</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233,097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619,926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476,595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125,266</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(3,597)</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1,218,190</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38"/>
        </w:trPr>
        <w:tc>
          <w:tcPr>
            <w:tcW w:w="2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gridSpan w:val="6"/>
          </w:tcPr>
          <w:p>
            <w:pPr>
              <w:ind w:left="40"/>
              <w:spacing w:after="0"/>
              <w:rPr>
                <w:sz w:val="20"/>
                <w:szCs w:val="20"/>
                <w:color w:val="auto"/>
              </w:rPr>
            </w:pPr>
            <w:r>
              <w:rPr>
                <w:rFonts w:ascii="Times New Roman" w:cs="Times New Roman" w:eastAsia="Times New Roman" w:hAnsi="Times New Roman"/>
                <w:sz w:val="14"/>
                <w:szCs w:val="14"/>
                <w:b w:val="1"/>
                <w:bCs w:val="1"/>
                <w:color w:val="auto"/>
              </w:rPr>
              <w:t>Six Months Ended June 30, 2023</w:t>
            </w:r>
          </w:p>
        </w:tc>
        <w:tc>
          <w:tcPr>
            <w:tcW w:w="1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
        </w:trPr>
        <w:tc>
          <w:tcPr>
            <w:tcW w:w="2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1040" w:type="dxa"/>
            <w:vAlign w:val="bottom"/>
            <w:tcBorders>
              <w:bottom w:val="single" w:sz="8" w:color="auto"/>
            </w:tcBorders>
            <w:gridSpan w:val="3"/>
          </w:tcPr>
          <w:p>
            <w:pPr>
              <w:spacing w:after="0"/>
              <w:rPr>
                <w:sz w:val="2"/>
                <w:szCs w:val="2"/>
                <w:color w:val="auto"/>
              </w:rPr>
            </w:pPr>
          </w:p>
        </w:tc>
        <w:tc>
          <w:tcPr>
            <w:tcW w:w="1060" w:type="dxa"/>
            <w:vAlign w:val="bottom"/>
            <w:tcBorders>
              <w:bottom w:val="single" w:sz="8" w:color="auto"/>
            </w:tcBorders>
            <w:gridSpan w:val="3"/>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5"/>
        </w:trPr>
        <w:tc>
          <w:tcPr>
            <w:tcW w:w="2960" w:type="dxa"/>
            <w:vAlign w:val="bottom"/>
          </w:tcPr>
          <w:p>
            <w:pPr>
              <w:spacing w:after="0"/>
              <w:rPr>
                <w:sz w:val="10"/>
                <w:szCs w:val="10"/>
                <w:color w:val="auto"/>
              </w:rPr>
            </w:pPr>
          </w:p>
        </w:tc>
        <w:tc>
          <w:tcPr>
            <w:tcW w:w="104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Wynn Palace</w:t>
            </w:r>
          </w:p>
        </w:tc>
        <w:tc>
          <w:tcPr>
            <w:tcW w:w="1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Wynn Macau</w:t>
            </w:r>
          </w:p>
        </w:tc>
        <w:tc>
          <w:tcPr>
            <w:tcW w:w="104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Other Macau</w:t>
            </w:r>
          </w:p>
        </w:tc>
        <w:tc>
          <w:tcPr>
            <w:tcW w:w="80" w:type="dxa"/>
            <w:vAlign w:val="bottom"/>
          </w:tcPr>
          <w:p>
            <w:pPr>
              <w:spacing w:after="0"/>
              <w:rPr>
                <w:sz w:val="10"/>
                <w:szCs w:val="10"/>
                <w:color w:val="auto"/>
              </w:rPr>
            </w:pPr>
          </w:p>
        </w:tc>
        <w:tc>
          <w:tcPr>
            <w:tcW w:w="960" w:type="dxa"/>
            <w:vAlign w:val="bottom"/>
            <w:gridSpan w:val="2"/>
          </w:tcPr>
          <w:p>
            <w:pPr>
              <w:jc w:val="center"/>
              <w:ind w:right="180"/>
              <w:spacing w:after="0" w:line="125" w:lineRule="exact"/>
              <w:rPr>
                <w:sz w:val="20"/>
                <w:szCs w:val="20"/>
                <w:color w:val="auto"/>
              </w:rPr>
            </w:pPr>
            <w:r>
              <w:rPr>
                <w:rFonts w:ascii="Times New Roman" w:cs="Times New Roman" w:eastAsia="Times New Roman" w:hAnsi="Times New Roman"/>
                <w:sz w:val="14"/>
                <w:szCs w:val="14"/>
                <w:b w:val="1"/>
                <w:bCs w:val="1"/>
                <w:color w:val="auto"/>
                <w:w w:val="96"/>
              </w:rPr>
              <w:t>Total Macau</w:t>
            </w:r>
          </w:p>
        </w:tc>
        <w:tc>
          <w:tcPr>
            <w:tcW w:w="120" w:type="dxa"/>
            <w:vAlign w:val="bottom"/>
          </w:tcPr>
          <w:p>
            <w:pPr>
              <w:spacing w:after="0"/>
              <w:rPr>
                <w:sz w:val="10"/>
                <w:szCs w:val="10"/>
                <w:color w:val="auto"/>
              </w:rPr>
            </w:pPr>
          </w:p>
        </w:tc>
        <w:tc>
          <w:tcPr>
            <w:tcW w:w="940" w:type="dxa"/>
            <w:vAlign w:val="bottom"/>
            <w:gridSpan w:val="2"/>
          </w:tcPr>
          <w:p>
            <w:pPr>
              <w:jc w:val="center"/>
              <w:ind w:right="220"/>
              <w:spacing w:after="0" w:line="125" w:lineRule="exact"/>
              <w:rPr>
                <w:sz w:val="20"/>
                <w:szCs w:val="20"/>
                <w:color w:val="auto"/>
              </w:rPr>
            </w:pPr>
            <w:r>
              <w:rPr>
                <w:rFonts w:ascii="Times New Roman" w:cs="Times New Roman" w:eastAsia="Times New Roman" w:hAnsi="Times New Roman"/>
                <w:sz w:val="14"/>
                <w:szCs w:val="14"/>
                <w:b w:val="1"/>
                <w:bCs w:val="1"/>
                <w:color w:val="auto"/>
                <w:w w:val="98"/>
              </w:rPr>
              <w:t>Las Vegas</w:t>
            </w:r>
          </w:p>
        </w:tc>
        <w:tc>
          <w:tcPr>
            <w:tcW w:w="1040" w:type="dxa"/>
            <w:vAlign w:val="bottom"/>
            <w:gridSpan w:val="3"/>
          </w:tcPr>
          <w:p>
            <w:pPr>
              <w:jc w:val="center"/>
              <w:ind w:right="80"/>
              <w:spacing w:after="0" w:line="125" w:lineRule="exact"/>
              <w:rPr>
                <w:sz w:val="20"/>
                <w:szCs w:val="20"/>
                <w:color w:val="auto"/>
              </w:rPr>
            </w:pPr>
            <w:r>
              <w:rPr>
                <w:rFonts w:ascii="Times New Roman" w:cs="Times New Roman" w:eastAsia="Times New Roman" w:hAnsi="Times New Roman"/>
                <w:sz w:val="14"/>
                <w:szCs w:val="14"/>
                <w:b w:val="1"/>
                <w:bCs w:val="1"/>
                <w:color w:val="auto"/>
              </w:rPr>
              <w:t>Encore Boston</w:t>
            </w:r>
          </w:p>
        </w:tc>
        <w:tc>
          <w:tcPr>
            <w:tcW w:w="1060" w:type="dxa"/>
            <w:vAlign w:val="bottom"/>
            <w:gridSpan w:val="3"/>
          </w:tcPr>
          <w:p>
            <w:pPr>
              <w:jc w:val="center"/>
              <w:ind w:right="80"/>
              <w:spacing w:after="0" w:line="125" w:lineRule="exact"/>
              <w:rPr>
                <w:sz w:val="20"/>
                <w:szCs w:val="20"/>
                <w:color w:val="auto"/>
              </w:rPr>
            </w:pPr>
            <w:r>
              <w:rPr>
                <w:rFonts w:ascii="Times New Roman" w:cs="Times New Roman" w:eastAsia="Times New Roman" w:hAnsi="Times New Roman"/>
                <w:sz w:val="14"/>
                <w:szCs w:val="14"/>
                <w:b w:val="1"/>
                <w:bCs w:val="1"/>
                <w:color w:val="auto"/>
              </w:rPr>
              <w:t>Corporate and</w:t>
            </w:r>
          </w:p>
        </w:tc>
        <w:tc>
          <w:tcPr>
            <w:tcW w:w="200" w:type="dxa"/>
            <w:vAlign w:val="bottom"/>
          </w:tcPr>
          <w:p>
            <w:pPr>
              <w:spacing w:after="0"/>
              <w:rPr>
                <w:sz w:val="10"/>
                <w:szCs w:val="10"/>
                <w:color w:val="auto"/>
              </w:rPr>
            </w:pPr>
          </w:p>
        </w:tc>
        <w:tc>
          <w:tcPr>
            <w:tcW w:w="760" w:type="dxa"/>
            <w:vAlign w:val="bottom"/>
            <w:vMerge w:val="restart"/>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1"/>
        </w:trPr>
        <w:tc>
          <w:tcPr>
            <w:tcW w:w="2960" w:type="dxa"/>
            <w:vAlign w:val="bottom"/>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1040" w:type="dxa"/>
            <w:vAlign w:val="bottom"/>
            <w:gridSpan w:val="3"/>
            <w:vMerge w:val="continue"/>
          </w:tcPr>
          <w:p>
            <w:pPr>
              <w:spacing w:after="0"/>
              <w:rPr>
                <w:sz w:val="16"/>
                <w:szCs w:val="16"/>
                <w:color w:val="auto"/>
              </w:rPr>
            </w:pPr>
          </w:p>
        </w:tc>
        <w:tc>
          <w:tcPr>
            <w:tcW w:w="8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8"/>
              </w:rPr>
              <w:t>Operations</w:t>
            </w:r>
          </w:p>
        </w:tc>
        <w:tc>
          <w:tcPr>
            <w:tcW w:w="120" w:type="dxa"/>
            <w:vAlign w:val="bottom"/>
          </w:tcPr>
          <w:p>
            <w:pPr>
              <w:spacing w:after="0"/>
              <w:rPr>
                <w:sz w:val="16"/>
                <w:szCs w:val="16"/>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Operations</w:t>
            </w:r>
          </w:p>
        </w:tc>
        <w:tc>
          <w:tcPr>
            <w:tcW w:w="160" w:type="dxa"/>
            <w:vAlign w:val="bottom"/>
          </w:tcPr>
          <w:p>
            <w:pPr>
              <w:spacing w:after="0"/>
              <w:rPr>
                <w:sz w:val="16"/>
                <w:szCs w:val="16"/>
                <w:color w:val="auto"/>
              </w:rPr>
            </w:pPr>
          </w:p>
        </w:tc>
        <w:tc>
          <w:tcPr>
            <w:tcW w:w="88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7"/>
              </w:rPr>
              <w:t>Harbor</w:t>
            </w:r>
          </w:p>
        </w:tc>
        <w:tc>
          <w:tcPr>
            <w:tcW w:w="200" w:type="dxa"/>
            <w:vAlign w:val="bottom"/>
          </w:tcPr>
          <w:p>
            <w:pPr>
              <w:spacing w:after="0"/>
              <w:rPr>
                <w:sz w:val="16"/>
                <w:szCs w:val="16"/>
                <w:color w:val="auto"/>
              </w:rPr>
            </w:pPr>
          </w:p>
        </w:tc>
        <w:tc>
          <w:tcPr>
            <w:tcW w:w="860" w:type="dxa"/>
            <w:vAlign w:val="bottom"/>
            <w:gridSpan w:val="2"/>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4"/>
              </w:rPr>
              <w:t>Other</w:t>
            </w: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7"/>
        </w:trPr>
        <w:tc>
          <w:tcPr>
            <w:tcW w:w="29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Operating income (loss)</w:t>
            </w: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120,143</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59,516</w:t>
            </w: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w w:val="85"/>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(10,838)</w:t>
            </w:r>
          </w:p>
        </w:tc>
        <w:tc>
          <w:tcPr>
            <w:tcW w:w="1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168,821</w:t>
            </w:r>
          </w:p>
        </w:tc>
        <w:tc>
          <w:tcPr>
            <w:tcW w:w="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261,772</w:t>
            </w:r>
          </w:p>
        </w:tc>
        <w:tc>
          <w:tcPr>
            <w:tcW w:w="1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w w:val="85"/>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(25,952)</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color w:val="auto"/>
              </w:rPr>
              <w:t>$</w:t>
            </w:r>
          </w:p>
        </w:tc>
        <w:tc>
          <w:tcPr>
            <w:tcW w:w="780" w:type="dxa"/>
            <w:vAlign w:val="bottom"/>
            <w:tcBorders>
              <w:top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15,210</w:t>
            </w:r>
          </w:p>
        </w:tc>
        <w:tc>
          <w:tcPr>
            <w:tcW w:w="8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419,851</w:t>
            </w:r>
          </w:p>
        </w:tc>
        <w:tc>
          <w:tcPr>
            <w:tcW w:w="0" w:type="dxa"/>
            <w:vAlign w:val="bottom"/>
          </w:tcPr>
          <w:p>
            <w:pPr>
              <w:spacing w:after="0"/>
              <w:rPr>
                <w:sz w:val="1"/>
                <w:szCs w:val="1"/>
                <w:color w:val="auto"/>
              </w:rPr>
            </w:pPr>
          </w:p>
        </w:tc>
      </w:tr>
      <w:tr>
        <w:trPr>
          <w:trHeight w:val="191"/>
        </w:trPr>
        <w:tc>
          <w:tcPr>
            <w:tcW w:w="2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Pre-opening expenses</w:t>
            </w:r>
          </w:p>
        </w:tc>
        <w:tc>
          <w:tcPr>
            <w:tcW w:w="2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1,247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4,627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5,955</w:t>
            </w:r>
          </w:p>
        </w:tc>
        <w:tc>
          <w:tcPr>
            <w:tcW w:w="0" w:type="dxa"/>
            <w:vAlign w:val="bottom"/>
          </w:tcPr>
          <w:p>
            <w:pPr>
              <w:spacing w:after="0"/>
              <w:rPr>
                <w:sz w:val="1"/>
                <w:szCs w:val="1"/>
                <w:color w:val="auto"/>
              </w:rPr>
            </w:pPr>
          </w:p>
        </w:tc>
      </w:tr>
      <w:tr>
        <w:trPr>
          <w:trHeight w:val="204"/>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Depreciation and amortization</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108,075</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41,177</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760</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150,012</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114,202</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60,132</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14,428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338,774</w:t>
            </w:r>
          </w:p>
        </w:tc>
        <w:tc>
          <w:tcPr>
            <w:tcW w:w="0" w:type="dxa"/>
            <w:vAlign w:val="bottom"/>
          </w:tcPr>
          <w:p>
            <w:pPr>
              <w:spacing w:after="0"/>
              <w:rPr>
                <w:sz w:val="1"/>
                <w:szCs w:val="1"/>
                <w:color w:val="auto"/>
              </w:rPr>
            </w:pPr>
          </w:p>
        </w:tc>
      </w:tr>
      <w:tr>
        <w:trPr>
          <w:trHeight w:val="191"/>
        </w:trPr>
        <w:tc>
          <w:tcPr>
            <w:tcW w:w="2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Property charges and other</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3,829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7,078</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10,920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7,151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184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18,477</w:t>
            </w:r>
          </w:p>
        </w:tc>
        <w:tc>
          <w:tcPr>
            <w:tcW w:w="0" w:type="dxa"/>
            <w:vAlign w:val="bottom"/>
          </w:tcPr>
          <w:p>
            <w:pPr>
              <w:spacing w:after="0"/>
              <w:rPr>
                <w:sz w:val="1"/>
                <w:szCs w:val="1"/>
                <w:color w:val="auto"/>
              </w:rPr>
            </w:pPr>
          </w:p>
        </w:tc>
      </w:tr>
      <w:tr>
        <w:trPr>
          <w:trHeight w:val="204"/>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Management and license fees</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26,904</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16,762</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78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43,666</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55,253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21,249</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(120,168)</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0" w:type="dxa"/>
            <w:vAlign w:val="bottom"/>
          </w:tcPr>
          <w:p>
            <w:pPr>
              <w:spacing w:after="0"/>
              <w:rPr>
                <w:sz w:val="1"/>
                <w:szCs w:val="1"/>
                <w:color w:val="auto"/>
              </w:rPr>
            </w:pPr>
          </w:p>
        </w:tc>
      </w:tr>
      <w:tr>
        <w:trPr>
          <w:trHeight w:val="191"/>
        </w:trPr>
        <w:tc>
          <w:tcPr>
            <w:tcW w:w="2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Corporate expenses and other</w:t>
            </w: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5,111</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5,219</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8,052</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18,382</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13,886</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3,813</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80" w:type="dxa"/>
            <w:vAlign w:val="bottom"/>
          </w:tcPr>
          <w:p>
            <w:pPr>
              <w:jc w:val="right"/>
              <w:ind w:right="10"/>
              <w:spacing w:after="0"/>
              <w:rPr>
                <w:sz w:val="20"/>
                <w:szCs w:val="20"/>
                <w:color w:val="auto"/>
              </w:rPr>
            </w:pPr>
            <w:r>
              <w:rPr>
                <w:rFonts w:ascii="Times New Roman" w:cs="Times New Roman" w:eastAsia="Times New Roman" w:hAnsi="Times New Roman"/>
                <w:sz w:val="14"/>
                <w:szCs w:val="14"/>
                <w:color w:val="auto"/>
              </w:rPr>
              <w:t>31,157</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67,238</w:t>
            </w:r>
          </w:p>
        </w:tc>
        <w:tc>
          <w:tcPr>
            <w:tcW w:w="0" w:type="dxa"/>
            <w:vAlign w:val="bottom"/>
          </w:tcPr>
          <w:p>
            <w:pPr>
              <w:spacing w:after="0"/>
              <w:rPr>
                <w:sz w:val="1"/>
                <w:szCs w:val="1"/>
                <w:color w:val="auto"/>
              </w:rPr>
            </w:pPr>
          </w:p>
        </w:tc>
      </w:tr>
      <w:tr>
        <w:trPr>
          <w:trHeight w:val="204"/>
        </w:trPr>
        <w:tc>
          <w:tcPr>
            <w:tcW w:w="29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4"/>
                <w:szCs w:val="14"/>
                <w:color w:val="auto"/>
              </w:rPr>
              <w:t>Stock-based compensation</w:t>
            </w: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3,603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4,583</w:t>
            </w: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2,013</w:t>
            </w:r>
          </w:p>
        </w:tc>
        <w:tc>
          <w:tcPr>
            <w:tcW w:w="1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10,199</w:t>
            </w:r>
          </w:p>
        </w:tc>
        <w:tc>
          <w:tcPr>
            <w:tcW w:w="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3,373</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893</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color w:val="auto"/>
              </w:rPr>
              <w:t>18,530</w:t>
            </w: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32,995</w:t>
            </w:r>
          </w:p>
        </w:tc>
        <w:tc>
          <w:tcPr>
            <w:tcW w:w="0" w:type="dxa"/>
            <w:vAlign w:val="bottom"/>
          </w:tcPr>
          <w:p>
            <w:pPr>
              <w:spacing w:after="0"/>
              <w:rPr>
                <w:sz w:val="1"/>
                <w:szCs w:val="1"/>
                <w:color w:val="auto"/>
              </w:rPr>
            </w:pPr>
          </w:p>
        </w:tc>
      </w:tr>
      <w:tr>
        <w:trPr>
          <w:trHeight w:val="191"/>
        </w:trPr>
        <w:tc>
          <w:tcPr>
            <w:tcW w:w="2960" w:type="dxa"/>
            <w:vAlign w:val="bottom"/>
          </w:tcPr>
          <w:p>
            <w:pPr>
              <w:ind w:left="180"/>
              <w:spacing w:after="0"/>
              <w:rPr>
                <w:sz w:val="20"/>
                <w:szCs w:val="20"/>
                <w:color w:val="auto"/>
              </w:rPr>
            </w:pPr>
            <w:r>
              <w:rPr>
                <w:rFonts w:ascii="Times New Roman" w:cs="Times New Roman" w:eastAsia="Times New Roman" w:hAnsi="Times New Roman"/>
                <w:sz w:val="14"/>
                <w:szCs w:val="14"/>
                <w:color w:val="auto"/>
              </w:rPr>
              <w:t>Triple-net operating lease rent expense</w:t>
            </w:r>
          </w:p>
        </w:tc>
        <w:tc>
          <w:tcPr>
            <w:tcW w:w="2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Pr>
          <w:p>
            <w:pPr>
              <w:spacing w:after="0"/>
              <w:rPr>
                <w:sz w:val="16"/>
                <w:szCs w:val="16"/>
                <w:color w:val="auto"/>
              </w:rPr>
            </w:pPr>
          </w:p>
        </w:tc>
        <w:tc>
          <w:tcPr>
            <w:tcW w:w="7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6"/>
                <w:szCs w:val="16"/>
                <w:color w:val="auto"/>
              </w:rPr>
            </w:pPr>
          </w:p>
        </w:tc>
        <w:tc>
          <w:tcPr>
            <w:tcW w:w="96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w:t>
            </w:r>
          </w:p>
        </w:tc>
        <w:tc>
          <w:tcPr>
            <w:tcW w:w="120" w:type="dxa"/>
            <w:vAlign w:val="bottom"/>
          </w:tcPr>
          <w:p>
            <w:pPr>
              <w:spacing w:after="0"/>
              <w:rPr>
                <w:sz w:val="16"/>
                <w:szCs w:val="16"/>
                <w:color w:val="auto"/>
              </w:rPr>
            </w:pPr>
          </w:p>
        </w:tc>
        <w:tc>
          <w:tcPr>
            <w:tcW w:w="9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70,914</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70,914</w:t>
            </w:r>
          </w:p>
        </w:tc>
        <w:tc>
          <w:tcPr>
            <w:tcW w:w="0" w:type="dxa"/>
            <w:vAlign w:val="bottom"/>
          </w:tcPr>
          <w:p>
            <w:pPr>
              <w:spacing w:after="0"/>
              <w:rPr>
                <w:sz w:val="1"/>
                <w:szCs w:val="1"/>
                <w:color w:val="auto"/>
              </w:rPr>
            </w:pPr>
          </w:p>
        </w:tc>
      </w:tr>
      <w:tr>
        <w:trPr>
          <w:trHeight w:val="222"/>
        </w:trPr>
        <w:tc>
          <w:tcPr>
            <w:tcW w:w="296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b w:val="1"/>
                <w:bCs w:val="1"/>
                <w:color w:val="auto"/>
              </w:rPr>
              <w:t>Adjusted Property EBITDAR</w:t>
            </w: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267,665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134,335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402,000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455,718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132,518</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(36,032)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w w:val="85"/>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b w:val="1"/>
                <w:bCs w:val="1"/>
                <w:color w:val="auto"/>
              </w:rPr>
              <w:t>954,204</w:t>
            </w:r>
          </w:p>
        </w:tc>
        <w:tc>
          <w:tcPr>
            <w:tcW w:w="0" w:type="dxa"/>
            <w:vAlign w:val="bottom"/>
          </w:tcPr>
          <w:p>
            <w:pPr>
              <w:spacing w:after="0"/>
              <w:rPr>
                <w:sz w:val="1"/>
                <w:szCs w:val="1"/>
                <w:color w:val="auto"/>
              </w:rPr>
            </w:pP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240"/>
          </w:cols>
          <w:pgMar w:left="320" w:top="869" w:right="339" w:bottom="1440" w:gutter="0" w:footer="0" w:header="0"/>
        </w:sectPr>
      </w:pPr>
    </w:p>
    <w:bookmarkStart w:id="10" w:name="page11"/>
    <w:bookmarkEnd w:id="10"/>
    <w:p>
      <w:pPr>
        <w:ind w:left="352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12" w:lineRule="exact"/>
        <w:rPr>
          <w:sz w:val="20"/>
          <w:szCs w:val="20"/>
          <w:color w:val="auto"/>
        </w:rPr>
      </w:pPr>
    </w:p>
    <w:p>
      <w:pPr>
        <w:ind w:left="1940"/>
        <w:spacing w:after="0"/>
        <w:rPr>
          <w:sz w:val="20"/>
          <w:szCs w:val="20"/>
          <w:color w:val="auto"/>
        </w:rPr>
      </w:pPr>
      <w:r>
        <w:rPr>
          <w:rFonts w:ascii="Times New Roman" w:cs="Times New Roman" w:eastAsia="Times New Roman" w:hAnsi="Times New Roman"/>
          <w:sz w:val="18"/>
          <w:szCs w:val="18"/>
          <w:b w:val="1"/>
          <w:bCs w:val="1"/>
          <w:color w:val="auto"/>
        </w:rPr>
        <w:t>RECONCILIATION OF NET INCOME ATTRIBUTABLE TO WYNN RESORTS, LIMITED TO</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ADJUSTED PROPERTY EBITDAR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3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0" w:type="dxa"/>
            <w:vAlign w:val="bottom"/>
            <w:gridSpan w:val="5"/>
          </w:tcPr>
          <w:p>
            <w:pPr>
              <w:ind w:lef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40" w:type="dxa"/>
            <w:vAlign w:val="bottom"/>
          </w:tcPr>
          <w:p>
            <w:pPr>
              <w:spacing w:after="0"/>
              <w:rPr>
                <w:sz w:val="13"/>
                <w:szCs w:val="13"/>
                <w:color w:val="auto"/>
              </w:rPr>
            </w:pPr>
          </w:p>
        </w:tc>
        <w:tc>
          <w:tcPr>
            <w:tcW w:w="2140" w:type="dxa"/>
            <w:vAlign w:val="bottom"/>
            <w:gridSpan w:val="4"/>
          </w:tcPr>
          <w:p>
            <w:pPr>
              <w:jc w:val="right"/>
              <w:ind w:right="553"/>
              <w:spacing w:after="0"/>
              <w:rPr>
                <w:sz w:val="20"/>
                <w:szCs w:val="20"/>
                <w:color w:val="auto"/>
              </w:rPr>
            </w:pPr>
            <w:r>
              <w:rPr>
                <w:rFonts w:ascii="Times New Roman" w:cs="Times New Roman" w:eastAsia="Times New Roman" w:hAnsi="Times New Roman"/>
                <w:sz w:val="14"/>
                <w:szCs w:val="14"/>
                <w:b w:val="1"/>
                <w:bCs w:val="1"/>
                <w:color w:val="auto"/>
              </w:rPr>
              <w:t>Six Months Ended</w:t>
            </w:r>
          </w:p>
        </w:tc>
      </w:tr>
      <w:tr>
        <w:trPr>
          <w:trHeight w:val="190"/>
        </w:trPr>
        <w:tc>
          <w:tcPr>
            <w:tcW w:w="63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20" w:type="dxa"/>
            <w:vAlign w:val="bottom"/>
            <w:tcBorders>
              <w:bottom w:val="single" w:sz="8" w:color="auto"/>
            </w:tcBorders>
          </w:tcPr>
          <w:p>
            <w:pPr>
              <w:spacing w:after="0"/>
              <w:rPr>
                <w:sz w:val="16"/>
                <w:szCs w:val="16"/>
                <w:color w:val="auto"/>
              </w:rPr>
            </w:pPr>
          </w:p>
        </w:tc>
      </w:tr>
      <w:tr>
        <w:trPr>
          <w:trHeight w:val="190"/>
        </w:trPr>
        <w:tc>
          <w:tcPr>
            <w:tcW w:w="638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2024</w:t>
            </w:r>
          </w:p>
        </w:tc>
        <w:tc>
          <w:tcPr>
            <w:tcW w:w="8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Borders>
              <w:bottom w:val="single" w:sz="8" w:color="CCEEFF"/>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00" w:type="dxa"/>
            <w:vAlign w:val="bottom"/>
            <w:tcBorders>
              <w:bottom w:val="single" w:sz="8" w:color="auto"/>
            </w:tcBorders>
          </w:tcPr>
          <w:p>
            <w:pPr>
              <w:jc w:val="right"/>
              <w:ind w:right="335"/>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4"/>
                <w:szCs w:val="14"/>
                <w:b w:val="1"/>
                <w:bCs w:val="1"/>
                <w:color w:val="auto"/>
              </w:rPr>
              <w:t>2023</w:t>
            </w:r>
          </w:p>
        </w:tc>
      </w:tr>
      <w:tr>
        <w:trPr>
          <w:trHeight w:val="223"/>
        </w:trPr>
        <w:tc>
          <w:tcPr>
            <w:tcW w:w="6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Wynn Resorts, Limited</w:t>
            </w:r>
          </w:p>
        </w:tc>
        <w:tc>
          <w:tcPr>
            <w:tcW w:w="28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111,943</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105,184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256,159</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117,516</w:t>
            </w:r>
          </w:p>
        </w:tc>
      </w:tr>
      <w:tr>
        <w:trPr>
          <w:trHeight w:val="224"/>
        </w:trPr>
        <w:tc>
          <w:tcPr>
            <w:tcW w:w="6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34,330</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22,651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66,612</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11,465</w:t>
            </w:r>
          </w:p>
        </w:tc>
      </w:tr>
      <w:tr>
        <w:trPr>
          <w:trHeight w:val="224"/>
        </w:trPr>
        <w:tc>
          <w:tcPr>
            <w:tcW w:w="6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Pre-opening expenses</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1,558</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1,477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3,593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5,955</w:t>
            </w:r>
          </w:p>
        </w:tc>
      </w:tr>
      <w:tr>
        <w:trPr>
          <w:trHeight w:val="224"/>
        </w:trPr>
        <w:tc>
          <w:tcPr>
            <w:tcW w:w="6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176,405</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169,962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351,338</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338,774</w:t>
            </w:r>
          </w:p>
        </w:tc>
      </w:tr>
      <w:tr>
        <w:trPr>
          <w:trHeight w:val="224"/>
        </w:trPr>
        <w:tc>
          <w:tcPr>
            <w:tcW w:w="6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Property charges and other</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38,815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55,763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18,477</w:t>
            </w:r>
          </w:p>
        </w:tc>
      </w:tr>
      <w:tr>
        <w:trPr>
          <w:trHeight w:val="224"/>
        </w:trPr>
        <w:tc>
          <w:tcPr>
            <w:tcW w:w="6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Triple-net operating lease rent expense</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35,342</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35,631</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70,746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70,914</w:t>
            </w:r>
          </w:p>
        </w:tc>
      </w:tr>
      <w:tr>
        <w:trPr>
          <w:trHeight w:val="224"/>
        </w:trPr>
        <w:tc>
          <w:tcPr>
            <w:tcW w:w="6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Corporate expenses and other</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33,710</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32,748</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73,615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67,238</w:t>
            </w:r>
          </w:p>
        </w:tc>
      </w:tr>
      <w:tr>
        <w:trPr>
          <w:trHeight w:val="224"/>
        </w:trPr>
        <w:tc>
          <w:tcPr>
            <w:tcW w:w="6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Stock-based compensation</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16,167</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18,285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30,536</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32,995</w:t>
            </w:r>
          </w:p>
        </w:tc>
      </w:tr>
      <w:tr>
        <w:trPr>
          <w:trHeight w:val="224"/>
        </w:trPr>
        <w:tc>
          <w:tcPr>
            <w:tcW w:w="6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(34,884)</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(44,127)</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(75,056)</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(84,320)</w:t>
            </w:r>
          </w:p>
        </w:tc>
      </w:tr>
      <w:tr>
        <w:trPr>
          <w:trHeight w:val="224"/>
        </w:trPr>
        <w:tc>
          <w:tcPr>
            <w:tcW w:w="6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Interest expense, net of amounts capitalized</w:t>
            </w:r>
          </w:p>
        </w:tc>
        <w:tc>
          <w:tcPr>
            <w:tcW w:w="28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174,596</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190,243</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357,000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377,983</w:t>
            </w:r>
          </w:p>
        </w:tc>
      </w:tr>
      <w:tr>
        <w:trPr>
          <w:trHeight w:val="224"/>
        </w:trPr>
        <w:tc>
          <w:tcPr>
            <w:tcW w:w="6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Change in derivatives fair value</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(15,517)</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(24,336)</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2,397</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(47,382)</w:t>
            </w:r>
          </w:p>
        </w:tc>
      </w:tr>
      <w:tr>
        <w:trPr>
          <w:trHeight w:val="224"/>
        </w:trPr>
        <w:tc>
          <w:tcPr>
            <w:tcW w:w="63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Loss on debt financing transactions</w:t>
            </w:r>
          </w:p>
        </w:tc>
        <w:tc>
          <w:tcPr>
            <w:tcW w:w="280" w:type="dxa"/>
            <w:vAlign w:val="bottom"/>
          </w:tcPr>
          <w:p>
            <w:pPr>
              <w:spacing w:after="0"/>
              <w:rPr>
                <w:sz w:val="19"/>
                <w:szCs w:val="19"/>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15,611</w:t>
            </w:r>
          </w:p>
        </w:tc>
      </w:tr>
      <w:tr>
        <w:trPr>
          <w:trHeight w:val="224"/>
        </w:trPr>
        <w:tc>
          <w:tcPr>
            <w:tcW w:w="63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shd w:val="clear" w:color="auto" w:fill="CCEEFF"/>
          </w:tcPr>
          <w:p>
            <w:pPr>
              <w:spacing w:after="0"/>
              <w:rPr>
                <w:sz w:val="19"/>
                <w:szCs w:val="19"/>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(8,745)</w:t>
            </w:r>
          </w:p>
        </w:tc>
        <w:tc>
          <w:tcPr>
            <w:tcW w:w="8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(6,959)</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(4,023)</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23,655</w:t>
            </w:r>
          </w:p>
        </w:tc>
      </w:tr>
      <w:tr>
        <w:trPr>
          <w:trHeight w:val="224"/>
        </w:trPr>
        <w:tc>
          <w:tcPr>
            <w:tcW w:w="63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28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7,935</w:t>
            </w:r>
          </w:p>
        </w:tc>
        <w:tc>
          <w:tcPr>
            <w:tcW w:w="8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4,305</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27,949</w:t>
            </w:r>
          </w:p>
        </w:tc>
        <w:tc>
          <w:tcPr>
            <w:tcW w:w="100" w:type="dxa"/>
            <w:vAlign w:val="bottom"/>
            <w:tcBorders>
              <w:bottom w:val="single" w:sz="8" w:color="CCEEFF"/>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5,323</w:t>
            </w:r>
          </w:p>
        </w:tc>
      </w:tr>
      <w:tr>
        <w:trPr>
          <w:trHeight w:val="242"/>
        </w:trPr>
        <w:tc>
          <w:tcPr>
            <w:tcW w:w="6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Adjusted Property EBITDAR</w:t>
            </w:r>
          </w:p>
        </w:tc>
        <w:tc>
          <w:tcPr>
            <w:tcW w:w="280" w:type="dxa"/>
            <w:vAlign w:val="bottom"/>
            <w:tcBorders>
              <w:bottom w:val="single" w:sz="8" w:color="auto"/>
            </w:tcBorders>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b w:val="1"/>
                <w:bCs w:val="1"/>
                <w:color w:val="auto"/>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571,655</w:t>
            </w:r>
          </w:p>
        </w:tc>
        <w:tc>
          <w:tcPr>
            <w:tcW w:w="8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524,458</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1,218,190</w:t>
            </w: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auto"/>
            </w:tcBorders>
            <w:shd w:val="clear" w:color="auto" w:fill="CCEEFF"/>
          </w:tcPr>
          <w:p>
            <w:pPr>
              <w:jc w:val="right"/>
              <w:ind w:right="132"/>
              <w:spacing w:after="0"/>
              <w:rPr>
                <w:sz w:val="20"/>
                <w:szCs w:val="20"/>
                <w:color w:val="auto"/>
              </w:rPr>
            </w:pPr>
            <w:r>
              <w:rPr>
                <w:rFonts w:ascii="Times New Roman" w:cs="Times New Roman" w:eastAsia="Times New Roman" w:hAnsi="Times New Roman"/>
                <w:sz w:val="18"/>
                <w:szCs w:val="18"/>
                <w:b w:val="1"/>
                <w:bCs w:val="1"/>
                <w:color w:val="auto"/>
                <w:w w:val="88"/>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954,204</w:t>
            </w:r>
          </w:p>
        </w:tc>
      </w:tr>
      <w:tr>
        <w:trPr>
          <w:trHeight w:val="20"/>
        </w:trPr>
        <w:tc>
          <w:tcPr>
            <w:tcW w:w="63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240"/>
          </w:cols>
          <w:pgMar w:left="320" w:top="1106" w:right="339" w:bottom="1440" w:gutter="0" w:footer="0" w:header="0"/>
        </w:sectPr>
      </w:pPr>
    </w:p>
    <w:bookmarkStart w:id="11" w:name="page12"/>
    <w:bookmarkEnd w:id="11"/>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SUPPLEMENTAL DATA SCHEDULE</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(dollars in thousands, except for win per unit per day, ADR and REVPAR)</w:t>
      </w:r>
    </w:p>
    <w:p>
      <w:pPr>
        <w:spacing w:after="0" w:line="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500" w:type="dxa"/>
            <w:vAlign w:val="bottom"/>
            <w:gridSpan w:val="5"/>
          </w:tcPr>
          <w:p>
            <w:pPr>
              <w:ind w:left="4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4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7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0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7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0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vMerge w:val="restart"/>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940" w:type="dxa"/>
            <w:vAlign w:val="bottom"/>
            <w:vMerge w:val="restart"/>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1"/>
                <w:szCs w:val="11"/>
                <w:color w:val="auto"/>
              </w:rPr>
            </w:pPr>
          </w:p>
        </w:tc>
        <w:tc>
          <w:tcPr>
            <w:tcW w:w="720" w:type="dxa"/>
            <w:vAlign w:val="bottom"/>
          </w:tcPr>
          <w:p>
            <w:pPr>
              <w:jc w:val="right"/>
              <w:ind w:right="62"/>
              <w:spacing w:after="0" w:line="13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vMerge w:val="restart"/>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80" w:type="dxa"/>
            <w:vAlign w:val="bottom"/>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w w:val="92"/>
              </w:rPr>
              <w:t>2023</w:t>
            </w:r>
          </w:p>
        </w:tc>
        <w:tc>
          <w:tcPr>
            <w:tcW w:w="100" w:type="dxa"/>
            <w:vAlign w:val="bottom"/>
          </w:tcPr>
          <w:p>
            <w:pPr>
              <w:spacing w:after="0"/>
              <w:rPr>
                <w:sz w:val="11"/>
                <w:szCs w:val="11"/>
                <w:color w:val="auto"/>
              </w:rPr>
            </w:pPr>
          </w:p>
        </w:tc>
        <w:tc>
          <w:tcPr>
            <w:tcW w:w="720" w:type="dxa"/>
            <w:vAlign w:val="bottom"/>
          </w:tcPr>
          <w:p>
            <w:pPr>
              <w:jc w:val="right"/>
              <w:ind w:right="62"/>
              <w:spacing w:after="0" w:line="13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0"/>
        </w:trPr>
        <w:tc>
          <w:tcPr>
            <w:tcW w:w="40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7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40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Wynn Palace Supplemental Information</w:t>
            </w: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revenues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Casino</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444,964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365,277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918,745</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635,964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44.5</w:t>
            </w:r>
          </w:p>
        </w:tc>
        <w:tc>
          <w:tcPr>
            <w:tcW w:w="0" w:type="dxa"/>
            <w:vAlign w:val="bottom"/>
          </w:tcPr>
          <w:p>
            <w:pPr>
              <w:spacing w:after="0"/>
              <w:rPr>
                <w:sz w:val="1"/>
                <w:szCs w:val="1"/>
                <w:color w:val="auto"/>
              </w:rPr>
            </w:pPr>
          </w:p>
        </w:tc>
      </w:tr>
      <w:tr>
        <w:trPr>
          <w:trHeight w:val="209"/>
        </w:trPr>
        <w:tc>
          <w:tcPr>
            <w:tcW w:w="4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Rooms</w:t>
            </w: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50,206</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50,092</w:t>
            </w:r>
          </w:p>
        </w:tc>
        <w:tc>
          <w:tcPr>
            <w:tcW w:w="100" w:type="dxa"/>
            <w:vAlign w:val="bottom"/>
          </w:tcPr>
          <w:p>
            <w:pPr>
              <w:spacing w:after="0"/>
              <w:rPr>
                <w:sz w:val="18"/>
                <w:szCs w:val="18"/>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0.2</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104,142</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97,002</w:t>
            </w:r>
          </w:p>
        </w:tc>
        <w:tc>
          <w:tcPr>
            <w:tcW w:w="100" w:type="dxa"/>
            <w:vAlign w:val="bottom"/>
          </w:tcPr>
          <w:p>
            <w:pPr>
              <w:spacing w:after="0"/>
              <w:rPr>
                <w:sz w:val="18"/>
                <w:szCs w:val="18"/>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12"/>
        </w:trPr>
        <w:tc>
          <w:tcPr>
            <w:tcW w:w="40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Food and beverage</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29,829</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25,260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18.1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61,899</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48,813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26.8</w:t>
            </w:r>
          </w:p>
        </w:tc>
        <w:tc>
          <w:tcPr>
            <w:tcW w:w="0" w:type="dxa"/>
            <w:vAlign w:val="bottom"/>
          </w:tcPr>
          <w:p>
            <w:pPr>
              <w:spacing w:after="0"/>
              <w:rPr>
                <w:sz w:val="1"/>
                <w:szCs w:val="1"/>
                <w:color w:val="auto"/>
              </w:rPr>
            </w:pPr>
          </w:p>
        </w:tc>
      </w:tr>
      <w:tr>
        <w:trPr>
          <w:trHeight w:val="209"/>
        </w:trPr>
        <w:tc>
          <w:tcPr>
            <w:tcW w:w="406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Entertainment, retail and other</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23,050</w:t>
            </w:r>
          </w:p>
        </w:tc>
        <w:tc>
          <w:tcPr>
            <w:tcW w:w="160" w:type="dxa"/>
            <w:vAlign w:val="bottom"/>
            <w:tcBorders>
              <w:bottom w:val="single" w:sz="8" w:color="CCEEFF"/>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27,721</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(16.9)</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50,164</w:t>
            </w:r>
          </w:p>
        </w:tc>
        <w:tc>
          <w:tcPr>
            <w:tcW w:w="140" w:type="dxa"/>
            <w:vAlign w:val="bottom"/>
            <w:tcBorders>
              <w:bottom w:val="single" w:sz="8" w:color="CCEEFF"/>
            </w:tcBorders>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55,934</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r>
        <w:trPr>
          <w:trHeight w:val="206"/>
        </w:trPr>
        <w:tc>
          <w:tcPr>
            <w:tcW w:w="4060" w:type="dxa"/>
            <w:vAlign w:val="bottom"/>
            <w:shd w:val="clear" w:color="auto" w:fill="CCEEFF"/>
          </w:tcPr>
          <w:p>
            <w:pPr>
              <w:ind w:left="540"/>
              <w:spacing w:after="0" w:line="206" w:lineRule="exact"/>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548,049</w:t>
            </w:r>
          </w:p>
        </w:tc>
        <w:tc>
          <w:tcPr>
            <w:tcW w:w="160" w:type="dxa"/>
            <w:vAlign w:val="bottom"/>
            <w:shd w:val="clear" w:color="auto" w:fill="CCEEFF"/>
          </w:tcPr>
          <w:p>
            <w:pPr>
              <w:spacing w:after="0"/>
              <w:rPr>
                <w:sz w:val="17"/>
                <w:szCs w:val="17"/>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468,350</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17.0</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1,134,950</w:t>
            </w:r>
          </w:p>
        </w:tc>
        <w:tc>
          <w:tcPr>
            <w:tcW w:w="140" w:type="dxa"/>
            <w:vAlign w:val="bottom"/>
            <w:shd w:val="clear" w:color="auto" w:fill="CCEEFF"/>
          </w:tcPr>
          <w:p>
            <w:pPr>
              <w:spacing w:after="0"/>
              <w:rPr>
                <w:sz w:val="17"/>
                <w:szCs w:val="17"/>
                <w:color w:val="auto"/>
              </w:rPr>
            </w:pP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837,713</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35.5</w:t>
            </w:r>
          </w:p>
        </w:tc>
        <w:tc>
          <w:tcPr>
            <w:tcW w:w="0" w:type="dxa"/>
            <w:vAlign w:val="bottom"/>
          </w:tcPr>
          <w:p>
            <w:pPr>
              <w:spacing w:after="0"/>
              <w:rPr>
                <w:sz w:val="1"/>
                <w:szCs w:val="1"/>
                <w:color w:val="auto"/>
              </w:rPr>
            </w:pPr>
          </w:p>
        </w:tc>
      </w:tr>
      <w:tr>
        <w:trPr>
          <w:trHeight w:val="263"/>
        </w:trPr>
        <w:tc>
          <w:tcPr>
            <w:tcW w:w="4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060" w:type="dxa"/>
            <w:vAlign w:val="bottom"/>
            <w:shd w:val="clear" w:color="auto" w:fill="CCEEFF"/>
          </w:tcPr>
          <w:p>
            <w:pPr>
              <w:ind w:left="220"/>
              <w:spacing w:after="0" w:line="224" w:lineRule="exact"/>
              <w:rPr>
                <w:sz w:val="20"/>
                <w:szCs w:val="20"/>
                <w:color w:val="auto"/>
              </w:rPr>
            </w:pPr>
            <w:r>
              <w:rPr>
                <w:rFonts w:ascii="Times New Roman" w:cs="Times New Roman" w:eastAsia="Times New Roman" w:hAnsi="Times New Roman"/>
                <w:sz w:val="18"/>
                <w:szCs w:val="18"/>
                <w:b w:val="1"/>
                <w:bCs w:val="1"/>
                <w:color w:val="auto"/>
              </w:rPr>
              <w:t xml:space="preserve">Adjusted Property EBITDAR </w:t>
            </w:r>
            <w:r>
              <w:rPr>
                <w:rFonts w:ascii="Times New Roman" w:cs="Times New Roman" w:eastAsia="Times New Roman" w:hAnsi="Times New Roman"/>
                <w:sz w:val="22"/>
                <w:szCs w:val="22"/>
                <w:b w:val="1"/>
                <w:bCs w:val="1"/>
                <w:color w:val="auto"/>
                <w:vertAlign w:val="superscript"/>
              </w:rPr>
              <w:t>(6)</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184,459</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156,607</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17.8</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386,829</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7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267,665</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44.5</w:t>
            </w:r>
          </w:p>
        </w:tc>
        <w:tc>
          <w:tcPr>
            <w:tcW w:w="0" w:type="dxa"/>
            <w:vAlign w:val="bottom"/>
          </w:tcPr>
          <w:p>
            <w:pPr>
              <w:spacing w:after="0"/>
              <w:rPr>
                <w:sz w:val="1"/>
                <w:szCs w:val="1"/>
                <w:color w:val="auto"/>
              </w:rPr>
            </w:pPr>
          </w:p>
        </w:tc>
      </w:tr>
      <w:tr>
        <w:trPr>
          <w:trHeight w:val="263"/>
        </w:trPr>
        <w:tc>
          <w:tcPr>
            <w:tcW w:w="40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Casino statistics: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VIP:</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Average number of table games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57</w:t>
            </w:r>
          </w:p>
        </w:tc>
        <w:tc>
          <w:tcPr>
            <w:tcW w:w="1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6"/>
                <w:szCs w:val="16"/>
                <w:color w:val="auto"/>
              </w:rPr>
              <w:t>—</w:t>
            </w: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58</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09"/>
        </w:trPr>
        <w:tc>
          <w:tcPr>
            <w:tcW w:w="4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VIP turnover</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2,810,016</w:t>
            </w:r>
          </w:p>
        </w:tc>
        <w:tc>
          <w:tcPr>
            <w:tcW w:w="160" w:type="dxa"/>
            <w:vAlign w:val="bottom"/>
          </w:tcPr>
          <w:p>
            <w:pPr>
              <w:spacing w:after="0"/>
              <w:rPr>
                <w:sz w:val="18"/>
                <w:szCs w:val="18"/>
                <w:color w:val="auto"/>
              </w:rPr>
            </w:pP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3,042,338</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(7.6)</w:t>
            </w:r>
          </w:p>
        </w:tc>
        <w:tc>
          <w:tcPr>
            <w:tcW w:w="8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6,731,100</w:t>
            </w:r>
          </w:p>
        </w:tc>
        <w:tc>
          <w:tcPr>
            <w:tcW w:w="140" w:type="dxa"/>
            <w:vAlign w:val="bottom"/>
          </w:tcPr>
          <w:p>
            <w:pPr>
              <w:spacing w:after="0"/>
              <w:rPr>
                <w:sz w:val="18"/>
                <w:szCs w:val="18"/>
                <w:color w:val="auto"/>
              </w:rPr>
            </w:pP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5,335,696</w:t>
            </w:r>
          </w:p>
        </w:tc>
        <w:tc>
          <w:tcPr>
            <w:tcW w:w="100" w:type="dxa"/>
            <w:vAlign w:val="bottom"/>
          </w:tcPr>
          <w:p>
            <w:pPr>
              <w:spacing w:after="0"/>
              <w:rPr>
                <w:sz w:val="18"/>
                <w:szCs w:val="18"/>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26.2</w:t>
            </w:r>
          </w:p>
        </w:tc>
        <w:tc>
          <w:tcPr>
            <w:tcW w:w="0" w:type="dxa"/>
            <w:vAlign w:val="bottom"/>
          </w:tcPr>
          <w:p>
            <w:pPr>
              <w:spacing w:after="0"/>
              <w:rPr>
                <w:sz w:val="1"/>
                <w:szCs w:val="1"/>
                <w:color w:val="auto"/>
              </w:rPr>
            </w:pPr>
          </w:p>
        </w:tc>
      </w:tr>
      <w:tr>
        <w:trPr>
          <w:trHeight w:val="212"/>
        </w:trPr>
        <w:tc>
          <w:tcPr>
            <w:tcW w:w="4060" w:type="dxa"/>
            <w:vAlign w:val="bottom"/>
            <w:shd w:val="clear" w:color="auto" w:fill="CCEEFF"/>
          </w:tcPr>
          <w:p>
            <w:pPr>
              <w:ind w:left="540"/>
              <w:spacing w:after="0" w:line="212" w:lineRule="exact"/>
              <w:rPr>
                <w:sz w:val="20"/>
                <w:szCs w:val="20"/>
                <w:color w:val="auto"/>
              </w:rPr>
            </w:pPr>
            <w:r>
              <w:rPr>
                <w:rFonts w:ascii="Times New Roman" w:cs="Times New Roman" w:eastAsia="Times New Roman" w:hAnsi="Times New Roman"/>
                <w:sz w:val="16"/>
                <w:szCs w:val="16"/>
                <w:color w:val="auto"/>
              </w:rPr>
              <w:t xml:space="preserve">VIP table games win </w:t>
            </w:r>
            <w:r>
              <w:rPr>
                <w:rFonts w:ascii="Times New Roman" w:cs="Times New Roman" w:eastAsia="Times New Roman" w:hAnsi="Times New Roman"/>
                <w:sz w:val="22"/>
                <w:szCs w:val="22"/>
                <w:color w:val="auto"/>
                <w:vertAlign w:val="superscript"/>
              </w:rPr>
              <w:t>(1)</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115,297</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129,030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244,712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191,478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27.8</w:t>
            </w:r>
          </w:p>
        </w:tc>
        <w:tc>
          <w:tcPr>
            <w:tcW w:w="0" w:type="dxa"/>
            <w:vAlign w:val="bottom"/>
          </w:tcPr>
          <w:p>
            <w:pPr>
              <w:spacing w:after="0"/>
              <w:rPr>
                <w:sz w:val="1"/>
                <w:szCs w:val="1"/>
                <w:color w:val="auto"/>
              </w:rPr>
            </w:pPr>
          </w:p>
        </w:tc>
      </w:tr>
      <w:tr>
        <w:trPr>
          <w:trHeight w:val="209"/>
        </w:trPr>
        <w:tc>
          <w:tcPr>
            <w:tcW w:w="4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VIP table games win as a % of turnover</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4.10 %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4.24 %</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3.64 %</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3.59 %</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Table games win per unit per day</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22,092</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24,728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23,195</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19,697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r>
        <w:trPr>
          <w:trHeight w:val="209"/>
        </w:trPr>
        <w:tc>
          <w:tcPr>
            <w:tcW w:w="406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Mass market:</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Average number of table games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243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244</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239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2.1</w:t>
            </w:r>
          </w:p>
        </w:tc>
        <w:tc>
          <w:tcPr>
            <w:tcW w:w="0" w:type="dxa"/>
            <w:vAlign w:val="bottom"/>
          </w:tcPr>
          <w:p>
            <w:pPr>
              <w:spacing w:after="0"/>
              <w:rPr>
                <w:sz w:val="1"/>
                <w:szCs w:val="1"/>
                <w:color w:val="auto"/>
              </w:rPr>
            </w:pPr>
          </w:p>
        </w:tc>
      </w:tr>
      <w:tr>
        <w:trPr>
          <w:trHeight w:val="211"/>
        </w:trPr>
        <w:tc>
          <w:tcPr>
            <w:tcW w:w="4060" w:type="dxa"/>
            <w:vAlign w:val="bottom"/>
          </w:tcPr>
          <w:p>
            <w:pPr>
              <w:ind w:left="540"/>
              <w:spacing w:after="0" w:line="210" w:lineRule="exact"/>
              <w:rPr>
                <w:sz w:val="20"/>
                <w:szCs w:val="20"/>
                <w:color w:val="auto"/>
              </w:rPr>
            </w:pPr>
            <w:r>
              <w:rPr>
                <w:rFonts w:ascii="Times New Roman" w:cs="Times New Roman" w:eastAsia="Times New Roman" w:hAnsi="Times New Roman"/>
                <w:sz w:val="16"/>
                <w:szCs w:val="16"/>
                <w:color w:val="auto"/>
              </w:rPr>
              <w:t xml:space="preserve">Table drop </w:t>
            </w:r>
            <w:r>
              <w:rPr>
                <w:rFonts w:ascii="Times New Roman" w:cs="Times New Roman" w:eastAsia="Times New Roman" w:hAnsi="Times New Roman"/>
                <w:sz w:val="22"/>
                <w:szCs w:val="22"/>
                <w:color w:val="auto"/>
                <w:vertAlign w:val="superscript"/>
              </w:rPr>
              <w:t>(2)</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1,738,260</w:t>
            </w:r>
          </w:p>
        </w:tc>
        <w:tc>
          <w:tcPr>
            <w:tcW w:w="160" w:type="dxa"/>
            <w:vAlign w:val="bottom"/>
          </w:tcPr>
          <w:p>
            <w:pPr>
              <w:spacing w:after="0"/>
              <w:rPr>
                <w:sz w:val="18"/>
                <w:szCs w:val="18"/>
                <w:color w:val="auto"/>
              </w:rPr>
            </w:pP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1,507,148</w:t>
            </w:r>
          </w:p>
        </w:tc>
        <w:tc>
          <w:tcPr>
            <w:tcW w:w="100" w:type="dxa"/>
            <w:vAlign w:val="bottom"/>
          </w:tcPr>
          <w:p>
            <w:pPr>
              <w:spacing w:after="0"/>
              <w:rPr>
                <w:sz w:val="18"/>
                <w:szCs w:val="18"/>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15.3</w:t>
            </w:r>
          </w:p>
        </w:tc>
        <w:tc>
          <w:tcPr>
            <w:tcW w:w="8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3,520,444</w:t>
            </w:r>
          </w:p>
        </w:tc>
        <w:tc>
          <w:tcPr>
            <w:tcW w:w="140" w:type="dxa"/>
            <w:vAlign w:val="bottom"/>
          </w:tcPr>
          <w:p>
            <w:pPr>
              <w:spacing w:after="0"/>
              <w:rPr>
                <w:sz w:val="18"/>
                <w:szCs w:val="18"/>
                <w:color w:val="auto"/>
              </w:rPr>
            </w:pP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w w:val="99"/>
              </w:rPr>
              <w:t>2,689,146</w:t>
            </w:r>
          </w:p>
        </w:tc>
        <w:tc>
          <w:tcPr>
            <w:tcW w:w="100" w:type="dxa"/>
            <w:vAlign w:val="bottom"/>
          </w:tcPr>
          <w:p>
            <w:pPr>
              <w:spacing w:after="0"/>
              <w:rPr>
                <w:sz w:val="18"/>
                <w:szCs w:val="18"/>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30.9</w:t>
            </w:r>
          </w:p>
        </w:tc>
        <w:tc>
          <w:tcPr>
            <w:tcW w:w="0" w:type="dxa"/>
            <w:vAlign w:val="bottom"/>
          </w:tcPr>
          <w:p>
            <w:pPr>
              <w:spacing w:after="0"/>
              <w:rPr>
                <w:sz w:val="1"/>
                <w:szCs w:val="1"/>
                <w:color w:val="auto"/>
              </w:rPr>
            </w:pPr>
          </w:p>
        </w:tc>
      </w:tr>
      <w:tr>
        <w:trPr>
          <w:trHeight w:val="211"/>
        </w:trPr>
        <w:tc>
          <w:tcPr>
            <w:tcW w:w="4060" w:type="dxa"/>
            <w:vAlign w:val="bottom"/>
            <w:shd w:val="clear" w:color="auto" w:fill="CCEEFF"/>
          </w:tcPr>
          <w:p>
            <w:pPr>
              <w:ind w:left="540"/>
              <w:spacing w:after="0" w:line="210" w:lineRule="exact"/>
              <w:rPr>
                <w:sz w:val="20"/>
                <w:szCs w:val="20"/>
                <w:color w:val="auto"/>
              </w:rPr>
            </w:pPr>
            <w:r>
              <w:rPr>
                <w:rFonts w:ascii="Times New Roman" w:cs="Times New Roman" w:eastAsia="Times New Roman" w:hAnsi="Times New Roman"/>
                <w:sz w:val="16"/>
                <w:szCs w:val="16"/>
                <w:color w:val="auto"/>
              </w:rPr>
              <w:t xml:space="preserve">Table games win </w:t>
            </w:r>
            <w:r>
              <w:rPr>
                <w:rFonts w:ascii="Times New Roman" w:cs="Times New Roman" w:eastAsia="Times New Roman" w:hAnsi="Times New Roman"/>
                <w:sz w:val="22"/>
                <w:szCs w:val="22"/>
                <w:color w:val="auto"/>
                <w:vertAlign w:val="superscript"/>
              </w:rPr>
              <w:t>(1)</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409,409</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305,817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33.9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846,732</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566,683</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49.4</w:t>
            </w:r>
          </w:p>
        </w:tc>
        <w:tc>
          <w:tcPr>
            <w:tcW w:w="0" w:type="dxa"/>
            <w:vAlign w:val="bottom"/>
          </w:tcPr>
          <w:p>
            <w:pPr>
              <w:spacing w:after="0"/>
              <w:rPr>
                <w:sz w:val="1"/>
                <w:szCs w:val="1"/>
                <w:color w:val="auto"/>
              </w:rPr>
            </w:pPr>
          </w:p>
        </w:tc>
      </w:tr>
      <w:tr>
        <w:trPr>
          <w:trHeight w:val="209"/>
        </w:trPr>
        <w:tc>
          <w:tcPr>
            <w:tcW w:w="4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Table games win %</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20.3 %</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24.1 %</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21.1 %</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Table games win per unit per day</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18,484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13,980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32.2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19,039</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13,125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45.1</w:t>
            </w:r>
          </w:p>
        </w:tc>
        <w:tc>
          <w:tcPr>
            <w:tcW w:w="0" w:type="dxa"/>
            <w:vAlign w:val="bottom"/>
          </w:tcPr>
          <w:p>
            <w:pPr>
              <w:spacing w:after="0"/>
              <w:rPr>
                <w:sz w:val="1"/>
                <w:szCs w:val="1"/>
                <w:color w:val="auto"/>
              </w:rPr>
            </w:pPr>
          </w:p>
        </w:tc>
      </w:tr>
      <w:tr>
        <w:trPr>
          <w:trHeight w:val="209"/>
        </w:trPr>
        <w:tc>
          <w:tcPr>
            <w:tcW w:w="4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Average number of slot machines</w:t>
            </w: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607</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586</w:t>
            </w:r>
          </w:p>
        </w:tc>
        <w:tc>
          <w:tcPr>
            <w:tcW w:w="100" w:type="dxa"/>
            <w:vAlign w:val="bottom"/>
          </w:tcPr>
          <w:p>
            <w:pPr>
              <w:spacing w:after="0"/>
              <w:rPr>
                <w:sz w:val="18"/>
                <w:szCs w:val="18"/>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3.6</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590</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587</w:t>
            </w:r>
          </w:p>
        </w:tc>
        <w:tc>
          <w:tcPr>
            <w:tcW w:w="100" w:type="dxa"/>
            <w:vAlign w:val="bottom"/>
          </w:tcPr>
          <w:p>
            <w:pPr>
              <w:spacing w:after="0"/>
              <w:rPr>
                <w:sz w:val="18"/>
                <w:szCs w:val="18"/>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0.5</w:t>
            </w:r>
          </w:p>
        </w:tc>
        <w:tc>
          <w:tcPr>
            <w:tcW w:w="0" w:type="dxa"/>
            <w:vAlign w:val="bottom"/>
          </w:tcPr>
          <w:p>
            <w:pPr>
              <w:spacing w:after="0"/>
              <w:rPr>
                <w:sz w:val="1"/>
                <w:szCs w:val="1"/>
                <w:color w:val="auto"/>
              </w:rPr>
            </w:pPr>
          </w:p>
        </w:tc>
      </w:tr>
      <w:tr>
        <w:trPr>
          <w:trHeight w:val="212"/>
        </w:trPr>
        <w:tc>
          <w:tcPr>
            <w:tcW w:w="4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Slot machine handle</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642,713</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579,626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10.9</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1,238,334</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w w:val="99"/>
              </w:rPr>
              <w:t>1,126,224</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10.0</w:t>
            </w:r>
          </w:p>
        </w:tc>
        <w:tc>
          <w:tcPr>
            <w:tcW w:w="0" w:type="dxa"/>
            <w:vAlign w:val="bottom"/>
          </w:tcPr>
          <w:p>
            <w:pPr>
              <w:spacing w:after="0"/>
              <w:rPr>
                <w:sz w:val="1"/>
                <w:szCs w:val="1"/>
                <w:color w:val="auto"/>
              </w:rPr>
            </w:pPr>
          </w:p>
        </w:tc>
      </w:tr>
      <w:tr>
        <w:trPr>
          <w:trHeight w:val="211"/>
        </w:trPr>
        <w:tc>
          <w:tcPr>
            <w:tcW w:w="4060" w:type="dxa"/>
            <w:vAlign w:val="bottom"/>
          </w:tcPr>
          <w:p>
            <w:pPr>
              <w:ind w:left="540"/>
              <w:spacing w:after="0" w:line="210" w:lineRule="exact"/>
              <w:rPr>
                <w:sz w:val="20"/>
                <w:szCs w:val="20"/>
                <w:color w:val="auto"/>
              </w:rPr>
            </w:pPr>
            <w:r>
              <w:rPr>
                <w:rFonts w:ascii="Times New Roman" w:cs="Times New Roman" w:eastAsia="Times New Roman" w:hAnsi="Times New Roman"/>
                <w:sz w:val="16"/>
                <w:szCs w:val="16"/>
                <w:color w:val="auto"/>
              </w:rPr>
              <w:t xml:space="preserve">Slot machine win </w:t>
            </w:r>
            <w:r>
              <w:rPr>
                <w:rFonts w:ascii="Times New Roman" w:cs="Times New Roman" w:eastAsia="Times New Roman" w:hAnsi="Times New Roman"/>
                <w:sz w:val="22"/>
                <w:szCs w:val="22"/>
                <w:color w:val="auto"/>
                <w:vertAlign w:val="superscript"/>
              </w:rPr>
              <w:t>(3)</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25,590</w:t>
            </w:r>
          </w:p>
        </w:tc>
        <w:tc>
          <w:tcPr>
            <w:tcW w:w="160" w:type="dxa"/>
            <w:vAlign w:val="bottom"/>
          </w:tcPr>
          <w:p>
            <w:pPr>
              <w:spacing w:after="0"/>
              <w:rPr>
                <w:sz w:val="18"/>
                <w:szCs w:val="18"/>
                <w:color w:val="auto"/>
              </w:rPr>
            </w:pP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27,583</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(7.2)</w:t>
            </w:r>
          </w:p>
        </w:tc>
        <w:tc>
          <w:tcPr>
            <w:tcW w:w="8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56,560</w:t>
            </w:r>
          </w:p>
        </w:tc>
        <w:tc>
          <w:tcPr>
            <w:tcW w:w="140" w:type="dxa"/>
            <w:vAlign w:val="bottom"/>
          </w:tcPr>
          <w:p>
            <w:pPr>
              <w:spacing w:after="0"/>
              <w:rPr>
                <w:sz w:val="18"/>
                <w:szCs w:val="18"/>
                <w:color w:val="auto"/>
              </w:rPr>
            </w:pP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53,008</w:t>
            </w:r>
          </w:p>
        </w:tc>
        <w:tc>
          <w:tcPr>
            <w:tcW w:w="100" w:type="dxa"/>
            <w:vAlign w:val="bottom"/>
          </w:tcPr>
          <w:p>
            <w:pPr>
              <w:spacing w:after="0"/>
              <w:rPr>
                <w:sz w:val="18"/>
                <w:szCs w:val="18"/>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6.7</w:t>
            </w:r>
          </w:p>
        </w:tc>
        <w:tc>
          <w:tcPr>
            <w:tcW w:w="0" w:type="dxa"/>
            <w:vAlign w:val="bottom"/>
          </w:tcPr>
          <w:p>
            <w:pPr>
              <w:spacing w:after="0"/>
              <w:rPr>
                <w:sz w:val="1"/>
                <w:szCs w:val="1"/>
                <w:color w:val="auto"/>
              </w:rPr>
            </w:pPr>
          </w:p>
        </w:tc>
      </w:tr>
      <w:tr>
        <w:trPr>
          <w:trHeight w:val="211"/>
        </w:trPr>
        <w:tc>
          <w:tcPr>
            <w:tcW w:w="40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Slot machine win per unit per day</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464</w:t>
            </w: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517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527</w:t>
            </w: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499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5.6</w:t>
            </w:r>
          </w:p>
        </w:tc>
        <w:tc>
          <w:tcPr>
            <w:tcW w:w="0" w:type="dxa"/>
            <w:vAlign w:val="bottom"/>
          </w:tcPr>
          <w:p>
            <w:pPr>
              <w:spacing w:after="0"/>
              <w:rPr>
                <w:sz w:val="1"/>
                <w:szCs w:val="1"/>
                <w:color w:val="auto"/>
              </w:rPr>
            </w:pPr>
          </w:p>
        </w:tc>
      </w:tr>
      <w:tr>
        <w:trPr>
          <w:trHeight w:val="209"/>
        </w:trPr>
        <w:tc>
          <w:tcPr>
            <w:tcW w:w="4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Poker rake</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736</w:t>
            </w:r>
          </w:p>
        </w:tc>
        <w:tc>
          <w:tcPr>
            <w:tcW w:w="160" w:type="dxa"/>
            <w:vAlign w:val="bottom"/>
          </w:tcPr>
          <w:p>
            <w:pPr>
              <w:spacing w:after="0"/>
              <w:rPr>
                <w:sz w:val="18"/>
                <w:szCs w:val="18"/>
                <w:color w:val="auto"/>
              </w:rPr>
            </w:pP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104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800" w:type="dxa"/>
            <w:vAlign w:val="bottom"/>
            <w:gridSpan w:val="2"/>
          </w:tcPr>
          <w:p>
            <w:pPr>
              <w:ind w:left="440"/>
              <w:spacing w:after="0"/>
              <w:rPr>
                <w:sz w:val="20"/>
                <w:szCs w:val="20"/>
                <w:color w:val="auto"/>
              </w:rPr>
            </w:pPr>
            <w:r>
              <w:rPr>
                <w:rFonts w:ascii="Times New Roman" w:cs="Times New Roman" w:eastAsia="Times New Roman" w:hAnsi="Times New Roman"/>
                <w:sz w:val="16"/>
                <w:szCs w:val="16"/>
                <w:color w:val="auto"/>
              </w:rPr>
              <w:t>NM</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736</w:t>
            </w:r>
          </w:p>
        </w:tc>
        <w:tc>
          <w:tcPr>
            <w:tcW w:w="140" w:type="dxa"/>
            <w:vAlign w:val="bottom"/>
          </w:tcPr>
          <w:p>
            <w:pPr>
              <w:spacing w:after="0"/>
              <w:rPr>
                <w:sz w:val="18"/>
                <w:szCs w:val="18"/>
                <w:color w:val="auto"/>
              </w:rPr>
            </w:pP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NM</w:t>
            </w:r>
          </w:p>
        </w:tc>
        <w:tc>
          <w:tcPr>
            <w:tcW w:w="0" w:type="dxa"/>
            <w:vAlign w:val="bottom"/>
          </w:tcPr>
          <w:p>
            <w:pPr>
              <w:spacing w:after="0"/>
              <w:rPr>
                <w:sz w:val="1"/>
                <w:szCs w:val="1"/>
                <w:color w:val="auto"/>
              </w:rPr>
            </w:pPr>
          </w:p>
        </w:tc>
      </w:tr>
      <w:tr>
        <w:trPr>
          <w:trHeight w:val="212"/>
        </w:trPr>
        <w:tc>
          <w:tcPr>
            <w:tcW w:w="406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Room statistics: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Occupancy</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98.9 %</w:t>
            </w:r>
          </w:p>
        </w:tc>
        <w:tc>
          <w:tcPr>
            <w:tcW w:w="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96.5 %</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98.9 %</w:t>
            </w:r>
          </w:p>
        </w:tc>
        <w:tc>
          <w:tcPr>
            <w:tcW w:w="14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92.2 %</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060" w:type="dxa"/>
            <w:vAlign w:val="bottom"/>
            <w:shd w:val="clear" w:color="auto" w:fill="CCEEFF"/>
          </w:tcPr>
          <w:p>
            <w:pPr>
              <w:ind w:left="540"/>
              <w:spacing w:after="0" w:line="226" w:lineRule="exact"/>
              <w:rPr>
                <w:sz w:val="20"/>
                <w:szCs w:val="20"/>
                <w:color w:val="auto"/>
              </w:rPr>
            </w:pPr>
            <w:r>
              <w:rPr>
                <w:rFonts w:ascii="Times New Roman" w:cs="Times New Roman" w:eastAsia="Times New Roman" w:hAnsi="Times New Roman"/>
                <w:sz w:val="16"/>
                <w:szCs w:val="16"/>
                <w:color w:val="auto"/>
              </w:rPr>
              <w:t xml:space="preserve">ADR </w:t>
            </w:r>
            <w:r>
              <w:rPr>
                <w:rFonts w:ascii="Times New Roman" w:cs="Times New Roman" w:eastAsia="Times New Roman" w:hAnsi="Times New Roman"/>
                <w:sz w:val="22"/>
                <w:szCs w:val="22"/>
                <w:color w:val="auto"/>
                <w:vertAlign w:val="superscript"/>
              </w:rPr>
              <w:t>(4)</w:t>
            </w: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316</w:t>
            </w:r>
          </w:p>
        </w:tc>
        <w:tc>
          <w:tcPr>
            <w:tcW w:w="16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318</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(0.6)</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326</w:t>
            </w:r>
          </w:p>
        </w:tc>
        <w:tc>
          <w:tcPr>
            <w:tcW w:w="140" w:type="dxa"/>
            <w:vAlign w:val="bottom"/>
            <w:shd w:val="clear" w:color="auto" w:fill="CCEEFF"/>
          </w:tcPr>
          <w:p>
            <w:pPr>
              <w:spacing w:after="0"/>
              <w:rPr>
                <w:sz w:val="19"/>
                <w:szCs w:val="19"/>
                <w:color w:val="auto"/>
              </w:rPr>
            </w:pPr>
          </w:p>
        </w:tc>
        <w:tc>
          <w:tcPr>
            <w:tcW w:w="50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w:t>
            </w:r>
          </w:p>
        </w:tc>
        <w:tc>
          <w:tcPr>
            <w:tcW w:w="0" w:type="dxa"/>
            <w:vAlign w:val="bottom"/>
          </w:tcPr>
          <w:p>
            <w:pPr>
              <w:spacing w:after="0"/>
              <w:rPr>
                <w:sz w:val="1"/>
                <w:szCs w:val="1"/>
                <w:color w:val="auto"/>
              </w:rPr>
            </w:pPr>
          </w:p>
        </w:tc>
      </w:tr>
      <w:tr>
        <w:trPr>
          <w:trHeight w:val="296"/>
        </w:trPr>
        <w:tc>
          <w:tcPr>
            <w:tcW w:w="406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 xml:space="preserve">REVPAR </w:t>
            </w:r>
            <w:r>
              <w:rPr>
                <w:rFonts w:ascii="Times New Roman" w:cs="Times New Roman" w:eastAsia="Times New Roman" w:hAnsi="Times New Roman"/>
                <w:sz w:val="22"/>
                <w:szCs w:val="22"/>
                <w:color w:val="auto"/>
                <w:vertAlign w:val="superscript"/>
              </w:rPr>
              <w:t>(5)</w:t>
            </w: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312</w:t>
            </w:r>
          </w:p>
        </w:tc>
        <w:tc>
          <w:tcPr>
            <w:tcW w:w="160" w:type="dxa"/>
            <w:vAlign w:val="bottom"/>
          </w:tcPr>
          <w:p>
            <w:pPr>
              <w:spacing w:after="0"/>
              <w:rPr>
                <w:sz w:val="24"/>
                <w:szCs w:val="24"/>
                <w:color w:val="auto"/>
              </w:rPr>
            </w:pPr>
          </w:p>
        </w:tc>
        <w:tc>
          <w:tcPr>
            <w:tcW w:w="32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307</w:t>
            </w:r>
          </w:p>
        </w:tc>
        <w:tc>
          <w:tcPr>
            <w:tcW w:w="100" w:type="dxa"/>
            <w:vAlign w:val="bottom"/>
          </w:tcPr>
          <w:p>
            <w:pPr>
              <w:spacing w:after="0"/>
              <w:rPr>
                <w:sz w:val="24"/>
                <w:szCs w:val="24"/>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1.6</w:t>
            </w:r>
          </w:p>
        </w:tc>
        <w:tc>
          <w:tcPr>
            <w:tcW w:w="80" w:type="dxa"/>
            <w:vAlign w:val="bottom"/>
          </w:tcPr>
          <w:p>
            <w:pPr>
              <w:spacing w:after="0"/>
              <w:rPr>
                <w:sz w:val="24"/>
                <w:szCs w:val="24"/>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323</w:t>
            </w:r>
          </w:p>
        </w:tc>
        <w:tc>
          <w:tcPr>
            <w:tcW w:w="140" w:type="dxa"/>
            <w:vAlign w:val="bottom"/>
          </w:tcPr>
          <w:p>
            <w:pPr>
              <w:spacing w:after="0"/>
              <w:rPr>
                <w:sz w:val="24"/>
                <w:szCs w:val="24"/>
                <w:color w:val="auto"/>
              </w:rPr>
            </w:pPr>
          </w:p>
        </w:tc>
        <w:tc>
          <w:tcPr>
            <w:tcW w:w="50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99"/>
              </w:rPr>
              <w:t>$</w:t>
            </w:r>
          </w:p>
        </w:tc>
        <w:tc>
          <w:tcPr>
            <w:tcW w:w="78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294</w:t>
            </w:r>
          </w:p>
        </w:tc>
        <w:tc>
          <w:tcPr>
            <w:tcW w:w="100" w:type="dxa"/>
            <w:vAlign w:val="bottom"/>
          </w:tcPr>
          <w:p>
            <w:pPr>
              <w:spacing w:after="0"/>
              <w:rPr>
                <w:sz w:val="24"/>
                <w:szCs w:val="24"/>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9.9</w:t>
            </w:r>
          </w:p>
        </w:tc>
        <w:tc>
          <w:tcPr>
            <w:tcW w:w="0" w:type="dxa"/>
            <w:vAlign w:val="bottom"/>
          </w:tcPr>
          <w:p>
            <w:pPr>
              <w:spacing w:after="0"/>
              <w:rPr>
                <w:sz w:val="1"/>
                <w:szCs w:val="1"/>
                <w:color w:val="auto"/>
              </w:rPr>
            </w:pPr>
          </w:p>
        </w:tc>
      </w:tr>
    </w:tbl>
    <w:p>
      <w:pPr>
        <w:spacing w:after="0"/>
        <w:rPr>
          <w:sz w:val="20"/>
          <w:szCs w:val="20"/>
          <w:color w:val="auto"/>
        </w:rPr>
      </w:pPr>
      <w:r>
        <w:rPr>
          <w:rFonts w:ascii="Times New Roman" w:cs="Times New Roman" w:eastAsia="Times New Roman" w:hAnsi="Times New Roman"/>
          <w:sz w:val="14"/>
          <w:szCs w:val="14"/>
          <w:color w:val="auto"/>
        </w:rPr>
        <w:t>NM - Not meaningful.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200"/>
          </w:cols>
          <w:pgMar w:left="320" w:top="869" w:right="379" w:bottom="1440" w:gutter="0" w:footer="0" w:header="0"/>
        </w:sectPr>
      </w:pPr>
    </w:p>
    <w:bookmarkStart w:id="12" w:name="page13"/>
    <w:bookmarkEnd w:id="12"/>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2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SUPPLEMENTAL DATA SCHEDULE</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(dollars in thousands, except for win per unit per day, ADR and REVPAR)</w:t>
      </w:r>
    </w:p>
    <w:p>
      <w:pPr>
        <w:spacing w:after="0" w:line="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(unaudited) (continued)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460" w:type="dxa"/>
            <w:vAlign w:val="bottom"/>
            <w:gridSpan w:val="5"/>
          </w:tcPr>
          <w:p>
            <w:pPr>
              <w:ind w:left="3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gridSpan w:val="3"/>
          </w:tcPr>
          <w:p>
            <w:pPr>
              <w:jc w:val="right"/>
              <w:ind w:right="6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vMerge w:val="restart"/>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40" w:type="dxa"/>
            <w:vAlign w:val="bottom"/>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1"/>
                <w:szCs w:val="11"/>
                <w:color w:val="auto"/>
              </w:rPr>
            </w:pPr>
          </w:p>
        </w:tc>
        <w:tc>
          <w:tcPr>
            <w:tcW w:w="720" w:type="dxa"/>
            <w:vAlign w:val="bottom"/>
          </w:tcPr>
          <w:p>
            <w:pPr>
              <w:jc w:val="right"/>
              <w:ind w:right="62"/>
              <w:spacing w:after="0" w:line="13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00" w:type="dxa"/>
            <w:vAlign w:val="bottom"/>
            <w:vMerge w:val="restart"/>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1"/>
                <w:szCs w:val="11"/>
                <w:color w:val="auto"/>
              </w:rPr>
            </w:pPr>
          </w:p>
        </w:tc>
        <w:tc>
          <w:tcPr>
            <w:tcW w:w="700" w:type="dxa"/>
            <w:vAlign w:val="bottom"/>
          </w:tcPr>
          <w:p>
            <w:pPr>
              <w:jc w:val="right"/>
              <w:ind w:right="42"/>
              <w:spacing w:after="0" w:line="13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0"/>
        </w:trPr>
        <w:tc>
          <w:tcPr>
            <w:tcW w:w="4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6"/>
                <w:szCs w:val="16"/>
                <w:color w:val="auto"/>
              </w:rPr>
            </w:pPr>
          </w:p>
        </w:tc>
        <w:tc>
          <w:tcPr>
            <w:tcW w:w="100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jc w:val="right"/>
              <w:ind w:right="4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41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Wynn Macau Supplemental Information</w:t>
            </w: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Pr>
          <w:p>
            <w:pPr>
              <w:ind w:left="200"/>
              <w:spacing w:after="0"/>
              <w:rPr>
                <w:sz w:val="20"/>
                <w:szCs w:val="20"/>
                <w:color w:val="auto"/>
              </w:rPr>
            </w:pPr>
            <w:r>
              <w:rPr>
                <w:rFonts w:ascii="Times New Roman" w:cs="Times New Roman" w:eastAsia="Times New Roman" w:hAnsi="Times New Roman"/>
                <w:sz w:val="16"/>
                <w:szCs w:val="16"/>
                <w:color w:val="auto"/>
              </w:rPr>
              <w:t>Operating revenues</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Casino</w:t>
            </w: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280,717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242,950</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627,070</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419,333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49.5</w:t>
            </w:r>
          </w:p>
        </w:tc>
        <w:tc>
          <w:tcPr>
            <w:tcW w:w="0" w:type="dxa"/>
            <w:vAlign w:val="bottom"/>
          </w:tcPr>
          <w:p>
            <w:pPr>
              <w:spacing w:after="0"/>
              <w:rPr>
                <w:sz w:val="1"/>
                <w:szCs w:val="1"/>
                <w:color w:val="auto"/>
              </w:rPr>
            </w:pPr>
          </w:p>
        </w:tc>
      </w:tr>
      <w:tr>
        <w:trPr>
          <w:trHeight w:val="209"/>
        </w:trPr>
        <w:tc>
          <w:tcPr>
            <w:tcW w:w="4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Rooms</w:t>
            </w: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23,742</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26,130</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(9.1)</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52,361</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48,101</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w:t>
            </w: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6"/>
                <w:szCs w:val="16"/>
                <w:color w:val="auto"/>
              </w:rPr>
              <w:t>Food and beverage</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20,003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14,666</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36.4</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41,022</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28,968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41.6</w:t>
            </w:r>
          </w:p>
        </w:tc>
        <w:tc>
          <w:tcPr>
            <w:tcW w:w="0" w:type="dxa"/>
            <w:vAlign w:val="bottom"/>
          </w:tcPr>
          <w:p>
            <w:pPr>
              <w:spacing w:after="0"/>
              <w:rPr>
                <w:sz w:val="1"/>
                <w:szCs w:val="1"/>
                <w:color w:val="auto"/>
              </w:rPr>
            </w:pPr>
          </w:p>
        </w:tc>
      </w:tr>
      <w:tr>
        <w:trPr>
          <w:trHeight w:val="209"/>
        </w:trPr>
        <w:tc>
          <w:tcPr>
            <w:tcW w:w="4100" w:type="dxa"/>
            <w:vAlign w:val="bottom"/>
            <w:tcBorders>
              <w:bottom w:val="single" w:sz="8" w:color="CCEEFF"/>
            </w:tcBorders>
          </w:tcPr>
          <w:p>
            <w:pPr>
              <w:ind w:left="320"/>
              <w:spacing w:after="0"/>
              <w:rPr>
                <w:sz w:val="20"/>
                <w:szCs w:val="20"/>
                <w:color w:val="auto"/>
              </w:rPr>
            </w:pPr>
            <w:r>
              <w:rPr>
                <w:rFonts w:ascii="Times New Roman" w:cs="Times New Roman" w:eastAsia="Times New Roman" w:hAnsi="Times New Roman"/>
                <w:sz w:val="16"/>
                <w:szCs w:val="16"/>
                <w:color w:val="auto"/>
              </w:rPr>
              <w:t>Entertainment, retail and other</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12,807</w:t>
            </w:r>
          </w:p>
        </w:tc>
        <w:tc>
          <w:tcPr>
            <w:tcW w:w="10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17,847</w:t>
            </w:r>
          </w:p>
        </w:tc>
        <w:tc>
          <w:tcPr>
            <w:tcW w:w="100" w:type="dxa"/>
            <w:vAlign w:val="bottom"/>
            <w:tcBorders>
              <w:bottom w:val="single" w:sz="8" w:color="CCEEFF"/>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(28.2)</w:t>
            </w:r>
          </w:p>
        </w:tc>
        <w:tc>
          <w:tcPr>
            <w:tcW w:w="8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62"/>
              <w:spacing w:after="0"/>
              <w:rPr>
                <w:sz w:val="20"/>
                <w:szCs w:val="20"/>
                <w:color w:val="auto"/>
              </w:rPr>
            </w:pPr>
            <w:r>
              <w:rPr>
                <w:rFonts w:ascii="Times New Roman" w:cs="Times New Roman" w:eastAsia="Times New Roman" w:hAnsi="Times New Roman"/>
                <w:sz w:val="16"/>
                <w:szCs w:val="16"/>
                <w:color w:val="auto"/>
              </w:rPr>
              <w:t>28,560</w:t>
            </w:r>
          </w:p>
        </w:tc>
        <w:tc>
          <w:tcPr>
            <w:tcW w:w="14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35,917</w:t>
            </w:r>
          </w:p>
        </w:tc>
        <w:tc>
          <w:tcPr>
            <w:tcW w:w="100" w:type="dxa"/>
            <w:vAlign w:val="bottom"/>
            <w:tcBorders>
              <w:bottom w:val="single" w:sz="8" w:color="CCEEFF"/>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(20.5)</w:t>
            </w:r>
          </w:p>
        </w:tc>
        <w:tc>
          <w:tcPr>
            <w:tcW w:w="0" w:type="dxa"/>
            <w:vAlign w:val="bottom"/>
          </w:tcPr>
          <w:p>
            <w:pPr>
              <w:spacing w:after="0"/>
              <w:rPr>
                <w:sz w:val="1"/>
                <w:szCs w:val="1"/>
                <w:color w:val="auto"/>
              </w:rPr>
            </w:pPr>
          </w:p>
        </w:tc>
      </w:tr>
      <w:tr>
        <w:trPr>
          <w:trHeight w:val="206"/>
        </w:trPr>
        <w:tc>
          <w:tcPr>
            <w:tcW w:w="4100" w:type="dxa"/>
            <w:vAlign w:val="bottom"/>
            <w:shd w:val="clear" w:color="auto" w:fill="CCEEFF"/>
          </w:tcPr>
          <w:p>
            <w:pPr>
              <w:ind w:left="520"/>
              <w:spacing w:after="0" w:line="206" w:lineRule="exact"/>
              <w:rPr>
                <w:sz w:val="20"/>
                <w:szCs w:val="20"/>
                <w:color w:val="auto"/>
              </w:rPr>
            </w:pPr>
            <w:r>
              <w:rPr>
                <w:rFonts w:ascii="Times New Roman" w:cs="Times New Roman" w:eastAsia="Times New Roman" w:hAnsi="Times New Roman"/>
                <w:sz w:val="18"/>
                <w:szCs w:val="18"/>
                <w:b w:val="1"/>
                <w:bCs w:val="1"/>
                <w:color w:val="auto"/>
              </w:rPr>
              <w:t>Total</w:t>
            </w: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337,269</w:t>
            </w:r>
          </w:p>
        </w:tc>
        <w:tc>
          <w:tcPr>
            <w:tcW w:w="10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301,593</w:t>
            </w:r>
          </w:p>
        </w:tc>
        <w:tc>
          <w:tcPr>
            <w:tcW w:w="100" w:type="dxa"/>
            <w:vAlign w:val="bottom"/>
            <w:shd w:val="clear" w:color="auto" w:fill="CCEEFF"/>
          </w:tcPr>
          <w:p>
            <w:pPr>
              <w:spacing w:after="0"/>
              <w:rPr>
                <w:sz w:val="17"/>
                <w:szCs w:val="17"/>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11.8</w:t>
            </w: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749,013</w:t>
            </w:r>
          </w:p>
        </w:tc>
        <w:tc>
          <w:tcPr>
            <w:tcW w:w="14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532,319</w:t>
            </w:r>
          </w:p>
        </w:tc>
        <w:tc>
          <w:tcPr>
            <w:tcW w:w="10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40.7</w:t>
            </w:r>
          </w:p>
        </w:tc>
        <w:tc>
          <w:tcPr>
            <w:tcW w:w="0" w:type="dxa"/>
            <w:vAlign w:val="bottom"/>
          </w:tcPr>
          <w:p>
            <w:pPr>
              <w:spacing w:after="0"/>
              <w:rPr>
                <w:sz w:val="1"/>
                <w:szCs w:val="1"/>
                <w:color w:val="auto"/>
              </w:rPr>
            </w:pPr>
          </w:p>
        </w:tc>
      </w:tr>
      <w:tr>
        <w:trPr>
          <w:trHeight w:val="263"/>
        </w:trPr>
        <w:tc>
          <w:tcPr>
            <w:tcW w:w="4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4"/>
        </w:trPr>
        <w:tc>
          <w:tcPr>
            <w:tcW w:w="4100" w:type="dxa"/>
            <w:vAlign w:val="bottom"/>
            <w:shd w:val="clear" w:color="auto" w:fill="CCEEFF"/>
          </w:tcPr>
          <w:p>
            <w:pPr>
              <w:ind w:left="200"/>
              <w:spacing w:after="0" w:line="224" w:lineRule="exact"/>
              <w:rPr>
                <w:sz w:val="20"/>
                <w:szCs w:val="20"/>
                <w:color w:val="auto"/>
              </w:rPr>
            </w:pPr>
            <w:r>
              <w:rPr>
                <w:rFonts w:ascii="Times New Roman" w:cs="Times New Roman" w:eastAsia="Times New Roman" w:hAnsi="Times New Roman"/>
                <w:sz w:val="18"/>
                <w:szCs w:val="18"/>
                <w:b w:val="1"/>
                <w:bCs w:val="1"/>
                <w:color w:val="auto"/>
              </w:rPr>
              <w:t xml:space="preserve">Adjusted Property EBITDAR </w:t>
            </w:r>
            <w:r>
              <w:rPr>
                <w:rFonts w:ascii="Times New Roman" w:cs="Times New Roman" w:eastAsia="Times New Roman" w:hAnsi="Times New Roman"/>
                <w:sz w:val="22"/>
                <w:szCs w:val="22"/>
                <w:b w:val="1"/>
                <w:bCs w:val="1"/>
                <w:color w:val="auto"/>
                <w:vertAlign w:val="superscript"/>
              </w:rPr>
              <w:t>(6)</w:t>
            </w: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95,911</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89,590</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b w:val="1"/>
                <w:bCs w:val="1"/>
                <w:color w:val="auto"/>
              </w:rPr>
              <w:t>7.1</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10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b w:val="1"/>
                <w:bCs w:val="1"/>
                <w:color w:val="auto"/>
              </w:rPr>
              <w:t>233,097</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134,335</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73.5</w:t>
            </w:r>
          </w:p>
        </w:tc>
        <w:tc>
          <w:tcPr>
            <w:tcW w:w="0" w:type="dxa"/>
            <w:vAlign w:val="bottom"/>
          </w:tcPr>
          <w:p>
            <w:pPr>
              <w:spacing w:after="0"/>
              <w:rPr>
                <w:sz w:val="1"/>
                <w:szCs w:val="1"/>
                <w:color w:val="auto"/>
              </w:rPr>
            </w:pPr>
          </w:p>
        </w:tc>
      </w:tr>
      <w:tr>
        <w:trPr>
          <w:trHeight w:val="263"/>
        </w:trPr>
        <w:tc>
          <w:tcPr>
            <w:tcW w:w="4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Casino statistics: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VIP:</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Average number of table games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(37.5)</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30</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(40.0)</w:t>
            </w:r>
          </w:p>
        </w:tc>
        <w:tc>
          <w:tcPr>
            <w:tcW w:w="0" w:type="dxa"/>
            <w:vAlign w:val="bottom"/>
          </w:tcPr>
          <w:p>
            <w:pPr>
              <w:spacing w:after="0"/>
              <w:rPr>
                <w:sz w:val="1"/>
                <w:szCs w:val="1"/>
                <w:color w:val="auto"/>
              </w:rPr>
            </w:pPr>
          </w:p>
        </w:tc>
      </w:tr>
      <w:tr>
        <w:trPr>
          <w:trHeight w:val="209"/>
        </w:trPr>
        <w:tc>
          <w:tcPr>
            <w:tcW w:w="41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VIP turnover</w:t>
            </w: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1,164,075</w:t>
            </w:r>
          </w:p>
        </w:tc>
        <w:tc>
          <w:tcPr>
            <w:tcW w:w="100" w:type="dxa"/>
            <w:vAlign w:val="bottom"/>
          </w:tcPr>
          <w:p>
            <w:pPr>
              <w:spacing w:after="0"/>
              <w:rPr>
                <w:sz w:val="18"/>
                <w:szCs w:val="18"/>
                <w:color w:val="auto"/>
              </w:rPr>
            </w:pPr>
          </w:p>
        </w:tc>
        <w:tc>
          <w:tcPr>
            <w:tcW w:w="3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1,390,272</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(16.3)</w:t>
            </w:r>
          </w:p>
        </w:tc>
        <w:tc>
          <w:tcPr>
            <w:tcW w:w="8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2,753,760</w:t>
            </w:r>
          </w:p>
        </w:tc>
        <w:tc>
          <w:tcPr>
            <w:tcW w:w="140" w:type="dxa"/>
            <w:vAlign w:val="bottom"/>
          </w:tcPr>
          <w:p>
            <w:pPr>
              <w:spacing w:after="0"/>
              <w:rPr>
                <w:sz w:val="18"/>
                <w:szCs w:val="18"/>
                <w:color w:val="auto"/>
              </w:rPr>
            </w:pPr>
          </w:p>
        </w:tc>
        <w:tc>
          <w:tcPr>
            <w:tcW w:w="4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2,534,496</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520"/>
              <w:spacing w:after="0" w:line="212" w:lineRule="exact"/>
              <w:rPr>
                <w:sz w:val="20"/>
                <w:szCs w:val="20"/>
                <w:color w:val="auto"/>
              </w:rPr>
            </w:pPr>
            <w:r>
              <w:rPr>
                <w:rFonts w:ascii="Times New Roman" w:cs="Times New Roman" w:eastAsia="Times New Roman" w:hAnsi="Times New Roman"/>
                <w:sz w:val="16"/>
                <w:szCs w:val="16"/>
                <w:color w:val="auto"/>
              </w:rPr>
              <w:t xml:space="preserve">VIP table games win </w:t>
            </w:r>
            <w:r>
              <w:rPr>
                <w:rFonts w:ascii="Times New Roman" w:cs="Times New Roman" w:eastAsia="Times New Roman" w:hAnsi="Times New Roman"/>
                <w:sz w:val="22"/>
                <w:szCs w:val="22"/>
                <w:color w:val="auto"/>
                <w:vertAlign w:val="superscript"/>
              </w:rPr>
              <w:t>(1)</w:t>
            </w: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25,473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57,828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(56.0)</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79,379</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88,579</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(10.4)</w:t>
            </w:r>
          </w:p>
        </w:tc>
        <w:tc>
          <w:tcPr>
            <w:tcW w:w="0" w:type="dxa"/>
            <w:vAlign w:val="bottom"/>
          </w:tcPr>
          <w:p>
            <w:pPr>
              <w:spacing w:after="0"/>
              <w:rPr>
                <w:sz w:val="1"/>
                <w:szCs w:val="1"/>
                <w:color w:val="auto"/>
              </w:rPr>
            </w:pPr>
          </w:p>
        </w:tc>
      </w:tr>
      <w:tr>
        <w:trPr>
          <w:trHeight w:val="209"/>
        </w:trPr>
        <w:tc>
          <w:tcPr>
            <w:tcW w:w="41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VIP table games win as a % of turnover</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2.19 %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4.16 %</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2.88 %</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3.49 %</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Table games win per unit per day</w:t>
            </w: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9,449</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13,257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(28.7)</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14,629</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9,808</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49.2</w:t>
            </w:r>
          </w:p>
        </w:tc>
        <w:tc>
          <w:tcPr>
            <w:tcW w:w="0" w:type="dxa"/>
            <w:vAlign w:val="bottom"/>
          </w:tcPr>
          <w:p>
            <w:pPr>
              <w:spacing w:after="0"/>
              <w:rPr>
                <w:sz w:val="1"/>
                <w:szCs w:val="1"/>
                <w:color w:val="auto"/>
              </w:rPr>
            </w:pPr>
          </w:p>
        </w:tc>
      </w:tr>
      <w:tr>
        <w:trPr>
          <w:trHeight w:val="209"/>
        </w:trPr>
        <w:tc>
          <w:tcPr>
            <w:tcW w:w="4100" w:type="dxa"/>
            <w:vAlign w:val="bottom"/>
          </w:tcPr>
          <w:p>
            <w:pPr>
              <w:ind w:left="320"/>
              <w:spacing w:after="0"/>
              <w:rPr>
                <w:sz w:val="20"/>
                <w:szCs w:val="20"/>
                <w:color w:val="auto"/>
              </w:rPr>
            </w:pPr>
            <w:r>
              <w:rPr>
                <w:rFonts w:ascii="Times New Roman" w:cs="Times New Roman" w:eastAsia="Times New Roman" w:hAnsi="Times New Roman"/>
                <w:sz w:val="16"/>
                <w:szCs w:val="16"/>
                <w:color w:val="auto"/>
              </w:rPr>
              <w:t>Mass market:</w:t>
            </w: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Average number of table games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222</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209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6.2</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222</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213</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0" w:type="dxa"/>
            <w:vAlign w:val="bottom"/>
          </w:tcPr>
          <w:p>
            <w:pPr>
              <w:spacing w:after="0"/>
              <w:rPr>
                <w:sz w:val="1"/>
                <w:szCs w:val="1"/>
                <w:color w:val="auto"/>
              </w:rPr>
            </w:pPr>
          </w:p>
        </w:tc>
      </w:tr>
      <w:tr>
        <w:trPr>
          <w:trHeight w:val="211"/>
        </w:trPr>
        <w:tc>
          <w:tcPr>
            <w:tcW w:w="4100" w:type="dxa"/>
            <w:vAlign w:val="bottom"/>
          </w:tcPr>
          <w:p>
            <w:pPr>
              <w:ind w:left="520"/>
              <w:spacing w:after="0" w:line="210" w:lineRule="exact"/>
              <w:rPr>
                <w:sz w:val="20"/>
                <w:szCs w:val="20"/>
                <w:color w:val="auto"/>
              </w:rPr>
            </w:pPr>
            <w:r>
              <w:rPr>
                <w:rFonts w:ascii="Times New Roman" w:cs="Times New Roman" w:eastAsia="Times New Roman" w:hAnsi="Times New Roman"/>
                <w:sz w:val="16"/>
                <w:szCs w:val="16"/>
                <w:color w:val="auto"/>
              </w:rPr>
              <w:t xml:space="preserve">Table drop </w:t>
            </w:r>
            <w:r>
              <w:rPr>
                <w:rFonts w:ascii="Times New Roman" w:cs="Times New Roman" w:eastAsia="Times New Roman" w:hAnsi="Times New Roman"/>
                <w:sz w:val="22"/>
                <w:szCs w:val="22"/>
                <w:color w:val="auto"/>
                <w:vertAlign w:val="superscript"/>
              </w:rPr>
              <w:t>(2)</w:t>
            </w: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1,602,920</w:t>
            </w:r>
          </w:p>
        </w:tc>
        <w:tc>
          <w:tcPr>
            <w:tcW w:w="100" w:type="dxa"/>
            <w:vAlign w:val="bottom"/>
          </w:tcPr>
          <w:p>
            <w:pPr>
              <w:spacing w:after="0"/>
              <w:rPr>
                <w:sz w:val="18"/>
                <w:szCs w:val="18"/>
                <w:color w:val="auto"/>
              </w:rPr>
            </w:pPr>
          </w:p>
        </w:tc>
        <w:tc>
          <w:tcPr>
            <w:tcW w:w="3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1,223,311</w:t>
            </w:r>
          </w:p>
        </w:tc>
        <w:tc>
          <w:tcPr>
            <w:tcW w:w="100" w:type="dxa"/>
            <w:vAlign w:val="bottom"/>
          </w:tcPr>
          <w:p>
            <w:pPr>
              <w:spacing w:after="0"/>
              <w:rPr>
                <w:sz w:val="18"/>
                <w:szCs w:val="18"/>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31.0</w:t>
            </w:r>
          </w:p>
        </w:tc>
        <w:tc>
          <w:tcPr>
            <w:tcW w:w="8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3,286,071</w:t>
            </w:r>
          </w:p>
        </w:tc>
        <w:tc>
          <w:tcPr>
            <w:tcW w:w="140" w:type="dxa"/>
            <w:vAlign w:val="bottom"/>
          </w:tcPr>
          <w:p>
            <w:pPr>
              <w:spacing w:after="0"/>
              <w:rPr>
                <w:sz w:val="18"/>
                <w:szCs w:val="18"/>
                <w:color w:val="auto"/>
              </w:rPr>
            </w:pPr>
          </w:p>
        </w:tc>
        <w:tc>
          <w:tcPr>
            <w:tcW w:w="4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2,213,299</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48.5</w:t>
            </w:r>
          </w:p>
        </w:tc>
        <w:tc>
          <w:tcPr>
            <w:tcW w:w="0" w:type="dxa"/>
            <w:vAlign w:val="bottom"/>
          </w:tcPr>
          <w:p>
            <w:pPr>
              <w:spacing w:after="0"/>
              <w:rPr>
                <w:sz w:val="1"/>
                <w:szCs w:val="1"/>
                <w:color w:val="auto"/>
              </w:rPr>
            </w:pPr>
          </w:p>
        </w:tc>
      </w:tr>
      <w:tr>
        <w:trPr>
          <w:trHeight w:val="211"/>
        </w:trPr>
        <w:tc>
          <w:tcPr>
            <w:tcW w:w="4100" w:type="dxa"/>
            <w:vAlign w:val="bottom"/>
            <w:shd w:val="clear" w:color="auto" w:fill="CCEEFF"/>
          </w:tcPr>
          <w:p>
            <w:pPr>
              <w:ind w:left="520"/>
              <w:spacing w:after="0" w:line="210" w:lineRule="exact"/>
              <w:rPr>
                <w:sz w:val="20"/>
                <w:szCs w:val="20"/>
                <w:color w:val="auto"/>
              </w:rPr>
            </w:pPr>
            <w:r>
              <w:rPr>
                <w:rFonts w:ascii="Times New Roman" w:cs="Times New Roman" w:eastAsia="Times New Roman" w:hAnsi="Times New Roman"/>
                <w:sz w:val="16"/>
                <w:szCs w:val="16"/>
                <w:color w:val="auto"/>
              </w:rPr>
              <w:t xml:space="preserve">Table games win </w:t>
            </w:r>
            <w:r>
              <w:rPr>
                <w:rFonts w:ascii="Times New Roman" w:cs="Times New Roman" w:eastAsia="Times New Roman" w:hAnsi="Times New Roman"/>
                <w:sz w:val="22"/>
                <w:szCs w:val="22"/>
                <w:color w:val="auto"/>
                <w:vertAlign w:val="superscript"/>
              </w:rPr>
              <w:t>(1)</w:t>
            </w: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280,830</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216,405</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29.8</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607,150</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384,831</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57.8</w:t>
            </w:r>
          </w:p>
        </w:tc>
        <w:tc>
          <w:tcPr>
            <w:tcW w:w="0" w:type="dxa"/>
            <w:vAlign w:val="bottom"/>
          </w:tcPr>
          <w:p>
            <w:pPr>
              <w:spacing w:after="0"/>
              <w:rPr>
                <w:sz w:val="1"/>
                <w:szCs w:val="1"/>
                <w:color w:val="auto"/>
              </w:rPr>
            </w:pPr>
          </w:p>
        </w:tc>
      </w:tr>
      <w:tr>
        <w:trPr>
          <w:trHeight w:val="209"/>
        </w:trPr>
        <w:tc>
          <w:tcPr>
            <w:tcW w:w="41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Table games win %</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17.5 %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17.7 %</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18.5 %</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17.4 %</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Table games win per unit per day</w:t>
            </w: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13,905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11,388</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22.1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15,048</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9,997</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50.5</w:t>
            </w:r>
          </w:p>
        </w:tc>
        <w:tc>
          <w:tcPr>
            <w:tcW w:w="0" w:type="dxa"/>
            <w:vAlign w:val="bottom"/>
          </w:tcPr>
          <w:p>
            <w:pPr>
              <w:spacing w:after="0"/>
              <w:rPr>
                <w:sz w:val="1"/>
                <w:szCs w:val="1"/>
                <w:color w:val="auto"/>
              </w:rPr>
            </w:pPr>
          </w:p>
        </w:tc>
      </w:tr>
      <w:tr>
        <w:trPr>
          <w:trHeight w:val="209"/>
        </w:trPr>
        <w:tc>
          <w:tcPr>
            <w:tcW w:w="41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Average number of slot machines</w:t>
            </w: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617</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533</w:t>
            </w:r>
          </w:p>
        </w:tc>
        <w:tc>
          <w:tcPr>
            <w:tcW w:w="100" w:type="dxa"/>
            <w:vAlign w:val="bottom"/>
          </w:tcPr>
          <w:p>
            <w:pPr>
              <w:spacing w:after="0"/>
              <w:rPr>
                <w:sz w:val="18"/>
                <w:szCs w:val="18"/>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15.8</w:t>
            </w: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600</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532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12.8</w:t>
            </w: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Slot machine handle</w:t>
            </w: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801,813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519,807</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54.3</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1,532,202</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989,576</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54.8</w:t>
            </w:r>
          </w:p>
        </w:tc>
        <w:tc>
          <w:tcPr>
            <w:tcW w:w="0" w:type="dxa"/>
            <w:vAlign w:val="bottom"/>
          </w:tcPr>
          <w:p>
            <w:pPr>
              <w:spacing w:after="0"/>
              <w:rPr>
                <w:sz w:val="1"/>
                <w:szCs w:val="1"/>
                <w:color w:val="auto"/>
              </w:rPr>
            </w:pPr>
          </w:p>
        </w:tc>
      </w:tr>
      <w:tr>
        <w:trPr>
          <w:trHeight w:val="211"/>
        </w:trPr>
        <w:tc>
          <w:tcPr>
            <w:tcW w:w="4100" w:type="dxa"/>
            <w:vAlign w:val="bottom"/>
          </w:tcPr>
          <w:p>
            <w:pPr>
              <w:ind w:left="520"/>
              <w:spacing w:after="0" w:line="210" w:lineRule="exact"/>
              <w:rPr>
                <w:sz w:val="20"/>
                <w:szCs w:val="20"/>
                <w:color w:val="auto"/>
              </w:rPr>
            </w:pPr>
            <w:r>
              <w:rPr>
                <w:rFonts w:ascii="Times New Roman" w:cs="Times New Roman" w:eastAsia="Times New Roman" w:hAnsi="Times New Roman"/>
                <w:sz w:val="16"/>
                <w:szCs w:val="16"/>
                <w:color w:val="auto"/>
              </w:rPr>
              <w:t xml:space="preserve">Slot machine win </w:t>
            </w:r>
            <w:r>
              <w:rPr>
                <w:rFonts w:ascii="Times New Roman" w:cs="Times New Roman" w:eastAsia="Times New Roman" w:hAnsi="Times New Roman"/>
                <w:sz w:val="22"/>
                <w:szCs w:val="22"/>
                <w:color w:val="auto"/>
                <w:vertAlign w:val="superscript"/>
              </w:rPr>
              <w:t>(3)</w:t>
            </w: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25,978</w:t>
            </w:r>
          </w:p>
        </w:tc>
        <w:tc>
          <w:tcPr>
            <w:tcW w:w="100" w:type="dxa"/>
            <w:vAlign w:val="bottom"/>
          </w:tcPr>
          <w:p>
            <w:pPr>
              <w:spacing w:after="0"/>
              <w:rPr>
                <w:sz w:val="18"/>
                <w:szCs w:val="18"/>
                <w:color w:val="auto"/>
              </w:rPr>
            </w:pPr>
          </w:p>
        </w:tc>
        <w:tc>
          <w:tcPr>
            <w:tcW w:w="3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15,452</w:t>
            </w:r>
          </w:p>
        </w:tc>
        <w:tc>
          <w:tcPr>
            <w:tcW w:w="100" w:type="dxa"/>
            <w:vAlign w:val="bottom"/>
          </w:tcPr>
          <w:p>
            <w:pPr>
              <w:spacing w:after="0"/>
              <w:rPr>
                <w:sz w:val="18"/>
                <w:szCs w:val="18"/>
                <w:color w:val="auto"/>
              </w:rPr>
            </w:pPr>
          </w:p>
        </w:tc>
        <w:tc>
          <w:tcPr>
            <w:tcW w:w="720" w:type="dxa"/>
            <w:vAlign w:val="bottom"/>
          </w:tcPr>
          <w:p>
            <w:pPr>
              <w:jc w:val="right"/>
              <w:ind w:right="2"/>
              <w:spacing w:after="0"/>
              <w:rPr>
                <w:sz w:val="20"/>
                <w:szCs w:val="20"/>
                <w:color w:val="auto"/>
              </w:rPr>
            </w:pPr>
            <w:r>
              <w:rPr>
                <w:rFonts w:ascii="Times New Roman" w:cs="Times New Roman" w:eastAsia="Times New Roman" w:hAnsi="Times New Roman"/>
                <w:sz w:val="16"/>
                <w:szCs w:val="16"/>
                <w:color w:val="auto"/>
              </w:rPr>
              <w:t>68.1</w:t>
            </w:r>
          </w:p>
        </w:tc>
        <w:tc>
          <w:tcPr>
            <w:tcW w:w="8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52,170</w:t>
            </w:r>
          </w:p>
        </w:tc>
        <w:tc>
          <w:tcPr>
            <w:tcW w:w="140" w:type="dxa"/>
            <w:vAlign w:val="bottom"/>
          </w:tcPr>
          <w:p>
            <w:pPr>
              <w:spacing w:after="0"/>
              <w:rPr>
                <w:sz w:val="18"/>
                <w:szCs w:val="18"/>
                <w:color w:val="auto"/>
              </w:rPr>
            </w:pPr>
          </w:p>
        </w:tc>
        <w:tc>
          <w:tcPr>
            <w:tcW w:w="4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31,749</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64.3</w:t>
            </w:r>
          </w:p>
        </w:tc>
        <w:tc>
          <w:tcPr>
            <w:tcW w:w="0" w:type="dxa"/>
            <w:vAlign w:val="bottom"/>
          </w:tcPr>
          <w:p>
            <w:pPr>
              <w:spacing w:after="0"/>
              <w:rPr>
                <w:sz w:val="1"/>
                <w:szCs w:val="1"/>
                <w:color w:val="auto"/>
              </w:rPr>
            </w:pPr>
          </w:p>
        </w:tc>
      </w:tr>
      <w:tr>
        <w:trPr>
          <w:trHeight w:val="211"/>
        </w:trPr>
        <w:tc>
          <w:tcPr>
            <w:tcW w:w="410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6"/>
                <w:szCs w:val="16"/>
                <w:color w:val="auto"/>
              </w:rPr>
              <w:t>Slot machine win per unit per day</w:t>
            </w: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463</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319</w:t>
            </w: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45.1</w:t>
            </w: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478</w:t>
            </w: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330</w:t>
            </w: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44.8</w:t>
            </w:r>
          </w:p>
        </w:tc>
        <w:tc>
          <w:tcPr>
            <w:tcW w:w="0" w:type="dxa"/>
            <w:vAlign w:val="bottom"/>
          </w:tcPr>
          <w:p>
            <w:pPr>
              <w:spacing w:after="0"/>
              <w:rPr>
                <w:sz w:val="1"/>
                <w:szCs w:val="1"/>
                <w:color w:val="auto"/>
              </w:rPr>
            </w:pPr>
          </w:p>
        </w:tc>
      </w:tr>
      <w:tr>
        <w:trPr>
          <w:trHeight w:val="209"/>
        </w:trPr>
        <w:tc>
          <w:tcPr>
            <w:tcW w:w="41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Poker rake</w:t>
            </w: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3,607</w:t>
            </w:r>
          </w:p>
        </w:tc>
        <w:tc>
          <w:tcPr>
            <w:tcW w:w="100" w:type="dxa"/>
            <w:vAlign w:val="bottom"/>
          </w:tcPr>
          <w:p>
            <w:pPr>
              <w:spacing w:after="0"/>
              <w:rPr>
                <w:sz w:val="18"/>
                <w:szCs w:val="18"/>
                <w:color w:val="auto"/>
              </w:rPr>
            </w:pPr>
          </w:p>
        </w:tc>
        <w:tc>
          <w:tcPr>
            <w:tcW w:w="3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5,376</w:t>
            </w:r>
          </w:p>
        </w:tc>
        <w:tc>
          <w:tcPr>
            <w:tcW w:w="1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(32.9)</w:t>
            </w:r>
          </w:p>
        </w:tc>
        <w:tc>
          <w:tcPr>
            <w:tcW w:w="8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8,626</w:t>
            </w:r>
          </w:p>
        </w:tc>
        <w:tc>
          <w:tcPr>
            <w:tcW w:w="140" w:type="dxa"/>
            <w:vAlign w:val="bottom"/>
          </w:tcPr>
          <w:p>
            <w:pPr>
              <w:spacing w:after="0"/>
              <w:rPr>
                <w:sz w:val="18"/>
                <w:szCs w:val="18"/>
                <w:color w:val="auto"/>
              </w:rPr>
            </w:pPr>
          </w:p>
        </w:tc>
        <w:tc>
          <w:tcPr>
            <w:tcW w:w="4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9,312</w:t>
            </w:r>
          </w:p>
        </w:tc>
        <w:tc>
          <w:tcPr>
            <w:tcW w:w="10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(7.4)</w:t>
            </w:r>
          </w:p>
        </w:tc>
        <w:tc>
          <w:tcPr>
            <w:tcW w:w="0" w:type="dxa"/>
            <w:vAlign w:val="bottom"/>
          </w:tcPr>
          <w:p>
            <w:pPr>
              <w:spacing w:after="0"/>
              <w:rPr>
                <w:sz w:val="1"/>
                <w:szCs w:val="1"/>
                <w:color w:val="auto"/>
              </w:rPr>
            </w:pPr>
          </w:p>
        </w:tc>
      </w:tr>
      <w:tr>
        <w:trPr>
          <w:trHeight w:val="212"/>
        </w:trPr>
        <w:tc>
          <w:tcPr>
            <w:tcW w:w="4100" w:type="dxa"/>
            <w:vAlign w:val="bottom"/>
            <w:shd w:val="clear" w:color="auto" w:fill="CCEEFF"/>
          </w:tcPr>
          <w:p>
            <w:pPr>
              <w:ind w:left="200"/>
              <w:spacing w:after="0"/>
              <w:rPr>
                <w:sz w:val="20"/>
                <w:szCs w:val="20"/>
                <w:color w:val="auto"/>
              </w:rPr>
            </w:pPr>
            <w:r>
              <w:rPr>
                <w:rFonts w:ascii="Times New Roman" w:cs="Times New Roman" w:eastAsia="Times New Roman" w:hAnsi="Times New Roman"/>
                <w:sz w:val="16"/>
                <w:szCs w:val="16"/>
                <w:color w:val="auto"/>
              </w:rPr>
              <w:t>Room statistics:</w:t>
            </w: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1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Occupancy</w:t>
            </w: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99.4 %</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96.8 %</w:t>
            </w:r>
          </w:p>
        </w:tc>
        <w:tc>
          <w:tcPr>
            <w:tcW w:w="1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99.4 %</w:t>
            </w: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93.9 %</w:t>
            </w: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4100" w:type="dxa"/>
            <w:vAlign w:val="bottom"/>
            <w:shd w:val="clear" w:color="auto" w:fill="CCEEFF"/>
          </w:tcPr>
          <w:p>
            <w:pPr>
              <w:ind w:left="520"/>
              <w:spacing w:after="0" w:line="226" w:lineRule="exact"/>
              <w:rPr>
                <w:sz w:val="20"/>
                <w:szCs w:val="20"/>
                <w:color w:val="auto"/>
              </w:rPr>
            </w:pPr>
            <w:r>
              <w:rPr>
                <w:rFonts w:ascii="Times New Roman" w:cs="Times New Roman" w:eastAsia="Times New Roman" w:hAnsi="Times New Roman"/>
                <w:sz w:val="16"/>
                <w:szCs w:val="16"/>
                <w:color w:val="auto"/>
              </w:rPr>
              <w:t xml:space="preserve">ADR </w:t>
            </w:r>
            <w:r>
              <w:rPr>
                <w:rFonts w:ascii="Times New Roman" w:cs="Times New Roman" w:eastAsia="Times New Roman" w:hAnsi="Times New Roman"/>
                <w:sz w:val="22"/>
                <w:szCs w:val="22"/>
                <w:color w:val="auto"/>
                <w:vertAlign w:val="superscript"/>
              </w:rPr>
              <w:t>(4)</w:t>
            </w:r>
          </w:p>
        </w:tc>
        <w:tc>
          <w:tcPr>
            <w:tcW w:w="300" w:type="dxa"/>
            <w:vAlign w:val="bottom"/>
            <w:shd w:val="clear" w:color="auto" w:fill="CCEEFF"/>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236</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269</w:t>
            </w:r>
          </w:p>
        </w:tc>
        <w:tc>
          <w:tcPr>
            <w:tcW w:w="100" w:type="dxa"/>
            <w:vAlign w:val="bottom"/>
            <w:shd w:val="clear" w:color="auto" w:fill="CCEEFF"/>
          </w:tcPr>
          <w:p>
            <w:pPr>
              <w:spacing w:after="0"/>
              <w:rPr>
                <w:sz w:val="19"/>
                <w:szCs w:val="19"/>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(12.3)</w:t>
            </w:r>
          </w:p>
        </w:tc>
        <w:tc>
          <w:tcPr>
            <w:tcW w:w="8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16"/>
                <w:szCs w:val="16"/>
                <w:color w:val="auto"/>
              </w:rPr>
              <w:t>260</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256</w:t>
            </w:r>
          </w:p>
        </w:tc>
        <w:tc>
          <w:tcPr>
            <w:tcW w:w="10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300"/>
        </w:trPr>
        <w:tc>
          <w:tcPr>
            <w:tcW w:w="4100" w:type="dxa"/>
            <w:vAlign w:val="bottom"/>
          </w:tcPr>
          <w:p>
            <w:pPr>
              <w:ind w:left="520"/>
              <w:spacing w:after="0"/>
              <w:rPr>
                <w:sz w:val="20"/>
                <w:szCs w:val="20"/>
                <w:color w:val="auto"/>
              </w:rPr>
            </w:pPr>
            <w:r>
              <w:rPr>
                <w:rFonts w:ascii="Times New Roman" w:cs="Times New Roman" w:eastAsia="Times New Roman" w:hAnsi="Times New Roman"/>
                <w:sz w:val="16"/>
                <w:szCs w:val="16"/>
                <w:color w:val="auto"/>
              </w:rPr>
              <w:t xml:space="preserve">REVPAR </w:t>
            </w:r>
            <w:r>
              <w:rPr>
                <w:rFonts w:ascii="Times New Roman" w:cs="Times New Roman" w:eastAsia="Times New Roman" w:hAnsi="Times New Roman"/>
                <w:sz w:val="22"/>
                <w:szCs w:val="22"/>
                <w:color w:val="auto"/>
                <w:vertAlign w:val="superscript"/>
              </w:rPr>
              <w:t>(5)</w:t>
            </w:r>
          </w:p>
        </w:tc>
        <w:tc>
          <w:tcPr>
            <w:tcW w:w="300" w:type="dxa"/>
            <w:vAlign w:val="bottom"/>
          </w:tcPr>
          <w:p>
            <w:pPr>
              <w:jc w:val="right"/>
              <w:ind w:right="14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234</w:t>
            </w:r>
          </w:p>
        </w:tc>
        <w:tc>
          <w:tcPr>
            <w:tcW w:w="100" w:type="dxa"/>
            <w:vAlign w:val="bottom"/>
          </w:tcPr>
          <w:p>
            <w:pPr>
              <w:spacing w:after="0"/>
              <w:rPr>
                <w:sz w:val="24"/>
                <w:szCs w:val="24"/>
                <w:color w:val="auto"/>
              </w:rPr>
            </w:pPr>
          </w:p>
        </w:tc>
        <w:tc>
          <w:tcPr>
            <w:tcW w:w="340" w:type="dxa"/>
            <w:vAlign w:val="bottom"/>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94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80" w:type="dxa"/>
            <w:vAlign w:val="bottom"/>
          </w:tcPr>
          <w:p>
            <w:pPr>
              <w:spacing w:after="0"/>
              <w:rPr>
                <w:sz w:val="24"/>
                <w:szCs w:val="24"/>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1000" w:type="dxa"/>
            <w:vAlign w:val="bottom"/>
          </w:tcPr>
          <w:p>
            <w:pPr>
              <w:jc w:val="right"/>
              <w:ind w:right="62"/>
              <w:spacing w:after="0"/>
              <w:rPr>
                <w:sz w:val="20"/>
                <w:szCs w:val="20"/>
                <w:color w:val="auto"/>
              </w:rPr>
            </w:pPr>
            <w:r>
              <w:rPr>
                <w:rFonts w:ascii="Times New Roman" w:cs="Times New Roman" w:eastAsia="Times New Roman" w:hAnsi="Times New Roman"/>
                <w:sz w:val="16"/>
                <w:szCs w:val="16"/>
                <w:color w:val="auto"/>
              </w:rPr>
              <w:t>258</w:t>
            </w:r>
          </w:p>
        </w:tc>
        <w:tc>
          <w:tcPr>
            <w:tcW w:w="140" w:type="dxa"/>
            <w:vAlign w:val="bottom"/>
          </w:tcPr>
          <w:p>
            <w:pPr>
              <w:spacing w:after="0"/>
              <w:rPr>
                <w:sz w:val="24"/>
                <w:szCs w:val="24"/>
                <w:color w:val="auto"/>
              </w:rPr>
            </w:pPr>
          </w:p>
        </w:tc>
        <w:tc>
          <w:tcPr>
            <w:tcW w:w="4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240</w:t>
            </w:r>
          </w:p>
        </w:tc>
        <w:tc>
          <w:tcPr>
            <w:tcW w:w="100" w:type="dxa"/>
            <w:vAlign w:val="bottom"/>
          </w:tcPr>
          <w:p>
            <w:pPr>
              <w:spacing w:after="0"/>
              <w:rPr>
                <w:sz w:val="24"/>
                <w:szCs w:val="2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80"/>
          </w:cols>
          <w:pgMar w:left="360" w:top="869" w:right="359" w:bottom="1440" w:gutter="0" w:footer="0" w:header="0"/>
        </w:sectPr>
      </w:pPr>
    </w:p>
    <w:bookmarkStart w:id="13" w:name="page14"/>
    <w:bookmarkEnd w:id="13"/>
    <w:p>
      <w:pPr>
        <w:jc w:val="center"/>
        <w:spacing w:after="0"/>
        <w:rPr>
          <w:sz w:val="20"/>
          <w:szCs w:val="20"/>
          <w:color w:val="auto"/>
        </w:rPr>
      </w:pPr>
      <w:r>
        <w:rPr>
          <w:rFonts w:ascii="Times New Roman" w:cs="Times New Roman" w:eastAsia="Times New Roman" w:hAnsi="Times New Roman"/>
          <w:sz w:val="18"/>
          <w:szCs w:val="18"/>
          <w:b w:val="1"/>
          <w:bCs w:val="1"/>
          <w:color w:val="auto"/>
        </w:rPr>
        <w:t>WYNN RESORTS, LIMITED AND SUBSIDIARIES</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SUPPLEMENTAL DATA SCHEDULE</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(dollars in thousands, except for win per unit per day, ADR and REVPAR)</w:t>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(continued)</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vMerge w:val="restart"/>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vMerge w:val="restart"/>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1"/>
                <w:szCs w:val="11"/>
                <w:color w:val="auto"/>
              </w:rPr>
            </w:pPr>
          </w:p>
        </w:tc>
        <w:tc>
          <w:tcPr>
            <w:tcW w:w="740" w:type="dxa"/>
            <w:vAlign w:val="bottom"/>
          </w:tcPr>
          <w:p>
            <w:pPr>
              <w:jc w:val="right"/>
              <w:ind w:right="62"/>
              <w:spacing w:after="0" w:line="13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vMerge w:val="restart"/>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1"/>
                <w:szCs w:val="11"/>
                <w:color w:val="auto"/>
              </w:rPr>
            </w:pPr>
          </w:p>
        </w:tc>
        <w:tc>
          <w:tcPr>
            <w:tcW w:w="740" w:type="dxa"/>
            <w:vAlign w:val="bottom"/>
          </w:tcPr>
          <w:p>
            <w:pPr>
              <w:jc w:val="right"/>
              <w:ind w:right="62"/>
              <w:spacing w:after="0" w:line="13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209"/>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Las Vegas Operations Supplemental Information</w:t>
            </w: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revenues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Casino</w:t>
            </w: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129,674</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137,946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(6.0)</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264,837</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292,476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w:t>
            </w:r>
          </w:p>
        </w:tc>
        <w:tc>
          <w:tcPr>
            <w:tcW w:w="0" w:type="dxa"/>
            <w:vAlign w:val="bottom"/>
          </w:tcPr>
          <w:p>
            <w:pPr>
              <w:spacing w:after="0"/>
              <w:rPr>
                <w:sz w:val="1"/>
                <w:szCs w:val="1"/>
                <w:color w:val="auto"/>
              </w:rPr>
            </w:pPr>
          </w:p>
        </w:tc>
      </w:tr>
      <w:tr>
        <w:trPr>
          <w:trHeight w:val="209"/>
        </w:trPr>
        <w:tc>
          <w:tcPr>
            <w:tcW w:w="40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Rooms</w:t>
            </w:r>
          </w:p>
        </w:tc>
        <w:tc>
          <w:tcPr>
            <w:tcW w:w="28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205,872</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177,765</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429,948</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362,874</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18.5</w:t>
            </w: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Food and beverage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208,418</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195,146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402,028</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367,629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9.4</w:t>
            </w:r>
          </w:p>
        </w:tc>
        <w:tc>
          <w:tcPr>
            <w:tcW w:w="0" w:type="dxa"/>
            <w:vAlign w:val="bottom"/>
          </w:tcPr>
          <w:p>
            <w:pPr>
              <w:spacing w:after="0"/>
              <w:rPr>
                <w:sz w:val="1"/>
                <w:szCs w:val="1"/>
                <w:color w:val="auto"/>
              </w:rPr>
            </w:pPr>
          </w:p>
        </w:tc>
      </w:tr>
      <w:tr>
        <w:trPr>
          <w:trHeight w:val="209"/>
        </w:trPr>
        <w:tc>
          <w:tcPr>
            <w:tcW w:w="4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Entertainment, retail and other</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84,690</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67,215</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26.0</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168,389</w:t>
            </w: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141,857</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18.7</w:t>
            </w:r>
          </w:p>
        </w:tc>
        <w:tc>
          <w:tcPr>
            <w:tcW w:w="0" w:type="dxa"/>
            <w:vAlign w:val="bottom"/>
          </w:tcPr>
          <w:p>
            <w:pPr>
              <w:spacing w:after="0"/>
              <w:rPr>
                <w:sz w:val="1"/>
                <w:szCs w:val="1"/>
                <w:color w:val="auto"/>
              </w:rPr>
            </w:pPr>
          </w:p>
        </w:tc>
      </w:tr>
      <w:tr>
        <w:trPr>
          <w:trHeight w:val="206"/>
        </w:trPr>
        <w:tc>
          <w:tcPr>
            <w:tcW w:w="4080" w:type="dxa"/>
            <w:vAlign w:val="bottom"/>
            <w:shd w:val="clear" w:color="auto" w:fill="CCEEFF"/>
          </w:tcPr>
          <w:p>
            <w:pPr>
              <w:ind w:left="540"/>
              <w:spacing w:after="0" w:line="206" w:lineRule="exact"/>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628,654</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578,072</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8.8</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1,265,202</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1,164,836</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8.6</w:t>
            </w:r>
          </w:p>
        </w:tc>
        <w:tc>
          <w:tcPr>
            <w:tcW w:w="0" w:type="dxa"/>
            <w:vAlign w:val="bottom"/>
          </w:tcPr>
          <w:p>
            <w:pPr>
              <w:spacing w:after="0"/>
              <w:rPr>
                <w:sz w:val="1"/>
                <w:szCs w:val="1"/>
                <w:color w:val="auto"/>
              </w:rPr>
            </w:pPr>
          </w:p>
        </w:tc>
      </w:tr>
      <w:tr>
        <w:trPr>
          <w:trHeight w:val="263"/>
        </w:trPr>
        <w:tc>
          <w:tcPr>
            <w:tcW w:w="4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080" w:type="dxa"/>
            <w:vAlign w:val="bottom"/>
            <w:shd w:val="clear" w:color="auto" w:fill="CCEEFF"/>
          </w:tcPr>
          <w:p>
            <w:pPr>
              <w:ind w:left="220"/>
              <w:spacing w:after="0" w:line="210" w:lineRule="exact"/>
              <w:rPr>
                <w:sz w:val="20"/>
                <w:szCs w:val="20"/>
                <w:color w:val="auto"/>
              </w:rPr>
            </w:pPr>
            <w:r>
              <w:rPr>
                <w:rFonts w:ascii="Times New Roman" w:cs="Times New Roman" w:eastAsia="Times New Roman" w:hAnsi="Times New Roman"/>
                <w:sz w:val="16"/>
                <w:szCs w:val="16"/>
                <w:b w:val="1"/>
                <w:bCs w:val="1"/>
                <w:color w:val="auto"/>
              </w:rPr>
              <w:t xml:space="preserve">Adjusted Property EBITDAR </w:t>
            </w:r>
            <w:r>
              <w:rPr>
                <w:rFonts w:ascii="Times New Roman" w:cs="Times New Roman" w:eastAsia="Times New Roman" w:hAnsi="Times New Roman"/>
                <w:sz w:val="22"/>
                <w:szCs w:val="22"/>
                <w:b w:val="1"/>
                <w:bCs w:val="1"/>
                <w:color w:val="auto"/>
                <w:vertAlign w:val="superscript"/>
              </w:rPr>
              <w:t>(6)</w:t>
            </w: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230,333</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224,121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2.8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476,595</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455,718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4.6</w:t>
            </w:r>
          </w:p>
        </w:tc>
        <w:tc>
          <w:tcPr>
            <w:tcW w:w="0" w:type="dxa"/>
            <w:vAlign w:val="bottom"/>
          </w:tcPr>
          <w:p>
            <w:pPr>
              <w:spacing w:after="0"/>
              <w:rPr>
                <w:sz w:val="1"/>
                <w:szCs w:val="1"/>
                <w:color w:val="auto"/>
              </w:rPr>
            </w:pPr>
          </w:p>
        </w:tc>
      </w:tr>
      <w:tr>
        <w:trPr>
          <w:trHeight w:val="263"/>
        </w:trPr>
        <w:tc>
          <w:tcPr>
            <w:tcW w:w="4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9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1"/>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Casino statistics: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Average number of table games</w:t>
            </w:r>
          </w:p>
        </w:tc>
        <w:tc>
          <w:tcPr>
            <w:tcW w:w="28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234</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235</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234</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233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0.4</w:t>
            </w: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ind w:left="540"/>
              <w:spacing w:after="0" w:line="212" w:lineRule="exact"/>
              <w:rPr>
                <w:sz w:val="20"/>
                <w:szCs w:val="20"/>
                <w:color w:val="auto"/>
              </w:rPr>
            </w:pPr>
            <w:r>
              <w:rPr>
                <w:rFonts w:ascii="Times New Roman" w:cs="Times New Roman" w:eastAsia="Times New Roman" w:hAnsi="Times New Roman"/>
                <w:sz w:val="16"/>
                <w:szCs w:val="16"/>
                <w:color w:val="auto"/>
              </w:rPr>
              <w:t xml:space="preserve">Table drop </w:t>
            </w:r>
            <w:r>
              <w:rPr>
                <w:rFonts w:ascii="Times New Roman" w:cs="Times New Roman" w:eastAsia="Times New Roman" w:hAnsi="Times New Roman"/>
                <w:sz w:val="22"/>
                <w:szCs w:val="22"/>
                <w:color w:val="auto"/>
                <w:vertAlign w:val="superscript"/>
              </w:rPr>
              <w:t>(2)</w:t>
            </w: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536,461</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559,701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1,140,635</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1,160,447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w:t>
            </w:r>
          </w:p>
        </w:tc>
        <w:tc>
          <w:tcPr>
            <w:tcW w:w="0" w:type="dxa"/>
            <w:vAlign w:val="bottom"/>
          </w:tcPr>
          <w:p>
            <w:pPr>
              <w:spacing w:after="0"/>
              <w:rPr>
                <w:sz w:val="1"/>
                <w:szCs w:val="1"/>
                <w:color w:val="auto"/>
              </w:rPr>
            </w:pPr>
          </w:p>
        </w:tc>
      </w:tr>
      <w:tr>
        <w:trPr>
          <w:trHeight w:val="211"/>
        </w:trPr>
        <w:tc>
          <w:tcPr>
            <w:tcW w:w="4080" w:type="dxa"/>
            <w:vAlign w:val="bottom"/>
          </w:tcPr>
          <w:p>
            <w:pPr>
              <w:ind w:left="540"/>
              <w:spacing w:after="0" w:line="210" w:lineRule="exact"/>
              <w:rPr>
                <w:sz w:val="20"/>
                <w:szCs w:val="20"/>
                <w:color w:val="auto"/>
              </w:rPr>
            </w:pPr>
            <w:r>
              <w:rPr>
                <w:rFonts w:ascii="Times New Roman" w:cs="Times New Roman" w:eastAsia="Times New Roman" w:hAnsi="Times New Roman"/>
                <w:sz w:val="16"/>
                <w:szCs w:val="16"/>
                <w:color w:val="auto"/>
              </w:rPr>
              <w:t xml:space="preserve">Table games win </w:t>
            </w:r>
            <w:r>
              <w:rPr>
                <w:rFonts w:ascii="Times New Roman" w:cs="Times New Roman" w:eastAsia="Times New Roman" w:hAnsi="Times New Roman"/>
                <w:sz w:val="22"/>
                <w:szCs w:val="22"/>
                <w:color w:val="auto"/>
                <w:vertAlign w:val="superscript"/>
              </w:rPr>
              <w:t>(1)</w:t>
            </w: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117,496</w:t>
            </w:r>
          </w:p>
        </w:tc>
        <w:tc>
          <w:tcPr>
            <w:tcW w:w="14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128,012</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(8.2)</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274,107</w:t>
            </w:r>
          </w:p>
        </w:tc>
        <w:tc>
          <w:tcPr>
            <w:tcW w:w="160" w:type="dxa"/>
            <w:vAlign w:val="bottom"/>
          </w:tcPr>
          <w:p>
            <w:pPr>
              <w:spacing w:after="0"/>
              <w:rPr>
                <w:sz w:val="18"/>
                <w:szCs w:val="18"/>
                <w:color w:val="auto"/>
              </w:rPr>
            </w:pPr>
          </w:p>
        </w:tc>
        <w:tc>
          <w:tcPr>
            <w:tcW w:w="4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274,022</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0" w:type="dxa"/>
            <w:vAlign w:val="bottom"/>
          </w:tcPr>
          <w:p>
            <w:pPr>
              <w:spacing w:after="0"/>
              <w:rPr>
                <w:sz w:val="1"/>
                <w:szCs w:val="1"/>
                <w:color w:val="auto"/>
              </w:rPr>
            </w:pPr>
          </w:p>
        </w:tc>
      </w:tr>
      <w:tr>
        <w:trPr>
          <w:trHeight w:val="211"/>
        </w:trPr>
        <w:tc>
          <w:tcPr>
            <w:tcW w:w="4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Table games win %</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21.9 %</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22.9 %</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24.0 %</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23.6 %</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Table games win per unit per day</w:t>
            </w: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5,529</w:t>
            </w:r>
          </w:p>
        </w:tc>
        <w:tc>
          <w:tcPr>
            <w:tcW w:w="14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5,997</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(7.8)</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6,444</w:t>
            </w:r>
          </w:p>
        </w:tc>
        <w:tc>
          <w:tcPr>
            <w:tcW w:w="160" w:type="dxa"/>
            <w:vAlign w:val="bottom"/>
          </w:tcPr>
          <w:p>
            <w:pPr>
              <w:spacing w:after="0"/>
              <w:rPr>
                <w:sz w:val="18"/>
                <w:szCs w:val="18"/>
                <w:color w:val="auto"/>
              </w:rPr>
            </w:pPr>
          </w:p>
        </w:tc>
        <w:tc>
          <w:tcPr>
            <w:tcW w:w="4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6,490</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Average number of slot machines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1,598</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1,651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1,608</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1,660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(3.1)</w:t>
            </w:r>
          </w:p>
        </w:tc>
        <w:tc>
          <w:tcPr>
            <w:tcW w:w="0" w:type="dxa"/>
            <w:vAlign w:val="bottom"/>
          </w:tcPr>
          <w:p>
            <w:pPr>
              <w:spacing w:after="0"/>
              <w:rPr>
                <w:sz w:val="1"/>
                <w:szCs w:val="1"/>
                <w:color w:val="auto"/>
              </w:rPr>
            </w:pPr>
          </w:p>
        </w:tc>
      </w:tr>
      <w:tr>
        <w:trPr>
          <w:trHeight w:val="209"/>
        </w:trPr>
        <w:tc>
          <w:tcPr>
            <w:tcW w:w="40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Slot machine handle</w:t>
            </w: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1,648,364</w:t>
            </w:r>
          </w:p>
        </w:tc>
        <w:tc>
          <w:tcPr>
            <w:tcW w:w="14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1,522,525</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3,144,442</w:t>
            </w:r>
          </w:p>
        </w:tc>
        <w:tc>
          <w:tcPr>
            <w:tcW w:w="160" w:type="dxa"/>
            <w:vAlign w:val="bottom"/>
          </w:tcPr>
          <w:p>
            <w:pPr>
              <w:spacing w:after="0"/>
              <w:rPr>
                <w:sz w:val="18"/>
                <w:szCs w:val="18"/>
                <w:color w:val="auto"/>
              </w:rPr>
            </w:pPr>
          </w:p>
        </w:tc>
        <w:tc>
          <w:tcPr>
            <w:tcW w:w="4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3,095,260</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w:t>
            </w: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ind w:left="540"/>
              <w:spacing w:after="0" w:line="212" w:lineRule="exact"/>
              <w:rPr>
                <w:sz w:val="20"/>
                <w:szCs w:val="20"/>
                <w:color w:val="auto"/>
              </w:rPr>
            </w:pPr>
            <w:r>
              <w:rPr>
                <w:rFonts w:ascii="Times New Roman" w:cs="Times New Roman" w:eastAsia="Times New Roman" w:hAnsi="Times New Roman"/>
                <w:sz w:val="16"/>
                <w:szCs w:val="16"/>
                <w:color w:val="auto"/>
              </w:rPr>
              <w:t xml:space="preserve">Slot machine win </w:t>
            </w:r>
            <w:r>
              <w:rPr>
                <w:rFonts w:ascii="Times New Roman" w:cs="Times New Roman" w:eastAsia="Times New Roman" w:hAnsi="Times New Roman"/>
                <w:sz w:val="22"/>
                <w:szCs w:val="22"/>
                <w:color w:val="auto"/>
                <w:vertAlign w:val="superscript"/>
              </w:rPr>
              <w:t>(3)</w:t>
            </w: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110,017</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103,357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6.4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209,773</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210,145</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(0.2)</w:t>
            </w:r>
          </w:p>
        </w:tc>
        <w:tc>
          <w:tcPr>
            <w:tcW w:w="0" w:type="dxa"/>
            <w:vAlign w:val="bottom"/>
          </w:tcPr>
          <w:p>
            <w:pPr>
              <w:spacing w:after="0"/>
              <w:rPr>
                <w:sz w:val="1"/>
                <w:szCs w:val="1"/>
                <w:color w:val="auto"/>
              </w:rPr>
            </w:pPr>
          </w:p>
        </w:tc>
      </w:tr>
      <w:tr>
        <w:trPr>
          <w:trHeight w:val="209"/>
        </w:trPr>
        <w:tc>
          <w:tcPr>
            <w:tcW w:w="40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Slot machine win per unit per day</w:t>
            </w: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757</w:t>
            </w:r>
          </w:p>
        </w:tc>
        <w:tc>
          <w:tcPr>
            <w:tcW w:w="14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688</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10.0</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717</w:t>
            </w:r>
          </w:p>
        </w:tc>
        <w:tc>
          <w:tcPr>
            <w:tcW w:w="160" w:type="dxa"/>
            <w:vAlign w:val="bottom"/>
          </w:tcPr>
          <w:p>
            <w:pPr>
              <w:spacing w:after="0"/>
              <w:rPr>
                <w:sz w:val="18"/>
                <w:szCs w:val="18"/>
                <w:color w:val="auto"/>
              </w:rPr>
            </w:pPr>
          </w:p>
        </w:tc>
        <w:tc>
          <w:tcPr>
            <w:tcW w:w="4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700</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w:t>
            </w: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Poker rake</w:t>
            </w: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7,501</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6,460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12,023</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10,574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w:t>
            </w:r>
          </w:p>
        </w:tc>
        <w:tc>
          <w:tcPr>
            <w:tcW w:w="0" w:type="dxa"/>
            <w:vAlign w:val="bottom"/>
          </w:tcPr>
          <w:p>
            <w:pPr>
              <w:spacing w:after="0"/>
              <w:rPr>
                <w:sz w:val="1"/>
                <w:szCs w:val="1"/>
                <w:color w:val="auto"/>
              </w:rPr>
            </w:pPr>
          </w:p>
        </w:tc>
      </w:tr>
      <w:tr>
        <w:trPr>
          <w:trHeight w:val="209"/>
        </w:trPr>
        <w:tc>
          <w:tcPr>
            <w:tcW w:w="4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Room statistics: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Occupancy</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90.9 %</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90.6 %</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89.4 %</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89.7 %</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80" w:type="dxa"/>
            <w:vAlign w:val="bottom"/>
          </w:tcPr>
          <w:p>
            <w:pPr>
              <w:ind w:left="540"/>
              <w:spacing w:after="0" w:line="211" w:lineRule="exact"/>
              <w:rPr>
                <w:sz w:val="20"/>
                <w:szCs w:val="20"/>
                <w:color w:val="auto"/>
              </w:rPr>
            </w:pPr>
            <w:r>
              <w:rPr>
                <w:rFonts w:ascii="Times New Roman" w:cs="Times New Roman" w:eastAsia="Times New Roman" w:hAnsi="Times New Roman"/>
                <w:sz w:val="24"/>
                <w:szCs w:val="24"/>
                <w:color w:val="auto"/>
                <w:vertAlign w:val="subscript"/>
              </w:rPr>
              <w:t>ADR</w:t>
            </w:r>
            <w:r>
              <w:rPr>
                <w:rFonts w:ascii="Times New Roman" w:cs="Times New Roman" w:eastAsia="Times New Roman" w:hAnsi="Times New Roman"/>
                <w:sz w:val="10"/>
                <w:szCs w:val="10"/>
                <w:color w:val="auto"/>
              </w:rPr>
              <w:t xml:space="preserve"> (4)</w:t>
            </w: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532</w:t>
            </w:r>
          </w:p>
        </w:tc>
        <w:tc>
          <w:tcPr>
            <w:tcW w:w="14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462</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563</w:t>
            </w:r>
          </w:p>
        </w:tc>
        <w:tc>
          <w:tcPr>
            <w:tcW w:w="160" w:type="dxa"/>
            <w:vAlign w:val="bottom"/>
          </w:tcPr>
          <w:p>
            <w:pPr>
              <w:spacing w:after="0"/>
              <w:rPr>
                <w:sz w:val="18"/>
                <w:szCs w:val="18"/>
                <w:color w:val="auto"/>
              </w:rPr>
            </w:pPr>
          </w:p>
        </w:tc>
        <w:tc>
          <w:tcPr>
            <w:tcW w:w="4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477</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18.0</w:t>
            </w:r>
          </w:p>
        </w:tc>
        <w:tc>
          <w:tcPr>
            <w:tcW w:w="0" w:type="dxa"/>
            <w:vAlign w:val="bottom"/>
          </w:tcPr>
          <w:p>
            <w:pPr>
              <w:spacing w:after="0"/>
              <w:rPr>
                <w:sz w:val="1"/>
                <w:szCs w:val="1"/>
                <w:color w:val="auto"/>
              </w:rPr>
            </w:pPr>
          </w:p>
        </w:tc>
      </w:tr>
      <w:tr>
        <w:trPr>
          <w:trHeight w:val="224"/>
        </w:trPr>
        <w:tc>
          <w:tcPr>
            <w:tcW w:w="4080" w:type="dxa"/>
            <w:vAlign w:val="bottom"/>
            <w:shd w:val="clear" w:color="auto" w:fill="CCEEFF"/>
          </w:tcPr>
          <w:p>
            <w:pPr>
              <w:ind w:left="540"/>
              <w:spacing w:after="0" w:line="224" w:lineRule="exact"/>
              <w:rPr>
                <w:sz w:val="20"/>
                <w:szCs w:val="20"/>
                <w:color w:val="auto"/>
              </w:rPr>
            </w:pPr>
            <w:r>
              <w:rPr>
                <w:rFonts w:ascii="Times New Roman" w:cs="Times New Roman" w:eastAsia="Times New Roman" w:hAnsi="Times New Roman"/>
                <w:sz w:val="16"/>
                <w:szCs w:val="16"/>
                <w:color w:val="auto"/>
              </w:rPr>
              <w:t xml:space="preserve">REVPAR </w:t>
            </w:r>
            <w:r>
              <w:rPr>
                <w:rFonts w:ascii="Times New Roman" w:cs="Times New Roman" w:eastAsia="Times New Roman" w:hAnsi="Times New Roman"/>
                <w:sz w:val="22"/>
                <w:szCs w:val="22"/>
                <w:color w:val="auto"/>
                <w:vertAlign w:val="superscript"/>
              </w:rPr>
              <w:t>(5)</w:t>
            </w: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484</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418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15.8</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504</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428</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17.8</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240"/>
          </w:cols>
          <w:pgMar w:left="320" w:top="869" w:right="339" w:bottom="1440" w:gutter="0" w:footer="0" w:header="0"/>
        </w:sectPr>
      </w:pPr>
    </w:p>
    <w:bookmarkStart w:id="14" w:name="page15"/>
    <w:bookmarkEnd w:id="14"/>
    <w:p>
      <w:pPr>
        <w:jc w:val="center"/>
        <w:ind w:left="340" w:right="2800"/>
        <w:spacing w:after="0" w:line="254" w:lineRule="auto"/>
        <w:rPr>
          <w:sz w:val="20"/>
          <w:szCs w:val="20"/>
          <w:color w:val="auto"/>
        </w:rPr>
      </w:pPr>
      <w:r>
        <w:rPr>
          <w:rFonts w:ascii="Times New Roman" w:cs="Times New Roman" w:eastAsia="Times New Roman" w:hAnsi="Times New Roman"/>
          <w:sz w:val="18"/>
          <w:szCs w:val="18"/>
          <w:b w:val="1"/>
          <w:bCs w:val="1"/>
          <w:color w:val="auto"/>
        </w:rPr>
        <w:t>WYNN RESORTS, LIMITED AND SUBSIDIARIES SUPPLEMENTAL DATA SCHEDULE (dollars in thousands, except for win per unit per day, ADR, and REVPAR) (unaudited) (continued)</w:t>
      </w:r>
    </w:p>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80" w:type="dxa"/>
            <w:vAlign w:val="bottom"/>
            <w:gridSpan w:val="5"/>
          </w:tcPr>
          <w:p>
            <w:pPr>
              <w:ind w:lef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6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3"/>
          </w:tcPr>
          <w:p>
            <w:pPr>
              <w:jc w:val="right"/>
              <w:ind w:right="8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9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jc w:val="right"/>
              <w:ind w:right="241"/>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32"/>
        </w:trPr>
        <w:tc>
          <w:tcPr>
            <w:tcW w:w="4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980" w:type="dxa"/>
            <w:vAlign w:val="bottom"/>
            <w:vMerge w:val="restart"/>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920" w:type="dxa"/>
            <w:vAlign w:val="bottom"/>
            <w:vMerge w:val="restart"/>
          </w:tcPr>
          <w:p>
            <w:pPr>
              <w:jc w:val="right"/>
              <w:ind w:right="401"/>
              <w:spacing w:after="0"/>
              <w:rPr>
                <w:sz w:val="20"/>
                <w:szCs w:val="20"/>
                <w:color w:val="auto"/>
              </w:rPr>
            </w:pPr>
            <w:r>
              <w:rPr>
                <w:rFonts w:ascii="Times New Roman" w:cs="Times New Roman" w:eastAsia="Times New Roman" w:hAnsi="Times New Roman"/>
                <w:sz w:val="14"/>
                <w:szCs w:val="14"/>
                <w:b w:val="1"/>
                <w:bCs w:val="1"/>
                <w:color w:val="auto"/>
              </w:rPr>
              <w:t>2023</w:t>
            </w:r>
          </w:p>
        </w:tc>
        <w:tc>
          <w:tcPr>
            <w:tcW w:w="100" w:type="dxa"/>
            <w:vAlign w:val="bottom"/>
          </w:tcPr>
          <w:p>
            <w:pPr>
              <w:spacing w:after="0"/>
              <w:rPr>
                <w:sz w:val="11"/>
                <w:szCs w:val="11"/>
                <w:color w:val="auto"/>
              </w:rPr>
            </w:pPr>
          </w:p>
        </w:tc>
        <w:tc>
          <w:tcPr>
            <w:tcW w:w="740" w:type="dxa"/>
            <w:vAlign w:val="bottom"/>
          </w:tcPr>
          <w:p>
            <w:pPr>
              <w:jc w:val="right"/>
              <w:ind w:right="62"/>
              <w:spacing w:after="0" w:line="13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vMerge w:val="restart"/>
          </w:tcPr>
          <w:p>
            <w:pPr>
              <w:jc w:val="right"/>
              <w:ind w:right="42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0" w:type="dxa"/>
            <w:vAlign w:val="bottom"/>
            <w:vMerge w:val="restart"/>
          </w:tcPr>
          <w:p>
            <w:pPr>
              <w:jc w:val="right"/>
              <w:ind w:right="421"/>
              <w:spacing w:after="0"/>
              <w:rPr>
                <w:sz w:val="20"/>
                <w:szCs w:val="20"/>
                <w:color w:val="auto"/>
              </w:rPr>
            </w:pPr>
            <w:r>
              <w:rPr>
                <w:rFonts w:ascii="Times New Roman" w:cs="Times New Roman" w:eastAsia="Times New Roman" w:hAnsi="Times New Roman"/>
                <w:sz w:val="14"/>
                <w:szCs w:val="14"/>
                <w:b w:val="1"/>
                <w:bCs w:val="1"/>
                <w:color w:val="auto"/>
                <w:w w:val="99"/>
              </w:rPr>
              <w:t>2023</w:t>
            </w:r>
          </w:p>
        </w:tc>
        <w:tc>
          <w:tcPr>
            <w:tcW w:w="100" w:type="dxa"/>
            <w:vAlign w:val="bottom"/>
          </w:tcPr>
          <w:p>
            <w:pPr>
              <w:spacing w:after="0"/>
              <w:rPr>
                <w:sz w:val="11"/>
                <w:szCs w:val="11"/>
                <w:color w:val="auto"/>
              </w:rPr>
            </w:pPr>
          </w:p>
        </w:tc>
        <w:tc>
          <w:tcPr>
            <w:tcW w:w="740" w:type="dxa"/>
            <w:vAlign w:val="bottom"/>
          </w:tcPr>
          <w:p>
            <w:pPr>
              <w:jc w:val="right"/>
              <w:ind w:right="62"/>
              <w:spacing w:after="0" w:line="132" w:lineRule="exact"/>
              <w:rPr>
                <w:sz w:val="20"/>
                <w:szCs w:val="20"/>
                <w:color w:val="auto"/>
              </w:rPr>
            </w:pPr>
            <w:r>
              <w:rPr>
                <w:rFonts w:ascii="Times New Roman" w:cs="Times New Roman" w:eastAsia="Times New Roman" w:hAnsi="Times New Roman"/>
                <w:sz w:val="14"/>
                <w:szCs w:val="14"/>
                <w:b w:val="1"/>
                <w:bCs w:val="1"/>
                <w:color w:val="auto"/>
              </w:rPr>
              <w:t>Percent</w:t>
            </w:r>
          </w:p>
        </w:tc>
        <w:tc>
          <w:tcPr>
            <w:tcW w:w="0" w:type="dxa"/>
            <w:vAlign w:val="bottom"/>
          </w:tcPr>
          <w:p>
            <w:pPr>
              <w:spacing w:after="0"/>
              <w:rPr>
                <w:sz w:val="1"/>
                <w:szCs w:val="1"/>
                <w:color w:val="auto"/>
              </w:rPr>
            </w:pPr>
          </w:p>
        </w:tc>
      </w:tr>
      <w:tr>
        <w:trPr>
          <w:trHeight w:val="190"/>
        </w:trPr>
        <w:tc>
          <w:tcPr>
            <w:tcW w:w="40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2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300" w:type="dxa"/>
            <w:vAlign w:val="bottom"/>
          </w:tcPr>
          <w:p>
            <w:pPr>
              <w:spacing w:after="0"/>
              <w:rPr>
                <w:sz w:val="16"/>
                <w:szCs w:val="16"/>
                <w:color w:val="auto"/>
              </w:rPr>
            </w:pPr>
          </w:p>
        </w:tc>
        <w:tc>
          <w:tcPr>
            <w:tcW w:w="980" w:type="dxa"/>
            <w:vAlign w:val="bottom"/>
            <w:vMerge w:val="continue"/>
          </w:tcPr>
          <w:p>
            <w:pPr>
              <w:spacing w:after="0"/>
              <w:rPr>
                <w:sz w:val="16"/>
                <w:szCs w:val="16"/>
                <w:color w:val="auto"/>
              </w:rPr>
            </w:pPr>
          </w:p>
        </w:tc>
        <w:tc>
          <w:tcPr>
            <w:tcW w:w="1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40" w:type="dxa"/>
            <w:vAlign w:val="bottom"/>
          </w:tcPr>
          <w:p>
            <w:pPr>
              <w:jc w:val="right"/>
              <w:ind w:right="62"/>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0" w:type="dxa"/>
            <w:vAlign w:val="bottom"/>
          </w:tcPr>
          <w:p>
            <w:pPr>
              <w:spacing w:after="0"/>
              <w:rPr>
                <w:sz w:val="1"/>
                <w:szCs w:val="1"/>
                <w:color w:val="auto"/>
              </w:rPr>
            </w:pPr>
          </w:p>
        </w:tc>
      </w:tr>
      <w:tr>
        <w:trPr>
          <w:trHeight w:val="196"/>
        </w:trPr>
        <w:tc>
          <w:tcPr>
            <w:tcW w:w="408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b w:val="1"/>
                <w:bCs w:val="1"/>
                <w:color w:val="auto"/>
              </w:rPr>
              <w:t>Encore Boston Harbor Supplemental Information</w:t>
            </w:r>
          </w:p>
        </w:tc>
        <w:tc>
          <w:tcPr>
            <w:tcW w:w="28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340" w:type="dxa"/>
            <w:vAlign w:val="bottom"/>
            <w:tcBorders>
              <w:top w:val="single" w:sz="8" w:color="auto"/>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00" w:type="dxa"/>
            <w:vAlign w:val="bottom"/>
            <w:tcBorders>
              <w:top w:val="single" w:sz="8" w:color="auto"/>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080" w:type="dxa"/>
            <w:vAlign w:val="bottom"/>
          </w:tcPr>
          <w:p>
            <w:pPr>
              <w:ind w:left="220"/>
              <w:spacing w:after="0"/>
              <w:rPr>
                <w:sz w:val="20"/>
                <w:szCs w:val="20"/>
                <w:color w:val="auto"/>
              </w:rPr>
            </w:pPr>
            <w:r>
              <w:rPr>
                <w:rFonts w:ascii="Times New Roman" w:cs="Times New Roman" w:eastAsia="Times New Roman" w:hAnsi="Times New Roman"/>
                <w:sz w:val="16"/>
                <w:szCs w:val="16"/>
                <w:color w:val="auto"/>
              </w:rPr>
              <w:t>Operating revenues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Casino</w:t>
            </w: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153,591</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166,826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(7.9)</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319,760</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332,218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09"/>
        </w:trPr>
        <w:tc>
          <w:tcPr>
            <w:tcW w:w="40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Rooms</w:t>
            </w:r>
          </w:p>
        </w:tc>
        <w:tc>
          <w:tcPr>
            <w:tcW w:w="28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24,701</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22,518</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45,484</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41,057</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10.8</w:t>
            </w: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6"/>
                <w:szCs w:val="16"/>
                <w:color w:val="auto"/>
              </w:rPr>
              <w:t>Food and beverage</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23,154</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21,964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5.4</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43,393</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44,237</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w:t>
            </w:r>
          </w:p>
        </w:tc>
        <w:tc>
          <w:tcPr>
            <w:tcW w:w="0" w:type="dxa"/>
            <w:vAlign w:val="bottom"/>
          </w:tcPr>
          <w:p>
            <w:pPr>
              <w:spacing w:after="0"/>
              <w:rPr>
                <w:sz w:val="1"/>
                <w:szCs w:val="1"/>
                <w:color w:val="auto"/>
              </w:rPr>
            </w:pPr>
          </w:p>
        </w:tc>
      </w:tr>
      <w:tr>
        <w:trPr>
          <w:trHeight w:val="209"/>
        </w:trPr>
        <w:tc>
          <w:tcPr>
            <w:tcW w:w="4080" w:type="dxa"/>
            <w:vAlign w:val="bottom"/>
            <w:tcBorders>
              <w:bottom w:val="single" w:sz="8" w:color="CCEEFF"/>
            </w:tcBorders>
          </w:tcPr>
          <w:p>
            <w:pPr>
              <w:ind w:left="340"/>
              <w:spacing w:after="0"/>
              <w:rPr>
                <w:sz w:val="20"/>
                <w:szCs w:val="20"/>
                <w:color w:val="auto"/>
              </w:rPr>
            </w:pPr>
            <w:r>
              <w:rPr>
                <w:rFonts w:ascii="Times New Roman" w:cs="Times New Roman" w:eastAsia="Times New Roman" w:hAnsi="Times New Roman"/>
                <w:sz w:val="16"/>
                <w:szCs w:val="16"/>
                <w:color w:val="auto"/>
              </w:rPr>
              <w:t>Entertainment, retail and other</w:t>
            </w:r>
          </w:p>
        </w:tc>
        <w:tc>
          <w:tcPr>
            <w:tcW w:w="2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11,162</w:t>
            </w:r>
          </w:p>
        </w:tc>
        <w:tc>
          <w:tcPr>
            <w:tcW w:w="140" w:type="dxa"/>
            <w:vAlign w:val="bottom"/>
            <w:tcBorders>
              <w:bottom w:val="single" w:sz="8" w:color="CCEEFF"/>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10,624</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5.1</w:t>
            </w:r>
          </w:p>
        </w:tc>
        <w:tc>
          <w:tcPr>
            <w:tcW w:w="10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2"/>
              <w:spacing w:after="0"/>
              <w:rPr>
                <w:sz w:val="20"/>
                <w:szCs w:val="20"/>
                <w:color w:val="auto"/>
              </w:rPr>
            </w:pPr>
            <w:r>
              <w:rPr>
                <w:rFonts w:ascii="Times New Roman" w:cs="Times New Roman" w:eastAsia="Times New Roman" w:hAnsi="Times New Roman"/>
                <w:sz w:val="16"/>
                <w:szCs w:val="16"/>
                <w:color w:val="auto"/>
              </w:rPr>
              <w:t>21,755</w:t>
            </w:r>
          </w:p>
        </w:tc>
        <w:tc>
          <w:tcPr>
            <w:tcW w:w="160" w:type="dxa"/>
            <w:vAlign w:val="bottom"/>
            <w:tcBorders>
              <w:bottom w:val="single" w:sz="8" w:color="CCEEFF"/>
            </w:tcBorders>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00" w:type="dxa"/>
            <w:vAlign w:val="bottom"/>
            <w:tcBorders>
              <w:bottom w:val="single" w:sz="8" w:color="auto"/>
            </w:tcBorders>
          </w:tcPr>
          <w:p>
            <w:pPr>
              <w:jc w:val="right"/>
              <w:ind w:right="41"/>
              <w:spacing w:after="0"/>
              <w:rPr>
                <w:sz w:val="20"/>
                <w:szCs w:val="20"/>
                <w:color w:val="auto"/>
              </w:rPr>
            </w:pPr>
            <w:r>
              <w:rPr>
                <w:rFonts w:ascii="Times New Roman" w:cs="Times New Roman" w:eastAsia="Times New Roman" w:hAnsi="Times New Roman"/>
                <w:sz w:val="16"/>
                <w:szCs w:val="16"/>
                <w:color w:val="auto"/>
              </w:rPr>
              <w:t>20,726</w:t>
            </w:r>
          </w:p>
        </w:tc>
        <w:tc>
          <w:tcPr>
            <w:tcW w:w="100" w:type="dxa"/>
            <w:vAlign w:val="bottom"/>
            <w:tcBorders>
              <w:bottom w:val="single" w:sz="8" w:color="CCEEFF"/>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5.0</w:t>
            </w:r>
          </w:p>
        </w:tc>
        <w:tc>
          <w:tcPr>
            <w:tcW w:w="0" w:type="dxa"/>
            <w:vAlign w:val="bottom"/>
          </w:tcPr>
          <w:p>
            <w:pPr>
              <w:spacing w:after="0"/>
              <w:rPr>
                <w:sz w:val="1"/>
                <w:szCs w:val="1"/>
                <w:color w:val="auto"/>
              </w:rPr>
            </w:pPr>
          </w:p>
        </w:tc>
      </w:tr>
      <w:tr>
        <w:trPr>
          <w:trHeight w:val="206"/>
        </w:trPr>
        <w:tc>
          <w:tcPr>
            <w:tcW w:w="4080" w:type="dxa"/>
            <w:vAlign w:val="bottom"/>
            <w:shd w:val="clear" w:color="auto" w:fill="CCEEFF"/>
          </w:tcPr>
          <w:p>
            <w:pPr>
              <w:ind w:left="540"/>
              <w:spacing w:after="0" w:line="206" w:lineRule="exact"/>
              <w:rPr>
                <w:sz w:val="20"/>
                <w:szCs w:val="20"/>
                <w:color w:val="auto"/>
              </w:rPr>
            </w:pPr>
            <w:r>
              <w:rPr>
                <w:rFonts w:ascii="Times New Roman" w:cs="Times New Roman" w:eastAsia="Times New Roman" w:hAnsi="Times New Roman"/>
                <w:sz w:val="18"/>
                <w:szCs w:val="18"/>
                <w:b w:val="1"/>
                <w:bCs w:val="1"/>
                <w:color w:val="auto"/>
              </w:rPr>
              <w:t>Total</w:t>
            </w: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212,608</w:t>
            </w:r>
          </w:p>
        </w:tc>
        <w:tc>
          <w:tcPr>
            <w:tcW w:w="140" w:type="dxa"/>
            <w:vAlign w:val="bottom"/>
            <w:shd w:val="clear" w:color="auto" w:fill="CCEEFF"/>
          </w:tcPr>
          <w:p>
            <w:pPr>
              <w:spacing w:after="0"/>
              <w:rPr>
                <w:sz w:val="17"/>
                <w:szCs w:val="17"/>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221,932</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(4.2)</w:t>
            </w: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430,392</w:t>
            </w:r>
          </w:p>
        </w:tc>
        <w:tc>
          <w:tcPr>
            <w:tcW w:w="160" w:type="dxa"/>
            <w:vAlign w:val="bottom"/>
            <w:shd w:val="clear" w:color="auto" w:fill="CCEEFF"/>
          </w:tcPr>
          <w:p>
            <w:pPr>
              <w:spacing w:after="0"/>
              <w:rPr>
                <w:sz w:val="17"/>
                <w:szCs w:val="17"/>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438,238</w:t>
            </w: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(1.8)</w:t>
            </w:r>
          </w:p>
        </w:tc>
        <w:tc>
          <w:tcPr>
            <w:tcW w:w="0" w:type="dxa"/>
            <w:vAlign w:val="bottom"/>
          </w:tcPr>
          <w:p>
            <w:pPr>
              <w:spacing w:after="0"/>
              <w:rPr>
                <w:sz w:val="1"/>
                <w:szCs w:val="1"/>
                <w:color w:val="auto"/>
              </w:rPr>
            </w:pPr>
          </w:p>
        </w:tc>
      </w:tr>
      <w:tr>
        <w:trPr>
          <w:trHeight w:val="158"/>
        </w:trPr>
        <w:tc>
          <w:tcPr>
            <w:tcW w:w="4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080" w:type="dxa"/>
            <w:vAlign w:val="bottom"/>
            <w:shd w:val="clear" w:color="auto" w:fill="CCEEFF"/>
          </w:tcPr>
          <w:p>
            <w:pPr>
              <w:ind w:left="220"/>
              <w:spacing w:after="0" w:line="210" w:lineRule="exact"/>
              <w:rPr>
                <w:sz w:val="20"/>
                <w:szCs w:val="20"/>
                <w:color w:val="auto"/>
              </w:rPr>
            </w:pPr>
            <w:r>
              <w:rPr>
                <w:rFonts w:ascii="Times New Roman" w:cs="Times New Roman" w:eastAsia="Times New Roman" w:hAnsi="Times New Roman"/>
                <w:sz w:val="16"/>
                <w:szCs w:val="16"/>
                <w:b w:val="1"/>
                <w:bCs w:val="1"/>
                <w:color w:val="auto"/>
              </w:rPr>
              <w:t xml:space="preserve">Adjusted Property EBITDAR </w:t>
            </w:r>
            <w:r>
              <w:rPr>
                <w:rFonts w:ascii="Times New Roman" w:cs="Times New Roman" w:eastAsia="Times New Roman" w:hAnsi="Times New Roman"/>
                <w:sz w:val="22"/>
                <w:szCs w:val="22"/>
                <w:b w:val="1"/>
                <w:bCs w:val="1"/>
                <w:color w:val="auto"/>
                <w:vertAlign w:val="superscript"/>
              </w:rPr>
              <w:t>(6)</w:t>
            </w: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62,131</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69,104</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(10.1)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b w:val="1"/>
                <w:bCs w:val="1"/>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b w:val="1"/>
                <w:bCs w:val="1"/>
                <w:color w:val="auto"/>
              </w:rPr>
              <w:t>125,266</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b w:val="1"/>
                <w:bCs w:val="1"/>
                <w:color w:val="auto"/>
                <w:w w:val="74"/>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b w:val="1"/>
                <w:bCs w:val="1"/>
                <w:color w:val="auto"/>
              </w:rPr>
              <w:t>132,518</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b w:val="1"/>
                <w:bCs w:val="1"/>
                <w:color w:val="auto"/>
              </w:rPr>
              <w:t>(5.5)</w:t>
            </w:r>
          </w:p>
        </w:tc>
        <w:tc>
          <w:tcPr>
            <w:tcW w:w="0" w:type="dxa"/>
            <w:vAlign w:val="bottom"/>
          </w:tcPr>
          <w:p>
            <w:pPr>
              <w:spacing w:after="0"/>
              <w:rPr>
                <w:sz w:val="1"/>
                <w:szCs w:val="1"/>
                <w:color w:val="auto"/>
              </w:rPr>
            </w:pPr>
          </w:p>
        </w:tc>
      </w:tr>
      <w:tr>
        <w:trPr>
          <w:trHeight w:val="158"/>
        </w:trPr>
        <w:tc>
          <w:tcPr>
            <w:tcW w:w="4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1"/>
        </w:trPr>
        <w:tc>
          <w:tcPr>
            <w:tcW w:w="40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6"/>
                <w:szCs w:val="16"/>
                <w:color w:val="auto"/>
              </w:rPr>
              <w:t>Casino statistics: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Average number of table games</w:t>
            </w:r>
          </w:p>
        </w:tc>
        <w:tc>
          <w:tcPr>
            <w:tcW w:w="28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185</w:t>
            </w: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190</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(2.6)</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184</w:t>
            </w: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194</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(5.2)</w:t>
            </w:r>
          </w:p>
        </w:tc>
        <w:tc>
          <w:tcPr>
            <w:tcW w:w="0" w:type="dxa"/>
            <w:vAlign w:val="bottom"/>
          </w:tcPr>
          <w:p>
            <w:pPr>
              <w:spacing w:after="0"/>
              <w:rPr>
                <w:sz w:val="1"/>
                <w:szCs w:val="1"/>
                <w:color w:val="auto"/>
              </w:rPr>
            </w:pPr>
          </w:p>
        </w:tc>
      </w:tr>
      <w:tr>
        <w:trPr>
          <w:trHeight w:val="226"/>
        </w:trPr>
        <w:tc>
          <w:tcPr>
            <w:tcW w:w="4080" w:type="dxa"/>
            <w:vAlign w:val="bottom"/>
            <w:shd w:val="clear" w:color="auto" w:fill="CCEEFF"/>
          </w:tcPr>
          <w:p>
            <w:pPr>
              <w:ind w:left="540"/>
              <w:spacing w:after="0" w:line="226" w:lineRule="exact"/>
              <w:rPr>
                <w:sz w:val="20"/>
                <w:szCs w:val="20"/>
                <w:color w:val="auto"/>
              </w:rPr>
            </w:pPr>
            <w:r>
              <w:rPr>
                <w:rFonts w:ascii="Times New Roman" w:cs="Times New Roman" w:eastAsia="Times New Roman" w:hAnsi="Times New Roman"/>
                <w:sz w:val="16"/>
                <w:szCs w:val="16"/>
                <w:color w:val="auto"/>
              </w:rPr>
              <w:t xml:space="preserve">Table drop </w:t>
            </w:r>
            <w:r>
              <w:rPr>
                <w:rFonts w:ascii="Times New Roman" w:cs="Times New Roman" w:eastAsia="Times New Roman" w:hAnsi="Times New Roman"/>
                <w:sz w:val="22"/>
                <w:szCs w:val="22"/>
                <w:color w:val="auto"/>
                <w:vertAlign w:val="superscript"/>
              </w:rPr>
              <w:t>(2)</w:t>
            </w: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358,857</w:t>
            </w:r>
          </w:p>
        </w:tc>
        <w:tc>
          <w:tcPr>
            <w:tcW w:w="14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354,365</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w:t>
            </w:r>
          </w:p>
        </w:tc>
        <w:tc>
          <w:tcPr>
            <w:tcW w:w="100" w:type="dxa"/>
            <w:vAlign w:val="bottom"/>
            <w:shd w:val="clear" w:color="auto" w:fill="CCEEFF"/>
          </w:tcPr>
          <w:p>
            <w:pPr>
              <w:spacing w:after="0"/>
              <w:rPr>
                <w:sz w:val="19"/>
                <w:szCs w:val="19"/>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725,668</w:t>
            </w:r>
          </w:p>
        </w:tc>
        <w:tc>
          <w:tcPr>
            <w:tcW w:w="16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720,406</w:t>
            </w:r>
          </w:p>
        </w:tc>
        <w:tc>
          <w:tcPr>
            <w:tcW w:w="10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0.7</w:t>
            </w:r>
          </w:p>
        </w:tc>
        <w:tc>
          <w:tcPr>
            <w:tcW w:w="0" w:type="dxa"/>
            <w:vAlign w:val="bottom"/>
          </w:tcPr>
          <w:p>
            <w:pPr>
              <w:spacing w:after="0"/>
              <w:rPr>
                <w:sz w:val="1"/>
                <w:szCs w:val="1"/>
                <w:color w:val="auto"/>
              </w:rPr>
            </w:pPr>
          </w:p>
        </w:tc>
      </w:tr>
      <w:tr>
        <w:trPr>
          <w:trHeight w:val="211"/>
        </w:trPr>
        <w:tc>
          <w:tcPr>
            <w:tcW w:w="4080" w:type="dxa"/>
            <w:vAlign w:val="bottom"/>
          </w:tcPr>
          <w:p>
            <w:pPr>
              <w:ind w:left="540"/>
              <w:spacing w:after="0" w:line="210" w:lineRule="exact"/>
              <w:rPr>
                <w:sz w:val="20"/>
                <w:szCs w:val="20"/>
                <w:color w:val="auto"/>
              </w:rPr>
            </w:pPr>
            <w:r>
              <w:rPr>
                <w:rFonts w:ascii="Times New Roman" w:cs="Times New Roman" w:eastAsia="Times New Roman" w:hAnsi="Times New Roman"/>
                <w:sz w:val="16"/>
                <w:szCs w:val="16"/>
                <w:color w:val="auto"/>
              </w:rPr>
              <w:t xml:space="preserve">Table games win </w:t>
            </w:r>
            <w:r>
              <w:rPr>
                <w:rFonts w:ascii="Times New Roman" w:cs="Times New Roman" w:eastAsia="Times New Roman" w:hAnsi="Times New Roman"/>
                <w:sz w:val="22"/>
                <w:szCs w:val="22"/>
                <w:color w:val="auto"/>
                <w:vertAlign w:val="superscript"/>
              </w:rPr>
              <w:t>(1)</w:t>
            </w: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70,471</w:t>
            </w:r>
          </w:p>
        </w:tc>
        <w:tc>
          <w:tcPr>
            <w:tcW w:w="14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79,072</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(10.9)</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153,449</w:t>
            </w:r>
          </w:p>
        </w:tc>
        <w:tc>
          <w:tcPr>
            <w:tcW w:w="160" w:type="dxa"/>
            <w:vAlign w:val="bottom"/>
          </w:tcPr>
          <w:p>
            <w:pPr>
              <w:spacing w:after="0"/>
              <w:rPr>
                <w:sz w:val="18"/>
                <w:szCs w:val="18"/>
                <w:color w:val="auto"/>
              </w:rPr>
            </w:pPr>
          </w:p>
        </w:tc>
        <w:tc>
          <w:tcPr>
            <w:tcW w:w="4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158,615</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(3.3)</w:t>
            </w:r>
          </w:p>
        </w:tc>
        <w:tc>
          <w:tcPr>
            <w:tcW w:w="0" w:type="dxa"/>
            <w:vAlign w:val="bottom"/>
          </w:tcPr>
          <w:p>
            <w:pPr>
              <w:spacing w:after="0"/>
              <w:rPr>
                <w:sz w:val="1"/>
                <w:szCs w:val="1"/>
                <w:color w:val="auto"/>
              </w:rPr>
            </w:pPr>
          </w:p>
        </w:tc>
      </w:tr>
      <w:tr>
        <w:trPr>
          <w:trHeight w:val="211"/>
        </w:trPr>
        <w:tc>
          <w:tcPr>
            <w:tcW w:w="4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Table games win %</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19.6 %</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22.3 %</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21.1 %</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22.0 %</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0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Table games win per unit per day</w:t>
            </w: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4,186</w:t>
            </w:r>
          </w:p>
        </w:tc>
        <w:tc>
          <w:tcPr>
            <w:tcW w:w="14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4,573</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(8.5)</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4,576</w:t>
            </w:r>
          </w:p>
        </w:tc>
        <w:tc>
          <w:tcPr>
            <w:tcW w:w="160" w:type="dxa"/>
            <w:vAlign w:val="bottom"/>
          </w:tcPr>
          <w:p>
            <w:pPr>
              <w:spacing w:after="0"/>
              <w:rPr>
                <w:sz w:val="18"/>
                <w:szCs w:val="18"/>
                <w:color w:val="auto"/>
              </w:rPr>
            </w:pPr>
          </w:p>
        </w:tc>
        <w:tc>
          <w:tcPr>
            <w:tcW w:w="4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4,512</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w:t>
            </w: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Average number of slot machines</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2,590</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2,561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2,613</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2,540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2.9</w:t>
            </w:r>
          </w:p>
        </w:tc>
        <w:tc>
          <w:tcPr>
            <w:tcW w:w="0" w:type="dxa"/>
            <w:vAlign w:val="bottom"/>
          </w:tcPr>
          <w:p>
            <w:pPr>
              <w:spacing w:after="0"/>
              <w:rPr>
                <w:sz w:val="1"/>
                <w:szCs w:val="1"/>
                <w:color w:val="auto"/>
              </w:rPr>
            </w:pPr>
          </w:p>
        </w:tc>
      </w:tr>
      <w:tr>
        <w:trPr>
          <w:trHeight w:val="209"/>
        </w:trPr>
        <w:tc>
          <w:tcPr>
            <w:tcW w:w="40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Slot machine handle</w:t>
            </w: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1,420,607</w:t>
            </w:r>
          </w:p>
        </w:tc>
        <w:tc>
          <w:tcPr>
            <w:tcW w:w="14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1,300,237</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9.3</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2,823,454</w:t>
            </w:r>
          </w:p>
        </w:tc>
        <w:tc>
          <w:tcPr>
            <w:tcW w:w="160" w:type="dxa"/>
            <w:vAlign w:val="bottom"/>
          </w:tcPr>
          <w:p>
            <w:pPr>
              <w:spacing w:after="0"/>
              <w:rPr>
                <w:sz w:val="18"/>
                <w:szCs w:val="18"/>
                <w:color w:val="auto"/>
              </w:rPr>
            </w:pPr>
          </w:p>
        </w:tc>
        <w:tc>
          <w:tcPr>
            <w:tcW w:w="4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2,596,664</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8.7</w:t>
            </w: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ind w:left="540"/>
              <w:spacing w:after="0" w:line="212" w:lineRule="exact"/>
              <w:rPr>
                <w:sz w:val="20"/>
                <w:szCs w:val="20"/>
                <w:color w:val="auto"/>
              </w:rPr>
            </w:pPr>
            <w:r>
              <w:rPr>
                <w:rFonts w:ascii="Times New Roman" w:cs="Times New Roman" w:eastAsia="Times New Roman" w:hAnsi="Times New Roman"/>
                <w:sz w:val="16"/>
                <w:szCs w:val="16"/>
                <w:color w:val="auto"/>
              </w:rPr>
              <w:t xml:space="preserve">Slot machine win </w:t>
            </w:r>
            <w:r>
              <w:rPr>
                <w:rFonts w:ascii="Times New Roman" w:cs="Times New Roman" w:eastAsia="Times New Roman" w:hAnsi="Times New Roman"/>
                <w:sz w:val="22"/>
                <w:szCs w:val="22"/>
                <w:color w:val="auto"/>
                <w:vertAlign w:val="superscript"/>
              </w:rPr>
              <w:t>(3)</w:t>
            </w: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105,558</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106,726</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210,223</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210,799</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(0.3)</w:t>
            </w:r>
          </w:p>
        </w:tc>
        <w:tc>
          <w:tcPr>
            <w:tcW w:w="0" w:type="dxa"/>
            <w:vAlign w:val="bottom"/>
          </w:tcPr>
          <w:p>
            <w:pPr>
              <w:spacing w:after="0"/>
              <w:rPr>
                <w:sz w:val="1"/>
                <w:szCs w:val="1"/>
                <w:color w:val="auto"/>
              </w:rPr>
            </w:pPr>
          </w:p>
        </w:tc>
      </w:tr>
      <w:tr>
        <w:trPr>
          <w:trHeight w:val="209"/>
        </w:trPr>
        <w:tc>
          <w:tcPr>
            <w:tcW w:w="4080" w:type="dxa"/>
            <w:vAlign w:val="bottom"/>
          </w:tcPr>
          <w:p>
            <w:pPr>
              <w:ind w:left="540"/>
              <w:spacing w:after="0"/>
              <w:rPr>
                <w:sz w:val="20"/>
                <w:szCs w:val="20"/>
                <w:color w:val="auto"/>
              </w:rPr>
            </w:pPr>
            <w:r>
              <w:rPr>
                <w:rFonts w:ascii="Times New Roman" w:cs="Times New Roman" w:eastAsia="Times New Roman" w:hAnsi="Times New Roman"/>
                <w:sz w:val="16"/>
                <w:szCs w:val="16"/>
                <w:color w:val="auto"/>
              </w:rPr>
              <w:t>Slot machine win per unit per day</w:t>
            </w: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448</w:t>
            </w:r>
          </w:p>
        </w:tc>
        <w:tc>
          <w:tcPr>
            <w:tcW w:w="14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458</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(2.2)</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442</w:t>
            </w:r>
          </w:p>
        </w:tc>
        <w:tc>
          <w:tcPr>
            <w:tcW w:w="160" w:type="dxa"/>
            <w:vAlign w:val="bottom"/>
          </w:tcPr>
          <w:p>
            <w:pPr>
              <w:spacing w:after="0"/>
              <w:rPr>
                <w:sz w:val="18"/>
                <w:szCs w:val="18"/>
                <w:color w:val="auto"/>
              </w:rPr>
            </w:pPr>
          </w:p>
        </w:tc>
        <w:tc>
          <w:tcPr>
            <w:tcW w:w="4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459</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w:t>
            </w: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Poker rake</w:t>
            </w: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5,307</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5,211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11,088</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10,893</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1.8</w:t>
            </w:r>
          </w:p>
        </w:tc>
        <w:tc>
          <w:tcPr>
            <w:tcW w:w="0" w:type="dxa"/>
            <w:vAlign w:val="bottom"/>
          </w:tcPr>
          <w:p>
            <w:pPr>
              <w:spacing w:after="0"/>
              <w:rPr>
                <w:sz w:val="1"/>
                <w:szCs w:val="1"/>
                <w:color w:val="auto"/>
              </w:rPr>
            </w:pPr>
          </w:p>
        </w:tc>
      </w:tr>
      <w:tr>
        <w:trPr>
          <w:trHeight w:val="209"/>
        </w:trPr>
        <w:tc>
          <w:tcPr>
            <w:tcW w:w="4080" w:type="dxa"/>
            <w:vAlign w:val="bottom"/>
          </w:tcPr>
          <w:p>
            <w:pPr>
              <w:ind w:left="340"/>
              <w:spacing w:after="0"/>
              <w:rPr>
                <w:sz w:val="20"/>
                <w:szCs w:val="20"/>
                <w:color w:val="auto"/>
              </w:rPr>
            </w:pPr>
            <w:r>
              <w:rPr>
                <w:rFonts w:ascii="Times New Roman" w:cs="Times New Roman" w:eastAsia="Times New Roman" w:hAnsi="Times New Roman"/>
                <w:sz w:val="16"/>
                <w:szCs w:val="16"/>
                <w:color w:val="auto"/>
              </w:rPr>
              <w:t>Room statistics:</w:t>
            </w: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2"/>
        </w:trPr>
        <w:tc>
          <w:tcPr>
            <w:tcW w:w="40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6"/>
                <w:szCs w:val="16"/>
                <w:color w:val="auto"/>
              </w:rPr>
              <w:t>Occupancy</w:t>
            </w: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96.5 %</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92.7 %</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93.1 %</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91.4 %</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1"/>
        </w:trPr>
        <w:tc>
          <w:tcPr>
            <w:tcW w:w="4080" w:type="dxa"/>
            <w:vAlign w:val="bottom"/>
          </w:tcPr>
          <w:p>
            <w:pPr>
              <w:ind w:left="540"/>
              <w:spacing w:after="0" w:line="211" w:lineRule="exact"/>
              <w:rPr>
                <w:sz w:val="20"/>
                <w:szCs w:val="20"/>
                <w:color w:val="auto"/>
              </w:rPr>
            </w:pPr>
            <w:r>
              <w:rPr>
                <w:rFonts w:ascii="Times New Roman" w:cs="Times New Roman" w:eastAsia="Times New Roman" w:hAnsi="Times New Roman"/>
                <w:sz w:val="24"/>
                <w:szCs w:val="24"/>
                <w:color w:val="auto"/>
                <w:vertAlign w:val="subscript"/>
              </w:rPr>
              <w:t>ADR</w:t>
            </w:r>
            <w:r>
              <w:rPr>
                <w:rFonts w:ascii="Times New Roman" w:cs="Times New Roman" w:eastAsia="Times New Roman" w:hAnsi="Times New Roman"/>
                <w:sz w:val="10"/>
                <w:szCs w:val="10"/>
                <w:color w:val="auto"/>
              </w:rPr>
              <w:t xml:space="preserve"> (4)</w:t>
            </w:r>
          </w:p>
        </w:tc>
        <w:tc>
          <w:tcPr>
            <w:tcW w:w="28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422</w:t>
            </w:r>
          </w:p>
        </w:tc>
        <w:tc>
          <w:tcPr>
            <w:tcW w:w="140" w:type="dxa"/>
            <w:vAlign w:val="bottom"/>
          </w:tcPr>
          <w:p>
            <w:pPr>
              <w:spacing w:after="0"/>
              <w:rPr>
                <w:sz w:val="18"/>
                <w:szCs w:val="18"/>
                <w:color w:val="auto"/>
              </w:rPr>
            </w:pPr>
          </w:p>
        </w:tc>
        <w:tc>
          <w:tcPr>
            <w:tcW w:w="340" w:type="dxa"/>
            <w:vAlign w:val="bottom"/>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400</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5.5</w:t>
            </w:r>
          </w:p>
        </w:tc>
        <w:tc>
          <w:tcPr>
            <w:tcW w:w="100" w:type="dxa"/>
            <w:vAlign w:val="bottom"/>
          </w:tcPr>
          <w:p>
            <w:pPr>
              <w:spacing w:after="0"/>
              <w:rPr>
                <w:sz w:val="18"/>
                <w:szCs w:val="18"/>
                <w:color w:val="auto"/>
              </w:rPr>
            </w:pPr>
          </w:p>
        </w:tc>
        <w:tc>
          <w:tcPr>
            <w:tcW w:w="300" w:type="dxa"/>
            <w:vAlign w:val="bottom"/>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tcPr>
          <w:p>
            <w:pPr>
              <w:jc w:val="right"/>
              <w:ind w:right="42"/>
              <w:spacing w:after="0"/>
              <w:rPr>
                <w:sz w:val="20"/>
                <w:szCs w:val="20"/>
                <w:color w:val="auto"/>
              </w:rPr>
            </w:pPr>
            <w:r>
              <w:rPr>
                <w:rFonts w:ascii="Times New Roman" w:cs="Times New Roman" w:eastAsia="Times New Roman" w:hAnsi="Times New Roman"/>
                <w:sz w:val="16"/>
                <w:szCs w:val="16"/>
                <w:color w:val="auto"/>
              </w:rPr>
              <w:t>403</w:t>
            </w:r>
          </w:p>
        </w:tc>
        <w:tc>
          <w:tcPr>
            <w:tcW w:w="160" w:type="dxa"/>
            <w:vAlign w:val="bottom"/>
          </w:tcPr>
          <w:p>
            <w:pPr>
              <w:spacing w:after="0"/>
              <w:rPr>
                <w:sz w:val="18"/>
                <w:szCs w:val="18"/>
                <w:color w:val="auto"/>
              </w:rPr>
            </w:pPr>
          </w:p>
        </w:tc>
        <w:tc>
          <w:tcPr>
            <w:tcW w:w="480" w:type="dxa"/>
            <w:vAlign w:val="bottom"/>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tcPr>
          <w:p>
            <w:pPr>
              <w:jc w:val="right"/>
              <w:ind w:right="41"/>
              <w:spacing w:after="0"/>
              <w:rPr>
                <w:sz w:val="20"/>
                <w:szCs w:val="20"/>
                <w:color w:val="auto"/>
              </w:rPr>
            </w:pPr>
            <w:r>
              <w:rPr>
                <w:rFonts w:ascii="Times New Roman" w:cs="Times New Roman" w:eastAsia="Times New Roman" w:hAnsi="Times New Roman"/>
                <w:sz w:val="16"/>
                <w:szCs w:val="16"/>
                <w:color w:val="auto"/>
              </w:rPr>
              <w:t>372</w:t>
            </w: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8.3</w:t>
            </w:r>
          </w:p>
        </w:tc>
        <w:tc>
          <w:tcPr>
            <w:tcW w:w="0" w:type="dxa"/>
            <w:vAlign w:val="bottom"/>
          </w:tcPr>
          <w:p>
            <w:pPr>
              <w:spacing w:after="0"/>
              <w:rPr>
                <w:sz w:val="1"/>
                <w:szCs w:val="1"/>
                <w:color w:val="auto"/>
              </w:rPr>
            </w:pPr>
          </w:p>
        </w:tc>
      </w:tr>
      <w:tr>
        <w:trPr>
          <w:trHeight w:val="211"/>
        </w:trPr>
        <w:tc>
          <w:tcPr>
            <w:tcW w:w="4080" w:type="dxa"/>
            <w:vAlign w:val="bottom"/>
            <w:shd w:val="clear" w:color="auto" w:fill="CCEEFF"/>
          </w:tcPr>
          <w:p>
            <w:pPr>
              <w:ind w:left="540"/>
              <w:spacing w:after="0" w:line="210" w:lineRule="exact"/>
              <w:rPr>
                <w:sz w:val="20"/>
                <w:szCs w:val="20"/>
                <w:color w:val="auto"/>
              </w:rPr>
            </w:pPr>
            <w:r>
              <w:rPr>
                <w:rFonts w:ascii="Times New Roman" w:cs="Times New Roman" w:eastAsia="Times New Roman" w:hAnsi="Times New Roman"/>
                <w:sz w:val="16"/>
                <w:szCs w:val="16"/>
                <w:color w:val="auto"/>
              </w:rPr>
              <w:t xml:space="preserve">REVPAR </w:t>
            </w:r>
            <w:r>
              <w:rPr>
                <w:rFonts w:ascii="Times New Roman" w:cs="Times New Roman" w:eastAsia="Times New Roman" w:hAnsi="Times New Roman"/>
                <w:sz w:val="22"/>
                <w:szCs w:val="22"/>
                <w:color w:val="auto"/>
                <w:vertAlign w:val="superscript"/>
              </w:rPr>
              <w:t>(5)</w:t>
            </w:r>
          </w:p>
        </w:tc>
        <w:tc>
          <w:tcPr>
            <w:tcW w:w="28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74"/>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407</w:t>
            </w:r>
          </w:p>
        </w:tc>
        <w:tc>
          <w:tcPr>
            <w:tcW w:w="140" w:type="dxa"/>
            <w:vAlign w:val="bottom"/>
            <w:shd w:val="clear" w:color="auto" w:fill="CCEEFF"/>
          </w:tcPr>
          <w:p>
            <w:pPr>
              <w:spacing w:after="0"/>
              <w:rPr>
                <w:sz w:val="18"/>
                <w:szCs w:val="18"/>
                <w:color w:val="auto"/>
              </w:rPr>
            </w:pPr>
          </w:p>
        </w:tc>
        <w:tc>
          <w:tcPr>
            <w:tcW w:w="340" w:type="dxa"/>
            <w:vAlign w:val="bottom"/>
            <w:shd w:val="clear" w:color="auto" w:fill="CCEEFF"/>
          </w:tcPr>
          <w:p>
            <w:pPr>
              <w:jc w:val="right"/>
              <w:ind w:right="161"/>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371</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9.7</w:t>
            </w: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jc w:val="right"/>
              <w:ind w:right="121"/>
              <w:spacing w:after="0"/>
              <w:rPr>
                <w:sz w:val="20"/>
                <w:szCs w:val="20"/>
                <w:color w:val="auto"/>
              </w:rPr>
            </w:pPr>
            <w:r>
              <w:rPr>
                <w:rFonts w:ascii="Times New Roman" w:cs="Times New Roman" w:eastAsia="Times New Roman" w:hAnsi="Times New Roman"/>
                <w:sz w:val="16"/>
                <w:szCs w:val="16"/>
                <w:color w:val="auto"/>
                <w:w w:val="99"/>
              </w:rPr>
              <w:t>$</w:t>
            </w:r>
          </w:p>
        </w:tc>
        <w:tc>
          <w:tcPr>
            <w:tcW w:w="98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16"/>
                <w:szCs w:val="16"/>
                <w:color w:val="auto"/>
              </w:rPr>
              <w:t>375</w:t>
            </w:r>
          </w:p>
        </w:tc>
        <w:tc>
          <w:tcPr>
            <w:tcW w:w="160" w:type="dxa"/>
            <w:vAlign w:val="bottom"/>
            <w:shd w:val="clear" w:color="auto" w:fill="CCEEFF"/>
          </w:tcPr>
          <w:p>
            <w:pPr>
              <w:spacing w:after="0"/>
              <w:rPr>
                <w:sz w:val="18"/>
                <w:szCs w:val="18"/>
                <w:color w:val="auto"/>
              </w:rPr>
            </w:pPr>
          </w:p>
        </w:tc>
        <w:tc>
          <w:tcPr>
            <w:tcW w:w="480" w:type="dxa"/>
            <w:vAlign w:val="bottom"/>
            <w:shd w:val="clear" w:color="auto" w:fill="CCEEFF"/>
          </w:tcPr>
          <w:p>
            <w:pPr>
              <w:jc w:val="right"/>
              <w:ind w:right="321"/>
              <w:spacing w:after="0"/>
              <w:rPr>
                <w:sz w:val="20"/>
                <w:szCs w:val="20"/>
                <w:color w:val="auto"/>
              </w:rPr>
            </w:pPr>
            <w:r>
              <w:rPr>
                <w:rFonts w:ascii="Times New Roman" w:cs="Times New Roman" w:eastAsia="Times New Roman" w:hAnsi="Times New Roman"/>
                <w:sz w:val="16"/>
                <w:szCs w:val="16"/>
                <w:color w:val="auto"/>
                <w:w w:val="74"/>
              </w:rPr>
              <w:t>$</w:t>
            </w:r>
          </w:p>
        </w:tc>
        <w:tc>
          <w:tcPr>
            <w:tcW w:w="800" w:type="dxa"/>
            <w:vAlign w:val="bottom"/>
            <w:shd w:val="clear" w:color="auto" w:fill="CCEEFF"/>
          </w:tcPr>
          <w:p>
            <w:pPr>
              <w:jc w:val="right"/>
              <w:ind w:right="41"/>
              <w:spacing w:after="0"/>
              <w:rPr>
                <w:sz w:val="20"/>
                <w:szCs w:val="20"/>
                <w:color w:val="auto"/>
              </w:rPr>
            </w:pPr>
            <w:r>
              <w:rPr>
                <w:rFonts w:ascii="Times New Roman" w:cs="Times New Roman" w:eastAsia="Times New Roman" w:hAnsi="Times New Roman"/>
                <w:sz w:val="16"/>
                <w:szCs w:val="16"/>
                <w:color w:val="auto"/>
              </w:rPr>
              <w:t>340</w:t>
            </w:r>
          </w:p>
        </w:tc>
        <w:tc>
          <w:tcPr>
            <w:tcW w:w="1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10.3</w:t>
            </w:r>
          </w:p>
        </w:tc>
        <w:tc>
          <w:tcPr>
            <w:tcW w:w="0" w:type="dxa"/>
            <w:vAlign w:val="bottom"/>
          </w:tcPr>
          <w:p>
            <w:pPr>
              <w:spacing w:after="0"/>
              <w:rPr>
                <w:sz w:val="1"/>
                <w:szCs w:val="1"/>
                <w:color w:val="auto"/>
              </w:rPr>
            </w:pPr>
          </w:p>
        </w:tc>
      </w:tr>
    </w:tbl>
    <w:p>
      <w:pPr>
        <w:spacing w:after="0" w:line="70" w:lineRule="exact"/>
        <w:rPr>
          <w:sz w:val="20"/>
          <w:szCs w:val="20"/>
          <w:color w:val="auto"/>
        </w:rPr>
      </w:pPr>
    </w:p>
    <w:p>
      <w:pPr>
        <w:ind w:left="320" w:hanging="315"/>
        <w:spacing w:after="0" w:line="254" w:lineRule="auto"/>
        <w:tabs>
          <w:tab w:leader="none" w:pos="31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Table games win is shown before discounts, commissions and the allocation of casino revenues to rooms, food and beverage and other revenues for services provided to casino customers on a complimentary basis.</w:t>
      </w:r>
    </w:p>
    <w:p>
      <w:pPr>
        <w:ind w:left="320" w:hanging="315"/>
        <w:spacing w:after="0" w:line="255" w:lineRule="auto"/>
        <w:tabs>
          <w:tab w:leader="none" w:pos="312"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Macau, table drop is the amount of cash that is deposited in a gaming table's drop box plus cash chips purchased at the casino cage. In Las Vegas, table drop is the amount of cash and net markers issued that are deposited in a gaming table's drop box. At Encore Boston Harbor, table drop is the amount of cash and gross markers that are deposited in a gaming table's drop box.</w:t>
      </w:r>
    </w:p>
    <w:p>
      <w:pPr>
        <w:ind w:left="320" w:hanging="315"/>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Slot machine win is calculated as gross slot machine win minus progressive accruals and free play.</w:t>
      </w:r>
    </w:p>
    <w:p>
      <w:pPr>
        <w:spacing w:after="0" w:line="10"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ADR is average daily rate and is calculated by dividing total room revenues including complimentaries (less service charges, if any) by total rooms occupied.</w:t>
      </w:r>
    </w:p>
    <w:p>
      <w:pPr>
        <w:ind w:left="320" w:hanging="315"/>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REVPAR is revenue per available room and is calculated by dividing total room revenues including complimentaries (less service charges, if any) by total rooms available.</w:t>
      </w:r>
    </w:p>
    <w:p>
      <w:pPr>
        <w:spacing w:after="0" w:line="5" w:lineRule="exact"/>
        <w:rPr>
          <w:rFonts w:ascii="Times New Roman" w:cs="Times New Roman" w:eastAsia="Times New Roman" w:hAnsi="Times New Roman"/>
          <w:sz w:val="14"/>
          <w:szCs w:val="14"/>
          <w:color w:val="auto"/>
        </w:rPr>
      </w:pPr>
    </w:p>
    <w:p>
      <w:pPr>
        <w:ind w:left="320" w:hanging="315"/>
        <w:spacing w:after="0"/>
        <w:tabs>
          <w:tab w:leader="none" w:pos="32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Refer to accompanying reconciliations of Operating Income (Loss) to Adjusted Property EBITDAR and Net Income Attributable to Wynn Resorts, Limited to Adjusted Property EBITDAR.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240"/>
          </w:cols>
          <w:pgMar w:left="320" w:top="869"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SOURCE:</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Wynn Resorts, Limited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CONTACT:</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Price Karr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702-770-7555</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investorrelations@wynnresorts.com</w:t>
      </w:r>
    </w:p>
    <w:p>
      <w:pPr>
        <w:spacing w:after="0" w:line="200" w:lineRule="exact"/>
        <w:rPr>
          <w:sz w:val="20"/>
          <w:szCs w:val="20"/>
          <w:color w:val="auto"/>
        </w:rPr>
      </w:pPr>
    </w:p>
    <w:p>
      <w:pPr>
        <w:spacing w:after="0" w:line="325" w:lineRule="exact"/>
        <w:rPr>
          <w:sz w:val="20"/>
          <w:szCs w:val="20"/>
          <w:color w:val="auto"/>
        </w:rPr>
      </w:pPr>
    </w:p>
    <w:p>
      <w:pPr>
        <w:jc w:val="right"/>
        <w:ind w:right="4419"/>
        <w:spacing w:after="0"/>
        <w:rPr>
          <w:sz w:val="20"/>
          <w:szCs w:val="20"/>
          <w:color w:val="auto"/>
        </w:rPr>
      </w:pPr>
      <w:r>
        <w:rPr>
          <w:rFonts w:ascii="Times New Roman" w:cs="Times New Roman" w:eastAsia="Times New Roman" w:hAnsi="Times New Roman"/>
          <w:sz w:val="18"/>
          <w:szCs w:val="18"/>
          <w:color w:val="auto"/>
        </w:rPr>
        <w:t>13</w:t>
      </w:r>
    </w:p>
    <w:sectPr>
      <w:pgSz w:w="11900" w:h="16838" w:orient="portrait"/>
      <w:cols w:equalWidth="0" w:num="1">
        <w:col w:w="10139"/>
      </w:cols>
      <w:pgMar w:left="320" w:top="108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2024-08-06T15:19:23Z</dcterms:created>
  <dcterms:modified xsi:type="dcterms:W3CDTF">2024-08-06T15:19:23Z</dcterms:modified>
</cp:coreProperties>
</file>