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247015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980" w:type="dxa"/>
            <w:vAlign w:val="bottom"/>
          </w:tcPr>
          <w:p>
            <w:pPr>
              <w:jc w:val="center"/>
              <w:ind w:right="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08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000-50028</w:t>
            </w:r>
          </w:p>
        </w:tc>
        <w:tc>
          <w:tcPr>
            <w:tcW w:w="94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46-0484987</w:t>
            </w:r>
          </w:p>
        </w:tc>
        <w:tc>
          <w:tcPr>
            <w:tcW w:w="0" w:type="dxa"/>
            <w:vAlign w:val="bottom"/>
          </w:tcPr>
          <w:p>
            <w:pPr>
              <w:spacing w:after="0"/>
              <w:rPr>
                <w:sz w:val="1"/>
                <w:szCs w:val="1"/>
                <w:color w:val="auto"/>
              </w:rPr>
            </w:pPr>
          </w:p>
        </w:tc>
      </w:tr>
      <w:tr>
        <w:trPr>
          <w:trHeight w:val="180"/>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(State or other jurisdiction of</w:t>
            </w:r>
          </w:p>
        </w:tc>
        <w:tc>
          <w:tcPr>
            <w:tcW w:w="740" w:type="dxa"/>
            <w:vAlign w:val="bottom"/>
          </w:tcPr>
          <w:p>
            <w:pPr>
              <w:spacing w:after="0"/>
              <w:rPr>
                <w:sz w:val="15"/>
                <w:szCs w:val="15"/>
                <w:color w:val="auto"/>
              </w:rPr>
            </w:pPr>
          </w:p>
        </w:tc>
        <w:tc>
          <w:tcPr>
            <w:tcW w:w="428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3"/>
              </w:rPr>
              <w:t>(Commission 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74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530"/>
        </w:trPr>
        <w:tc>
          <w:tcPr>
            <w:tcW w:w="1980" w:type="dxa"/>
            <w:vAlign w:val="bottom"/>
          </w:tcPr>
          <w:p>
            <w:pPr>
              <w:spacing w:after="0"/>
              <w:rPr>
                <w:sz w:val="24"/>
                <w:szCs w:val="24"/>
                <w:color w:val="auto"/>
              </w:rPr>
            </w:pPr>
          </w:p>
        </w:tc>
        <w:tc>
          <w:tcPr>
            <w:tcW w:w="50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(702) 770-7555</w:t>
            </w: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1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September 17, 2014, the Massachusetts Gaming Commission (the “MGC”) officially designated Wynn Resorts, Limited (the “Registrant”) as the award winner for the Greater Boston (Region A) gaming license. The Registrant notes that on June 24, 2014, the Massachusetts Supreme Judicial Court ruled to allow for a ballot vote to repeal expanded gaming in Massachusetts in the November 2014 election. The outcome of this vote to repeal expanded gaming could impact our ability to proceed with this project.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Registrant's press release, dated September 17, 2014, announcing this event is attached hereto as Exhibit 99.1.</w:t>
      </w:r>
    </w:p>
    <w:p>
      <w:pPr>
        <w:sectPr>
          <w:pgSz w:w="11900" w:h="16838" w:orient="portrait"/>
          <w:cols w:equalWidth="0" w:num="1">
            <w:col w:w="11360"/>
          </w:cols>
          <w:pgMar w:left="240" w:top="958" w:right="299" w:bottom="1440" w:gutter="0" w:footer="0" w:header="0"/>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63" w:lineRule="exact"/>
        <w:rPr>
          <w:sz w:val="20"/>
          <w:szCs w:val="20"/>
          <w:color w:val="auto"/>
        </w:rPr>
      </w:pPr>
    </w:p>
    <w:p>
      <w:pPr>
        <w:sectPr>
          <w:pgSz w:w="11900" w:h="16838" w:orient="portrait"/>
          <w:cols w:equalWidth="0" w:num="2">
            <w:col w:w="800" w:space="600"/>
            <w:col w:w="9960"/>
          </w:cols>
          <w:pgMar w:left="240" w:top="958" w:right="29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1360"/>
          </w:cols>
          <w:pgMar w:left="240" w:top="958" w:right="2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11" w:lineRule="exact"/>
        <w:rPr>
          <w:sz w:val="20"/>
          <w:szCs w:val="20"/>
          <w:color w:val="auto"/>
        </w:rPr>
      </w:pPr>
    </w:p>
    <w:p>
      <w:pPr>
        <w:sectPr>
          <w:pgSz w:w="11900" w:h="16838" w:orient="portrait"/>
          <w:cols w:equalWidth="0" w:num="2">
            <w:col w:w="2020" w:space="720"/>
            <w:col w:w="8620"/>
          </w:cols>
          <w:pgMar w:left="240" w:top="958" w:right="299" w:bottom="1440" w:gutter="0" w:footer="0" w:header="0"/>
          <w:type w:val="continuous"/>
        </w:sectPr>
      </w:pP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September 17, 2014, of Wynn Resorts, Limited.</w:t>
      </w:r>
    </w:p>
    <w:p>
      <w:pPr>
        <w:sectPr>
          <w:pgSz w:w="11900" w:h="16838" w:orient="portrait"/>
          <w:cols w:equalWidth="0" w:num="2">
            <w:col w:w="2020" w:space="720"/>
            <w:col w:w="8620"/>
          </w:cols>
          <w:pgMar w:left="240" w:top="958" w:right="29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02"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00" w:val="left"/>
          <w:tab w:leader="none" w:pos="7360" w:val="left"/>
        </w:tabs>
        <w:rPr>
          <w:sz w:val="20"/>
          <w:szCs w:val="20"/>
          <w:color w:val="auto"/>
        </w:rPr>
      </w:pPr>
      <w:r>
        <w:rPr>
          <w:rFonts w:ascii="Arial" w:cs="Arial" w:eastAsia="Arial" w:hAnsi="Arial"/>
          <w:sz w:val="18"/>
          <w:szCs w:val="18"/>
          <w:color w:val="auto"/>
        </w:rPr>
        <w:t>Dated: September 17,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530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01"/>
        </w:trPr>
        <w:tc>
          <w:tcPr>
            <w:tcW w:w="1440" w:type="dxa"/>
            <w:vAlign w:val="bottom"/>
          </w:tcPr>
          <w:p>
            <w:pPr>
              <w:jc w:val="center"/>
              <w:ind w:right="922"/>
              <w:spacing w:after="0"/>
              <w:rPr>
                <w:sz w:val="20"/>
                <w:szCs w:val="20"/>
                <w:color w:val="auto"/>
              </w:rPr>
            </w:pPr>
            <w:r>
              <w:rPr>
                <w:rFonts w:ascii="Arial" w:cs="Arial" w:eastAsia="Arial" w:hAnsi="Arial"/>
                <w:sz w:val="14"/>
                <w:szCs w:val="14"/>
                <w:b w:val="1"/>
                <w:bCs w:val="1"/>
                <w:color w:val="auto"/>
                <w:w w:val="94"/>
              </w:rPr>
              <w:t>Exhibit</w:t>
            </w:r>
          </w:p>
        </w:tc>
        <w:tc>
          <w:tcPr>
            <w:tcW w:w="530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40" w:type="dxa"/>
            <w:vAlign w:val="bottom"/>
          </w:tcPr>
          <w:p>
            <w:pPr>
              <w:jc w:val="center"/>
              <w:ind w:right="922"/>
              <w:spacing w:after="0"/>
              <w:rPr>
                <w:sz w:val="20"/>
                <w:szCs w:val="20"/>
                <w:color w:val="auto"/>
              </w:rPr>
            </w:pPr>
            <w:r>
              <w:rPr>
                <w:rFonts w:ascii="Arial" w:cs="Arial" w:eastAsia="Arial" w:hAnsi="Arial"/>
                <w:sz w:val="14"/>
                <w:szCs w:val="14"/>
                <w:b w:val="1"/>
                <w:bCs w:val="1"/>
                <w:color w:val="auto"/>
                <w:w w:val="88"/>
              </w:rPr>
              <w:t>No.</w:t>
            </w: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440" w:type="dxa"/>
            <w:vAlign w:val="bottom"/>
          </w:tcPr>
          <w:p>
            <w:pPr>
              <w:jc w:val="right"/>
              <w:ind w:right="322"/>
              <w:spacing w:after="0"/>
              <w:rPr>
                <w:sz w:val="20"/>
                <w:szCs w:val="20"/>
                <w:color w:val="auto"/>
              </w:rPr>
            </w:pPr>
            <w:r>
              <w:rPr>
                <w:rFonts w:ascii="Arial" w:cs="Arial" w:eastAsia="Arial" w:hAnsi="Arial"/>
                <w:sz w:val="18"/>
                <w:szCs w:val="18"/>
                <w:color w:val="auto"/>
              </w:rPr>
              <w:t>99.1</w:t>
            </w:r>
          </w:p>
        </w:tc>
        <w:tc>
          <w:tcPr>
            <w:tcW w:w="5300" w:type="dxa"/>
            <w:vAlign w:val="bottom"/>
          </w:tcPr>
          <w:p>
            <w:pPr>
              <w:ind w:left="400"/>
              <w:spacing w:after="0"/>
              <w:rPr>
                <w:sz w:val="20"/>
                <w:szCs w:val="20"/>
                <w:color w:val="auto"/>
              </w:rPr>
            </w:pPr>
            <w:r>
              <w:rPr>
                <w:rFonts w:ascii="Arial" w:cs="Arial" w:eastAsia="Arial" w:hAnsi="Arial"/>
                <w:sz w:val="18"/>
                <w:szCs w:val="18"/>
                <w:color w:val="auto"/>
                <w:w w:val="88"/>
              </w:rPr>
              <w:t>Press release, dated September 17, 2014, of Wynn Resorts, Limited.</w:t>
            </w:r>
          </w:p>
        </w:tc>
        <w:tc>
          <w:tcPr>
            <w:tcW w:w="0" w:type="dxa"/>
            <w:vAlign w:val="bottom"/>
          </w:tcPr>
          <w:p>
            <w:pPr>
              <w:spacing w:after="0"/>
              <w:rPr>
                <w:sz w:val="1"/>
                <w:szCs w:val="1"/>
                <w:color w:val="auto"/>
              </w:rPr>
            </w:pPr>
          </w:p>
        </w:tc>
      </w:tr>
    </w:tbl>
    <w:p>
      <w:pPr>
        <w:sectPr>
          <w:pgSz w:w="11900" w:h="16838" w:orient="portrait"/>
          <w:cols w:equalWidth="0" w:num="1">
            <w:col w:w="9499"/>
          </w:cols>
          <w:pgMar w:left="9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2624455" cy="1243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FOR IMMEDIATE RELEASE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Accepts Massachusetts Gaming License Award Designation</w:t>
      </w:r>
    </w:p>
    <w:p>
      <w:pPr>
        <w:spacing w:after="0" w:line="200" w:lineRule="exact"/>
        <w:rPr>
          <w:sz w:val="20"/>
          <w:szCs w:val="20"/>
          <w:color w:val="auto"/>
        </w:rPr>
      </w:pPr>
    </w:p>
    <w:p>
      <w:pPr>
        <w:spacing w:after="0" w:line="299" w:lineRule="exact"/>
        <w:rPr>
          <w:sz w:val="20"/>
          <w:szCs w:val="20"/>
          <w:color w:val="auto"/>
        </w:rPr>
      </w:pPr>
    </w:p>
    <w:p>
      <w:pPr>
        <w:spacing w:after="0" w:line="298" w:lineRule="auto"/>
        <w:rPr>
          <w:sz w:val="20"/>
          <w:szCs w:val="20"/>
          <w:color w:val="auto"/>
        </w:rPr>
      </w:pPr>
      <w:r>
        <w:rPr>
          <w:rFonts w:ascii="Arial" w:cs="Arial" w:eastAsia="Arial" w:hAnsi="Arial"/>
          <w:sz w:val="20"/>
          <w:szCs w:val="20"/>
          <w:b w:val="1"/>
          <w:bCs w:val="1"/>
          <w:color w:val="auto"/>
        </w:rPr>
        <w:t>LAS VEGAS</w:t>
      </w:r>
      <w:r>
        <w:rPr>
          <w:rFonts w:ascii="Arial" w:cs="Arial" w:eastAsia="Arial" w:hAnsi="Arial"/>
          <w:sz w:val="20"/>
          <w:szCs w:val="20"/>
          <w:color w:val="auto"/>
        </w:rPr>
        <w:t>—</w:t>
      </w:r>
      <w:r>
        <w:rPr>
          <w:rFonts w:ascii="Arial" w:cs="Arial" w:eastAsia="Arial" w:hAnsi="Arial"/>
          <w:sz w:val="20"/>
          <w:szCs w:val="20"/>
          <w:b w:val="1"/>
          <w:bCs w:val="1"/>
          <w:color w:val="auto"/>
        </w:rPr>
        <w:t>(September 17, 2014)</w:t>
      </w:r>
      <w:r>
        <w:rPr>
          <w:rFonts w:ascii="Arial" w:cs="Arial" w:eastAsia="Arial" w:hAnsi="Arial"/>
          <w:sz w:val="20"/>
          <w:szCs w:val="20"/>
          <w:color w:val="auto"/>
        </w:rPr>
        <w:t>—Wynn Resorts was officially designated today as the award winner for the coveted Greater</w:t>
      </w:r>
      <w:r>
        <w:rPr>
          <w:rFonts w:ascii="Arial" w:cs="Arial" w:eastAsia="Arial" w:hAnsi="Arial"/>
          <w:sz w:val="20"/>
          <w:szCs w:val="20"/>
          <w:b w:val="1"/>
          <w:bCs w:val="1"/>
          <w:color w:val="auto"/>
        </w:rPr>
        <w:t xml:space="preserve"> </w:t>
      </w:r>
      <w:r>
        <w:rPr>
          <w:rFonts w:ascii="Arial" w:cs="Arial" w:eastAsia="Arial" w:hAnsi="Arial"/>
          <w:sz w:val="20"/>
          <w:szCs w:val="20"/>
          <w:color w:val="auto"/>
        </w:rPr>
        <w:t>Boston (Region A) gaming license. The Massachusetts Gaming Commission confirmed the designation in a unanimous vote for the highly contested license that pitted Wynn against Mohegan Sun.</w:t>
      </w:r>
    </w:p>
    <w:p>
      <w:pPr>
        <w:spacing w:after="0" w:line="248"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The designation concludes a nearly two-year process that includes plans to convert a contaminated site on the Mystic River that previously housed a Monsanto chemical plant into a $1.6 billion, five-star international destination. Located in Everett, MA, the planned Wynn Resort is expected to launch a major redevelopment of the primarily industrial neighborhood and unlock a waterfront that has not been accessible to the public for over a century.</w:t>
      </w:r>
    </w:p>
    <w:p>
      <w:pPr>
        <w:spacing w:after="0" w:line="262" w:lineRule="exact"/>
        <w:rPr>
          <w:sz w:val="20"/>
          <w:szCs w:val="20"/>
          <w:color w:val="auto"/>
        </w:rPr>
      </w:pPr>
    </w:p>
    <w:p>
      <w:pPr>
        <w:ind w:right="280"/>
        <w:spacing w:after="0" w:line="283" w:lineRule="auto"/>
        <w:rPr>
          <w:sz w:val="20"/>
          <w:szCs w:val="20"/>
          <w:color w:val="auto"/>
        </w:rPr>
      </w:pPr>
      <w:r>
        <w:rPr>
          <w:rFonts w:ascii="Arial" w:cs="Arial" w:eastAsia="Arial" w:hAnsi="Arial"/>
          <w:sz w:val="20"/>
          <w:szCs w:val="20"/>
          <w:color w:val="auto"/>
        </w:rPr>
        <w:t>“The trust that the Massachusetts Gaming Commission has placed in us is very much appreciated and valued by all of us at Wynn,” said Robert DeSalvio, Senior Vice President of Development for Wynn. “This is an amazing project that will have a significant impact on job creation and economic development. Our top priority now is to complete our pre-construction work as quickly as possible and get shovels in the ground. We can’t wait to start building what we know will be a spectacular destination that will draw people from across the globe.”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WYNN EVERETT</w:t>
      </w:r>
    </w:p>
    <w:p>
      <w:pPr>
        <w:spacing w:after="0" w:line="6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Wynn Everett is a proposed $1.6 billion project that will include a five-star resort with more than 500 rooms, high-end retail and dining, ballroom and meeting space. Situated on 30 acres along the Mystic River, the site will allow for public enjoyment of the waterfront with paths that provide access to the harbor and retail and dining experiences that overlook the river walk.</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WYNN RESORTS</w:t>
      </w:r>
    </w:p>
    <w:p>
      <w:pPr>
        <w:spacing w:after="0" w:line="64"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and NASDAQ-100 Indexes. Wynn Resorts owns and operates Wynn and Encore Las Vegas (www.wynnlasvegas.com) and Wynn and Encore Macau (www.wynnmacau.com).</w:t>
      </w:r>
    </w:p>
    <w:p>
      <w:pPr>
        <w:spacing w:after="0" w:line="261"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262" w:lineRule="exact"/>
        <w:rPr>
          <w:sz w:val="20"/>
          <w:szCs w:val="20"/>
          <w:color w:val="auto"/>
        </w:rPr>
      </w:pPr>
    </w:p>
    <w:p>
      <w:pPr>
        <w:ind w:right="140"/>
        <w:spacing w:after="0" w:line="284" w:lineRule="auto"/>
        <w:rPr>
          <w:sz w:val="20"/>
          <w:szCs w:val="20"/>
          <w:color w:val="auto"/>
        </w:rPr>
      </w:pPr>
      <w:r>
        <w:rPr>
          <w:rFonts w:ascii="Arial" w:cs="Arial" w:eastAsia="Arial" w:hAnsi="Arial"/>
          <w:sz w:val="20"/>
          <w:szCs w:val="20"/>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Deanna Pettit-Irestone, Wynn Las Vegas</w:t>
      </w:r>
    </w:p>
    <w:p>
      <w:pPr>
        <w:spacing w:after="0"/>
        <w:rPr>
          <w:sz w:val="20"/>
          <w:szCs w:val="20"/>
          <w:color w:val="auto"/>
        </w:rPr>
      </w:pPr>
      <w:r>
        <w:rPr>
          <w:rFonts w:ascii="Arial" w:cs="Arial" w:eastAsia="Arial" w:hAnsi="Arial"/>
          <w:sz w:val="20"/>
          <w:szCs w:val="20"/>
          <w:color w:val="auto"/>
        </w:rPr>
        <w:t>702-770-2121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deanna.pettit-irestone@wynnlasvegas.com</w:t>
      </w:r>
    </w:p>
    <w:sectPr>
      <w:pgSz w:w="11900" w:h="16838" w:orient="portrait"/>
      <w:cols w:equalWidth="0" w:num="1">
        <w:col w:w="11340"/>
      </w:cols>
      <w:pgMar w:left="240" w:top="6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2019-12-07T03:10:15Z</dcterms:created>
  <dcterms:modified xsi:type="dcterms:W3CDTF">2019-12-07T03:10:15Z</dcterms:modified>
</cp:coreProperties>
</file>