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2122170</wp:posOffset>
            </wp:positionH>
            <wp:positionV relativeFrom="paragraph">
              <wp:posOffset>287020</wp:posOffset>
            </wp:positionV>
            <wp:extent cx="28975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2122170</wp:posOffset>
            </wp:positionH>
            <wp:positionV relativeFrom="paragraph">
              <wp:posOffset>182245</wp:posOffset>
            </wp:positionV>
            <wp:extent cx="28975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27,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2122170</wp:posOffset>
            </wp:positionH>
            <wp:positionV relativeFrom="paragraph">
              <wp:posOffset>193675</wp:posOffset>
            </wp:positionV>
            <wp:extent cx="28975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WYNN RESORTS, LIMITED</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82" w:lineRule="exact"/>
        <w:rPr>
          <w:sz w:val="24"/>
          <w:szCs w:val="24"/>
          <w:color w:val="auto"/>
        </w:rPr>
      </w:pPr>
    </w:p>
    <w:tbl>
      <w:tblPr>
        <w:tblLayout w:type="fixed"/>
        <w:tblInd w:w="540" w:type="dxa"/>
        <w:tblCellMar>
          <w:top w:w="0" w:type="dxa"/>
          <w:left w:w="0" w:type="dxa"/>
          <w:bottom w:w="0" w:type="dxa"/>
          <w:right w:w="0" w:type="dxa"/>
        </w:tblCellMar>
      </w:tblPr>
      <w:tr>
        <w:trPr>
          <w:trHeight w:val="227"/>
        </w:trPr>
        <w:tc>
          <w:tcPr>
            <w:tcW w:w="2800" w:type="dxa"/>
            <w:vAlign w:val="bottom"/>
          </w:tcPr>
          <w:p>
            <w:pPr>
              <w:jc w:val="center"/>
              <w:ind w:right="179"/>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560" w:type="dxa"/>
            <w:vAlign w:val="bottom"/>
          </w:tcPr>
          <w:p>
            <w:pPr>
              <w:ind w:left="1780"/>
              <w:spacing w:after="0"/>
              <w:rPr>
                <w:sz w:val="20"/>
                <w:szCs w:val="20"/>
                <w:color w:val="auto"/>
              </w:rPr>
            </w:pPr>
            <w:r>
              <w:rPr>
                <w:rFonts w:ascii="Times New Roman" w:cs="Times New Roman" w:eastAsia="Times New Roman" w:hAnsi="Times New Roman"/>
                <w:sz w:val="18"/>
                <w:szCs w:val="18"/>
                <w:b w:val="1"/>
                <w:bCs w:val="1"/>
                <w:color w:val="auto"/>
              </w:rPr>
              <w:t>000-50028</w:t>
            </w:r>
          </w:p>
        </w:tc>
        <w:tc>
          <w:tcPr>
            <w:tcW w:w="200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46-0484987</w:t>
            </w:r>
          </w:p>
        </w:tc>
      </w:tr>
      <w:tr>
        <w:trPr>
          <w:trHeight w:val="146"/>
        </w:trPr>
        <w:tc>
          <w:tcPr>
            <w:tcW w:w="2800" w:type="dxa"/>
            <w:vAlign w:val="bottom"/>
          </w:tcPr>
          <w:p>
            <w:pPr>
              <w:jc w:val="center"/>
              <w:ind w:right="199"/>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560" w:type="dxa"/>
            <w:vAlign w:val="bottom"/>
          </w:tcPr>
          <w:p>
            <w:pPr>
              <w:ind w:left="1760"/>
              <w:spacing w:after="0" w:line="146"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000" w:type="dxa"/>
            <w:vAlign w:val="bottom"/>
          </w:tcPr>
          <w:p>
            <w:pPr>
              <w:jc w:val="center"/>
              <w:ind w:left="781"/>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0"/>
        </w:trPr>
        <w:tc>
          <w:tcPr>
            <w:tcW w:w="280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560" w:type="dxa"/>
            <w:vAlign w:val="bottom"/>
          </w:tcPr>
          <w:p>
            <w:pPr>
              <w:ind w:left="17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000" w:type="dxa"/>
            <w:vAlign w:val="bottom"/>
          </w:tcPr>
          <w:p>
            <w:pPr>
              <w:jc w:val="center"/>
              <w:ind w:left="7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30"/>
        </w:trPr>
        <w:tc>
          <w:tcPr>
            <w:tcW w:w="2800" w:type="dxa"/>
            <w:vAlign w:val="bottom"/>
          </w:tcPr>
          <w:p>
            <w:pPr>
              <w:jc w:val="center"/>
              <w:ind w:right="199"/>
              <w:spacing w:after="0"/>
              <w:rPr>
                <w:sz w:val="20"/>
                <w:szCs w:val="20"/>
                <w:color w:val="auto"/>
              </w:rPr>
            </w:pPr>
            <w:r>
              <w:rPr>
                <w:rFonts w:ascii="Times New Roman" w:cs="Times New Roman" w:eastAsia="Times New Roman" w:hAnsi="Times New Roman"/>
                <w:sz w:val="18"/>
                <w:szCs w:val="18"/>
                <w:b w:val="1"/>
                <w:bCs w:val="1"/>
                <w:color w:val="auto"/>
                <w:w w:val="99"/>
              </w:rPr>
              <w:t>3131 Las Vegas Boulevard South</w:t>
            </w:r>
          </w:p>
        </w:tc>
        <w:tc>
          <w:tcPr>
            <w:tcW w:w="45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27"/>
        </w:trPr>
        <w:tc>
          <w:tcPr>
            <w:tcW w:w="28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Las Vegas, Nevada</w:t>
            </w:r>
          </w:p>
        </w:tc>
        <w:tc>
          <w:tcPr>
            <w:tcW w:w="4560" w:type="dxa"/>
            <w:vAlign w:val="bottom"/>
          </w:tcPr>
          <w:p>
            <w:pPr>
              <w:spacing w:after="0"/>
              <w:rPr>
                <w:sz w:val="19"/>
                <w:szCs w:val="19"/>
                <w:color w:val="auto"/>
              </w:rPr>
            </w:pPr>
          </w:p>
        </w:tc>
        <w:tc>
          <w:tcPr>
            <w:tcW w:w="20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89109</w:t>
            </w:r>
          </w:p>
        </w:tc>
      </w:tr>
      <w:tr>
        <w:trPr>
          <w:trHeight w:val="190"/>
        </w:trPr>
        <w:tc>
          <w:tcPr>
            <w:tcW w:w="280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560" w:type="dxa"/>
            <w:vAlign w:val="bottom"/>
          </w:tcPr>
          <w:p>
            <w:pPr>
              <w:spacing w:after="0"/>
              <w:rPr>
                <w:sz w:val="16"/>
                <w:szCs w:val="16"/>
                <w:color w:val="auto"/>
              </w:rPr>
            </w:pPr>
          </w:p>
        </w:tc>
        <w:tc>
          <w:tcPr>
            <w:tcW w:w="2000" w:type="dxa"/>
            <w:vAlign w:val="bottom"/>
          </w:tcPr>
          <w:p>
            <w:pPr>
              <w:jc w:val="center"/>
              <w:ind w:left="78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687"/>
        </w:trPr>
        <w:tc>
          <w:tcPr>
            <w:tcW w:w="280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(702) 770-7555</w:t>
            </w:r>
          </w:p>
        </w:tc>
        <w:tc>
          <w:tcPr>
            <w:tcW w:w="2000" w:type="dxa"/>
            <w:vAlign w:val="bottom"/>
          </w:tcPr>
          <w:p>
            <w:pPr>
              <w:spacing w:after="0"/>
              <w:rPr>
                <w:sz w:val="24"/>
                <w:szCs w:val="24"/>
                <w:color w:val="auto"/>
              </w:rPr>
            </w:pPr>
          </w:p>
        </w:tc>
      </w:tr>
      <w:tr>
        <w:trPr>
          <w:trHeight w:val="190"/>
        </w:trPr>
        <w:tc>
          <w:tcPr>
            <w:tcW w:w="2800" w:type="dxa"/>
            <w:vAlign w:val="bottom"/>
          </w:tcPr>
          <w:p>
            <w:pPr>
              <w:spacing w:after="0"/>
              <w:rPr>
                <w:sz w:val="16"/>
                <w:szCs w:val="16"/>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000" w:type="dxa"/>
            <w:vAlign w:val="bottom"/>
          </w:tcPr>
          <w:p>
            <w:pPr>
              <w:spacing w:after="0"/>
              <w:rPr>
                <w:sz w:val="16"/>
                <w:szCs w:val="16"/>
                <w:color w:val="auto"/>
              </w:rPr>
            </w:pPr>
          </w:p>
        </w:tc>
      </w:tr>
      <w:tr>
        <w:trPr>
          <w:trHeight w:val="404"/>
        </w:trPr>
        <w:tc>
          <w:tcPr>
            <w:tcW w:w="280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000" w:type="dxa"/>
            <w:vAlign w:val="bottom"/>
          </w:tcPr>
          <w:p>
            <w:pPr>
              <w:spacing w:after="0"/>
              <w:rPr>
                <w:sz w:val="24"/>
                <w:szCs w:val="24"/>
                <w:color w:val="auto"/>
              </w:rPr>
            </w:pPr>
          </w:p>
        </w:tc>
      </w:tr>
      <w:tr>
        <w:trPr>
          <w:trHeight w:val="190"/>
        </w:trPr>
        <w:tc>
          <w:tcPr>
            <w:tcW w:w="2800" w:type="dxa"/>
            <w:vAlign w:val="bottom"/>
          </w:tcPr>
          <w:p>
            <w:pPr>
              <w:spacing w:after="0"/>
              <w:rPr>
                <w:sz w:val="16"/>
                <w:szCs w:val="16"/>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2000" w:type="dxa"/>
            <w:vAlign w:val="bottom"/>
          </w:tcPr>
          <w:p>
            <w:pPr>
              <w:spacing w:after="0"/>
              <w:rPr>
                <w:sz w:val="16"/>
                <w:szCs w:val="16"/>
                <w:color w:val="auto"/>
              </w:rPr>
            </w:pPr>
          </w:p>
        </w:tc>
      </w:tr>
      <w:tr>
        <w:trPr>
          <w:trHeight w:val="23"/>
        </w:trPr>
        <w:tc>
          <w:tcPr>
            <w:tcW w:w="280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2000" w:type="dxa"/>
            <w:vAlign w:val="bottom"/>
          </w:tcPr>
          <w:p>
            <w:pPr>
              <w:spacing w:after="0"/>
              <w:rPr>
                <w:sz w:val="2"/>
                <w:szCs w:val="2"/>
                <w:color w:val="auto"/>
              </w:rPr>
            </w:pPr>
          </w:p>
        </w:tc>
      </w:tr>
    </w:tbl>
    <w:p>
      <w:pPr>
        <w:spacing w:after="0" w:line="37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6" w:lineRule="exact"/>
        <w:rPr>
          <w:sz w:val="24"/>
          <w:szCs w:val="24"/>
          <w:color w:val="auto"/>
        </w:rPr>
      </w:pPr>
    </w:p>
    <w:tbl>
      <w:tblPr>
        <w:tblLayout w:type="fixed"/>
        <w:tblInd w:w="380" w:type="dxa"/>
        <w:tblCellMar>
          <w:top w:w="0" w:type="dxa"/>
          <w:left w:w="0" w:type="dxa"/>
          <w:bottom w:w="0" w:type="dxa"/>
          <w:right w:w="0" w:type="dxa"/>
        </w:tblCellMar>
      </w:tblPr>
      <w:tr>
        <w:trPr>
          <w:trHeight w:val="207"/>
        </w:trPr>
        <w:tc>
          <w:tcPr>
            <w:tcW w:w="4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60" w:type="dxa"/>
            <w:vAlign w:val="bottom"/>
          </w:tcPr>
          <w:p>
            <w:pPr>
              <w:spacing w:after="0"/>
              <w:rPr>
                <w:sz w:val="18"/>
                <w:szCs w:val="18"/>
                <w:color w:val="auto"/>
              </w:rPr>
            </w:pPr>
          </w:p>
        </w:tc>
        <w:tc>
          <w:tcPr>
            <w:tcW w:w="29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00" w:type="dxa"/>
            <w:vAlign w:val="bottom"/>
            <w:gridSpan w:val="2"/>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4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50"/>
        </w:trPr>
        <w:tc>
          <w:tcPr>
            <w:tcW w:w="288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600" w:type="dxa"/>
            <w:vAlign w:val="bottom"/>
          </w:tcPr>
          <w:p>
            <w:pPr>
              <w:spacing w:after="0"/>
              <w:rPr>
                <w:sz w:val="21"/>
                <w:szCs w:val="21"/>
                <w:color w:val="auto"/>
              </w:rPr>
            </w:pPr>
          </w:p>
        </w:tc>
        <w:tc>
          <w:tcPr>
            <w:tcW w:w="230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color w:val="auto"/>
                <w:w w:val="99"/>
              </w:rPr>
              <w:t>WYNN</w:t>
            </w:r>
          </w:p>
        </w:tc>
        <w:tc>
          <w:tcPr>
            <w:tcW w:w="86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 w:lineRule="exact"/>
        <w:rPr>
          <w:sz w:val="24"/>
          <w:szCs w:val="24"/>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38" w:lineRule="exact"/>
        <w:rPr>
          <w:sz w:val="24"/>
          <w:szCs w:val="24"/>
          <w:color w:val="auto"/>
        </w:rPr>
      </w:pPr>
    </w:p>
    <w:p>
      <w:pPr>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699135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 w:name="page2"/>
    <w:bookmarkEnd w:id="1"/>
    <w:p>
      <w:pPr>
        <w:ind w:left="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Agreement Amendment</w:t>
      </w:r>
    </w:p>
    <w:p>
      <w:pPr>
        <w:spacing w:after="0" w:line="25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November 27, 2020, Wynn Resorts Finance, LLC (“WRF”) and certain of its subsidiaries entered into an amendment (the “Credit Agreement Amendment”) to its existing credit agreement (the “Credit Agreement”) among Deutsche Bank AG New York Branch, as administrative agent and collateral agent, and the other lenders party thereto.</w:t>
      </w:r>
    </w:p>
    <w:p>
      <w:pPr>
        <w:spacing w:after="0" w:line="20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Credit Agreement Amendment amends the Credit Agreement to, among other things: (i) extend the financial covenant relief period (the “Financial Covenant Relief Period”) through April 1, 2022 (unless earlier terminated by WRF), (ii) amend certain restrictions on restricted payments (including restrictions on a portion of dividends received from WRF’s subsidiaries) during the Financial Covenant Relief Period, and (iii) increase the minimum liquidity financial covenant to at least $325.0 million during the Financial Covenant Relief Period. During the Financial Covenant Relief Period, the consolidated first lien net leverage ratio financial covenant in the Credit Agreement is replaced with a minimum liquidity financial covenant. A “Financial Covenant Increase Period” will commence on the first day after the expiration of the Financial Covenant Relief Period and ending on the first day of the fourth fiscal quarter after the expiration of the Financial Covenant Relief Period (unless earlier terminated by WRF).</w:t>
      </w:r>
    </w:p>
    <w:p>
      <w:pPr>
        <w:spacing w:after="0" w:line="21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During the Financial Covenant Relief Period, the minimum liquidity financial covenant requires WRF and its restricted subsidiaries to maintain liquidity of at least $325.0 million at all times (with liquidity being the sum of (x) unrestricted cash and cash equivalents and (y) the availability of the revolving facility under the Credit Agreement). Following the Financial Covenant Relief Period and for as long as the Financial Covenant Increase Period is in effect, WRF may not permit the consolidated first lien net leverage ratio as of the last day of any fiscal quarter to exceed (w) for the first fiscal quarter of the Financial Covenant Increase Period, 4.50 to 1.00, (x) for the second fiscal quarter of the Financial Covenant Increase Period, 4.25 to 1.00, (y) for the third fiscal quarter of the Financial Covenant Increase Period, 4.00 to 1.00, and (z) for each subsequent fiscal quarter thereafter (from and including the first fiscal quarter during which the Financial Covenant Increase Period has been terminated by WRF), 3.75 to 1.00.</w:t>
      </w:r>
    </w:p>
    <w:p>
      <w:pPr>
        <w:spacing w:after="0" w:line="21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Credit Agreement Amendment is qualified in its entirety by reference to the full text of the Credit Agreement Amendment, which will be filed as an exhibit to the Registrant’s Annual Report on Form 10-K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688340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ectPr>
          <w:pgSz w:w="11900" w:h="16838" w:orient="portrait"/>
          <w:cols w:equalWidth="0" w:num="1">
            <w:col w:w="11240"/>
          </w:cols>
          <w:pgMar w:left="320" w:top="887" w:right="339" w:bottom="1440" w:gutter="0" w:footer="0" w:header="0"/>
        </w:sectPr>
      </w:pP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Dated: November 30, 2020</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wp:posOffset>
            </wp:positionH>
            <wp:positionV relativeFrom="paragraph">
              <wp:posOffset>24765</wp:posOffset>
            </wp:positionV>
            <wp:extent cx="26231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39" w:lineRule="exact"/>
        <w:rPr>
          <w:sz w:val="20"/>
          <w:szCs w:val="20"/>
          <w:color w:val="auto"/>
        </w:rPr>
      </w:pPr>
    </w:p>
    <w:p>
      <w:pPr>
        <w:sectPr>
          <w:pgSz w:w="11900" w:h="16838" w:orient="portrait"/>
          <w:cols w:equalWidth="0" w:num="2">
            <w:col w:w="5740" w:space="720"/>
            <w:col w:w="4780"/>
          </w:cols>
          <w:pgMar w:left="320" w:top="887" w:right="339" w:bottom="1440" w:gutter="0" w:footer="0" w:header="0"/>
          <w:type w:val="continuous"/>
        </w:sectPr>
      </w:pPr>
    </w:p>
    <w:p>
      <w:pPr>
        <w:ind w:left="6580"/>
        <w:spacing w:after="0"/>
        <w:rPr>
          <w:sz w:val="20"/>
          <w:szCs w:val="20"/>
          <w:color w:val="auto"/>
        </w:rPr>
      </w:pPr>
      <w:r>
        <w:rPr>
          <w:rFonts w:ascii="Times New Roman" w:cs="Times New Roman" w:eastAsia="Times New Roman" w:hAnsi="Times New Roman"/>
          <w:sz w:val="18"/>
          <w:szCs w:val="18"/>
          <w:color w:val="auto"/>
        </w:rPr>
        <w:t>Craig S. Billings</w:t>
      </w:r>
    </w:p>
    <w:p>
      <w:pPr>
        <w:spacing w:after="0" w:line="2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President and Chief Financial Officer</w:t>
      </w:r>
    </w:p>
    <w:p>
      <w:pPr>
        <w:spacing w:after="0" w:line="2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auto"/>
        </w:rPr>
        <w:t>(Principal Financial and Accounting Officer)</w:t>
      </w:r>
    </w:p>
    <w:sectPr>
      <w:pgSz w:w="11900" w:h="16838" w:orient="portrait"/>
      <w:cols w:equalWidth="0" w:num="1">
        <w:col w:w="11240"/>
      </w:cols>
      <w:pgMar w:left="320" w:top="88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2020-11-30T15:06:35Z</dcterms:created>
  <dcterms:modified xsi:type="dcterms:W3CDTF">2020-11-30T15:06:35Z</dcterms:modified>
</cp:coreProperties>
</file>