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4, 2026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4, 2026, Wynn Resorts, Limited (the "Company") issued a press release announcing its results of operations for the quarter ended June 30, 2026.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announced that its Board of Directors declared a cash dividend of $0.25 per share, payable on August 28, 2026 to stockholders of record as of August 14, 2026.</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990" w:type="dxa"/>
        <w:jc w:val="left"/>
        <w:tblInd w:w="0" w:type="dxa"/>
        <w:tblLayout w:type="fixed"/>
        <w:tblCellMar>
          <w:top w:w="28" w:type="dxa"/>
          <w:left w:w="28" w:type="dxa"/>
          <w:bottom w:w="28" w:type="dxa"/>
          <w:right w:w="28" w:type="dxa"/>
        </w:tblCellMar>
      </w:tblPr>
      <w:tblGrid>
        <w:gridCol w:w="342"/>
        <w:gridCol w:w="301"/>
        <w:gridCol w:w="303"/>
        <w:gridCol w:w="2641"/>
        <w:gridCol w:w="2641"/>
        <w:gridCol w:w="376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q22026pressrelease.htm">
              <w:r>
                <w:rPr>
                  <w:rStyle w:val="InternetLink"/>
                  <w:rFonts w:ascii="Times New Roman;serif" w:hAnsi="Times New Roman;serif"/>
                  <w:b w:val="false"/>
                  <w:color w:val="0000FF"/>
                  <w:sz w:val="20"/>
                  <w:u w:val="single"/>
                </w:rPr>
                <w:t>Press release, dated August 4, 2026,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65" w:type="dxa"/>
        <w:jc w:val="left"/>
        <w:tblInd w:w="0" w:type="dxa"/>
        <w:tblLayout w:type="fixed"/>
        <w:tblCellMar>
          <w:top w:w="28" w:type="dxa"/>
          <w:left w:w="28" w:type="dxa"/>
          <w:bottom w:w="28" w:type="dxa"/>
          <w:right w:w="28" w:type="dxa"/>
        </w:tblCellMar>
      </w:tblPr>
      <w:tblGrid>
        <w:gridCol w:w="254"/>
        <w:gridCol w:w="224"/>
        <w:gridCol w:w="226"/>
        <w:gridCol w:w="449"/>
        <w:gridCol w:w="449"/>
        <w:gridCol w:w="451"/>
        <w:gridCol w:w="109"/>
        <w:gridCol w:w="109"/>
        <w:gridCol w:w="109"/>
        <w:gridCol w:w="134"/>
        <w:gridCol w:w="134"/>
        <w:gridCol w:w="136"/>
        <w:gridCol w:w="109"/>
        <w:gridCol w:w="109"/>
        <w:gridCol w:w="109"/>
        <w:gridCol w:w="777"/>
        <w:gridCol w:w="777"/>
        <w:gridCol w:w="1100"/>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sz w:val="20"/>
              </w:rPr>
            </w:pPr>
            <w:r>
              <w:rPr>
                <w:rFonts w:ascii="Times New Roman;serif" w:hAnsi="Times New Roman;serif"/>
                <w:b w:val="false"/>
                <w:sz w:val="20"/>
              </w:rPr>
              <w:t xml:space="preserve">Dated: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Craig J. Fullalove </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J. Fullalove</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Wynn Resorts, Limited Reports Second Quarter 2026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LAS VEGAS, August 4, 2026 — Wynn Resorts, Limited (NASDAQ: WYNN) ("Wynn Resorts" or the "Company") today reported financial results for the second quarter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Operating revenues were $1.86 billion for the second quarter of 2026, an increase of $119.1 million from $1.74 billion for the second quarter of 2025. Net income attributable to Wynn Resorts, Limited was $140.1 million for the second quarter of 2026, compared to net income attributable to Wynn Resorts, Limited of $66.2 million for the second quarter of 2025. Diluted net income per share was $1.32 for the second quarter of 2026, compared to diluted net income per share of $0.64 for the second quarter of 2025. Adjusted Property EBITDAR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$568.3 million for the second quarter of 2026, compared to Adjusted Property EBITDAR of $552.4 million for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second quarter results, including a monthly record for Adjusted Property EBITDAR in Las Vegas in May, and strong performance in Macau, reflect continued healthy demand dynamics throughout our business. I am incredibly proud of our teams in both regions," said Craig Billings, CEO of Wynn Resorts, Limited. "Importantly, we continue to invest in both growing and diversifying our business with construction at Wynn Al Marjan Island progressing at a rapid pace. Wynn Resorts, alongside our partners in Ras Al Khaimah, are now pleased to announce that Wynn Al Marjan Island, the most exciting integrated resort to be developed in over a decade, will open its doors to guests in September of 2027."</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were $1.86 billion for the second quarter of 2026, an increase of $119.1 million from $1.74 billion for the second quarter of 2025. For the second quarter of 2026, operating revenues increased $113.8 million, $7.3 million, and $4.6 million at Wynn Palace, Wynn Macau, and our Las Vegas Operations, respectively, and decreased $6.4 million at Encore Boston Harbor, from the second quarter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income attributable to Wynn Resorts, Limited was $140.1 million for the second quarter of 2026, compared to net income attributable to Wynn Resorts, Limited of $66.2 million for the second quarter of 2025. Diluted net income per share was $1.32 for the second quarter of 2026, compared to diluted net income per share of $0.64 for the second quarter of 2025. Adjusted net income attributable to Wynn Resorts, Limited</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$127.5 million, or $1.24 per diluted share, for the second quarter of 2026, compared to adjusted net income attributable to Wynn Resorts, Limited of $113.3 million, or $1.09 per diluted share, for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Property EBITDAR was $568.3 million for the second quarter of 2026, an increase of $15.9 million compared to Adjusted Property EBITDAR of $552.4 million for the second quarter of 2025. For the second quarter of 2026, Adjusted Property EBITDAR increased $44.3 million at Wynn Palace and decreased $19.6 million, $7.8 million, and $1.0 million at our Las Vegas Operations, Encore Boston Harbor, and Wynn Macau, respectively, from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Wynn Resorts, Limited also announced on August 4, 2026 that its Board of Directors declared a cash dividend of $0.25 per share, payable on August 28, 2026 to stockholders of record as of August 14, 2026.</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Property Results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Macau Operations</w:t>
      </w:r>
    </w:p>
    <w:p>
      <w:pPr>
        <w:pStyle w:val="TextBody"/>
        <w:bidi w:val="0"/>
        <w:spacing w:lineRule="auto" w:line="276" w:before="0" w:after="120"/>
        <w:jc w:val="both"/>
        <w:rPr>
          <w:rFonts w:ascii="Times New Roman;serif" w:hAnsi="Times New Roman;serif"/>
          <w:b w:val="false"/>
          <w:i/>
          <w:color w:val="000000"/>
          <w:sz w:val="20"/>
        </w:rPr>
      </w:pPr>
      <w:r>
        <w:rPr>
          <w:rFonts w:ascii="Times New Roman;serif" w:hAnsi="Times New Roman;serif"/>
          <w:b w:val="false"/>
          <w:i/>
          <w:color w:val="000000"/>
          <w:sz w:val="20"/>
        </w:rPr>
        <w:t>Wynn Palace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Wynn Palace were $653.4 million for the second quarter of 2026, an increase of $113.8 million from $539.6 million for the second quarter of 2025. Adjusted Property EBITDAR from Wynn Palace was $201.5 million for the second quarter of 2026, compared to $157.2 million for the second quarter of 2025. Table games win percentage in mass market operations was 29.7%, above the 22.3% experienced in the second quarter of 2025. VIP table games win as a percentage of turnover was 2.97%, below the property's expected range of 3.1% to 3.4% and above the 2.86% experienced in the second quarter of 2025.</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Wynn Macau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Wynn Macau were $351.1 million for the second quarter of 2026, an increase of $7.3 million from $343.8 million for the second quarter of 2025. Adjusted Property EBITDAR from Wynn Macau was $95.5 million for the second quarter of 2026, compared to $96.5 million for the second quarter of 2025. Table games win percentage in mass market operations was 17.1%, below the 17.4% experienced in the second quarter of 2025. VIP table games win as a percentage of turnover was 2.58%, below the property's expected range of 3.1% to 3.4% and below the 3.41% experienced in the second quarter of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Las Vegas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our Las Vegas Operations were $643.2 million for the second quarter of 2026, an increase of $4.6 million from $638.6 million for the second quarter of 2025. Adjusted Property EBITDAR from our Las Vegas Operations for the second quarter of 2026 was $215.2 million, compared to $234.8 million for the second quarter of 2025. Table games win percentage for the second quarter of 2026 was 23.9%, within the property's expected range of 22% to 26% and above the 21.8% experienced in the second quarter of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Encore Boston Harbor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Encore Boston Harbor were $209.3 million for the second quarter of 2026, a decrease of $6.4 million from $215.7 million for the second quarter of 2025. Adjusted Property EBITDAR from Encore Boston Harbor for the second quarter of 2026 was $56.1 million, compared to $63.9 million for the second quarter of 2025. Table games win percentage for the second quarter of 2026 was 18.1%, within the property's expected range of 18% to 22% and below the 21.3% experienced in the second quarter of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Wynn Al Marjan Island Development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contributed $48.1 million of cash to the 40%-owned joint venture that is constructing the Wynn Al Marjan Island development in the UAE, bringing our life-to-date cash contributions to the project to $1.06 billion. Wynn Al Marjan Island is currently expected to open in September 2027.</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as of June 30, 2026 totaled $1.57 billion, excluding $527.4 million of short-term investments held by Wynn Macau, Limited ("WML"). Cash and cash equivalents is comprised of $944.8 million held by WML and subsidiaries, $393.4 million held by Wynn Resorts Finance, LLC ("WRF") and subsidiaries excluding WML, and $235.2 million held at Corporate and other. As of June 30, 2026, the available borrowing capacity under the WRF Revolver and the WM Cayman II Revolver was $1.03 billion and $1.35 billion,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current and long-term debt outstanding at June 30, 2026 was $10.72 billion, comprised of $5.76 billion of Macau-related debt, $877.8 million of Wynn Las Vegas debt, $3.49 billion of WRF debt, and $598.9 million of debt held by the retail joint venture which we consolidate.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repurchased 741,098 shares of its common stock under its publicly announced equity repurchase program at an average price of $101.20 per share, for an aggregate cost of $75.0 million. As of June 30, 2026, the Company had $326.1 million in repurchase authority remaining under the equity repurchase program.</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Conference Call and Other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hold a conference call to discuss its results, including the results of Wynn Resorts Finance, LLC and Wynn Las Vegas, LLC, on August 4, 2026 at 1:30 p.m. PT (4:30 p.m. ET). Interested parties are invited to join the call by accessing a live audio webcast at http://www.wynnresorts.com. On or before August 14, 2026, the Company will make Wynn Resorts Finance, LLC and Wynn Las Vegas, LLC financial information for the quarter ended June 30, 2026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This release contains forward-looking statements regarding operating trends and future results of operations. Such forward-looking statements are subject to a number of risks and uncertainties that could cause actual results to differ materially from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geopolitical conflicts,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2025,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"Adjusted net income attributable to Wynn Resorts, Limited" is net income attributable to Wynn Resorts, Limited before pre-opening expenses, property charges and other expenses, change in derivatives fair value, foreign currency remeasurement and other,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included schedules in the tables that accompany this release that reconcile (i) net income attributable to Wynn Resorts, Limited to adjusted net income attributable to Wynn Resorts, Limited, (ii) operating income (loss) to Adjusted Property EBITDAR, and (iii) net income attributable to Wynn Resorts, Limited to Adjusted Property EBITDAR.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90"/>
        <w:gridCol w:w="1249"/>
        <w:gridCol w:w="125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9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1,856,933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1,737,797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3,713,695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3,438,194</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Pre-opening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1,559,345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1,473,197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3,133,503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2,905,005</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297,588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264,600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580,192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533,189</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(98,862)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(177,051)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(353,213)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198,726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359,396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179,976</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182,572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333,110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158,366</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140,062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66,218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260,516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138,965</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ATTRIBUTABLE TO 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ADJUSTED NET INCOME ATTRIBUTABLE TO 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20"/>
        <w:gridCol w:w="1402"/>
        <w:gridCol w:w="1411"/>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72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remeasurement and 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impact 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impact 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attributable to Wynn Resorts, Limited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127,454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257,186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226,480</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attributable to Wynn Resorts, Limited per diluted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w:t>
            </w:r>
            <w:r>
              <w:rPr>
                <w:color w:val="000000"/>
              </w:rPr>
              <w:t>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39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162,836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297,588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9,232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83,778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165,421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31,272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35,295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201,488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95,511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296,999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215,226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56,084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568,309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39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128,284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264,600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11,286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78,022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152,907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13,245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46,446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28,837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Triple-net operating lease rent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35,066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157,206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96,510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253,716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234,812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63,859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552,387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803"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46"/>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308,099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580,192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325,948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21,291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23,797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69,019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42,640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70,659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405,310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171,127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576,437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447,686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106,603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1,130,726</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center"/>
        <w:rPr/>
      </w:pPr>
      <w:r>
        <w:rPr/>
      </w:r>
    </w:p>
    <w:p>
      <w:pPr>
        <w:pStyle w:val="TextBody"/>
        <w:bidi w:val="0"/>
        <w:spacing w:before="0" w:after="0"/>
        <w:ind w:left="0" w:right="0" w:hanging="270"/>
        <w:jc w:val="center"/>
        <w:rPr/>
      </w:pPr>
      <w:r>
        <w:rPr/>
      </w:r>
    </w:p>
    <w:tbl>
      <w:tblPr>
        <w:tblW w:w="11803"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46"/>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255,432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533,189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16,573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154,081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308,328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21,532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83,027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Triple-net operating lease rent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70,455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319,091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186,709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505,800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458,173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121,313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1,085,286</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NET INCOME ATTRIBUTABLE TO WYNN RESORTS, LIMITED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PROPERTY EBITDAR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34"/>
        <w:gridCol w:w="1346"/>
        <w:gridCol w:w="1354"/>
        <w:gridCol w:w="211"/>
        <w:gridCol w:w="84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55"/>
      </w:tblGrid>
      <w:tr>
        <w:trPr/>
        <w:tc>
          <w:tcPr>
            <w:tcW w:w="15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rent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Property EBITDAR</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568,309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552,387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1,130,726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1,085,286</w:t>
            </w:r>
            <w:r>
              <w:rPr>
                <w:color w:val="000000"/>
              </w:rPr>
              <w:t>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54"/>
        <w:gridCol w:w="750"/>
        <w:gridCol w:w="754"/>
        <w:gridCol w:w="211"/>
        <w:gridCol w:w="260"/>
        <w:gridCol w:w="580"/>
        <w:gridCol w:w="114"/>
        <w:gridCol w:w="114"/>
        <w:gridCol w:w="114"/>
        <w:gridCol w:w="211"/>
        <w:gridCol w:w="260"/>
        <w:gridCol w:w="580"/>
        <w:gridCol w:w="109"/>
        <w:gridCol w:w="109"/>
        <w:gridCol w:w="109"/>
        <w:gridCol w:w="337"/>
        <w:gridCol w:w="315"/>
        <w:gridCol w:w="317"/>
        <w:gridCol w:w="109"/>
        <w:gridCol w:w="109"/>
        <w:gridCol w:w="109"/>
        <w:gridCol w:w="206"/>
        <w:gridCol w:w="260"/>
        <w:gridCol w:w="580"/>
        <w:gridCol w:w="109"/>
        <w:gridCol w:w="109"/>
        <w:gridCol w:w="109"/>
        <w:gridCol w:w="206"/>
        <w:gridCol w:w="260"/>
        <w:gridCol w:w="580"/>
        <w:gridCol w:w="109"/>
        <w:gridCol w:w="109"/>
        <w:gridCol w:w="109"/>
        <w:gridCol w:w="326"/>
        <w:gridCol w:w="290"/>
        <w:gridCol w:w="418"/>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Palace Supplemental Information</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564,356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653,399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539,641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1,312,737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1,075,570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w:t>
            </w:r>
            <w:r>
              <w:rPr>
                <w:color w:val="000000"/>
              </w:rPr>
              <w:t>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color w:val="000000"/>
              </w:rPr>
              <w:t xml:space="preserve"> </w:t>
            </w:r>
            <w:r>
              <w:rPr>
                <w:rFonts w:ascii="Times New Roman;serif" w:hAnsi="Times New Roman;serif"/>
                <w:b/>
                <w:color w:val="000000"/>
                <w:sz w:val="13"/>
              </w:rPr>
              <w:t>(6)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201,488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157,206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405,310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319,091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w:t>
            </w: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2,767,504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4,071,052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7,083,818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8,076,093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VIP table games win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table games win as a % of turnover</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 market:</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drop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1,899,985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563,348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960,344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 statistics: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ADR</w:t>
            </w:r>
            <w:r>
              <w:rPr>
                <w:color w:val="000000"/>
              </w:rPr>
              <w:t xml:space="preserve"> </w:t>
            </w:r>
            <w:r>
              <w:rPr>
                <w:rFonts w:ascii="Times New Roman;serif" w:hAnsi="Times New Roman;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REVPAR </w:t>
            </w:r>
            <w:r>
              <w:rPr>
                <w:rFonts w:ascii="Times New Roman;serif" w:hAnsi="Times New Roman;serif"/>
                <w:b w:val="false"/>
                <w:color w:val="000000"/>
                <w:sz w:val="13"/>
              </w:rPr>
              <w:t>(5)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4"/>
        <w:gridCol w:w="750"/>
        <w:gridCol w:w="754"/>
        <w:gridCol w:w="227"/>
        <w:gridCol w:w="272"/>
        <w:gridCol w:w="554"/>
        <w:gridCol w:w="114"/>
        <w:gridCol w:w="114"/>
        <w:gridCol w:w="114"/>
        <w:gridCol w:w="227"/>
        <w:gridCol w:w="272"/>
        <w:gridCol w:w="554"/>
        <w:gridCol w:w="109"/>
        <w:gridCol w:w="109"/>
        <w:gridCol w:w="109"/>
        <w:gridCol w:w="336"/>
        <w:gridCol w:w="315"/>
        <w:gridCol w:w="316"/>
        <w:gridCol w:w="109"/>
        <w:gridCol w:w="109"/>
        <w:gridCol w:w="109"/>
        <w:gridCol w:w="206"/>
        <w:gridCol w:w="260"/>
        <w:gridCol w:w="580"/>
        <w:gridCol w:w="109"/>
        <w:gridCol w:w="109"/>
        <w:gridCol w:w="109"/>
        <w:gridCol w:w="206"/>
        <w:gridCol w:w="260"/>
        <w:gridCol w:w="580"/>
        <w:gridCol w:w="109"/>
        <w:gridCol w:w="109"/>
        <w:gridCol w:w="109"/>
        <w:gridCol w:w="325"/>
        <w:gridCol w:w="289"/>
        <w:gridCol w:w="418"/>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Macau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300,726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351,086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343,813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680,938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673,773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color w:val="000000"/>
              </w:rPr>
              <w:t xml:space="preserve"> </w:t>
            </w:r>
            <w:r>
              <w:rPr>
                <w:rFonts w:ascii="Times New Roman;serif" w:hAnsi="Times New Roman;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95,511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186,709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VIP: </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turnover</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VIP table games win </w:t>
            </w:r>
            <w:r>
              <w:rPr>
                <w:rFonts w:ascii="Times New Roman;serif" w:hAnsi="Times New Roman;serif"/>
                <w:b w:val="false"/>
                <w:color w:val="000000"/>
                <w:sz w:val="13"/>
              </w:rPr>
              <w:t>(1)</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table games win as a % of turnover</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Table games win per unit per day </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Mass market: </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drop </w:t>
            </w:r>
            <w:r>
              <w:rPr>
                <w:rFonts w:ascii="Times New Roman;serif" w:hAnsi="Times New Roman;serif"/>
                <w:b w:val="false"/>
                <w:color w:val="000000"/>
                <w:sz w:val="13"/>
              </w:rPr>
              <w:t>(2)</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1,751,881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300,200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Table games win per unit per day </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1,190,692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Slot machine win per unit per day </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Room statistics: </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ADR</w:t>
            </w:r>
            <w:r>
              <w:rPr>
                <w:color w:val="000000"/>
              </w:rPr>
              <w:t xml:space="preserve"> </w:t>
            </w:r>
            <w:r>
              <w:rPr>
                <w:rFonts w:ascii="Times New Roman;serif" w:hAnsi="Times New Roman;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REVPAR </w:t>
            </w:r>
            <w:r>
              <w:rPr>
                <w:rFonts w:ascii="Times New Roman;serif" w:hAnsi="Times New Roman;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2"/>
        <w:gridCol w:w="784"/>
        <w:gridCol w:w="788"/>
        <w:gridCol w:w="227"/>
        <w:gridCol w:w="272"/>
        <w:gridCol w:w="554"/>
        <w:gridCol w:w="113"/>
        <w:gridCol w:w="113"/>
        <w:gridCol w:w="113"/>
        <w:gridCol w:w="227"/>
        <w:gridCol w:w="272"/>
        <w:gridCol w:w="554"/>
        <w:gridCol w:w="109"/>
        <w:gridCol w:w="109"/>
        <w:gridCol w:w="109"/>
        <w:gridCol w:w="315"/>
        <w:gridCol w:w="299"/>
        <w:gridCol w:w="300"/>
        <w:gridCol w:w="109"/>
        <w:gridCol w:w="109"/>
        <w:gridCol w:w="109"/>
        <w:gridCol w:w="206"/>
        <w:gridCol w:w="260"/>
        <w:gridCol w:w="580"/>
        <w:gridCol w:w="109"/>
        <w:gridCol w:w="109"/>
        <w:gridCol w:w="109"/>
        <w:gridCol w:w="206"/>
        <w:gridCol w:w="260"/>
        <w:gridCol w:w="580"/>
        <w:gridCol w:w="109"/>
        <w:gridCol w:w="109"/>
        <w:gridCol w:w="109"/>
        <w:gridCol w:w="308"/>
        <w:gridCol w:w="275"/>
        <w:gridCol w:w="399"/>
      </w:tblGrid>
      <w:tr>
        <w:trPr/>
        <w:tc>
          <w:tcPr>
            <w:tcW w:w="89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158,104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208,132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195,688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643,168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638,633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1,305,077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1,263,918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Property EBITDAR </w:t>
            </w:r>
            <w:r>
              <w:rPr>
                <w:rFonts w:ascii="Times New Roman;serif" w:hAnsi="Times New Roman;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215,226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234,812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447,686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458,173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drop </w:t>
            </w:r>
            <w:r>
              <w:rPr>
                <w:rFonts w:ascii="Times New Roman;serif" w:hAnsi="Times New Roman;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638,243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152,660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1,813,124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ADR </w:t>
            </w:r>
            <w:r>
              <w:rPr>
                <w:rFonts w:ascii="Times New Roman;serif" w:hAnsi="Times New Roman;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REVPAR</w:t>
            </w:r>
            <w:r>
              <w:rPr>
                <w:color w:val="000000"/>
              </w:rPr>
              <w:t xml:space="preserve"> </w:t>
            </w:r>
            <w:r>
              <w:rPr>
                <w:rFonts w:ascii="Times New Roman;serif" w:hAnsi="Times New Roman;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9"/>
        <w:gridCol w:w="762"/>
        <w:gridCol w:w="766"/>
        <w:gridCol w:w="227"/>
        <w:gridCol w:w="272"/>
        <w:gridCol w:w="554"/>
        <w:gridCol w:w="113"/>
        <w:gridCol w:w="113"/>
        <w:gridCol w:w="113"/>
        <w:gridCol w:w="227"/>
        <w:gridCol w:w="272"/>
        <w:gridCol w:w="554"/>
        <w:gridCol w:w="109"/>
        <w:gridCol w:w="109"/>
        <w:gridCol w:w="109"/>
        <w:gridCol w:w="328"/>
        <w:gridCol w:w="305"/>
        <w:gridCol w:w="307"/>
        <w:gridCol w:w="109"/>
        <w:gridCol w:w="109"/>
        <w:gridCol w:w="109"/>
        <w:gridCol w:w="227"/>
        <w:gridCol w:w="272"/>
        <w:gridCol w:w="554"/>
        <w:gridCol w:w="109"/>
        <w:gridCol w:w="109"/>
        <w:gridCol w:w="109"/>
        <w:gridCol w:w="227"/>
        <w:gridCol w:w="272"/>
        <w:gridCol w:w="554"/>
        <w:gridCol w:w="109"/>
        <w:gridCol w:w="109"/>
        <w:gridCol w:w="109"/>
        <w:gridCol w:w="320"/>
        <w:gridCol w:w="281"/>
        <w:gridCol w:w="408"/>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Encore Boston Harbor Supplemental Information </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209,280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215,710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414,943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424,933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Property EBITDAR </w:t>
            </w:r>
            <w:r>
              <w:rPr>
                <w:rFonts w:ascii="Times New Roman;serif" w:hAnsi="Times New Roman;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56,084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Table drop</w:t>
            </w:r>
            <w:r>
              <w:rPr>
                <w:color w:val="000000"/>
              </w:rPr>
              <w:t xml:space="preserve"> </w:t>
            </w:r>
            <w:r>
              <w:rPr>
                <w:rFonts w:ascii="Times New Roman;serif" w:hAnsi="Times New Roman;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348,381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1,391,561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110,444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ADR </w:t>
            </w:r>
            <w:r>
              <w:rPr>
                <w:rFonts w:ascii="Times New Roman;serif" w:hAnsi="Times New Roman;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REVPAR </w:t>
            </w:r>
            <w:r>
              <w:rPr>
                <w:rFonts w:ascii="Times New Roman;serif" w:hAnsi="Times New Roman;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games win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(3)Slot machine win is calculated as gross slot machine win minus progressive accruals and free play.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(6)Refer to accompanying reconciliations of Operating Income (Loss) to Adjusted Property EBITDAR and Net Income Attributable to Wynn Resorts, Limited to Adjusted Property EBITDAR.</w:t>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SOURCE: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Wynn Resorts, Limited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Lauren Seiler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702-770-7555</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5350</Words>
  <Characters>28324</Characters>
  <CharactersWithSpaces>32648</CharactersWithSpaces>
  <Paragraphs>1810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