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60" w:right="20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71"/>
        </w:trPr>
        <w:tc>
          <w:tcPr>
            <w:tcW w:w="260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359"/>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920"/>
        <w:spacing w:after="0" w:line="207" w:lineRule="exact"/>
        <w:tabs>
          <w:tab w:leader="none" w:pos="3900" w:val="left"/>
          <w:tab w:leader="none" w:pos="73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8"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24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 at April 30, 2011</w:t>
            </w:r>
          </w:p>
        </w:tc>
      </w:tr>
      <w:tr>
        <w:trPr>
          <w:trHeight w:val="216"/>
        </w:trPr>
        <w:tc>
          <w:tcPr>
            <w:tcW w:w="5820" w:type="dxa"/>
            <w:vAlign w:val="bottom"/>
          </w:tcPr>
          <w:p>
            <w:pPr>
              <w:jc w:val="center"/>
              <w:spacing w:after="0"/>
              <w:rPr>
                <w:sz w:val="20"/>
                <w:szCs w:val="20"/>
                <w:color w:val="auto"/>
              </w:rPr>
            </w:pPr>
            <w:r>
              <w:rPr>
                <w:rFonts w:ascii="Arial" w:cs="Arial" w:eastAsia="Arial" w:hAnsi="Arial"/>
                <w:sz w:val="18"/>
                <w:szCs w:val="18"/>
                <w:color w:val="auto"/>
                <w:w w:val="88"/>
              </w:rPr>
              <w:t>Common stock, $0.01 par value</w:t>
            </w:r>
          </w:p>
        </w:tc>
        <w:tc>
          <w:tcPr>
            <w:tcW w:w="240" w:type="dxa"/>
            <w:vAlign w:val="bottom"/>
          </w:tcPr>
          <w:p>
            <w:pPr>
              <w:spacing w:after="0"/>
              <w:rPr>
                <w:sz w:val="18"/>
                <w:szCs w:val="18"/>
                <w:color w:val="auto"/>
              </w:rPr>
            </w:pPr>
          </w:p>
        </w:tc>
        <w:tc>
          <w:tcPr>
            <w:tcW w:w="5360" w:type="dxa"/>
            <w:vAlign w:val="bottom"/>
          </w:tcPr>
          <w:p>
            <w:pPr>
              <w:jc w:val="right"/>
              <w:ind w:right="2162"/>
              <w:spacing w:after="0"/>
              <w:rPr>
                <w:sz w:val="20"/>
                <w:szCs w:val="20"/>
                <w:color w:val="auto"/>
              </w:rPr>
            </w:pPr>
            <w:r>
              <w:rPr>
                <w:rFonts w:ascii="Arial" w:cs="Arial" w:eastAsia="Arial" w:hAnsi="Arial"/>
                <w:sz w:val="18"/>
                <w:szCs w:val="18"/>
                <w:color w:val="auto"/>
              </w:rPr>
              <w:t>124,757,759</w:t>
            </w:r>
          </w:p>
        </w:tc>
      </w:tr>
      <w:tr>
        <w:trPr>
          <w:trHeight w:val="115"/>
        </w:trPr>
        <w:tc>
          <w:tcPr>
            <w:tcW w:w="5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40" w:type="dxa"/>
            <w:vAlign w:val="bottom"/>
            <w:gridSpan w:val="14"/>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1320" w:type="dxa"/>
            <w:vAlign w:val="bottom"/>
          </w:tcPr>
          <w:p>
            <w:pPr>
              <w:spacing w:after="0"/>
              <w:rPr>
                <w:sz w:val="19"/>
                <w:szCs w:val="19"/>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0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1320" w:type="dxa"/>
            <w:vAlign w:val="bottom"/>
          </w:tcPr>
          <w:p>
            <w:pPr>
              <w:spacing w:after="0"/>
              <w:rPr>
                <w:sz w:val="24"/>
                <w:szCs w:val="24"/>
                <w:color w:val="auto"/>
              </w:rPr>
            </w:pPr>
          </w:p>
        </w:tc>
      </w:tr>
      <w:tr>
        <w:trPr>
          <w:trHeight w:val="286"/>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March 31, 2011 and December 31, 2010</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Income (unaudited) – Three months ended March 31, 2011 and 2010</w:t>
              </w:r>
            </w:hyperlink>
          </w:p>
        </w:tc>
        <w:tc>
          <w:tcPr>
            <w:tcW w:w="1460" w:type="dxa"/>
            <w:vAlign w:val="bottom"/>
            <w:gridSpan w:val="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 – Three months ended March 31, 2011 and 2010</w:t>
              </w:r>
            </w:hyperlink>
          </w:p>
        </w:tc>
        <w:tc>
          <w:tcPr>
            <w:tcW w:w="1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Financial Condition and Results of Operations</w:t>
              </w:r>
            </w:hyperlink>
          </w:p>
        </w:tc>
        <w:tc>
          <w:tcPr>
            <w:tcW w:w="2800" w:type="dxa"/>
            <w:vAlign w:val="bottom"/>
            <w:gridSpan w:val="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Quantitative and Qualitative Disclosures About Market Risk</w:t>
              </w:r>
            </w:hyperlink>
          </w:p>
        </w:tc>
        <w:tc>
          <w:tcPr>
            <w:tcW w:w="4840" w:type="dxa"/>
            <w:vAlign w:val="bottom"/>
            <w:gridSpan w:val="6"/>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43"/>
        </w:trPr>
        <w:tc>
          <w:tcPr>
            <w:tcW w:w="6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9320" w:type="dxa"/>
            <w:vAlign w:val="bottom"/>
            <w:gridSpan w:val="13"/>
          </w:tcPr>
          <w:p>
            <w:pPr>
              <w:ind w:left="60"/>
              <w:spacing w:after="0"/>
              <w:rPr>
                <w:sz w:val="20"/>
                <w:szCs w:val="20"/>
                <w:color w:val="auto"/>
              </w:rPr>
            </w:pPr>
            <w:r>
              <w:rPr>
                <w:rFonts w:ascii="Arial" w:cs="Arial" w:eastAsia="Arial" w:hAnsi="Arial"/>
                <w:sz w:val="18"/>
                <w:szCs w:val="18"/>
                <w:b w:val="1"/>
                <w:bCs w:val="1"/>
                <w:color w:val="auto"/>
              </w:rPr>
              <w:t>Other Information</w:t>
            </w:r>
          </w:p>
        </w:tc>
        <w:tc>
          <w:tcPr>
            <w:tcW w:w="1320" w:type="dxa"/>
            <w:vAlign w:val="bottom"/>
          </w:tcPr>
          <w:p>
            <w:pPr>
              <w:spacing w:after="0"/>
              <w:rPr>
                <w:sz w:val="24"/>
                <w:szCs w:val="24"/>
                <w:color w:val="auto"/>
              </w:rPr>
            </w:pPr>
          </w:p>
        </w:tc>
      </w:tr>
      <w:tr>
        <w:trPr>
          <w:trHeight w:val="286"/>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w w:val="95"/>
              </w:rPr>
              <w:t>Item 1A.</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800" w:type="dxa"/>
            <w:vAlign w:val="bottom"/>
            <w:gridSpan w:val="9"/>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4860" w:type="dxa"/>
            <w:vAlign w:val="bottom"/>
            <w:gridSpan w:val="7"/>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90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8520" w:type="dxa"/>
            <w:vAlign w:val="bottom"/>
            <w:gridSpan w:val="11"/>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83"/>
        </w:trPr>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520" w:type="dxa"/>
            <w:vAlign w:val="bottom"/>
            <w:gridSpan w:val="9"/>
          </w:tcPr>
          <w:p>
            <w:pPr>
              <w:jc w:val="right"/>
              <w:ind w:right="14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1,446,832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1,258,499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186,841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1,745,317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1,561,136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4,854,124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4,921,259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59,052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6,783,167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6,674,497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154,834</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168,135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76,114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864,535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887,929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3,163,945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3,264,854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61,118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4,167,263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4,293,912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zero shares issued and outstanding</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Common stock, par value $0.01; 400,000,000 shares authorized;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640"/>
              <w:spacing w:after="0"/>
              <w:rPr>
                <w:sz w:val="20"/>
                <w:szCs w:val="20"/>
                <w:color w:val="auto"/>
              </w:rPr>
            </w:pPr>
            <w:r>
              <w:rPr>
                <w:rFonts w:ascii="Arial" w:cs="Arial" w:eastAsia="Arial" w:hAnsi="Arial"/>
                <w:sz w:val="18"/>
                <w:szCs w:val="18"/>
                <w:color w:val="auto"/>
              </w:rPr>
              <w:t>137,478,112 and 137,404,462 shares issued;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640"/>
              <w:spacing w:after="0"/>
              <w:rPr>
                <w:sz w:val="20"/>
                <w:szCs w:val="20"/>
                <w:color w:val="auto"/>
              </w:rPr>
            </w:pPr>
            <w:r>
              <w:rPr>
                <w:rFonts w:ascii="Arial" w:cs="Arial" w:eastAsia="Arial" w:hAnsi="Arial"/>
                <w:sz w:val="18"/>
                <w:szCs w:val="18"/>
                <w:color w:val="auto"/>
              </w:rPr>
              <w:t>124,673,158 and 124,599,508 shares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12,804,954 shares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(1,119,407)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(1,119,407)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3,355,890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3,346,050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Wynn Resorts, Limited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2,420,695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2,237,948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2,615,904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2,380,585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6,783,167</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6,674,497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1,006,305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691,588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115,381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128,864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1,349,504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979,116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(70,198)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1,260,272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908,918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624,355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448,191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65,997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87,661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101,347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104,565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794,070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280,556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(49,261)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(51,920)</w:t>
            </w: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(30,871)</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Wynn Resorts, Limited</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173,804</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Net income attributable to Wynn Resorts, Limited:</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123,757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125,371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122,982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226,335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(9,564)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(18,463)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equipment</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(36,738)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(100,980)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(286,866)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(97,793)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(285,726)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(234,815)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1,258,499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1,991,830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1,446,832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1,757,015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October 2009, Wynn Macau, Limited, a newly formed and indirect wholly-owned subsidiary of the Company and the developer, owner and operator of Wynn Macau, had its ordinary shares of common stock listed on The Stock Exchange of Hong Kong Limited. Through an initial public offering, including the over allotment, Wynn Macau, Limited sold 1,437,500,000 shares (27.7%) of its common stock.</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(“Wynn Las Vegas” or the “Las Vegas Operations”). In Macau, the Company owns Wynn Macau, which opened on September 6, 2006 and was expanded with the opening of Encore at Wynn Macau on April 21, 2010 (“Wynn Macau” or the “Macau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2011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2010.</w:t>
      </w:r>
    </w:p>
    <w:p>
      <w:pPr>
        <w:spacing w:after="0" w:line="193" w:lineRule="exact"/>
        <w:rPr>
          <w:sz w:val="20"/>
          <w:szCs w:val="20"/>
          <w:color w:val="auto"/>
        </w:rPr>
      </w:pPr>
    </w:p>
    <w:p>
      <w:pPr>
        <w:ind w:left="240" w:right="792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Cash and Cash Equivalents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 Cash equivalents of $862.6</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million and $663.9 million at March 31, 2011 and December 31, 2010, respectively, were invested in money market accounts, U.S. Treasuries and time deposits.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utilized Level 1 inputs as described in Note 9 to determine fair value.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March 31, 2011 and December 31, 2010, approximately 75% and 82%,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Company’s casino revenues are reduced by discounts and commissions, and points earned in the player’s club loyalty program.</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874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87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$13,605</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$12,841</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Food and beverage</w:t>
            </w:r>
          </w:p>
        </w:tc>
        <w:tc>
          <w:tcPr>
            <w:tcW w:w="580" w:type="dxa"/>
            <w:vAlign w:val="bottom"/>
          </w:tcPr>
          <w:p>
            <w:pPr>
              <w:jc w:val="right"/>
              <w:spacing w:after="0"/>
              <w:rPr>
                <w:sz w:val="20"/>
                <w:szCs w:val="20"/>
                <w:color w:val="auto"/>
              </w:rPr>
            </w:pPr>
            <w:r>
              <w:rPr>
                <w:rFonts w:ascii="Arial" w:cs="Arial" w:eastAsia="Arial" w:hAnsi="Arial"/>
                <w:sz w:val="18"/>
                <w:szCs w:val="18"/>
                <w:color w:val="auto"/>
              </w:rPr>
              <w:t>26,742</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23,348</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44,826</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41,272</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Income. These taxes totaled approximately $425.3 million and $287.8 million for the three months ended March 31, 2011 and 2010,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March 31, 2011 and 2010, advertising costs totaled approximately $3.6 million and $4.3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Basic earnings per share (“EPS”) is computed by dividing net income attributable to Wynn Resorts by the weighted average number of shares outstanding during the period. Diluted EPS reflects the addition of potentially dilutive securities, which for the Company include stock options and nonvested stock.</w:t>
      </w:r>
    </w:p>
    <w:p>
      <w:pPr>
        <w:spacing w:after="0" w:line="6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123,757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122,411</w:t>
            </w:r>
          </w:p>
        </w:tc>
        <w:tc>
          <w:tcPr>
            <w:tcW w:w="0" w:type="dxa"/>
            <w:vAlign w:val="bottom"/>
          </w:tcPr>
          <w:p>
            <w:pPr>
              <w:spacing w:after="0"/>
              <w:rPr>
                <w:sz w:val="1"/>
                <w:szCs w:val="1"/>
                <w:color w:val="auto"/>
              </w:rPr>
            </w:pPr>
          </w:p>
        </w:tc>
      </w:tr>
      <w:tr>
        <w:trPr>
          <w:trHeight w:val="291"/>
        </w:trPr>
        <w:tc>
          <w:tcPr>
            <w:tcW w:w="8700" w:type="dxa"/>
            <w:vAlign w:val="bottom"/>
            <w:gridSpan w:val="2"/>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common and common equivalent shares outstanding (used in calculation of diluted earnings per</w:t>
            </w: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jc w:val="right"/>
              <w:ind w:right="7952"/>
              <w:spacing w:after="0"/>
              <w:rPr>
                <w:sz w:val="20"/>
                <w:szCs w:val="20"/>
                <w:color w:val="auto"/>
              </w:rPr>
            </w:pPr>
            <w:r>
              <w:rPr>
                <w:rFonts w:ascii="Arial" w:cs="Arial" w:eastAsia="Arial" w:hAnsi="Arial"/>
                <w:sz w:val="18"/>
                <w:szCs w:val="18"/>
                <w:color w:val="auto"/>
              </w:rPr>
              <w:t>share)</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125,371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122,982</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jc w:val="right"/>
              <w:ind w:right="3312"/>
              <w:spacing w:after="0"/>
              <w:rPr>
                <w:sz w:val="20"/>
                <w:szCs w:val="20"/>
                <w:color w:val="auto"/>
              </w:rPr>
            </w:pPr>
            <w:r>
              <w:rPr>
                <w:rFonts w:ascii="Arial" w:cs="Arial" w:eastAsia="Arial" w:hAnsi="Arial"/>
                <w:sz w:val="18"/>
                <w:szCs w:val="18"/>
                <w:color w:val="auto"/>
              </w:rPr>
              <w:t>8</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7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total of 630,000 and 3,012,500 stock options were excluded from the calculation of diluted EPS at March 31, 2011 and 2010, respectively, because including them would have been anti-dilutive. Another 10,000 and 1,053,500 stock options were out-of-the-money at March 31, 2011 and 2010, respectively, and were also excluded as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income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$226,335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$57,859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9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(1,243)</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19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225,092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9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52,186</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30,643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Wynn Resorts</w:t>
            </w:r>
          </w:p>
        </w:tc>
        <w:tc>
          <w:tcPr>
            <w:tcW w:w="3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172,906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2011 and December 31, 2010, accumulated other comprehensive income consisted solely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Interest paid for the three months ended March 31, 2011 and 2010 totaled approximately $66.6 million and $13.4 million, respectively. Interest capitalized for the three months ended March 31, 2011 and 2010, totaled $0 and $5.4 million, respectively.</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months ended March 31, 2011 and 2010, capital expenditures include a decrease of $3.8 million and $9.8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56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$ 248,622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257,951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Hotel</w:t>
            </w:r>
          </w:p>
        </w:tc>
        <w:tc>
          <w:tcPr>
            <w:tcW w:w="5660" w:type="dxa"/>
            <w:vAlign w:val="bottom"/>
            <w:gridSpan w:val="3"/>
          </w:tcPr>
          <w:p>
            <w:pPr>
              <w:jc w:val="right"/>
              <w:ind w:right="720"/>
              <w:spacing w:after="0"/>
              <w:rPr>
                <w:sz w:val="20"/>
                <w:szCs w:val="20"/>
                <w:color w:val="auto"/>
              </w:rPr>
            </w:pPr>
            <w:r>
              <w:rPr>
                <w:rFonts w:ascii="Arial" w:cs="Arial" w:eastAsia="Arial" w:hAnsi="Arial"/>
                <w:sz w:val="18"/>
                <w:szCs w:val="18"/>
                <w:color w:val="auto"/>
              </w:rPr>
              <w:t>19,448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4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38,074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306,144</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301,555</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(119,303)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(114,091)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spacing w:after="0"/>
              <w:rPr>
                <w:sz w:val="19"/>
                <w:szCs w:val="19"/>
                <w:color w:val="auto"/>
              </w:rPr>
            </w:pPr>
          </w:p>
        </w:tc>
        <w:tc>
          <w:tcPr>
            <w:tcW w:w="5660" w:type="dxa"/>
            <w:vAlign w:val="bottom"/>
            <w:gridSpan w:val="3"/>
          </w:tcPr>
          <w:p>
            <w:pPr>
              <w:jc w:val="right"/>
              <w:ind w:right="720"/>
              <w:spacing w:after="0"/>
              <w:rPr>
                <w:sz w:val="20"/>
                <w:szCs w:val="20"/>
                <w:color w:val="auto"/>
              </w:rPr>
            </w:pPr>
            <w:r>
              <w:rPr>
                <w:rFonts w:ascii="Arial" w:cs="Arial" w:eastAsia="Arial" w:hAnsi="Arial"/>
                <w:sz w:val="18"/>
                <w:szCs w:val="18"/>
                <w:color w:val="auto"/>
              </w:rPr>
              <w:t>$ 186,841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187,464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220" w:type="dxa"/>
            <w:vAlign w:val="bottom"/>
            <w:vMerge w:val="restart"/>
          </w:tcPr>
          <w:p>
            <w:pPr>
              <w:jc w:val="right"/>
              <w:ind w:right="2772"/>
              <w:spacing w:after="0"/>
              <w:rPr>
                <w:sz w:val="20"/>
                <w:szCs w:val="20"/>
                <w:color w:val="auto"/>
              </w:rPr>
            </w:pPr>
            <w:r>
              <w:rPr>
                <w:rFonts w:ascii="Arial" w:cs="Arial" w:eastAsia="Arial" w:hAnsi="Arial"/>
                <w:sz w:val="18"/>
                <w:szCs w:val="18"/>
                <w:color w:val="auto"/>
              </w:rPr>
              <w:t>9</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March 31,</w:t>
            </w:r>
          </w:p>
        </w:tc>
        <w:tc>
          <w:tcPr>
            <w:tcW w:w="600" w:type="dxa"/>
            <w:vAlign w:val="bottom"/>
          </w:tcPr>
          <w:p>
            <w:pPr>
              <w:spacing w:after="0"/>
              <w:rPr>
                <w:sz w:val="14"/>
                <w:szCs w:val="14"/>
                <w:color w:val="auto"/>
              </w:rPr>
            </w:pPr>
          </w:p>
        </w:tc>
        <w:tc>
          <w:tcPr>
            <w:tcW w:w="13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733,559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731,810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3,741,908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3,735,633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77,436</w:t>
            </w: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77,421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1,664,280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1,647,424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85,516</w:t>
            </w: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85,545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13,893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22,901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6,316,592</w:t>
            </w: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6,300,734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(1,462,468)</w:t>
            </w:r>
          </w:p>
        </w:tc>
        <w:tc>
          <w:tcPr>
            <w:tcW w:w="1520" w:type="dxa"/>
            <w:vAlign w:val="bottom"/>
            <w:gridSpan w:val="6"/>
          </w:tcPr>
          <w:p>
            <w:pPr>
              <w:jc w:val="right"/>
              <w:ind w:right="40"/>
              <w:spacing w:after="0"/>
              <w:rPr>
                <w:sz w:val="20"/>
                <w:szCs w:val="20"/>
                <w:color w:val="auto"/>
              </w:rPr>
            </w:pPr>
            <w:r>
              <w:rPr>
                <w:rFonts w:ascii="Arial" w:cs="Arial" w:eastAsia="Arial" w:hAnsi="Arial"/>
                <w:sz w:val="18"/>
                <w:szCs w:val="18"/>
                <w:color w:val="auto"/>
              </w:rPr>
              <w:t>(1,379,475)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$ 4,854,124</w:t>
            </w:r>
          </w:p>
        </w:tc>
        <w:tc>
          <w:tcPr>
            <w:tcW w:w="15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$ 4,921,259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0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24"/>
                <w:szCs w:val="24"/>
                <w:color w:val="auto"/>
              </w:rPr>
            </w:pPr>
          </w:p>
        </w:tc>
        <w:tc>
          <w:tcPr>
            <w:tcW w:w="9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4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Wynn Las Vegas First Mortgage Notes, due November 1, 2017, net of original issue discount of $9,412 at March 31,</w:t>
            </w:r>
          </w:p>
        </w:tc>
        <w:tc>
          <w:tcPr>
            <w:tcW w:w="6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2011 and $9,679 at December 31, 2010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490,588</w:t>
            </w: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490,321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440" w:type="dxa"/>
            <w:vAlign w:val="bottom"/>
            <w:gridSpan w:val="6"/>
          </w:tcPr>
          <w:p>
            <w:pPr>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Wynn Las Vegas First Mortgage Notes, due May 1, 2020, net of original issue discount of $1,898 at March 31, 2011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ind w:left="220"/>
              <w:spacing w:after="0"/>
              <w:rPr>
                <w:sz w:val="20"/>
                <w:szCs w:val="20"/>
                <w:color w:val="auto"/>
              </w:rPr>
            </w:pPr>
            <w:r>
              <w:rPr>
                <w:rFonts w:ascii="Arial" w:cs="Arial" w:eastAsia="Arial" w:hAnsi="Arial"/>
                <w:sz w:val="18"/>
                <w:szCs w:val="18"/>
                <w:color w:val="auto"/>
              </w:rPr>
              <w:t>and $1,933 at December 31, 2010</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350,112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350,077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Wynn Las Vegas First Mortgage Notes, due August 15, 2020</w:t>
            </w:r>
          </w:p>
        </w:tc>
        <w:tc>
          <w:tcPr>
            <w:tcW w:w="18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1,320,000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Wynn Las Vegas Revolving Credit Facility, due July 15, 2013; interest at LIBOR plus 3%</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Las Vegas Revolving Credit Facility, due July 17, 2015; interest at LIBOR plus 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Wynn Las Vegas Term Loan Facility, due August 15, 2013; interest at LIBOR plus 1.875%</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44,281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Las Vegas Term Loan Facility, due August 17, 2015; interest at LIBOR plus 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330,605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w w:val="92"/>
              </w:rPr>
              <w:t>Wynn Macau Senior Term Loan Facilities, due June 27, 2014; interest at LIBOR or HIBOR plus 1.25% – 1.75%</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550,746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550,900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Wynn Macau Senior Revolving Credit Facility, due June 27, 2012; interest at LIBOR or HIBOR plus 1.25%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36,400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36,750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1840" w:type="dxa"/>
            <w:vAlign w:val="bottom"/>
            <w:gridSpan w:val="5"/>
          </w:tcPr>
          <w:p>
            <w:pPr>
              <w:jc w:val="right"/>
              <w:spacing w:after="0"/>
              <w:rPr>
                <w:sz w:val="20"/>
                <w:szCs w:val="20"/>
                <w:color w:val="auto"/>
              </w:rPr>
            </w:pPr>
            <w:r>
              <w:rPr>
                <w:rFonts w:ascii="Arial" w:cs="Arial" w:eastAsia="Arial" w:hAnsi="Arial"/>
                <w:sz w:val="18"/>
                <w:szCs w:val="18"/>
                <w:color w:val="auto"/>
              </w:rPr>
              <w:t>3,166,620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3,267,529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3,163,945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3,264,854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ind w:left="56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of March 31, 2011, $20.1 million had been borrowed under the Wynn Las Vegas Revolving Credit Facilities. The Company also had $19.5 million of outstanding letters of credit that reduce its availability under the Wynn Las Vegas Revolving Credit Facilities. Accordingly, the Company has availability of $327.4 million under the Wynn Las Vegas Revolving Credit Facilities as of March 31,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Senior Revolving Credit Facility</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During the three months ended March 31, 2011, the Company repaid approximately $100.2 million of borrowings under the Wynn Macau Senior Revolving Credit Facility. As of March 31, 2011, the outstanding balance was $0 and the Company had availability of $1 billion under the Wynn Macau Credit Facilities.</w:t>
      </w:r>
    </w:p>
    <w:p>
      <w:pPr>
        <w:spacing w:after="0" w:line="14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September 2011, $111.1 million of the Wynn Macau Senior Term Loan Facilities is due. In accordance with accounting standards, this $111.1 million has been classified as long-term debt as of March 31, 2011 and December 31, 2010, respectively, because the Company has both the intent and ability to repay such amount with borrowings available under the Wynn Macau Senior Revolving Credit Facility, which does not mature until June 2012.</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2011,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net book value of the Company’s outstanding first mortgage notes was approximately $2.2 billion at both March 31, 2011 and December 31, 2010, respectively. The estimated fair value of the Company’s outstanding first mortgage notes, based on quoted market prices, was approximately $2.3 billion at both March 31, 2011 and December 31, 2010, respectively. The net book value of the Company’s other debt instruments was approximately $1 billion and $1.1 billion at March 31, 2011 and December 31, 2010, respectively. The estimated fair value of the Company’s other debt instruments was approximately $982 million and $1.1 billion at March 31, 2011 and December 31,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Income, as the interest rate swaps do not qualify for hedge accounting.</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following table presents the historical fair value of the interest rate swaps recorded in the accompanying Condensed Consolidated Balance Sheets as of March 31, 2011 and December 31, 2010.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March 31, 2011, $3.8 million of the interest rate swap liabilities are included in other accrued expenses and $13.4 million are included in other long-term liabilities. As of December 31, 2010, $5.9 million of the interest rate swap liabilities are included in other accrued expenses and $15.6 million are included in other long-term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Interest</w:t>
            </w:r>
          </w:p>
        </w:tc>
      </w:tr>
      <w:tr>
        <w:trPr>
          <w:trHeight w:val="161"/>
        </w:trPr>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Liability fair value: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32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Macau</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Rate Swaps</w:t>
            </w:r>
          </w:p>
        </w:tc>
      </w:tr>
      <w:tr>
        <w:trPr>
          <w:trHeight w:val="142"/>
        </w:trPr>
        <w:tc>
          <w:tcPr>
            <w:tcW w:w="8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March 31,</w:t>
            </w: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7,116</w:t>
            </w:r>
          </w:p>
        </w:tc>
        <w:tc>
          <w:tcPr>
            <w:tcW w:w="154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$10,103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shd w:val="clear" w:color="auto" w:fill="CCEEFF"/>
          </w:tcPr>
          <w:p>
            <w:pPr>
              <w:spacing w:after="0"/>
              <w:rPr>
                <w:sz w:val="18"/>
                <w:szCs w:val="18"/>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w w:val="89"/>
              </w:rPr>
              <w:t>December</w:t>
            </w:r>
          </w:p>
        </w:tc>
        <w:tc>
          <w:tcPr>
            <w:tcW w:w="7360" w:type="dxa"/>
            <w:vAlign w:val="bottom"/>
          </w:tcPr>
          <w:p>
            <w:pPr>
              <w:ind w:left="20"/>
              <w:spacing w:after="0"/>
              <w:rPr>
                <w:sz w:val="20"/>
                <w:szCs w:val="20"/>
                <w:color w:val="auto"/>
              </w:rPr>
            </w:pPr>
            <w:r>
              <w:rPr>
                <w:rFonts w:ascii="Arial" w:cs="Arial" w:eastAsia="Arial" w:hAnsi="Arial"/>
                <w:sz w:val="18"/>
                <w:szCs w:val="18"/>
                <w:color w:val="auto"/>
              </w:rPr>
              <w:t>31, 2010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8,457</w:t>
            </w: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$12,992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21,449</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5"/>
          <w:szCs w:val="15"/>
          <w:color w:val="auto"/>
        </w:rPr>
        <w:t>The Company has three interest rate swap agreements to hedge a portion of the underlying interest rate risk on borrowings under the Wynn Macau Credit Facilities. Under the first swap agreement, the Company pays a fixed interest rate of 3.632% on U.S. dollar borrowings of $153.8 million incurred under the Wynn Macau Credit Facilities in exchange for receipts on the same amount at a variable interest rate based on the applicable LIBOR at the time of payment. Under the second swap agreement, the Company pays a fixed interest rate of 3.39% on Hong Kong dollar borrowings of HK $991.6 million (approximately US$127.9 million) incurred under the Wynn Macau Credit Facilities in exchange for receipts on the same amount at a variable interest rate based on the applicable HIBOR at the time of payment. As of March 31, 2011, these interest rate swaps fix the interest rates on the US dollar and the Hong Kong dollar borrowings under the Wynn Macau Credit Facilities at 4.88%—5.38% and 4.64%, respectively. These interest rate swap agreements mature in August 2011.</w:t>
      </w:r>
    </w:p>
    <w:p>
      <w:pPr>
        <w:spacing w:after="0" w:line="10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entered into a third interest rate swap agreement to hedge a portion of the underlying interest rate risk on borrowings under the Wynn Macau Credit Facilities. Under this swap agreement, the Company pays a fixed interest rate of 2.15% on borrowings of HK$2.3 billion (approximately US$300 million) incurred 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Wynn Macau Credit Facilities in exchange for receipts on the same amount at a variable interest rate based on the applicable HIBOR at the time of payment.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2011, this interest rate swap fixes the interest rate on such borrowings at 3.4%. This interest rate swap agreement matures in June 2012.</w:t>
      </w:r>
    </w:p>
    <w:p>
      <w:pPr>
        <w:spacing w:after="0" w:line="263" w:lineRule="exact"/>
        <w:rPr>
          <w:sz w:val="20"/>
          <w:szCs w:val="20"/>
          <w:color w:val="auto"/>
        </w:rPr>
      </w:pPr>
    </w:p>
    <w:p>
      <w:pPr>
        <w:ind w:left="240" w:right="9080" w:hanging="232"/>
        <w:spacing w:after="0" w:line="417" w:lineRule="auto"/>
        <w:tabs>
          <w:tab w:leader="none" w:pos="27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March 31, 2011 and December 31, 2010, Mr. Wynn and the other officers and directors had a net deposit balance with the Company of approximately $560,520 and $286,980,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are included in the rental.</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Pursuant to the terms of the EW Lease, Elaine P. Wynn paid annual rent equal to $350,000, which amount was determined by the Audit Committee with the assistance of a third-party appraisal. Certain services for, and maintenance of, the villa suite were included in the rental. The EW Lease superseded the terms of a prior agreement. The term of the EW lease commenced as of March 1, 2010 and was scheduled to terminate on December 31, 2010. The lease was extended on a month-to-month basis after December 31, 2010 and was terminated on March 31,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Charges and Other</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Property charges and other for the three months ended March 31, 2011 and 2010 were $3.3 million and $1.9 million, respectively. Property charges generally include costs related to the retirement of assets for remodels and asset abandonments. Property charges and other for the three months ended March 31, 2011 included the write off of certain costs related to a show cancellation in Las Vegas and miscellaneous renovations and abandonments at our resorts.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October 2009, Wynn Macau, Limited, a newly formed and indirect wholly-owned subsidiary of the Company and the developer, owner and operator of Wynn Macau, had its ordinary shares of common stock listed on The Stock Exchange of Hong Kong Limited. Through an initial public offering, including the over allotment, Wynn Macau, Limited sold 1,437,500,000 shares (27.7%) of its common stock (the “Wynn Macau Limited IPO”). The shares of Wynn Macau, Limited were not and will not be registered under the Securities Act and may not be offered or sold in the United States absent a registration under the Securities Act as amended, or an applicable exception from such registration requirements. Net income attributable to noncontrolling interest was $52.5 million and $30.9 million for the three months ended March 31, 2011 and 2010,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8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8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$ 2,629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$ 2,501</w:t>
            </w: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Rooms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18"/>
                <w:szCs w:val="18"/>
                <w:color w:val="auto"/>
              </w:rPr>
            </w:pPr>
          </w:p>
        </w:tc>
      </w:tr>
      <w:tr>
        <w:trPr>
          <w:trHeight w:val="222"/>
        </w:trPr>
        <w:tc>
          <w:tcPr>
            <w:tcW w:w="872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6,745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6,927</w:t>
            </w:r>
          </w:p>
        </w:tc>
        <w:tc>
          <w:tcPr>
            <w:tcW w:w="100" w:type="dxa"/>
            <w:vAlign w:val="bottom"/>
          </w:tcPr>
          <w:p>
            <w:pPr>
              <w:spacing w:after="0"/>
              <w:rPr>
                <w:sz w:val="19"/>
                <w:szCs w:val="19"/>
                <w:color w:val="auto"/>
              </w:rPr>
            </w:pPr>
          </w:p>
        </w:tc>
      </w:tr>
      <w:tr>
        <w:trPr>
          <w:trHeight w:val="217"/>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Total stock-based compensation costs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$ 6,940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$ 7,073</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20" w:hanging="232"/>
        <w:spacing w:after="0" w:line="347" w:lineRule="auto"/>
        <w:tabs>
          <w:tab w:leader="none" w:pos="27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Wynn Macau</w:t>
      </w:r>
    </w:p>
    <w:p>
      <w:pPr>
        <w:spacing w:after="0" w:line="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u w:val="single" w:color="auto"/>
          <w:color w:val="auto"/>
        </w:rPr>
        <w:t>Cotai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applied to the government of Macau for a land concession on approximately 52 acres of land on Cotai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awaiting final government approval on the concession. We continue work on the concept and design of this property, but cannot prepare a final timeline or budget until government approval on the land concession has been received.</w:t>
      </w:r>
    </w:p>
    <w:p>
      <w:pPr>
        <w:spacing w:after="0" w:line="14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i w:val="1"/>
          <w:iCs w:val="1"/>
          <w:u w:val="single" w:color="auto"/>
          <w:color w:val="auto"/>
        </w:rPr>
        <w:t>Cotai Land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On August 1, 2008, subsidiaries of Wynn Resorts, Limited entered into an agreement with an unrelated third party to make a one-time payment in the amount of $50 million in consideration of the unrelated third party’s relinquishment of certain rights in and to any future development on</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approximately 52 acres of land in the Cotai area of Macau. The payment will be made within 15 days after the Government of the Special Administrative Region of the People’s Republic of China publishes the Company’s rights to the land in the government’s official gazette.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On May 3, 2010, Atlantic-Pacific Capital, Inc. (“APC”) filed an arbitration demand with Judicial Arbitration and Mediation Services regarding an agreement with the Company. The action concerns a claim for compensation of approximately $32 million pursuant to an agreement entered into between APC and the Company on or about March 30, 2008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District Court, Clark County, Nevada, on May 10, 2010. APC removed the action to the United States District Court, District of Nevada. In March 2011, the court denied APC’s motion to compel arbitration. APC has appealed. Management believes that APC’s claim against the Company is without merit and intends to defend this matter vigorously.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approximately $5.4 million. As of March 31, 2011,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the three months ended March 31, 2011 and 2010, the Company recorded tax expense of $2.1 million and $5.1 million, respectively. The Company’s provision for income taxes is primarily comprised of increases in its domestic valuation allowance for U.S. foreign tax credits not expected to provide a U.S. tax benefit in future years, foreign taxes assessable on the dividends of Wynn Macau S.A. and foreign tax provisions related to international marketing offices. 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To the extent that book earnings exceed the tax earnings and profits of Wynn Macau, Limited, such excess is considered permanently invested. For the three months ended March 31, 2011, the Company recognized income tax benefits related to excess tax deductions associated with stock compensation costs of $1 million.</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On November 30, 2010 Wynn Macau S.A. received an additional 5-year exemption through December 31, 2015. Accordingly, the Company was exempted from the payment of approximately $21.2 million in such taxes during the three months ended March 31, 2011. The Company’s non-gaming profits remain subject to the Macau Complementary Tax and casino winnings remain subject to the Macau Special Gaming tax and other levies together totaling 39% in accordance with its concession 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monitors its operations and evaluates earnings by reviewing the assets and operations of its Las Vegas Operations and its Macau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assets by segment are as follows (amounts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Las Vegas Operations</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$ 4,100,497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$ 4,108,516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Macau Operations</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1,853,874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6"/>
          </w:tcPr>
          <w:p>
            <w:pPr>
              <w:jc w:val="right"/>
              <w:ind w:right="100"/>
              <w:spacing w:after="0"/>
              <w:rPr>
                <w:sz w:val="20"/>
                <w:szCs w:val="20"/>
                <w:color w:val="auto"/>
              </w:rPr>
            </w:pPr>
            <w:r>
              <w:rPr>
                <w:rFonts w:ascii="Arial" w:cs="Arial" w:eastAsia="Arial" w:hAnsi="Arial"/>
                <w:sz w:val="18"/>
                <w:szCs w:val="18"/>
                <w:color w:val="auto"/>
              </w:rPr>
              <w:t>1,777,119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and other assets</w:t>
            </w:r>
          </w:p>
        </w:tc>
        <w:tc>
          <w:tcPr>
            <w:tcW w:w="38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828,796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788,862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Total consolidated assets</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$ 6,783,167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6"/>
          </w:tcPr>
          <w:p>
            <w:pPr>
              <w:jc w:val="right"/>
              <w:ind w:right="100"/>
              <w:spacing w:after="0"/>
              <w:rPr>
                <w:sz w:val="20"/>
                <w:szCs w:val="20"/>
                <w:color w:val="auto"/>
              </w:rPr>
            </w:pPr>
            <w:r>
              <w:rPr>
                <w:rFonts w:ascii="Arial" w:cs="Arial" w:eastAsia="Arial" w:hAnsi="Arial"/>
                <w:sz w:val="18"/>
                <w:szCs w:val="18"/>
                <w:color w:val="auto"/>
              </w:rPr>
              <w:t>$ 6,674,497</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w w:val="93"/>
              </w:rPr>
              <w:t>The Company’s segment information for its results of operations are as follows (amounts in thousands):</w:t>
            </w: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Las Vegas Operations</w:t>
            </w:r>
          </w:p>
        </w:tc>
        <w:tc>
          <w:tcPr>
            <w:tcW w:w="8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394,590</w:t>
            </w:r>
          </w:p>
        </w:tc>
        <w:tc>
          <w:tcPr>
            <w:tcW w:w="2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$318,271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865,682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590,647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15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1,260,272</w:t>
            </w:r>
          </w:p>
        </w:tc>
        <w:tc>
          <w:tcPr>
            <w:tcW w:w="2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908,918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Las Vegas Operations</w:t>
            </w:r>
          </w:p>
        </w:tc>
        <w:tc>
          <w:tcPr>
            <w:tcW w:w="8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132,127</w:t>
            </w:r>
          </w:p>
        </w:tc>
        <w:tc>
          <w:tcPr>
            <w:tcW w:w="2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60,305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272,831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181,590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86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404,958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241,895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101,347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104,565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124,402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127,047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280,556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114,848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(58,263)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(49,261)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(52,115)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(51,920)</w:t>
            </w:r>
          </w:p>
        </w:tc>
        <w:tc>
          <w:tcPr>
            <w:tcW w:w="0" w:type="dxa"/>
            <w:vAlign w:val="bottom"/>
          </w:tcPr>
          <w:p>
            <w:pPr>
              <w:spacing w:after="0"/>
              <w:rPr>
                <w:sz w:val="1"/>
                <w:szCs w:val="1"/>
                <w:color w:val="auto"/>
              </w:rPr>
            </w:pPr>
          </w:p>
        </w:tc>
      </w:tr>
      <w:tr>
        <w:trPr>
          <w:trHeight w:val="221"/>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228,441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21"/>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226,335</w:t>
            </w:r>
          </w:p>
        </w:tc>
        <w:tc>
          <w:tcPr>
            <w:tcW w:w="20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516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hanging="452"/>
        <w:spacing w:after="0" w:line="28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April 19, 2011, the Board of Directors of the Company declared a cash dividend of $0.50 per share, payable on May 17, 2011 to stockholders of record as of May 3,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and trends reflecting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volatility and weakness in world-wide credit and financial markets globally and from governmental intervention in the financial markets;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developing gaming regulatory frameworks);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240" w:top="459" w:right="5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resort as our “Las Vegas Operations.” In the Macau Special Administrative Region of the People’s Republic of China (“Macau”), we own and operate Wynn Macau, which opened on September 6, 2006. On April 21, 2010 we opened Encore at Wynn Macau, a further expansion of Wynn Macau. We refer to the fully integrated Wynn Macau and Encore at Wynn Macau resort as our “Macau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resorts as of April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8"/>
              </w:rPr>
              <w:t>Approximate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80" w:type="dxa"/>
            <w:vAlign w:val="bottom"/>
          </w:tcPr>
          <w:p>
            <w:pPr>
              <w:spacing w:after="0"/>
              <w:rPr>
                <w:sz w:val="12"/>
                <w:szCs w:val="12"/>
                <w:color w:val="auto"/>
              </w:rPr>
            </w:pP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Hotel Rooms</w:t>
            </w: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Approximate</w:t>
            </w:r>
          </w:p>
        </w:tc>
      </w:tr>
      <w:tr>
        <w:trPr>
          <w:trHeight w:val="149"/>
        </w:trPr>
        <w:tc>
          <w:tcPr>
            <w:tcW w:w="50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920" w:type="dxa"/>
            <w:vAlign w:val="bottom"/>
          </w:tcPr>
          <w:p>
            <w:pPr>
              <w:spacing w:after="0"/>
              <w:rPr>
                <w:sz w:val="12"/>
                <w:szCs w:val="12"/>
                <w:color w:val="auto"/>
              </w:rPr>
            </w:pPr>
          </w:p>
        </w:tc>
        <w:tc>
          <w:tcPr>
            <w:tcW w:w="21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16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Table</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Number of</w:t>
            </w:r>
          </w:p>
        </w:tc>
      </w:tr>
      <w:tr>
        <w:trPr>
          <w:trHeight w:val="161"/>
        </w:trPr>
        <w:tc>
          <w:tcPr>
            <w:tcW w:w="50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Suites</w:t>
            </w:r>
          </w:p>
        </w:tc>
        <w:tc>
          <w:tcPr>
            <w:tcW w:w="920" w:type="dxa"/>
            <w:vAlign w:val="bottom"/>
          </w:tcPr>
          <w:p>
            <w:pPr>
              <w:spacing w:after="0"/>
              <w:rPr>
                <w:sz w:val="14"/>
                <w:szCs w:val="14"/>
                <w:color w:val="auto"/>
              </w:rPr>
            </w:pP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6"/>
              </w:rPr>
              <w:t>Square Footage</w:t>
            </w:r>
          </w:p>
        </w:tc>
        <w:tc>
          <w:tcPr>
            <w:tcW w:w="9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Games</w:t>
            </w:r>
          </w:p>
        </w:tc>
        <w:tc>
          <w:tcPr>
            <w:tcW w:w="900" w:type="dxa"/>
            <w:vAlign w:val="bottom"/>
          </w:tcPr>
          <w:p>
            <w:pPr>
              <w:spacing w:after="0"/>
              <w:rPr>
                <w:sz w:val="14"/>
                <w:szCs w:val="14"/>
                <w:color w:val="auto"/>
              </w:rPr>
            </w:pPr>
          </w:p>
        </w:tc>
        <w:tc>
          <w:tcPr>
            <w:tcW w:w="7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Slots</w:t>
            </w:r>
          </w:p>
        </w:tc>
        <w:tc>
          <w:tcPr>
            <w:tcW w:w="100" w:type="dxa"/>
            <w:vAlign w:val="bottom"/>
          </w:tcPr>
          <w:p>
            <w:pPr>
              <w:spacing w:after="0"/>
              <w:rPr>
                <w:sz w:val="14"/>
                <w:szCs w:val="14"/>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Las Vegas Operations</w:t>
            </w: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4,750</w:t>
            </w:r>
          </w:p>
        </w:tc>
        <w:tc>
          <w:tcPr>
            <w:tcW w:w="2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186,000</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Macau Operations</w:t>
            </w: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1,009</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rPr>
              <w:t>265,000</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485</w:t>
            </w:r>
          </w:p>
        </w:tc>
        <w:tc>
          <w:tcPr>
            <w:tcW w:w="76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Wynn Las Vegas I Encore is located at the intersection of the Las Vegas Strip and Sands Avenue, and occupies approximately 217 acres of land fronting the Las Vegas Strip. In addition, we own approximately 18 acres across Sands Avenue, a portion of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101,000 square feet of high-end, brand-name retail shopping, including stores and boutiques by Alexander McQueen, Brioni, Cartier, Chanel, Dior, Graff, Hermes, Louis Vuitton, Manolo Blahnik, Oscar de la Renta, Vertu and others;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 nightclubs and a beach club.</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January 2011, we completed a refurbishment and upgrade to the resort rooms at Wynn Las Vegas. A remodel of the suites was completed in early May of 2011. These remodels were completed at a cost less than the total project budget of $83 million. We expect the final cost close-out to be completed in the second quarter of 2011.</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I Encore under a 20-year casino concession agreement granted by the Macau government in June 2002.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780" w:right="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265,000 square feet of casino space, offering 24-hour gaming and a full range of games, including private gaming salons, a sky casino and a poker area;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luxury hotel towers with a total of 1,009 rooms and suites;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51,200 square feet of high-end, brand-name retail shopping, including stores and boutiques by Bvlgari, Cartier, Chanel, Dior, Dunhill, Fendi, Ferrari, Giorgio Armani, Gucci, Hermes, Hugo Boss, Louis Vuitton, Miu Miu, Piaget, Prada, Rolex, Tiffany, Van Cleef &amp; Arpels, Versace, Vertu, Zegna and others;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pool;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response to our evaluation of our Macau Operations and the reactions of our guests, we have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Approximately 142 acres of land comprising Wynn Las Vegas is currently improved with a golf course. While we may develop this property in the future, we have no immediate plans to do so.</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applied to the government of Macau for a land concession on approximately 52 acres of land on Cotai and are awaiting final government approval on the concession. No construction timeline or budget has yet been developed.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results for the periods presented are not comparable as the three months ended March 31, 2011 include the operations of Encore at Wynn Macau which opened on April 21, 2010.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8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left="542"/>
              <w:spacing w:after="0"/>
              <w:rPr>
                <w:sz w:val="20"/>
                <w:szCs w:val="20"/>
                <w:color w:val="auto"/>
              </w:rPr>
            </w:pPr>
            <w:r>
              <w:rPr>
                <w:rFonts w:ascii="Arial" w:cs="Arial" w:eastAsia="Arial" w:hAnsi="Arial"/>
                <w:sz w:val="14"/>
                <w:szCs w:val="14"/>
                <w:b w:val="1"/>
                <w:bCs w:val="1"/>
                <w:color w:val="auto"/>
                <w:w w:val="89"/>
              </w:rPr>
              <w:t>March 31,</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7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394,590</w:t>
            </w:r>
          </w:p>
        </w:tc>
        <w:tc>
          <w:tcPr>
            <w:tcW w:w="5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$ 318,271</w:t>
            </w: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865,682</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590,647</w:t>
            </w:r>
          </w:p>
        </w:tc>
        <w:tc>
          <w:tcPr>
            <w:tcW w:w="100" w:type="dxa"/>
            <w:vAlign w:val="bottom"/>
            <w:shd w:val="clear" w:color="auto" w:fill="CCEEFF"/>
          </w:tcPr>
          <w:p>
            <w:pPr>
              <w:spacing w:after="0"/>
              <w:rPr>
                <w:sz w:val="18"/>
                <w:szCs w:val="18"/>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1,260,272</w:t>
            </w:r>
          </w:p>
        </w:tc>
        <w:tc>
          <w:tcPr>
            <w:tcW w:w="5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$ 908,918</w:t>
            </w:r>
          </w:p>
        </w:tc>
      </w:tr>
      <w:tr>
        <w:trPr>
          <w:trHeight w:val="20"/>
        </w:trPr>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our competitors, whose operations are more diversified, may be better able to control. In addition to the concentration of operations in two resort complexes, many of our customers are high-end gaming customers who wager on credit, thus exposing us to increased credit risk. High-end gaming also increases the potential for variability in our results.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 Condensed Consolidated Statement of Income is presented. There are two methods used to calculate win percentage in the casino industry. In Las Vegas and in the general casino in Macau, customers usually purchase cash chips from gaming tables. The cash and net markers used to purchase the cash chips from gaming tables are deposited in the gaming table’s drop box. This is the base of measurement that we use in the casino at our Las Vegas Operations and in the general casino at our Macau Operations for calculating win percentage.</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our VIP casino in Macau, customers primarily purchase non-negotiable rolling chips from the casino cage and there is no deposit into a gaming table drop box from chips purchased from the cage. Non-negotiable chips can only be used to make wagers. Winning wagers are paid in cash chips. The loss of the non-negotiable rolling chips in the VIP casino is recorded as turnover and provides a base for measuring VIP casino win percentage. Because of this difference in chip purchase activity, the measurement base used in the general casino is not the same that is used in the VIP casino. It is customary in Macau to measure VIP casino play using this Rolling Chip method.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in Macau tracks the initial purchase of chips at the table while the measurement method in our VIP casino in Macau tracks the sum of all losing wagers. Accordingly, the base measurement in the VIP casino is much larger than the general casino. As a result, the expected win percent with the same amount of gaming win is smaller in the VIP casino in Macau when compared to the general casino in Las Vegas and Macau.</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Even though both use the same measurement method, we experience different win percentages in the general casino activity in Las Vegas versus Macau. This difference is primarily due to the difference in the mix of table games and customer playing habits between the two casinos. Each type of table game has its own theoretical win percentage. The life-to-date table games win percentage for our Las Vegas Operations is 22.4% whereas the life-to-date table games win percentage for the general casino in our Macau Operations is 21.3%.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2011 compared to the three months ended March 31,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Net revenues for the three months ended March 31, 2011 were comprised of $1,006.3 million in casino revenues (79.8% of total net revenues) and $254 million of net non-casino revenues (20.2% of total net revenues). Net revenues for the three months ended March 31, 2010 are comprised of $691.6 million in casino revenues (76.1% of total net revenues) and $217.3 million of net non-casino revenues (23.9% of total net revenues).</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Casino revenues are comprised of the net win from our table games and slot machine operations. Casino revenues for the three months ended March 31, 2011 of approximately $1,006.3 million represents a $314.7 million (or 45.5%) increase from casino revenues of $691.6 million for the three months ended March 31, 2010.</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Las Vegas Operations experienced a $54.7 million increase in casino revenues compared to the prior year due to a 13.8% increase in drop and an increase in our average table games win percentage. Our average table games win percentage (before discounts) for the three months ended March 31, 2011 was 30.4%, which was above the expected range of 21% to 24% and compares to 23.2% for the prior year quarter. Slot machine handle at our Las Vegas Operations increased 6.6% compared to the prior year quarter, and slot machine win increased 18.1% as more play shifted to higher hold machines.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at our Macau Operations, including Encore at Wynn Macau which opened in April 2010, increased $260 million for the three months ended March 31, 2011, compared to the prior year quarter. We experienced a 41.7% increase in the VIP revenue segment due to a 44.7% increase in turnover. Our win as a percent of turnover was 2.69%, which is just below our expected range of 2.7% to 3.0%, and compares to 2.70% in the prior year quarter. Our VIP casino segment win as a percent of turnover includes a nominal beneficial effect attributable to non-rolling chip play. In our general casino, drop increased 29.2% when compared to the prior year quarter and the average table games win percentage was 27.9%, which is above the expected range of 21% to 23%. The average table game win percentage at our Macau Operations for the three months ended March 31, 2010 was 22.2%. Slot machine handle increased 59.2% compared to the prior year quarter primarily due to the opening of Encore at Wynn Macau and slot machine win increased by 53.3%.</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three months ended March 31, 2011, room revenues were approximately $115.4 million, an increase of $22.5 million compared to prior year quarter room revenue of $92.9 million. Room revenue at our Las Vegas Operations increased approximately $10.4 million compared to the prior year quarter. In Las Vegas, we experienced an increase in room rates during the three months ended March 31, 2011, compared to the three months ended March 31, 2010, with a slight decrease in occupancy rate. Room revenue at our Macau Operations increased approximately $12.1 million due to the 414 additional suites added with Encore at Wynn Macau and an increase in the average daily room rate compared to the prior year quarter.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2010</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w:t>
            </w: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90.7%</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non-casino revenues for the three months ended March 31, 2011 included food and beverage revenues of approximately $128.9 million, retail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revenues of approximately $60.9 million, entertainment revenues of approximately $20.7 million, and other revenues from outlets, including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$17.4 million. Other non-casino revenues for the three months ended March 31, 2010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$111.8 million, retail revenues of approximately $48.6 million, entertainment revenues of approximately $18.2 million, and other revenues from outlets such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$16 million. Food and beverage revenues at our Las Vegas Operations increased $10.2 million, while our Macau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$6.9 million, as compared to the prior year quarter. The increase in Las Vegas is due primarily to business in our nightclubs and restaurants.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Macau is primarily due to the opening of Encore at Wynn Macau and increased visitation to our resort. Retail revenues at our Macau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$11.3 million, while our Las Vegas Operations increased $1 million. The increase at Wynn Macau is due primarily to strong same-store sales growth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addition of three new boutiques at Encore at Wynn Macau. Entertainment revenues increased over the prior year quarter primarily due to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from Garth Brooks in the Encore Theater and the Sinatra “Dance with Me” show, both in Las Vegas. The Sinatra “Dance with Me” show ended its run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April 23, 2011.</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the three months ended March 31, 2011, departmental expenses included casino expenses of $624.4 million, room expenses of $30.6 million, food and beverage expenses of $66 million, and entertainment and retail and other expenses of $56.3 million. Also included are general and administrative expenses of approximately $87.7 million and approximately $10.2 million charged as a provision for doubtful accounts receivable. For the three months ended March 31, 2010, departmental expenses included casino expenses of $448.2 million, room expenses of $31.1 million, food and beverage expenses of $61.8 million, and entertainment, retail and other expenses of $50.1 million. Also included are general and administrative expenses of approximately $87 million and approximately $7 million charged as a provision for doubtful accounts receivable. Casino expenses have increased for the three months ended March 31, 2011 over the prior period due primarily to an increase in casino revenues at both our Las Vegas Operations, and at our Macau Operations where we incur a gaming revenue tax of 39%.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incurred no preopening costs during the three months ended March 31, 2011. For the three months ended March 31, 2010, we incurred $2.3 million of pre-opening costs primarily related to Encore at Wynn Macau which opened on April 21, 2010.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Depreciation and amortization for the three months ended March 31, 2011 was $101.3 million compared to $104.6 million for the three months ended March 31, 2010. This decrease is primarily due to assets with a 5-year life being fully depreciated as of April 2010 at Wynn Las Vegas, offset by depreciation of the assets of Encore at Wynn Macau which were placed into service in April 2010 and the assets of the Encore Beach Club and Surrender Nightclub in Las Vegas which were placed into service in May 2010.</w:t>
      </w:r>
    </w:p>
    <w:p>
      <w:pPr>
        <w:spacing w:after="0" w:line="143"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 will continue throughout the estimated useful lives of these assets. In addition, we continually evaluate the useful life of our property and equipment, intangibles and other assets and adjust them when warranted.</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August 2029, respectively. Consequently, depreciation related to Wynn Macau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2011 were $3.3 million compared to $1.9 million for the three months ended March 31, 2010. For the three months ended March 31, 2011 property charges and other related to the write off of certain costs related to a show cancellation in Las Vegas and miscellaneous renovations and abandonments at our resorts.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resorts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Interest income was $0.4 million for the three months ended March 31, 2011 compared to $0.3 million for the three months ended March 31, 2010. During 2011 and 2010, our short-term investment strategy has been to preserve capital while retaining sufficient liquidity. Accordingly, our short-term investments were primarily investments in money market funds, U.S. Treasuries and time deposits with a maturity of three months or less.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expense was $58.3 million, net of capitalized interest of $0, for the three months ended March 31, 2011, compared to $49.3 million, net of capitalized interest of $5.4 million, for the three months ended March 31, 2010. Our interest expense increased compared to the prior year quarter primarily due to a decrease in interest capitalized and an increase in interest rates on our first mortgage notes, offset by a decrease in amounts outstanding under our Wynn Las Vegas and Wynn Macau bank credit revolving facilities.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gain of approximately $4.2 million for the three months ended March 31, 2011 resulting from the increase in the fair value of our interest rate swaps from December 31, 2010 to March 31, 2011. For the three months ended March 31, 2010 we recorded an expense of $3.6 million resulting from the decrease in the fair value of interest rate swaps between December 31, 2009 and March 31, 2010. For further information on our interest rate swaps, see Item 3 – “Quantitative and Qualitative Disclosures about Market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For the three months ended March 31, 2011 and 2010, we recorded tax expense of $2.1 million and $5.1 million, respectively. Our provision for income taxes is primarily comprised of increases in our domestic valuation allowance for U.S. foreign tax credits not expected to provide a U.S. tax benefit in future years, foreign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such repatriation. To the extent that book earnings exceed the tax earnings and profits of Wynn Macau, Limited, such excess is considered permanently invested. For the three months ended March 31, 2011, we recognized income tax benefits related to excess tax deductions associated with stock compensation costs of $1 million.</w:t>
      </w:r>
    </w:p>
    <w:p>
      <w:pPr>
        <w:spacing w:after="0" w:line="14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On November 30, 2010 Wynn Macau S.A. received an additional 5-year exemption through December 31, 2015. Accordingly, the Company was exempted from the payment of approximately $21.2 million in such taxes during the three months ended March 31, 2011. Our non-gaming profits remain subject to the Macau Complementary Tax and casino winnings remain subject to the Macau Special Gaming tax and other levies together totaling 39% in accordance with our concession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October 2009, Wynn Macau, Limited, our newly formed and indirect wholly-owned subsidiary and the developer, owner and operator of Wynn Macau, had its ordinary shares of common stock listed on The Stock Exchange of Hong Kong Limited. Wynn Macau, Limited sold 1,437,500,000 shares (27.7%) of its common stock through an initial public offering. We recorded net income attributable to noncontrolling interests of $52.5 million for the three months ended March 31, 2011, compared to $30.9 million for the three months ended March 31, 2010. This represents the noncontrolling interests’ share of net income from Wynn Macau, Limited during each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Adjusted property EBITDA is used by us to manage the operating results of our segments. 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following table summarizes adjusted property EBITDA for our Las Vegas and Macau Operations as reviewed by management and summarized in “Notes to Condensed Consolidated Financial Statements – Note 16 Segment Information.” That footnote also presents a reconciliation of adjusted property EBITDA to net income.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9"/>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Las Vegas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$132,127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Macau Operations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272,831</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181,590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404,958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241,895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Our Las Vegas Operations benefited from a higher than normal table games win percentage, an increase in slot machine win, improved ADR, and an overall increase in all other revenue streams including entertainment and food and beverage. While we experienced a decrease in occupancy rate over the prior year, we were able to achieve an increase in ADR as we adjusted rates in an effort to attract customers who would take advantage of all aspects of our resort. While we benefited from higher win percentages on our table games and higher non-casino revenues during the quarter, the economic environment in the Las Vegas market is still uncertain.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Macau Operations adjusted property EBITDA has increased as the Macau market continues to grow and as a result of our expansion of that resort.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40"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Las Vegas and Macau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high-end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Net cash provided by operations for the three months ended March 31, 2011 was $323.2 million compared to $141.1 million provided by operations for the three months ended March 31, 2010. This increase is primarily due to the increase in operating income as a result of increased operating department profitability at both our Las Vegas Operations and our Macau Operations, especially in the casino and room departments. Cash flow from operations also benefited from ordinary changes in working capital compared to the prior year quarter. Cash flow from operations were negatively impacted by a $58.6 million increase in cash paid for interest as our interest payment dates changed with the debt refinancing we completed last year at Wynn Las Vegas.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require a certain amount of cash on hand for operations. At March 31, 2011, we had approximately $1.45 billion of cash and cash equivalents available for operations, debt service and retirement, development activities, general corporate purposes and enhancements to our resorts. Approximately $694.4 million of our cash balance is held by Wynn Resorts, Limited, which is not a guarantor of the debt of its subsidiaries, including Wynn Las Vegas, LLC and Wynn Macau, S.A. As of March 31, 2011, we had approximately $327.4 million available to draw under our Wynn Las Vegas Credit Facilities and approximately $1 billion available to draw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our Wynn Macau Credit Facilities. Debt maturities for the remainder of 2011 are $1.7 million, excluding $111.1 million of the Wynn Macau Term Loan that we have presented as a long-term liability as we have both the intent and ability to refinance this maturity with borrowings under the Wynn Macau Revolver, described in “Financing Activities” below. We believe that cash flow from operations and our existing cash balances will be adequate to satisfy our anticipated uses of capital during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Cash and cash equivalents include investments in money market accounts, U.S. Treasuries and bank time deposits, all with maturities of less than 90 days.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Capital expenditures were approximately $32.3 million for the three months ended March 31, 2011, and related primarily to the room and suite remodel that began last year at Wynn Las Vegas. Capital expenditures for the three months ended March 31, 2010 were approximately $89.3 million and related primarily to the construction of Encore at Wynn Macau and the Beach Club and Surrender Nightclub at Wynn Las Vegas.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March 31, 2011, our Wynn Las Vegas credit facilities, as amended, (collectively the “Wynn Las Vegas Credit Facilities”) consisted of a $108.5 million revolving credit facility, due July 2013 and a $258.4 million revolving credit facility due July 2015 (together the “Wynn Las Vegas Revolver”), and a fully drawn $44.3 million term loan facility due August 2013 and a fully drawn $330.6 million term loan facility due August 2015 (together the “Wynn Las Vegas Term Loan”). As of March 31, 2011, the Wynn Las Vegas Term Loan was fully drawn and we had borrowed $20.1 million under the Wynn Las Vegas Revolver. We also had $19.5 million of outstanding letters of credit that reduce our availability under the Wynn Las Vegas Revolver. Accordingly, we have availability of approximately $327.4 million under the Wynn Las Vegas Revolver as of March 31,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of March 31, 2011, our Wynn Macau credit facilities, as amended, (collectively the “Wynn Macau Credit Facilities”) consisted of a $550 million equivalent fully-funded senior term loan facility (the “Wynn Macau Term Loan”), and a $1 billion equivalent senior revolving credit facility (the “Wynn Macau Revolver”) in a combination of Hong Kong and U.S. dollars. Wynn Macau, S.A. also has the ability to increase the total facilities by an additional $50 million pursuant to the terms and provisions of the Amended Common Terms Agreement. During the quarter ended March 31, 2011, we repaid approximately $100.2 million of borrowings under the Wynn Macau Revolver. As of March 31, 2011, the Wynn Macau Term Loan was fully drawn and we had borrowed $0 under the Wynn Macau Revolver. We have approximately $1 billion of availability under the Wynn Macau Revolver as of March 31,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not entered into any transactions with special purpose entities nor do we engage in any derivatives except for floating-for-fixed interest rate swaps described under Item 3. Quantitative and Qualitative Disclosures About Market Risk. We do not have any retained or contingent interest in assets transferred to an unconsolidated entity. At March 31, 2011, we had outstanding letters of credit totaling $19.5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Other than the paydown of approximately $100 million under our Wynn Macau Revolver, there have been no material changes during the quarter to our contractual obligations or off balance sheet arrangements as disclosed in our Annual Report on Form 10-K for the year ended December 31, 2010.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LLC Credit Facilities contain similar restrictions. While the Wynn Macau Credit Facility contains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Wynn Las Vegas, LLC intends to fund its operations and capital requirements from operating cash flow and availability under the Wynn Las Vegas Revolver.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Wynn Macau will fund Wynn Macau, S.A.’s debt service obligations with existing cash, operating cash flow and availability under the Wynn Macau Revolver.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2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debt-to-equity ratio and would increase our leverage ratio.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2010. There has been no material change to these policies for the three months ended March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March 31, 2011, we have one interest rate swap intended to hedge a portion of the underlying interest rate risk on borrowings under the Wynn Las Vegas Credit Facilities. Under this swap agreement, we pay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under the Wynn Las Vegas Credit Facilities at approximately 5.485%. This interest rate swap agreement matures in November 2012. Changes in the fair value of this interest rate swap have and will continue to be recorded as an increase/(decrease) in swap fair value in our Condensed Consolidated Statements of Income as this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March 31, 2011, we have three interest rate swaps intended to hedge a portion of the underlying interest rate risk on borrowings under the Wynn Macau Credit Facilities. Under the first swap agreement, we pay a fixed interest rate of 3.632% on U.S. dollar borrowings of $153.8 million incurred under the Wynn Macau Credit Facilities in exchange for receipts on the same amounts at a variable interest rate based on the applicable LIBOR at the time of payment. As of March 31, 2011, this interest rate swap fixes the interest rate on $153.8 million of the current U.S. dollar borrowings under the Wynn Macau Credit Facilities at approximately 4.88%—5.38%. Under the second swap agreement, we pay a fixed interest rate of 3.39% on Hong Kong dollar borrowings of approximately HK $991.6 million (approximately US$127.9 million) incurred under the Wynn Macau Credit Facilities in exchange for receipts on the same amounts at a variable interest rate based on the applicable HIBOR at the time of payment. As of March 31, 2011, this interest rate swap fixes the interest rate on approximately $127.9 million of the current Hong Kong dollar borrowings under the Wynn Macau Credit Facilities at approximately 4.64%. Both of these interest rate swap agreements mature in August 2011. We entered into a third interest rate swap agreement at Wynn Macau to hedge a portion of the underlying interest rate risk on borrowings under the Wynn Macau Credit Facilities. Under this swap agreement we pay a fixed interest rate of 2.15% on borrowings of approximately HK$2.3 billion (approximately US$300 million) incurred under the Wynn Macau Credit Facilities in exchange for receipts on the same amount at a variable interest rate based on the applicable HIBOR at the time of payment. This interest rate swap fixes the interest rate on HK$2.3 billion (approximately US$300 million) of borrowings under the Wynn Macau Credit Facilities at approximately 3.4%. This interest rate swap agreement matures in June 2012.</w:t>
      </w:r>
    </w:p>
    <w:p>
      <w:pPr>
        <w:spacing w:after="0" w:line="12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Changes in the fair values of these interest rate swaps for each reporting period recorded are, and will continue to be, recognized as an increase/(decrease) in swap fair value in our Condensed Consolidated Statements of Income as the swaps do not qualify for hedge accounting.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of our interest rate swap arrangements as of March 31, 2011 and December 31, 2010 (all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Interest</w:t>
            </w:r>
          </w:p>
        </w:tc>
      </w:tr>
      <w:tr>
        <w:trPr>
          <w:trHeight w:val="161"/>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Liability fair value: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36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Macau</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Rate Swaps</w:t>
            </w:r>
          </w:p>
        </w:tc>
      </w:tr>
      <w:tr>
        <w:trPr>
          <w:trHeight w:val="20"/>
        </w:trPr>
        <w:tc>
          <w:tcPr>
            <w:tcW w:w="7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March 31,</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7,116</w:t>
            </w:r>
          </w:p>
        </w:tc>
        <w:tc>
          <w:tcPr>
            <w:tcW w:w="162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$10,103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shd w:val="clear" w:color="auto" w:fill="CCEEFF"/>
          </w:tcPr>
          <w:p>
            <w:pPr>
              <w:spacing w:after="0"/>
              <w:rPr>
                <w:sz w:val="18"/>
                <w:szCs w:val="18"/>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w w:val="89"/>
              </w:rPr>
              <w:t>December</w:t>
            </w:r>
          </w:p>
        </w:tc>
        <w:tc>
          <w:tcPr>
            <w:tcW w:w="6320" w:type="dxa"/>
            <w:vAlign w:val="bottom"/>
          </w:tcPr>
          <w:p>
            <w:pPr>
              <w:ind w:left="20"/>
              <w:spacing w:after="0"/>
              <w:rPr>
                <w:sz w:val="20"/>
                <w:szCs w:val="20"/>
                <w:color w:val="auto"/>
              </w:rPr>
            </w:pPr>
            <w:r>
              <w:rPr>
                <w:rFonts w:ascii="Arial" w:cs="Arial" w:eastAsia="Arial" w:hAnsi="Arial"/>
                <w:sz w:val="18"/>
                <w:szCs w:val="18"/>
                <w:color w:val="auto"/>
              </w:rPr>
              <w:t>31, 2010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8,457</w:t>
            </w:r>
          </w:p>
        </w:tc>
        <w:tc>
          <w:tcPr>
            <w:tcW w:w="340" w:type="dxa"/>
            <w:vAlign w:val="bottom"/>
          </w:tcPr>
          <w:p>
            <w:pPr>
              <w:spacing w:after="0"/>
              <w:rPr>
                <w:sz w:val="19"/>
                <w:szCs w:val="19"/>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$12,992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21,449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We adjust this amount by applying a non-performance valuation, considering our creditworthiness or the creditworthiness of our counterparties at each settlement date as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2011, approximately 94.5% of our long-term debt was based on fixed rates, including the notional amounts related to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March 31, 2011, an assumed 1% change in variable rates would cause our annual interest cost to change by $1.7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20" w:firstLine="464"/>
        <w:spacing w:after="0" w:line="256"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18" w:lineRule="exact"/>
        <w:rPr>
          <w:sz w:val="20"/>
          <w:szCs w:val="20"/>
          <w:color w:val="auto"/>
        </w:rPr>
      </w:pPr>
    </w:p>
    <w:p>
      <w:pPr>
        <w:ind w:firstLine="464"/>
        <w:spacing w:after="0" w:line="259"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matters see Note 14 to our Condensed Consolidated Financial Statements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2010. There were no material changes to those risk factors during the three months ended March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2009, our Board of Directors approved the commencement of a regular quarterly cash dividend program beginning in 2010. On April 19, 2011, our Board of Directors declared a dividend of $0.50 per share, payable on May 17, 2011 to stockholders of record as of May 3, 2011. 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LLC Credit Facilities contain similar restrictions. While the Wynn Macau Credit Facility contains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ind w:left="140"/>
        <w:spacing w:after="0"/>
        <w:tabs>
          <w:tab w:leader="none" w:pos="60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14"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Second Amended and Restated Articles of Incorporation of the Registrant. (1)</w:t>
      </w:r>
    </w:p>
    <w:p>
      <w:pPr>
        <w:spacing w:after="0" w:line="117"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Fourth Amended and Restated Bylaws of the Registrant, as amended. (2)</w:t>
      </w:r>
    </w:p>
    <w:p>
      <w:pPr>
        <w:spacing w:after="0" w:line="117"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Sixth Amendment to Employment Agreement, dated as of February 24, 2011, by and between Stephen A. Wynn and Wynn Resorts, Limited.</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(3)</w:t>
      </w:r>
    </w:p>
    <w:p>
      <w:pPr>
        <w:spacing w:after="0" w:line="111"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Periodic Report Pursuant to Rule 13a – 14(a) and Rule 15d – 14(a).</w:t>
      </w:r>
    </w:p>
    <w:p>
      <w:pPr>
        <w:spacing w:after="0" w:line="117"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Periodic Report Pursuant to Rule 13a – 14(a) and Rule 15d – 14(a).</w:t>
      </w:r>
    </w:p>
    <w:p>
      <w:pPr>
        <w:spacing w:after="0" w:line="117"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CEO and CFO Pursuant to 18 U.S.C. Section 1350.</w:t>
      </w:r>
    </w:p>
    <w:p>
      <w:pPr>
        <w:spacing w:after="0" w:line="117" w:lineRule="exact"/>
        <w:rPr>
          <w:sz w:val="20"/>
          <w:szCs w:val="20"/>
          <w:color w:val="auto"/>
        </w:rPr>
      </w:pPr>
    </w:p>
    <w:p>
      <w:pPr>
        <w:ind w:left="1380" w:hanging="799"/>
        <w:spacing w:after="0" w:line="303" w:lineRule="auto"/>
        <w:tabs>
          <w:tab w:leader="none" w:pos="136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5"/>
          <w:szCs w:val="15"/>
          <w:color w:val="auto"/>
        </w:rPr>
        <w:t>The following financial information from the Company’s Quarterly Report on Form 10-Q for the quarter ended March 31, 2011, filed with the SEC on May 9, 2011 formatted in Extensible Business Reporting Language (XBRL): (i) the Condensed Consolidated Statements of Income for the quarters ended March 31, 2011 and 2010, (ii) the Condensed Consolidated Balance Sheets at March 31, 2011 and December 31, 2010,</w:t>
      </w:r>
    </w:p>
    <w:p>
      <w:pPr>
        <w:spacing w:after="0" w:line="1" w:lineRule="exact"/>
        <w:rPr>
          <w:sz w:val="20"/>
          <w:szCs w:val="20"/>
          <w:color w:val="auto"/>
        </w:rPr>
      </w:pPr>
    </w:p>
    <w:p>
      <w:pPr>
        <w:ind w:left="1380" w:right="280" w:firstLine="6"/>
        <w:spacing w:after="0" w:line="261" w:lineRule="auto"/>
        <w:tabs>
          <w:tab w:leader="none" w:pos="16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for the quarters ended March 31, 2011 and 2010, and (iv) Notes to Condensed Consolidated Financial Statements. **</w:t>
      </w:r>
    </w:p>
    <w:p>
      <w:pPr>
        <w:spacing w:after="0" w:line="1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0" w:lineRule="exact"/>
        <w:rPr>
          <w:rFonts w:ascii="Arial" w:cs="Arial" w:eastAsia="Arial" w:hAnsi="Arial"/>
          <w:sz w:val="18"/>
          <w:szCs w:val="18"/>
          <w:color w:val="auto"/>
        </w:rPr>
      </w:pPr>
    </w:p>
    <w:p>
      <w:pPr>
        <w:ind w:left="460" w:right="16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2" w:lineRule="exact"/>
        <w:rPr>
          <w:sz w:val="20"/>
          <w:szCs w:val="20"/>
          <w:color w:val="auto"/>
        </w:rPr>
      </w:pPr>
    </w:p>
    <w:p>
      <w:pPr>
        <w:ind w:left="460" w:right="4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9, 2007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February 28, 2011, and incorporated herein by reference.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560" w:val="left"/>
          <w:tab w:leader="none" w:pos="7780" w:val="left"/>
          <w:tab w:leader="none" w:pos="8120" w:val="left"/>
        </w:tabs>
        <w:rPr>
          <w:sz w:val="20"/>
          <w:szCs w:val="20"/>
          <w:color w:val="auto"/>
        </w:rPr>
      </w:pPr>
      <w:r>
        <w:rPr>
          <w:rFonts w:ascii="Arial" w:cs="Arial" w:eastAsia="Arial" w:hAnsi="Arial"/>
          <w:sz w:val="18"/>
          <w:szCs w:val="18"/>
          <w:color w:val="auto"/>
        </w:rPr>
        <w:t>Dated: May 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Matt Maddox</w:t>
      </w:r>
    </w:p>
    <w:p>
      <w:pPr>
        <w:jc w:val="center"/>
        <w:ind w:left="594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40"/>
          </w:cols>
          <w:pgMar w:left="240" w:top="459" w:right="11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Stephen A. Wynn, certify that:</w:t>
      </w:r>
    </w:p>
    <w:p>
      <w:pPr>
        <w:spacing w:after="0" w:line="21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9, 2011</w:t>
      </w:r>
    </w:p>
    <w:p>
      <w:pPr>
        <w:spacing w:after="0" w:line="21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19685</wp:posOffset>
            </wp:positionV>
            <wp:extent cx="28130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Matt Maddox, certify that:</w:t>
      </w:r>
    </w:p>
    <w:p>
      <w:pPr>
        <w:spacing w:after="0" w:line="21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9, 2011</w:t>
      </w:r>
    </w:p>
    <w:p>
      <w:pPr>
        <w:spacing w:after="0" w:line="21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19685</wp:posOffset>
            </wp:positionV>
            <wp:extent cx="28130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2011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280" w:type="dxa"/>
            <w:vAlign w:val="bottom"/>
            <w:tcBorders>
              <w:top w:val="single" w:sz="8" w:color="auto"/>
            </w:tcBorders>
          </w:tcPr>
          <w:p>
            <w:pPr>
              <w:ind w:left="160"/>
              <w:spacing w:after="0" w:line="203" w:lineRule="exact"/>
              <w:rPr>
                <w:sz w:val="20"/>
                <w:szCs w:val="20"/>
                <w:color w:val="auto"/>
              </w:rPr>
            </w:pPr>
            <w:r>
              <w:rPr>
                <w:rFonts w:ascii="Arial" w:cs="Arial" w:eastAsia="Arial" w:hAnsi="Arial"/>
                <w:sz w:val="18"/>
                <w:szCs w:val="18"/>
                <w:color w:val="auto"/>
              </w:rPr>
              <w:t>Stephen A. Wynn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May 9, 2011</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r>
      <w:tr>
        <w:trPr>
          <w:trHeight w:val="202"/>
        </w:trPr>
        <w:tc>
          <w:tcPr>
            <w:tcW w:w="64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280" w:type="dxa"/>
            <w:vAlign w:val="bottom"/>
          </w:tcPr>
          <w:p>
            <w:pPr>
              <w:ind w:left="160"/>
              <w:spacing w:after="0" w:line="202" w:lineRule="exact"/>
              <w:rPr>
                <w:sz w:val="20"/>
                <w:szCs w:val="20"/>
                <w:color w:val="auto"/>
              </w:rPr>
            </w:pPr>
            <w:r>
              <w:rPr>
                <w:rFonts w:ascii="Arial" w:cs="Arial" w:eastAsia="Arial" w:hAnsi="Arial"/>
                <w:sz w:val="18"/>
                <w:szCs w:val="18"/>
                <w:color w:val="auto"/>
              </w:rPr>
              <w:t>Matt Maddox</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May 9, 2011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0"/>
    </w:lvl>
  </w:abstractNum>
  <w:abstractNum w:abstractNumId="4">
    <w:nsid w:val="3352255A"/>
    <w:multiLevelType w:val="hybridMultilevel"/>
    <w:lvl w:ilvl="0">
      <w:lvlJc w:val="left"/>
      <w:lvlText w:val="%1."/>
      <w:numFmt w:val="decimal"/>
      <w:start w:val="14"/>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
      <w:numFmt w:val="bullet"/>
      <w:start w:val="1"/>
    </w:lvl>
    <w:lvl w:ilvl="1">
      <w:lvlJc w:val="left"/>
      <w:lvlText w:val="(%2)"/>
      <w:numFmt w:val="lowerRoman"/>
      <w:start w:val="3"/>
    </w:lvl>
  </w:abstractNum>
  <w:abstractNum w:abstractNumId="16">
    <w:nsid w:val="7C83E458"/>
    <w:multiLevelType w:val="hybridMultilevel"/>
    <w:lvl w:ilvl="0">
      <w:lvlJc w:val="left"/>
      <w:lvlText w:val="**"/>
      <w:numFmt w:val="bullet"/>
      <w:start w:val="1"/>
    </w:lvl>
    <w:lvl w:ilvl="1">
      <w:lvlJc w:val="left"/>
      <w:lvlText w:val="%2"/>
      <w:numFmt w:val="lowerRoman"/>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2019-12-10T23:00:22Z</dcterms:created>
  <dcterms:modified xsi:type="dcterms:W3CDTF">2019-12-10T23:00:22Z</dcterms:modified>
</cp:coreProperties>
</file>