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4"/>
          <w:szCs w:val="34"/>
          <w:b w:val="1"/>
          <w:bCs w:val="1"/>
          <w:color w:val="auto"/>
        </w:rPr>
        <w:t>UNITED STATES</w:t>
      </w:r>
    </w:p>
    <w:p>
      <w:pPr>
        <w:spacing w:after="0" w:line="56"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spacing w:after="0" w:line="31"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233045</wp:posOffset>
            </wp:positionV>
            <wp:extent cx="3051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left="160"/>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296545</wp:posOffset>
            </wp:positionV>
            <wp:extent cx="3051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CURRENT REPORT</w:t>
      </w:r>
    </w:p>
    <w:p>
      <w:pPr>
        <w:spacing w:after="0" w:line="32"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PURSUANT TO SECTION 13 OR 15(d)</w:t>
      </w:r>
    </w:p>
    <w:p>
      <w:pPr>
        <w:spacing w:after="0" w:line="6"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251"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Date of Report (Date of earliest event reported): March 8, 2019</w:t>
      </w:r>
    </w:p>
    <w:p>
      <w:pPr>
        <w:spacing w:after="0" w:line="262" w:lineRule="exact"/>
        <w:rPr>
          <w:sz w:val="24"/>
          <w:szCs w:val="24"/>
          <w:color w:val="auto"/>
        </w:rPr>
      </w:pPr>
    </w:p>
    <w:p>
      <w:pPr>
        <w:jc w:val="center"/>
        <w:ind w:right="-5"/>
        <w:spacing w:after="0"/>
        <w:rPr>
          <w:sz w:val="20"/>
          <w:szCs w:val="20"/>
          <w:color w:val="auto"/>
        </w:rPr>
      </w:pPr>
      <w:r>
        <w:rPr>
          <w:rFonts w:ascii="Arial" w:cs="Arial" w:eastAsia="Arial" w:hAnsi="Arial"/>
          <w:sz w:val="46"/>
          <w:szCs w:val="46"/>
          <w:b w:val="1"/>
          <w:bCs w:val="1"/>
          <w:color w:val="auto"/>
        </w:rPr>
        <w:t>WYNN RESORTS, LIMITED</w:t>
      </w:r>
    </w:p>
    <w:p>
      <w:pPr>
        <w:spacing w:after="0" w:line="45"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726" w:type="dxa"/>
        <w:tblCellMar>
          <w:top w:w="0" w:type="dxa"/>
          <w:left w:w="0" w:type="dxa"/>
          <w:bottom w:w="0" w:type="dxa"/>
          <w:right w:w="0" w:type="dxa"/>
        </w:tblCellMar>
      </w:tblPr>
      <w:tr>
        <w:trPr>
          <w:trHeight w:val="247"/>
        </w:trPr>
        <w:tc>
          <w:tcPr>
            <w:tcW w:w="2960" w:type="dxa"/>
            <w:vAlign w:val="bottom"/>
          </w:tcPr>
          <w:p>
            <w:pPr>
              <w:jc w:val="center"/>
              <w:ind w:right="234"/>
              <w:spacing w:after="0"/>
              <w:rPr>
                <w:sz w:val="20"/>
                <w:szCs w:val="20"/>
                <w:color w:val="auto"/>
              </w:rPr>
            </w:pPr>
            <w:r>
              <w:rPr>
                <w:rFonts w:ascii="Arial" w:cs="Arial" w:eastAsia="Arial" w:hAnsi="Arial"/>
                <w:sz w:val="19"/>
                <w:szCs w:val="19"/>
                <w:b w:val="1"/>
                <w:bCs w:val="1"/>
                <w:color w:val="auto"/>
                <w:w w:val="88"/>
              </w:rPr>
              <w:t>Nevada</w:t>
            </w:r>
          </w:p>
        </w:tc>
        <w:tc>
          <w:tcPr>
            <w:tcW w:w="5000" w:type="dxa"/>
            <w:vAlign w:val="bottom"/>
          </w:tcPr>
          <w:p>
            <w:pPr>
              <w:jc w:val="center"/>
              <w:ind w:right="256"/>
              <w:spacing w:after="0"/>
              <w:rPr>
                <w:sz w:val="20"/>
                <w:szCs w:val="20"/>
                <w:color w:val="auto"/>
              </w:rPr>
            </w:pPr>
            <w:r>
              <w:rPr>
                <w:rFonts w:ascii="Arial" w:cs="Arial" w:eastAsia="Arial" w:hAnsi="Arial"/>
                <w:sz w:val="19"/>
                <w:szCs w:val="19"/>
                <w:b w:val="1"/>
                <w:bCs w:val="1"/>
                <w:color w:val="auto"/>
                <w:w w:val="90"/>
              </w:rPr>
              <w:t>000-50028</w:t>
            </w:r>
          </w:p>
        </w:tc>
        <w:tc>
          <w:tcPr>
            <w:tcW w:w="1880" w:type="dxa"/>
            <w:vAlign w:val="bottom"/>
          </w:tcPr>
          <w:p>
            <w:pPr>
              <w:jc w:val="right"/>
              <w:ind w:right="56"/>
              <w:spacing w:after="0"/>
              <w:rPr>
                <w:sz w:val="20"/>
                <w:szCs w:val="20"/>
                <w:color w:val="auto"/>
              </w:rPr>
            </w:pPr>
            <w:r>
              <w:rPr>
                <w:rFonts w:ascii="Arial" w:cs="Arial" w:eastAsia="Arial" w:hAnsi="Arial"/>
                <w:sz w:val="19"/>
                <w:szCs w:val="19"/>
                <w:b w:val="1"/>
                <w:bCs w:val="1"/>
                <w:color w:val="auto"/>
              </w:rPr>
              <w:t>46-0484987</w:t>
            </w:r>
          </w:p>
        </w:tc>
      </w:tr>
      <w:tr>
        <w:trPr>
          <w:trHeight w:val="192"/>
        </w:trPr>
        <w:tc>
          <w:tcPr>
            <w:tcW w:w="2960" w:type="dxa"/>
            <w:vAlign w:val="bottom"/>
          </w:tcPr>
          <w:p>
            <w:pPr>
              <w:jc w:val="center"/>
              <w:ind w:right="234"/>
              <w:spacing w:after="0"/>
              <w:rPr>
                <w:sz w:val="20"/>
                <w:szCs w:val="20"/>
                <w:color w:val="auto"/>
              </w:rPr>
            </w:pPr>
            <w:r>
              <w:rPr>
                <w:rFonts w:ascii="Arial" w:cs="Arial" w:eastAsia="Arial" w:hAnsi="Arial"/>
                <w:sz w:val="15"/>
                <w:szCs w:val="15"/>
                <w:b w:val="1"/>
                <w:bCs w:val="1"/>
                <w:color w:val="auto"/>
                <w:w w:val="91"/>
              </w:rPr>
              <w:t>(State or other jurisdiction</w:t>
            </w:r>
          </w:p>
        </w:tc>
        <w:tc>
          <w:tcPr>
            <w:tcW w:w="5000" w:type="dxa"/>
            <w:vAlign w:val="bottom"/>
          </w:tcPr>
          <w:p>
            <w:pPr>
              <w:jc w:val="center"/>
              <w:ind w:right="256"/>
              <w:spacing w:after="0"/>
              <w:rPr>
                <w:sz w:val="20"/>
                <w:szCs w:val="20"/>
                <w:color w:val="auto"/>
              </w:rPr>
            </w:pPr>
            <w:r>
              <w:rPr>
                <w:rFonts w:ascii="Arial" w:cs="Arial" w:eastAsia="Arial" w:hAnsi="Arial"/>
                <w:sz w:val="15"/>
                <w:szCs w:val="15"/>
                <w:b w:val="1"/>
                <w:bCs w:val="1"/>
                <w:color w:val="auto"/>
                <w:w w:val="90"/>
              </w:rPr>
              <w:t>(Commission</w:t>
            </w:r>
          </w:p>
        </w:tc>
        <w:tc>
          <w:tcPr>
            <w:tcW w:w="1880" w:type="dxa"/>
            <w:vAlign w:val="bottom"/>
          </w:tcPr>
          <w:p>
            <w:pPr>
              <w:jc w:val="center"/>
              <w:ind w:left="616"/>
              <w:spacing w:after="0"/>
              <w:rPr>
                <w:sz w:val="20"/>
                <w:szCs w:val="20"/>
                <w:color w:val="auto"/>
              </w:rPr>
            </w:pPr>
            <w:r>
              <w:rPr>
                <w:rFonts w:ascii="Arial" w:cs="Arial" w:eastAsia="Arial" w:hAnsi="Arial"/>
                <w:sz w:val="15"/>
                <w:szCs w:val="15"/>
                <w:b w:val="1"/>
                <w:bCs w:val="1"/>
                <w:color w:val="auto"/>
                <w:w w:val="95"/>
              </w:rPr>
              <w:t>(I.R.S. Employer</w:t>
            </w:r>
          </w:p>
        </w:tc>
      </w:tr>
      <w:tr>
        <w:trPr>
          <w:trHeight w:val="195"/>
        </w:trPr>
        <w:tc>
          <w:tcPr>
            <w:tcW w:w="2960" w:type="dxa"/>
            <w:vAlign w:val="bottom"/>
          </w:tcPr>
          <w:p>
            <w:pPr>
              <w:jc w:val="center"/>
              <w:ind w:right="234"/>
              <w:spacing w:after="0"/>
              <w:rPr>
                <w:sz w:val="20"/>
                <w:szCs w:val="20"/>
                <w:color w:val="auto"/>
              </w:rPr>
            </w:pPr>
            <w:r>
              <w:rPr>
                <w:rFonts w:ascii="Arial" w:cs="Arial" w:eastAsia="Arial" w:hAnsi="Arial"/>
                <w:sz w:val="15"/>
                <w:szCs w:val="15"/>
                <w:b w:val="1"/>
                <w:bCs w:val="1"/>
                <w:color w:val="auto"/>
                <w:w w:val="93"/>
              </w:rPr>
              <w:t>of incorporation)</w:t>
            </w:r>
          </w:p>
        </w:tc>
        <w:tc>
          <w:tcPr>
            <w:tcW w:w="5000" w:type="dxa"/>
            <w:vAlign w:val="bottom"/>
          </w:tcPr>
          <w:p>
            <w:pPr>
              <w:jc w:val="center"/>
              <w:ind w:right="276"/>
              <w:spacing w:after="0"/>
              <w:rPr>
                <w:sz w:val="20"/>
                <w:szCs w:val="20"/>
                <w:color w:val="auto"/>
              </w:rPr>
            </w:pPr>
            <w:r>
              <w:rPr>
                <w:rFonts w:ascii="Arial" w:cs="Arial" w:eastAsia="Arial" w:hAnsi="Arial"/>
                <w:sz w:val="15"/>
                <w:szCs w:val="15"/>
                <w:b w:val="1"/>
                <w:bCs w:val="1"/>
                <w:color w:val="auto"/>
                <w:w w:val="95"/>
              </w:rPr>
              <w:t>File Number)</w:t>
            </w:r>
          </w:p>
        </w:tc>
        <w:tc>
          <w:tcPr>
            <w:tcW w:w="1880" w:type="dxa"/>
            <w:vAlign w:val="bottom"/>
          </w:tcPr>
          <w:p>
            <w:pPr>
              <w:jc w:val="center"/>
              <w:ind w:left="596"/>
              <w:spacing w:after="0"/>
              <w:rPr>
                <w:sz w:val="20"/>
                <w:szCs w:val="20"/>
                <w:color w:val="auto"/>
              </w:rPr>
            </w:pPr>
            <w:r>
              <w:rPr>
                <w:rFonts w:ascii="Arial" w:cs="Arial" w:eastAsia="Arial" w:hAnsi="Arial"/>
                <w:sz w:val="15"/>
                <w:szCs w:val="15"/>
                <w:b w:val="1"/>
                <w:bCs w:val="1"/>
                <w:color w:val="auto"/>
                <w:w w:val="94"/>
              </w:rPr>
              <w:t>Identification No.)</w:t>
            </w:r>
          </w:p>
        </w:tc>
      </w:tr>
      <w:tr>
        <w:trPr>
          <w:trHeight w:val="249"/>
        </w:trPr>
        <w:tc>
          <w:tcPr>
            <w:tcW w:w="2960" w:type="dxa"/>
            <w:vAlign w:val="bottom"/>
          </w:tcPr>
          <w:p>
            <w:pPr>
              <w:jc w:val="center"/>
              <w:ind w:right="234"/>
              <w:spacing w:after="0"/>
              <w:rPr>
                <w:sz w:val="20"/>
                <w:szCs w:val="20"/>
                <w:color w:val="auto"/>
              </w:rPr>
            </w:pPr>
            <w:r>
              <w:rPr>
                <w:rFonts w:ascii="Arial" w:cs="Arial" w:eastAsia="Arial" w:hAnsi="Arial"/>
                <w:sz w:val="19"/>
                <w:szCs w:val="19"/>
                <w:b w:val="1"/>
                <w:bCs w:val="1"/>
                <w:color w:val="auto"/>
                <w:w w:val="88"/>
              </w:rPr>
              <w:t>3131 Las Vegas Boulevard South</w:t>
            </w:r>
          </w:p>
        </w:tc>
        <w:tc>
          <w:tcPr>
            <w:tcW w:w="50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47"/>
        </w:trPr>
        <w:tc>
          <w:tcPr>
            <w:tcW w:w="2960" w:type="dxa"/>
            <w:vAlign w:val="bottom"/>
          </w:tcPr>
          <w:p>
            <w:pPr>
              <w:jc w:val="center"/>
              <w:ind w:right="234"/>
              <w:spacing w:after="0"/>
              <w:rPr>
                <w:sz w:val="20"/>
                <w:szCs w:val="20"/>
                <w:color w:val="auto"/>
              </w:rPr>
            </w:pPr>
            <w:r>
              <w:rPr>
                <w:rFonts w:ascii="Arial" w:cs="Arial" w:eastAsia="Arial" w:hAnsi="Arial"/>
                <w:sz w:val="19"/>
                <w:szCs w:val="19"/>
                <w:b w:val="1"/>
                <w:bCs w:val="1"/>
                <w:color w:val="auto"/>
                <w:w w:val="88"/>
              </w:rPr>
              <w:t>Las Vegas, Nevada</w:t>
            </w:r>
          </w:p>
        </w:tc>
        <w:tc>
          <w:tcPr>
            <w:tcW w:w="5000" w:type="dxa"/>
            <w:vAlign w:val="bottom"/>
          </w:tcPr>
          <w:p>
            <w:pPr>
              <w:spacing w:after="0"/>
              <w:rPr>
                <w:sz w:val="21"/>
                <w:szCs w:val="21"/>
                <w:color w:val="auto"/>
              </w:rPr>
            </w:pPr>
          </w:p>
        </w:tc>
        <w:tc>
          <w:tcPr>
            <w:tcW w:w="1880" w:type="dxa"/>
            <w:vAlign w:val="bottom"/>
          </w:tcPr>
          <w:p>
            <w:pPr>
              <w:jc w:val="right"/>
              <w:ind w:right="276"/>
              <w:spacing w:after="0"/>
              <w:rPr>
                <w:sz w:val="20"/>
                <w:szCs w:val="20"/>
                <w:color w:val="auto"/>
              </w:rPr>
            </w:pPr>
            <w:r>
              <w:rPr>
                <w:rFonts w:ascii="Arial" w:cs="Arial" w:eastAsia="Arial" w:hAnsi="Arial"/>
                <w:sz w:val="19"/>
                <w:szCs w:val="19"/>
                <w:b w:val="1"/>
                <w:bCs w:val="1"/>
                <w:color w:val="auto"/>
              </w:rPr>
              <w:t>89109</w:t>
            </w:r>
          </w:p>
        </w:tc>
      </w:tr>
      <w:tr>
        <w:trPr>
          <w:trHeight w:val="230"/>
        </w:trPr>
        <w:tc>
          <w:tcPr>
            <w:tcW w:w="2960" w:type="dxa"/>
            <w:vAlign w:val="bottom"/>
          </w:tcPr>
          <w:p>
            <w:pPr>
              <w:jc w:val="center"/>
              <w:ind w:right="234"/>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5000" w:type="dxa"/>
            <w:vAlign w:val="bottom"/>
          </w:tcPr>
          <w:p>
            <w:pPr>
              <w:spacing w:after="0"/>
              <w:rPr>
                <w:sz w:val="20"/>
                <w:szCs w:val="20"/>
                <w:color w:val="auto"/>
              </w:rPr>
            </w:pPr>
          </w:p>
        </w:tc>
        <w:tc>
          <w:tcPr>
            <w:tcW w:w="1880" w:type="dxa"/>
            <w:vAlign w:val="bottom"/>
          </w:tcPr>
          <w:p>
            <w:pPr>
              <w:jc w:val="center"/>
              <w:ind w:left="616"/>
              <w:spacing w:after="0"/>
              <w:rPr>
                <w:sz w:val="20"/>
                <w:szCs w:val="20"/>
                <w:color w:val="auto"/>
              </w:rPr>
            </w:pPr>
            <w:r>
              <w:rPr>
                <w:rFonts w:ascii="Arial" w:cs="Arial" w:eastAsia="Arial" w:hAnsi="Arial"/>
                <w:sz w:val="15"/>
                <w:szCs w:val="15"/>
                <w:b w:val="1"/>
                <w:bCs w:val="1"/>
                <w:color w:val="auto"/>
                <w:w w:val="94"/>
              </w:rPr>
              <w:t>(Zip Code)</w:t>
            </w:r>
          </w:p>
        </w:tc>
      </w:tr>
      <w:tr>
        <w:trPr>
          <w:trHeight w:val="289"/>
        </w:trPr>
        <w:tc>
          <w:tcPr>
            <w:tcW w:w="2960" w:type="dxa"/>
            <w:vAlign w:val="bottom"/>
          </w:tcPr>
          <w:p>
            <w:pPr>
              <w:spacing w:after="0"/>
              <w:rPr>
                <w:sz w:val="24"/>
                <w:szCs w:val="24"/>
                <w:color w:val="auto"/>
              </w:rPr>
            </w:pPr>
          </w:p>
        </w:tc>
        <w:tc>
          <w:tcPr>
            <w:tcW w:w="5000" w:type="dxa"/>
            <w:vAlign w:val="bottom"/>
          </w:tcPr>
          <w:p>
            <w:pPr>
              <w:jc w:val="center"/>
              <w:ind w:right="276"/>
              <w:spacing w:after="0"/>
              <w:rPr>
                <w:sz w:val="20"/>
                <w:szCs w:val="20"/>
                <w:color w:val="auto"/>
              </w:rPr>
            </w:pPr>
            <w:r>
              <w:rPr>
                <w:rFonts w:ascii="Arial" w:cs="Arial" w:eastAsia="Arial" w:hAnsi="Arial"/>
                <w:sz w:val="19"/>
                <w:szCs w:val="19"/>
                <w:b w:val="1"/>
                <w:bCs w:val="1"/>
                <w:color w:val="auto"/>
                <w:w w:val="92"/>
              </w:rPr>
              <w:t>(702) 770-7555</w:t>
            </w:r>
          </w:p>
        </w:tc>
        <w:tc>
          <w:tcPr>
            <w:tcW w:w="1880" w:type="dxa"/>
            <w:vAlign w:val="bottom"/>
          </w:tcPr>
          <w:p>
            <w:pPr>
              <w:spacing w:after="0"/>
              <w:rPr>
                <w:sz w:val="24"/>
                <w:szCs w:val="24"/>
                <w:color w:val="auto"/>
              </w:rPr>
            </w:pPr>
          </w:p>
        </w:tc>
      </w:tr>
      <w:tr>
        <w:trPr>
          <w:trHeight w:val="174"/>
        </w:trPr>
        <w:tc>
          <w:tcPr>
            <w:tcW w:w="2960" w:type="dxa"/>
            <w:vAlign w:val="bottom"/>
          </w:tcPr>
          <w:p>
            <w:pPr>
              <w:spacing w:after="0"/>
              <w:rPr>
                <w:sz w:val="15"/>
                <w:szCs w:val="15"/>
                <w:color w:val="auto"/>
              </w:rPr>
            </w:pPr>
          </w:p>
        </w:tc>
        <w:tc>
          <w:tcPr>
            <w:tcW w:w="5000" w:type="dxa"/>
            <w:vAlign w:val="bottom"/>
          </w:tcPr>
          <w:p>
            <w:pPr>
              <w:jc w:val="center"/>
              <w:ind w:right="276"/>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1880" w:type="dxa"/>
            <w:vAlign w:val="bottom"/>
          </w:tcPr>
          <w:p>
            <w:pPr>
              <w:spacing w:after="0"/>
              <w:rPr>
                <w:sz w:val="15"/>
                <w:szCs w:val="15"/>
                <w:color w:val="auto"/>
              </w:rPr>
            </w:pPr>
          </w:p>
        </w:tc>
      </w:tr>
      <w:tr>
        <w:trPr>
          <w:trHeight w:val="225"/>
        </w:trPr>
        <w:tc>
          <w:tcPr>
            <w:tcW w:w="2960" w:type="dxa"/>
            <w:vAlign w:val="bottom"/>
          </w:tcPr>
          <w:p>
            <w:pPr>
              <w:spacing w:after="0"/>
              <w:rPr>
                <w:sz w:val="19"/>
                <w:szCs w:val="19"/>
                <w:color w:val="auto"/>
              </w:rPr>
            </w:pPr>
          </w:p>
        </w:tc>
        <w:tc>
          <w:tcPr>
            <w:tcW w:w="5000" w:type="dxa"/>
            <w:vAlign w:val="bottom"/>
          </w:tcPr>
          <w:p>
            <w:pPr>
              <w:jc w:val="center"/>
              <w:ind w:right="296"/>
              <w:spacing w:after="0"/>
              <w:rPr>
                <w:sz w:val="20"/>
                <w:szCs w:val="20"/>
                <w:color w:val="auto"/>
              </w:rPr>
            </w:pPr>
            <w:r>
              <w:rPr>
                <w:rFonts w:ascii="Arial" w:cs="Arial" w:eastAsia="Arial" w:hAnsi="Arial"/>
                <w:sz w:val="19"/>
                <w:szCs w:val="19"/>
                <w:b w:val="1"/>
                <w:bCs w:val="1"/>
                <w:color w:val="auto"/>
                <w:w w:val="91"/>
              </w:rPr>
              <w:t>Not Applicable</w:t>
            </w:r>
          </w:p>
        </w:tc>
        <w:tc>
          <w:tcPr>
            <w:tcW w:w="1880" w:type="dxa"/>
            <w:vAlign w:val="bottom"/>
          </w:tcPr>
          <w:p>
            <w:pPr>
              <w:spacing w:after="0"/>
              <w:rPr>
                <w:sz w:val="19"/>
                <w:szCs w:val="19"/>
                <w:color w:val="auto"/>
              </w:rPr>
            </w:pPr>
          </w:p>
        </w:tc>
      </w:tr>
      <w:tr>
        <w:trPr>
          <w:trHeight w:val="195"/>
        </w:trPr>
        <w:tc>
          <w:tcPr>
            <w:tcW w:w="2960" w:type="dxa"/>
            <w:vAlign w:val="bottom"/>
          </w:tcPr>
          <w:p>
            <w:pPr>
              <w:spacing w:after="0"/>
              <w:rPr>
                <w:sz w:val="16"/>
                <w:szCs w:val="16"/>
                <w:color w:val="auto"/>
              </w:rPr>
            </w:pPr>
          </w:p>
        </w:tc>
        <w:tc>
          <w:tcPr>
            <w:tcW w:w="5000" w:type="dxa"/>
            <w:vAlign w:val="bottom"/>
          </w:tcPr>
          <w:p>
            <w:pPr>
              <w:jc w:val="center"/>
              <w:ind w:right="296"/>
              <w:spacing w:after="0"/>
              <w:rPr>
                <w:sz w:val="20"/>
                <w:szCs w:val="20"/>
                <w:color w:val="auto"/>
              </w:rPr>
            </w:pPr>
            <w:r>
              <w:rPr>
                <w:rFonts w:ascii="Arial" w:cs="Arial" w:eastAsia="Arial" w:hAnsi="Arial"/>
                <w:sz w:val="15"/>
                <w:szCs w:val="15"/>
                <w:b w:val="1"/>
                <w:bCs w:val="1"/>
                <w:color w:val="auto"/>
                <w:w w:val="91"/>
              </w:rPr>
              <w:t>(Former name or former address, if changed since last report)</w:t>
            </w:r>
          </w:p>
        </w:tc>
        <w:tc>
          <w:tcPr>
            <w:tcW w:w="1880" w:type="dxa"/>
            <w:vAlign w:val="bottom"/>
          </w:tcPr>
          <w:p>
            <w:pPr>
              <w:spacing w:after="0"/>
              <w:rPr>
                <w:sz w:val="16"/>
                <w:szCs w:val="16"/>
                <w:color w:val="auto"/>
              </w:rPr>
            </w:pPr>
          </w:p>
        </w:tc>
      </w:tr>
    </w:tbl>
    <w:p>
      <w:pPr>
        <w:spacing w:after="0" w:line="200" w:lineRule="exact"/>
        <w:rPr>
          <w:sz w:val="24"/>
          <w:szCs w:val="24"/>
          <w:color w:val="auto"/>
        </w:rPr>
      </w:pPr>
    </w:p>
    <w:p>
      <w:pPr>
        <w:spacing w:after="0" w:line="241" w:lineRule="exact"/>
        <w:rPr>
          <w:sz w:val="24"/>
          <w:szCs w:val="24"/>
          <w:color w:val="auto"/>
        </w:rPr>
      </w:pPr>
    </w:p>
    <w:p>
      <w:pPr>
        <w:ind w:left="6"/>
        <w:spacing w:after="0" w:line="25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6" w:hanging="366"/>
        <w:spacing w:after="0"/>
        <w:tabs>
          <w:tab w:leader="none" w:pos="3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6" w:lineRule="exact"/>
        <w:rPr>
          <w:rFonts w:ascii="MS PGothic" w:cs="MS PGothic" w:eastAsia="MS PGothic" w:hAnsi="MS PGothic"/>
          <w:sz w:val="19"/>
          <w:szCs w:val="19"/>
          <w:color w:val="auto"/>
        </w:rPr>
      </w:pPr>
    </w:p>
    <w:p>
      <w:pPr>
        <w:ind w:left="366" w:hanging="366"/>
        <w:spacing w:after="0"/>
        <w:tabs>
          <w:tab w:leader="none" w:pos="3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9" w:lineRule="exact"/>
        <w:rPr>
          <w:rFonts w:ascii="MS PGothic" w:cs="MS PGothic" w:eastAsia="MS PGothic" w:hAnsi="MS PGothic"/>
          <w:sz w:val="19"/>
          <w:szCs w:val="19"/>
          <w:color w:val="auto"/>
        </w:rPr>
      </w:pPr>
    </w:p>
    <w:p>
      <w:pPr>
        <w:ind w:left="366" w:hanging="366"/>
        <w:spacing w:after="0"/>
        <w:tabs>
          <w:tab w:leader="none" w:pos="3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9" w:lineRule="exact"/>
        <w:rPr>
          <w:rFonts w:ascii="MS PGothic" w:cs="MS PGothic" w:eastAsia="MS PGothic" w:hAnsi="MS PGothic"/>
          <w:sz w:val="19"/>
          <w:szCs w:val="19"/>
          <w:color w:val="auto"/>
        </w:rPr>
      </w:pPr>
    </w:p>
    <w:p>
      <w:pPr>
        <w:ind w:left="366" w:hanging="366"/>
        <w:spacing w:after="0"/>
        <w:tabs>
          <w:tab w:leader="none" w:pos="3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10" w:lineRule="exact"/>
        <w:rPr>
          <w:sz w:val="24"/>
          <w:szCs w:val="24"/>
          <w:color w:val="auto"/>
        </w:rPr>
      </w:pPr>
    </w:p>
    <w:p>
      <w:pPr>
        <w:ind w:left="6" w:right="20"/>
        <w:spacing w:after="0" w:line="246"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17" w:lineRule="exact"/>
        <w:rPr>
          <w:sz w:val="24"/>
          <w:szCs w:val="24"/>
          <w:color w:val="auto"/>
        </w:rPr>
      </w:pPr>
    </w:p>
    <w:p>
      <w:pPr>
        <w:ind w:left="6"/>
        <w:spacing w:after="0" w:line="23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2240" w:h="15840" w:orient="portrait"/>
          <w:cols w:equalWidth="0" w:num="1">
            <w:col w:w="12006"/>
          </w:cols>
          <w:pgMar w:left="114" w:top="995" w:right="120" w:bottom="1440" w:gutter="0" w:footer="0" w:header="0"/>
        </w:sectPr>
      </w:pPr>
    </w:p>
    <w:bookmarkStart w:id="1" w:name="page2"/>
    <w:bookmarkEnd w:id="1"/>
    <w:p>
      <w:pPr>
        <w:ind w:left="20"/>
        <w:spacing w:after="0"/>
        <w:tabs>
          <w:tab w:leader="none" w:pos="1080" w:val="left"/>
        </w:tabs>
        <w:rPr>
          <w:sz w:val="20"/>
          <w:szCs w:val="20"/>
          <w:color w:val="auto"/>
        </w:rPr>
      </w:pPr>
      <w:r>
        <w:rPr>
          <w:rFonts w:ascii="Arial" w:cs="Arial" w:eastAsia="Arial" w:hAnsi="Arial"/>
          <w:sz w:val="19"/>
          <w:szCs w:val="19"/>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9"/>
          <w:szCs w:val="19"/>
          <w:color w:val="auto"/>
        </w:rPr>
        <w:t>The information set forth in Item 2.03 of this report is incorporated herein by reference.</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9"/>
          <w:szCs w:val="19"/>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27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9"/>
          <w:szCs w:val="19"/>
          <w:color w:val="auto"/>
        </w:rPr>
        <w:t>As previously disclosed, on October 30, 2018, Wynn Resorts, Limited (the “Company”), and certain subsidiaries of the Company entered into a Credit Agreement (the “Credit Agreement”) with Deutsche Bank AG New York Branch (“Deutsche Bank”), as administrative agent and as collateral agent, and the lenders party thereto. The Credit Agreement provides for a six-year term loan facility to the Company in an aggregate principal amount of $500 million (the “Term Loan”). The Term Loan bears interest at LIBOR plus 2.25% per annum.</w:t>
      </w:r>
    </w:p>
    <w:p>
      <w:pPr>
        <w:spacing w:after="0" w:line="198" w:lineRule="exact"/>
        <w:rPr>
          <w:sz w:val="20"/>
          <w:szCs w:val="20"/>
          <w:color w:val="auto"/>
        </w:rPr>
      </w:pPr>
    </w:p>
    <w:p>
      <w:pPr>
        <w:jc w:val="both"/>
        <w:ind w:firstLine="428"/>
        <w:spacing w:after="0" w:line="274" w:lineRule="auto"/>
        <w:rPr>
          <w:sz w:val="20"/>
          <w:szCs w:val="20"/>
          <w:color w:val="auto"/>
        </w:rPr>
      </w:pPr>
      <w:r>
        <w:rPr>
          <w:rFonts w:ascii="Arial" w:cs="Arial" w:eastAsia="Arial" w:hAnsi="Arial"/>
          <w:sz w:val="18"/>
          <w:szCs w:val="18"/>
          <w:color w:val="auto"/>
        </w:rPr>
        <w:t>On March 8, 2019, the Company, certain subsidiaries of the Company, Deutsche Bank, as administrative agent, and certain incremental term facility lenders entered into an Incremental Joinder Agreement No. 1 (the “Incremental Joinder Agreement”) that amends the Credit Agreement to, among other things, provide the Company with an additional $250 million of term loans (the “Additional Term Loans”), on substantially similar terms as the Term Loan. The Company intends to use the net proceeds of the Additional Term Loans for general corporate purposes, including without limitation, repurchases of the Company’s common stock, investments in subsidiaries, and/or capital expenditures.</w:t>
      </w:r>
    </w:p>
    <w:p>
      <w:pPr>
        <w:spacing w:after="0" w:line="188" w:lineRule="exact"/>
        <w:rPr>
          <w:sz w:val="20"/>
          <w:szCs w:val="20"/>
          <w:color w:val="auto"/>
        </w:rPr>
      </w:pPr>
    </w:p>
    <w:p>
      <w:pPr>
        <w:jc w:val="both"/>
        <w:ind w:firstLine="428"/>
        <w:spacing w:after="0" w:line="336" w:lineRule="auto"/>
        <w:rPr>
          <w:sz w:val="20"/>
          <w:szCs w:val="20"/>
          <w:color w:val="auto"/>
        </w:rPr>
      </w:pPr>
      <w:r>
        <w:rPr>
          <w:rFonts w:ascii="Arial" w:cs="Arial" w:eastAsia="Arial" w:hAnsi="Arial"/>
          <w:sz w:val="17"/>
          <w:szCs w:val="17"/>
          <w:color w:val="auto"/>
        </w:rPr>
        <w:t>The foregoing description of the Incremental Joinder Agreement does not purport to be complete and is qualified in its entirety by reference to the full text of the agreement, a copy of which will be filed as an exhibit to the Company’s Quarterly Report on Form 10-Q for the quarter ended March 31, 2019.</w:t>
      </w:r>
    </w:p>
    <w:p>
      <w:pPr>
        <w:spacing w:after="0" w:line="30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9"/>
          <w:szCs w:val="19"/>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72" w:lineRule="exact"/>
        <w:rPr>
          <w:sz w:val="20"/>
          <w:szCs w:val="20"/>
          <w:color w:val="auto"/>
        </w:rPr>
      </w:pPr>
    </w:p>
    <w:p>
      <w:pPr>
        <w:jc w:val="both"/>
        <w:ind w:firstLine="428"/>
        <w:spacing w:after="0" w:line="274" w:lineRule="auto"/>
        <w:rPr>
          <w:sz w:val="20"/>
          <w:szCs w:val="20"/>
          <w:color w:val="auto"/>
        </w:rPr>
      </w:pPr>
      <w:r>
        <w:rPr>
          <w:rFonts w:ascii="Arial" w:cs="Arial" w:eastAsia="Arial" w:hAnsi="Arial"/>
          <w:sz w:val="18"/>
          <w:szCs w:val="18"/>
          <w:color w:val="auto"/>
        </w:rPr>
        <w:t>As previously disclosed, on September 19, 2018, the Company entered into a commitment letter providing for a 364-day term loan facility to the Company in an aggregate principal amount of up to $750 million (as subsequently amended and restated to add additional lenders, the “Commitment Letter”). On October 24, 2018, the Company agreed to terminate $500 million of the lenders' commitments under the Commitment Letter. On March 8, 2019 in connection with the Additional Term Loans, the Company agreed to terminate the remaining $250 million of the lenders' commitments under the Commitment Letter. Accordingly, there are no remaining commitments under the Commitment Letter.</w:t>
      </w:r>
    </w:p>
    <w:p>
      <w:pPr>
        <w:spacing w:after="0" w:line="188" w:lineRule="exact"/>
        <w:rPr>
          <w:sz w:val="20"/>
          <w:szCs w:val="20"/>
          <w:color w:val="auto"/>
        </w:rPr>
      </w:pPr>
    </w:p>
    <w:p>
      <w:pPr>
        <w:jc w:val="both"/>
        <w:ind w:firstLine="428"/>
        <w:spacing w:after="0" w:line="263" w:lineRule="auto"/>
        <w:rPr>
          <w:sz w:val="20"/>
          <w:szCs w:val="20"/>
          <w:color w:val="auto"/>
        </w:rPr>
      </w:pPr>
      <w:r>
        <w:rPr>
          <w:rFonts w:ascii="Arial" w:cs="Arial" w:eastAsia="Arial" w:hAnsi="Arial"/>
          <w:sz w:val="19"/>
          <w:szCs w:val="19"/>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2240" w:h="15840" w:orient="portrait"/>
          <w:cols w:equalWidth="0" w:num="1">
            <w:col w:w="12000"/>
          </w:cols>
          <w:pgMar w:left="120" w:top="407" w:right="120" w:bottom="1440" w:gutter="0" w:footer="0" w:header="0"/>
        </w:sectPr>
      </w:pPr>
    </w:p>
    <w:bookmarkStart w:id="2" w:name="page3"/>
    <w:bookmarkEnd w:id="2"/>
    <w:p>
      <w:pPr>
        <w:jc w:val="center"/>
        <w:ind w:left="460"/>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firstLine="456"/>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7960"/>
        <w:spacing w:after="0"/>
        <w:rPr>
          <w:sz w:val="20"/>
          <w:szCs w:val="20"/>
          <w:color w:val="auto"/>
        </w:rPr>
      </w:pPr>
      <w:r>
        <w:rPr>
          <w:rFonts w:ascii="Arial" w:cs="Arial" w:eastAsia="Arial" w:hAnsi="Arial"/>
          <w:sz w:val="19"/>
          <w:szCs w:val="19"/>
          <w:b w:val="1"/>
          <w:bCs w:val="1"/>
          <w:color w:val="auto"/>
        </w:rPr>
        <w:t>WYNN RESORTS, LIMITED</w:t>
      </w:r>
    </w:p>
    <w:p>
      <w:pPr>
        <w:spacing w:after="0" w:line="358" w:lineRule="exact"/>
        <w:rPr>
          <w:sz w:val="20"/>
          <w:szCs w:val="20"/>
          <w:color w:val="auto"/>
        </w:rPr>
      </w:pPr>
    </w:p>
    <w:p>
      <w:pPr>
        <w:ind w:left="20"/>
        <w:spacing w:after="0"/>
        <w:tabs>
          <w:tab w:leader="none" w:pos="6980" w:val="left"/>
          <w:tab w:leader="none" w:pos="7940" w:val="left"/>
        </w:tabs>
        <w:rPr>
          <w:sz w:val="20"/>
          <w:szCs w:val="20"/>
          <w:color w:val="auto"/>
        </w:rPr>
      </w:pPr>
      <w:r>
        <w:rPr>
          <w:rFonts w:ascii="Arial" w:cs="Arial" w:eastAsia="Arial" w:hAnsi="Arial"/>
          <w:sz w:val="19"/>
          <w:szCs w:val="19"/>
          <w:color w:val="auto"/>
        </w:rPr>
        <w:t>Dated: March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33020</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47"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Craig S. Billings</w:t>
      </w:r>
    </w:p>
    <w:p>
      <w:pPr>
        <w:spacing w:after="0" w:line="67"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Chief Financial Officer and Treasurer</w:t>
      </w:r>
    </w:p>
    <w:p>
      <w:pPr>
        <w:spacing w:after="0" w:line="67"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(Principal Financial and Accounting Officer)</w:t>
      </w:r>
    </w:p>
    <w:sectPr>
      <w:pgSz w:w="12240" w:h="15840" w:orient="portrait"/>
      <w:cols w:equalWidth="0" w:num="1">
        <w:col w:w="12000"/>
      </w:cols>
      <w:pgMar w:left="120" w:top="236"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2019-12-15T05:44:02Z</dcterms:created>
  <dcterms:modified xsi:type="dcterms:W3CDTF">2019-12-15T05:44:02Z</dcterms:modified>
</cp:coreProperties>
</file>