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28" w:lineRule="exact"/>
        <w:rPr>
          <w:sz w:val="24"/>
          <w:szCs w:val="24"/>
          <w:color w:val="auto"/>
        </w:rPr>
      </w:pPr>
    </w:p>
    <w:p>
      <w:pPr>
        <w:ind w:left="2620"/>
        <w:spacing w:after="0"/>
        <w:rPr>
          <w:sz w:val="20"/>
          <w:szCs w:val="20"/>
          <w:color w:val="auto"/>
        </w:rPr>
      </w:pPr>
      <w:r>
        <w:rPr>
          <w:rFonts w:ascii="Arial" w:cs="Arial" w:eastAsia="Arial" w:hAnsi="Arial"/>
          <w:sz w:val="22"/>
          <w:szCs w:val="22"/>
          <w:b w:val="1"/>
          <w:bCs w:val="1"/>
          <w:color w:val="auto"/>
        </w:rPr>
        <w:t>Date of Report (Date of earliest event reported): February 21,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100" w:type="dxa"/>
        <w:tblCellMar>
          <w:top w:w="0" w:type="dxa"/>
          <w:left w:w="0" w:type="dxa"/>
          <w:bottom w:w="0" w:type="dxa"/>
          <w:right w:w="0" w:type="dxa"/>
        </w:tblCellMar>
      </w:tblPr>
      <w:tr>
        <w:trPr>
          <w:trHeight w:val="218"/>
        </w:trPr>
        <w:tc>
          <w:tcPr>
            <w:tcW w:w="4160" w:type="dxa"/>
            <w:vAlign w:val="bottom"/>
          </w:tcPr>
          <w:p>
            <w:pPr>
              <w:jc w:val="center"/>
              <w:ind w:right="2402"/>
              <w:spacing w:after="0"/>
              <w:rPr>
                <w:sz w:val="20"/>
                <w:szCs w:val="20"/>
                <w:color w:val="auto"/>
              </w:rPr>
            </w:pPr>
            <w:r>
              <w:rPr>
                <w:rFonts w:ascii="Arial" w:cs="Arial" w:eastAsia="Arial" w:hAnsi="Arial"/>
                <w:sz w:val="18"/>
                <w:szCs w:val="18"/>
                <w:b w:val="1"/>
                <w:bCs w:val="1"/>
                <w:color w:val="auto"/>
                <w:w w:val="87"/>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160" w:type="dxa"/>
            <w:vAlign w:val="bottom"/>
          </w:tcPr>
          <w:p>
            <w:pPr>
              <w:jc w:val="center"/>
              <w:ind w:right="238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60" w:type="dxa"/>
            <w:vAlign w:val="bottom"/>
          </w:tcPr>
          <w:p>
            <w:pPr>
              <w:jc w:val="center"/>
              <w:ind w:right="2402"/>
              <w:spacing w:after="0"/>
              <w:rPr>
                <w:sz w:val="20"/>
                <w:szCs w:val="20"/>
                <w:color w:val="auto"/>
              </w:rPr>
            </w:pPr>
            <w:r>
              <w:rPr>
                <w:rFonts w:ascii="Arial" w:cs="Arial" w:eastAsia="Arial" w:hAnsi="Arial"/>
                <w:sz w:val="14"/>
                <w:szCs w:val="14"/>
                <w:b w:val="1"/>
                <w:bCs w:val="1"/>
                <w:color w:val="auto"/>
                <w:w w:val="88"/>
              </w:rPr>
              <w:t>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160" w:type="dxa"/>
            <w:vAlign w:val="bottom"/>
          </w:tcPr>
          <w:p>
            <w:pPr>
              <w:jc w:val="center"/>
              <w:ind w:left="1242"/>
              <w:spacing w:after="0"/>
              <w:rPr>
                <w:sz w:val="20"/>
                <w:szCs w:val="20"/>
                <w:color w:val="auto"/>
              </w:rPr>
            </w:pPr>
            <w:r>
              <w:rPr>
                <w:rFonts w:ascii="Arial" w:cs="Arial" w:eastAsia="Arial" w:hAnsi="Arial"/>
                <w:sz w:val="18"/>
                <w:szCs w:val="18"/>
                <w:b w:val="1"/>
                <w:bCs w:val="1"/>
                <w:color w:val="auto"/>
                <w:w w:val="86"/>
              </w:rPr>
              <w:t>3131 Las Vegas Boulevard South</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160" w:type="dxa"/>
            <w:vAlign w:val="bottom"/>
          </w:tcPr>
          <w:p>
            <w:pPr>
              <w:jc w:val="center"/>
              <w:ind w:left="1242"/>
              <w:spacing w:after="0"/>
              <w:rPr>
                <w:sz w:val="20"/>
                <w:szCs w:val="20"/>
                <w:color w:val="auto"/>
              </w:rPr>
            </w:pPr>
            <w:r>
              <w:rPr>
                <w:rFonts w:ascii="Arial" w:cs="Arial" w:eastAsia="Arial" w:hAnsi="Arial"/>
                <w:sz w:val="18"/>
                <w:szCs w:val="18"/>
                <w:b w:val="1"/>
                <w:bCs w:val="1"/>
                <w:color w:val="auto"/>
                <w:w w:val="85"/>
              </w:rPr>
              <w:t>Las Vegas, Nevada</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89109</w:t>
            </w:r>
          </w:p>
        </w:tc>
      </w:tr>
      <w:tr>
        <w:trPr>
          <w:trHeight w:val="174"/>
        </w:trPr>
        <w:tc>
          <w:tcPr>
            <w:tcW w:w="4160" w:type="dxa"/>
            <w:vAlign w:val="bottom"/>
          </w:tcPr>
          <w:p>
            <w:pPr>
              <w:jc w:val="center"/>
              <w:ind w:left="124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8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On February 22, 2013, Wynn Resorts, Limited (the “Company”) held a special meeting of stockholders (the “Special Meeting”). The holders of 85.7% of the issued and outstanding shares of the Company’s common stock, and of 99.6% of the shares of the Company’s common stock represented in person or by proxy at the Special Meeting, voted in favor of the proposal to remove Mr. Kazuo Okada as a director of the Company. The proposal to remove Mr. Okada as a director of the Company required an affirmative vote by the holders of two-thirds (2/3) of the outstanding stock of the Company entitled to vote at the Special Meeting. On the afternoon of February 21, 2013, Mr. Okada resigned as a director of the Company.</w:t>
      </w:r>
    </w:p>
    <w:p>
      <w:pPr>
        <w:spacing w:after="0" w:line="116" w:lineRule="exact"/>
        <w:rPr>
          <w:sz w:val="20"/>
          <w:szCs w:val="20"/>
          <w:color w:val="auto"/>
        </w:rPr>
      </w:pPr>
    </w:p>
    <w:p>
      <w:pPr>
        <w:ind w:left="460" w:right="1200"/>
        <w:spacing w:after="0" w:line="456" w:lineRule="auto"/>
        <w:rPr>
          <w:sz w:val="20"/>
          <w:szCs w:val="20"/>
          <w:color w:val="auto"/>
        </w:rPr>
      </w:pPr>
      <w:r>
        <w:rPr>
          <w:rFonts w:ascii="Arial" w:cs="Arial" w:eastAsia="Arial" w:hAnsi="Arial"/>
          <w:sz w:val="18"/>
          <w:szCs w:val="18"/>
          <w:color w:val="auto"/>
        </w:rPr>
        <w:t xml:space="preserve">The table below sets forth the final voting results for each matter voted on at the Special Meeting, as certified by the inspector of elections. </w:t>
      </w:r>
      <w:r>
        <w:rPr>
          <w:rFonts w:ascii="Arial" w:cs="Arial" w:eastAsia="Arial" w:hAnsi="Arial"/>
          <w:sz w:val="18"/>
          <w:szCs w:val="18"/>
          <w:i w:val="1"/>
          <w:iCs w:val="1"/>
          <w:color w:val="auto"/>
        </w:rPr>
        <w:t>Proposal 1: Removal of Mr. Kazuo Okada as a Director</w:t>
      </w:r>
    </w:p>
    <w:tbl>
      <w:tblPr>
        <w:tblLayout w:type="fixed"/>
        <w:tblInd w:w="0" w:type="dxa"/>
        <w:tblCellMar>
          <w:top w:w="0" w:type="dxa"/>
          <w:left w:w="0" w:type="dxa"/>
          <w:bottom w:w="0" w:type="dxa"/>
          <w:right w:w="0" w:type="dxa"/>
        </w:tblCellMar>
      </w:tblPr>
      <w:tr>
        <w:trPr>
          <w:trHeight w:val="154"/>
        </w:trPr>
        <w:tc>
          <w:tcPr>
            <w:tcW w:w="1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100" w:type="dxa"/>
            <w:vAlign w:val="bottom"/>
            <w:gridSpan w:val="3"/>
          </w:tcPr>
          <w:p>
            <w:pPr>
              <w:jc w:val="center"/>
              <w:ind w:left="1506"/>
              <w:spacing w:after="0" w:line="155" w:lineRule="exact"/>
              <w:rPr>
                <w:sz w:val="20"/>
                <w:szCs w:val="20"/>
                <w:color w:val="auto"/>
              </w:rPr>
            </w:pPr>
            <w:r>
              <w:rPr>
                <w:rFonts w:ascii="Arial" w:cs="Arial" w:eastAsia="Arial" w:hAnsi="Arial"/>
                <w:sz w:val="14"/>
                <w:szCs w:val="14"/>
                <w:b w:val="1"/>
                <w:bCs w:val="1"/>
                <w:color w:val="auto"/>
                <w:w w:val="84"/>
              </w:rPr>
              <w:t>Abstentions</w:t>
            </w:r>
          </w:p>
        </w:tc>
      </w:tr>
      <w:tr>
        <w:trPr>
          <w:trHeight w:val="149"/>
        </w:trPr>
        <w:tc>
          <w:tcPr>
            <w:tcW w:w="1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100" w:type="dxa"/>
            <w:vAlign w:val="bottom"/>
            <w:gridSpan w:val="3"/>
          </w:tcPr>
          <w:p>
            <w:pPr>
              <w:jc w:val="center"/>
              <w:ind w:left="1486"/>
              <w:spacing w:after="0" w:line="149" w:lineRule="exact"/>
              <w:rPr>
                <w:sz w:val="20"/>
                <w:szCs w:val="20"/>
                <w:color w:val="auto"/>
              </w:rPr>
            </w:pPr>
            <w:r>
              <w:rPr>
                <w:rFonts w:ascii="Arial" w:cs="Arial" w:eastAsia="Arial" w:hAnsi="Arial"/>
                <w:sz w:val="14"/>
                <w:szCs w:val="14"/>
                <w:b w:val="1"/>
                <w:bCs w:val="1"/>
                <w:color w:val="auto"/>
                <w:w w:val="89"/>
              </w:rPr>
              <w:t>and Broker</w:t>
            </w:r>
          </w:p>
        </w:tc>
      </w:tr>
      <w:tr>
        <w:trPr>
          <w:trHeight w:val="168"/>
        </w:trPr>
        <w:tc>
          <w:tcPr>
            <w:tcW w:w="16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For</w:t>
            </w:r>
          </w:p>
        </w:tc>
        <w:tc>
          <w:tcPr>
            <w:tcW w:w="32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Against</w:t>
            </w:r>
          </w:p>
        </w:tc>
        <w:tc>
          <w:tcPr>
            <w:tcW w:w="30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Non-Votes</w:t>
            </w:r>
          </w:p>
        </w:tc>
        <w:tc>
          <w:tcPr>
            <w:tcW w:w="1440" w:type="dxa"/>
            <w:vAlign w:val="bottom"/>
          </w:tcPr>
          <w:p>
            <w:pPr>
              <w:spacing w:after="0"/>
              <w:rPr>
                <w:sz w:val="14"/>
                <w:szCs w:val="14"/>
                <w:color w:val="auto"/>
              </w:rPr>
            </w:pPr>
          </w:p>
        </w:tc>
      </w:tr>
      <w:tr>
        <w:trPr>
          <w:trHeight w:val="230"/>
        </w:trPr>
        <w:tc>
          <w:tcPr>
            <w:tcW w:w="5480" w:type="dxa"/>
            <w:vAlign w:val="bottom"/>
            <w:gridSpan w:val="3"/>
            <w:shd w:val="clear" w:color="auto" w:fill="CCEEFF"/>
          </w:tcPr>
          <w:p>
            <w:pPr>
              <w:jc w:val="right"/>
              <w:ind w:right="3140"/>
              <w:spacing w:after="0"/>
              <w:rPr>
                <w:sz w:val="20"/>
                <w:szCs w:val="20"/>
                <w:color w:val="auto"/>
              </w:rPr>
            </w:pPr>
            <w:r>
              <w:rPr>
                <w:rFonts w:ascii="Arial" w:cs="Arial" w:eastAsia="Arial" w:hAnsi="Arial"/>
                <w:sz w:val="18"/>
                <w:szCs w:val="18"/>
                <w:color w:val="auto"/>
              </w:rPr>
              <w:t>86,490,459</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211,703</w:t>
            </w:r>
          </w:p>
        </w:tc>
        <w:tc>
          <w:tcPr>
            <w:tcW w:w="3660" w:type="dxa"/>
            <w:vAlign w:val="bottom"/>
            <w:gridSpan w:val="2"/>
            <w:shd w:val="clear" w:color="auto" w:fill="CCEEFF"/>
          </w:tcPr>
          <w:p>
            <w:pPr>
              <w:jc w:val="center"/>
              <w:ind w:left="2946"/>
              <w:spacing w:after="0"/>
              <w:rPr>
                <w:sz w:val="20"/>
                <w:szCs w:val="20"/>
                <w:color w:val="auto"/>
              </w:rPr>
            </w:pPr>
            <w:r>
              <w:rPr>
                <w:rFonts w:ascii="Arial" w:cs="Arial" w:eastAsia="Arial" w:hAnsi="Arial"/>
                <w:sz w:val="18"/>
                <w:szCs w:val="18"/>
                <w:color w:val="auto"/>
                <w:w w:val="86"/>
              </w:rPr>
              <w:t>177,149</w:t>
            </w:r>
          </w:p>
        </w:tc>
        <w:tc>
          <w:tcPr>
            <w:tcW w:w="1440" w:type="dxa"/>
            <w:vAlign w:val="bottom"/>
            <w:shd w:val="clear" w:color="auto" w:fill="CCEEFF"/>
          </w:tcPr>
          <w:p>
            <w:pPr>
              <w:spacing w:after="0"/>
              <w:rPr>
                <w:sz w:val="19"/>
                <w:szCs w:val="19"/>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Proposal 2: Adjournment of the Special Meeting to a later date, if necessary or appropriate to solicit additional proxies in favor of Proposal 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100" w:type="dxa"/>
            <w:vAlign w:val="bottom"/>
            <w:gridSpan w:val="3"/>
          </w:tcPr>
          <w:p>
            <w:pPr>
              <w:jc w:val="center"/>
              <w:ind w:left="1506"/>
              <w:spacing w:after="0"/>
              <w:rPr>
                <w:sz w:val="20"/>
                <w:szCs w:val="20"/>
                <w:color w:val="auto"/>
              </w:rPr>
            </w:pPr>
            <w:r>
              <w:rPr>
                <w:rFonts w:ascii="Arial" w:cs="Arial" w:eastAsia="Arial" w:hAnsi="Arial"/>
                <w:sz w:val="14"/>
                <w:szCs w:val="14"/>
                <w:b w:val="1"/>
                <w:bCs w:val="1"/>
                <w:color w:val="auto"/>
                <w:w w:val="84"/>
              </w:rPr>
              <w:t>Abstentions</w:t>
            </w:r>
          </w:p>
        </w:tc>
      </w:tr>
      <w:tr>
        <w:trPr>
          <w:trHeight w:val="149"/>
        </w:trPr>
        <w:tc>
          <w:tcPr>
            <w:tcW w:w="1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100" w:type="dxa"/>
            <w:vAlign w:val="bottom"/>
            <w:gridSpan w:val="3"/>
          </w:tcPr>
          <w:p>
            <w:pPr>
              <w:jc w:val="center"/>
              <w:ind w:left="1486"/>
              <w:spacing w:after="0" w:line="149" w:lineRule="exact"/>
              <w:rPr>
                <w:sz w:val="20"/>
                <w:szCs w:val="20"/>
                <w:color w:val="auto"/>
              </w:rPr>
            </w:pPr>
            <w:r>
              <w:rPr>
                <w:rFonts w:ascii="Arial" w:cs="Arial" w:eastAsia="Arial" w:hAnsi="Arial"/>
                <w:sz w:val="14"/>
                <w:szCs w:val="14"/>
                <w:b w:val="1"/>
                <w:bCs w:val="1"/>
                <w:color w:val="auto"/>
                <w:w w:val="89"/>
              </w:rPr>
              <w:t>and Broker</w:t>
            </w:r>
          </w:p>
        </w:tc>
      </w:tr>
      <w:tr>
        <w:trPr>
          <w:trHeight w:val="168"/>
        </w:trPr>
        <w:tc>
          <w:tcPr>
            <w:tcW w:w="16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For</w:t>
            </w:r>
          </w:p>
        </w:tc>
        <w:tc>
          <w:tcPr>
            <w:tcW w:w="32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Votes Against</w:t>
            </w:r>
          </w:p>
        </w:tc>
        <w:tc>
          <w:tcPr>
            <w:tcW w:w="30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Non-Votes</w:t>
            </w:r>
          </w:p>
        </w:tc>
        <w:tc>
          <w:tcPr>
            <w:tcW w:w="1440" w:type="dxa"/>
            <w:vAlign w:val="bottom"/>
          </w:tcPr>
          <w:p>
            <w:pPr>
              <w:spacing w:after="0"/>
              <w:rPr>
                <w:sz w:val="14"/>
                <w:szCs w:val="14"/>
                <w:color w:val="auto"/>
              </w:rPr>
            </w:pPr>
          </w:p>
        </w:tc>
      </w:tr>
      <w:tr>
        <w:trPr>
          <w:trHeight w:val="230"/>
        </w:trPr>
        <w:tc>
          <w:tcPr>
            <w:tcW w:w="5480" w:type="dxa"/>
            <w:vAlign w:val="bottom"/>
            <w:gridSpan w:val="3"/>
            <w:shd w:val="clear" w:color="auto" w:fill="CCEEFF"/>
          </w:tcPr>
          <w:p>
            <w:pPr>
              <w:jc w:val="right"/>
              <w:ind w:right="3140"/>
              <w:spacing w:after="0"/>
              <w:rPr>
                <w:sz w:val="20"/>
                <w:szCs w:val="20"/>
                <w:color w:val="auto"/>
              </w:rPr>
            </w:pPr>
            <w:r>
              <w:rPr>
                <w:rFonts w:ascii="Arial" w:cs="Arial" w:eastAsia="Arial" w:hAnsi="Arial"/>
                <w:sz w:val="18"/>
                <w:szCs w:val="18"/>
                <w:color w:val="auto"/>
              </w:rPr>
              <w:t>82,499,429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4,268,763</w:t>
            </w:r>
          </w:p>
        </w:tc>
        <w:tc>
          <w:tcPr>
            <w:tcW w:w="3660" w:type="dxa"/>
            <w:vAlign w:val="bottom"/>
            <w:gridSpan w:val="2"/>
            <w:shd w:val="clear" w:color="auto" w:fill="CCEEFF"/>
          </w:tcPr>
          <w:p>
            <w:pPr>
              <w:jc w:val="center"/>
              <w:ind w:left="2946"/>
              <w:spacing w:after="0"/>
              <w:rPr>
                <w:sz w:val="20"/>
                <w:szCs w:val="20"/>
                <w:color w:val="auto"/>
              </w:rPr>
            </w:pPr>
            <w:r>
              <w:rPr>
                <w:rFonts w:ascii="Arial" w:cs="Arial" w:eastAsia="Arial" w:hAnsi="Arial"/>
                <w:sz w:val="18"/>
                <w:szCs w:val="18"/>
                <w:color w:val="auto"/>
                <w:w w:val="86"/>
              </w:rPr>
              <w:t>111,119</w:t>
            </w:r>
          </w:p>
        </w:tc>
        <w:tc>
          <w:tcPr>
            <w:tcW w:w="1440" w:type="dxa"/>
            <w:vAlign w:val="bottom"/>
            <w:shd w:val="clear" w:color="auto" w:fill="CCEEFF"/>
          </w:tcPr>
          <w:p>
            <w:pPr>
              <w:spacing w:after="0"/>
              <w:rPr>
                <w:sz w:val="19"/>
                <w:szCs w:val="19"/>
                <w:color w:val="auto"/>
              </w:rPr>
            </w:pPr>
          </w:p>
        </w:tc>
      </w:tr>
    </w:tbl>
    <w:p>
      <w:pPr>
        <w:spacing w:after="0" w:line="2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21, 2013, the Company issued a press release relating to Mr. Okada’s resignation and the preliminary results of the vote regarding</w:t>
      </w:r>
    </w:p>
    <w:p>
      <w:pPr>
        <w:spacing w:after="0" w:line="3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Mr. Okada’s removal. A copy of the press release is furnished herewith as Exhibit 99.1. The information in this Item 7.01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9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Wynn Resorts, Limited on February 21,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19"/>
                <w:szCs w:val="19"/>
                <w:color w:val="auto"/>
              </w:rPr>
            </w:pPr>
          </w:p>
        </w:tc>
        <w:tc>
          <w:tcPr>
            <w:tcW w:w="7760" w:type="dxa"/>
            <w:vAlign w:val="bottom"/>
            <w:gridSpan w:val="2"/>
          </w:tcPr>
          <w:p>
            <w:pPr>
              <w:ind w:left="2160"/>
              <w:spacing w:after="0"/>
              <w:rPr>
                <w:sz w:val="20"/>
                <w:szCs w:val="20"/>
                <w:color w:val="auto"/>
              </w:rPr>
            </w:pPr>
            <w:r>
              <w:rPr>
                <w:rFonts w:ascii="Arial" w:cs="Arial" w:eastAsia="Arial" w:hAnsi="Arial"/>
                <w:sz w:val="18"/>
                <w:szCs w:val="18"/>
                <w:b w:val="1"/>
                <w:bCs w:val="1"/>
                <w:color w:val="auto"/>
              </w:rPr>
              <w:t>WYNN RESORTS, LIMITED</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February 22, 2013</w:t>
            </w:r>
          </w:p>
        </w:tc>
        <w:tc>
          <w:tcPr>
            <w:tcW w:w="2640" w:type="dxa"/>
            <w:vAlign w:val="bottom"/>
          </w:tcPr>
          <w:p>
            <w:pPr>
              <w:ind w:left="216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Kim Sinatra</w:t>
            </w:r>
          </w:p>
        </w:tc>
      </w:tr>
      <w:tr>
        <w:trPr>
          <w:trHeight w:val="217"/>
        </w:trPr>
        <w:tc>
          <w:tcPr>
            <w:tcW w:w="3660" w:type="dxa"/>
            <w:vAlign w:val="bottom"/>
          </w:tcPr>
          <w:p>
            <w:pPr>
              <w:spacing w:after="0"/>
              <w:rPr>
                <w:sz w:val="18"/>
                <w:szCs w:val="18"/>
                <w:color w:val="auto"/>
              </w:rPr>
            </w:pPr>
          </w:p>
        </w:tc>
        <w:tc>
          <w:tcPr>
            <w:tcW w:w="2640" w:type="dxa"/>
            <w:vAlign w:val="bottom"/>
          </w:tcPr>
          <w:p>
            <w:pPr>
              <w:ind w:left="2160"/>
              <w:spacing w:after="0" w:line="202"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rPr>
                <w:sz w:val="20"/>
                <w:szCs w:val="20"/>
                <w:color w:val="auto"/>
              </w:rPr>
            </w:pPr>
            <w:r>
              <w:rPr>
                <w:rFonts w:ascii="Arial" w:cs="Arial" w:eastAsia="Arial" w:hAnsi="Arial"/>
                <w:sz w:val="18"/>
                <w:szCs w:val="18"/>
                <w:color w:val="auto"/>
              </w:rPr>
              <w:t>Kim Sinatra</w:t>
            </w:r>
          </w:p>
        </w:tc>
      </w:tr>
      <w:tr>
        <w:trPr>
          <w:trHeight w:val="222"/>
        </w:trPr>
        <w:tc>
          <w:tcPr>
            <w:tcW w:w="3660" w:type="dxa"/>
            <w:vAlign w:val="bottom"/>
          </w:tcPr>
          <w:p>
            <w:pPr>
              <w:spacing w:after="0"/>
              <w:rPr>
                <w:sz w:val="19"/>
                <w:szCs w:val="19"/>
                <w:color w:val="auto"/>
              </w:rPr>
            </w:pPr>
          </w:p>
        </w:tc>
        <w:tc>
          <w:tcPr>
            <w:tcW w:w="2640" w:type="dxa"/>
            <w:vAlign w:val="bottom"/>
          </w:tcPr>
          <w:p>
            <w:pPr>
              <w:ind w:left="216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General Counsel and Secretary</w:t>
            </w:r>
          </w:p>
        </w:tc>
      </w:tr>
      <w:tr>
        <w:trPr>
          <w:trHeight w:val="378"/>
        </w:trPr>
        <w:tc>
          <w:tcPr>
            <w:tcW w:w="3660" w:type="dxa"/>
            <w:vAlign w:val="bottom"/>
          </w:tcPr>
          <w:p>
            <w:pPr>
              <w:spacing w:after="0"/>
              <w:rPr>
                <w:sz w:val="24"/>
                <w:szCs w:val="24"/>
                <w:color w:val="auto"/>
              </w:rPr>
            </w:pPr>
          </w:p>
        </w:tc>
        <w:tc>
          <w:tcPr>
            <w:tcW w:w="2640" w:type="dxa"/>
            <w:vAlign w:val="bottom"/>
          </w:tcPr>
          <w:p>
            <w:pPr>
              <w:ind w:left="1960"/>
              <w:spacing w:after="0"/>
              <w:rPr>
                <w:sz w:val="20"/>
                <w:szCs w:val="20"/>
                <w:color w:val="auto"/>
              </w:rPr>
            </w:pPr>
            <w:r>
              <w:rPr>
                <w:rFonts w:ascii="Arial" w:cs="Arial" w:eastAsia="Arial" w:hAnsi="Arial"/>
                <w:sz w:val="18"/>
                <w:szCs w:val="18"/>
                <w:color w:val="auto"/>
              </w:rPr>
              <w:t>-3-</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40" w:type="dxa"/>
            <w:vAlign w:val="bottom"/>
          </w:tcPr>
          <w:p>
            <w:pPr>
              <w:jc w:val="center"/>
              <w:ind w:left="2752"/>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240" w:type="dxa"/>
            <w:vAlign w:val="bottom"/>
          </w:tcPr>
          <w:p>
            <w:pPr>
              <w:spacing w:after="0"/>
              <w:rPr>
                <w:sz w:val="24"/>
                <w:szCs w:val="2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w w:val="86"/>
              </w:rPr>
              <w:t>Press Release issued by Wynn Resorts, Limited on February 21, 2013.</w:t>
            </w:r>
          </w:p>
        </w:tc>
      </w:tr>
      <w:tr>
        <w:trPr>
          <w:trHeight w:val="365"/>
        </w:trPr>
        <w:tc>
          <w:tcPr>
            <w:tcW w:w="720" w:type="dxa"/>
            <w:vAlign w:val="bottom"/>
          </w:tcPr>
          <w:p>
            <w:pPr>
              <w:spacing w:after="0"/>
              <w:rPr>
                <w:sz w:val="24"/>
                <w:szCs w:val="24"/>
                <w:color w:val="auto"/>
              </w:rPr>
            </w:pPr>
          </w:p>
        </w:tc>
        <w:tc>
          <w:tcPr>
            <w:tcW w:w="5700" w:type="dxa"/>
            <w:vAlign w:val="bottom"/>
            <w:gridSpan w:val="3"/>
          </w:tcPr>
          <w:p>
            <w:pPr>
              <w:jc w:val="right"/>
              <w:ind w:right="512"/>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Kazuo Okada Resigns from Wynn Resorts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LAS VEGAS, NV, February 21, 2013 — Wynn Resorts, Limited (Nasdaq: WYNN) today announced that Kazuo Okada has resigned from its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Wynn Board will be reduced to eight directors, including six independent directors.</w:t>
      </w:r>
    </w:p>
    <w:p>
      <w:pPr>
        <w:spacing w:after="0" w:line="165"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The company will hold its Special Meeting as planned tomorrow at which stockholders are voting on a proposal to remove Mr. Okada from the Board of Directors. Preliminary results received to date show that 99.7% of the shares voted have voted for Mr. Okada’s removal.</w:t>
      </w:r>
    </w:p>
    <w:p>
      <w:pPr>
        <w:spacing w:after="0" w:line="85" w:lineRule="exact"/>
        <w:rPr>
          <w:sz w:val="20"/>
          <w:szCs w:val="20"/>
          <w:color w:val="auto"/>
        </w:rPr>
      </w:pPr>
    </w:p>
    <w:p>
      <w:pPr>
        <w:jc w:val="both"/>
        <w:ind w:right="640"/>
        <w:spacing w:after="0" w:line="370" w:lineRule="auto"/>
        <w:rPr>
          <w:sz w:val="20"/>
          <w:szCs w:val="20"/>
          <w:color w:val="auto"/>
        </w:rPr>
      </w:pPr>
      <w:r>
        <w:rPr>
          <w:rFonts w:ascii="Arial" w:cs="Arial" w:eastAsia="Arial" w:hAnsi="Arial"/>
          <w:sz w:val="15"/>
          <w:szCs w:val="15"/>
          <w:color w:val="auto"/>
        </w:rPr>
        <w:t>Mr. Okada was deemed unsuitable by the Wynn Resorts Board after a lengthy investigation by former FBI Director Louis J. Freeh uncovered evidence of improper conduct by Mr. Okada and affiliated entities under the Foreign Corrupt Practices Act in connection with their dealings with Philippine officials.</w:t>
      </w:r>
    </w:p>
    <w:p>
      <w:pPr>
        <w:spacing w:after="0" w:line="6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Stephen A. Wynn, Chairman and Chief Executive Officer of Wynn Resorts, said, “We greatly appreciate the overwhelming support from our stockholders for this important action to protect the Company’s business and the interests of stockholders. The preliminary vote count clearly illustrates that our stockholders understand that removing an unsuitable person from the Board is vital to the continuing success of the Company as we pursue a growth strategy to expand into new jurisdictions. This is a time of tremendous opportunity for Wynn Resorts, and we are extremely confident in our future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Wynn Resorts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Wynn Resorts, Limited is traded on the Nasdaq Global Select Market under the ticker symbol WYNN and is part of the S&amp;P 500 and NASDAQ-100 Indexes.</w:t>
      </w:r>
    </w:p>
    <w:p>
      <w:pPr>
        <w:spacing w:after="0" w:line="194"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Our Las Vegas operations (Wynn Las Vegas and Encore) feature two luxury hotel towers with a total of 4,750 spacious hotel rooms, suites and villas, an approximately 186,000 square feet of casino space, 32 food and beverage outlets featuring signature chefs, an on-site 18-hole golf course, meeting space, an Ferrari and Maserati dealership, approximately 94,000 square feet of retail space as well as two showrooms; three nightclubs and a beach club.</w:t>
      </w:r>
    </w:p>
    <w:p>
      <w:pPr>
        <w:spacing w:after="0" w:line="10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Our Macau resort is a resort destination casino located in the Macau Special Administrative Region of the People’s Republic of China with two luxury hotel towers (Wynn Macau and Encore) with a total of 1,008 spacious rooms and suites, approximately 265,000 square feet of casino space, casual and fine dining in eight restaurants, approximately 54,600 square feet of retail space, recreation and leisure facilities, including two health clubs and spas, a pool.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George Sard/Alexandra LaManna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212-687-8080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2019-12-07T04:35:08Z</dcterms:created>
  <dcterms:modified xsi:type="dcterms:W3CDTF">2019-12-07T04:35:08Z</dcterms:modified>
</cp:coreProperties>
</file>