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16,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Wynn Resorts, Limited (the "Company") is filing this Amendment No. 1 to its Current Report on Form 8-K to report the final voting results certified by the independent inspector of elections for the Company's 2018 Annual Meeting of Stockholders. The certified voting results do not differ from the preliminary voting results reported on the Company's Form 8-K filed with the Securities and Exchange Commission on May 22, 2018 (the "Original Report"). This Amendment No. 1 to the Original Report amends and restates Item 5.07 of the Original Report.</w:t>
      </w:r>
    </w:p>
    <w:p>
      <w:pPr>
        <w:spacing w:after="0" w:line="129" w:lineRule="exact"/>
        <w:rPr>
          <w:sz w:val="20"/>
          <w:szCs w:val="20"/>
          <w:color w:val="auto"/>
        </w:rPr>
      </w:pPr>
    </w:p>
    <w:p>
      <w:pPr>
        <w:ind w:left="40"/>
        <w:spacing w:after="0"/>
        <w:tabs>
          <w:tab w:leader="none" w:pos="16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70" w:lineRule="exact"/>
        <w:rPr>
          <w:sz w:val="20"/>
          <w:szCs w:val="20"/>
          <w:color w:val="auto"/>
        </w:rPr>
      </w:pPr>
    </w:p>
    <w:p>
      <w:pPr>
        <w:ind w:right="60" w:firstLine="459"/>
        <w:spacing w:after="0" w:line="264" w:lineRule="auto"/>
        <w:rPr>
          <w:sz w:val="20"/>
          <w:szCs w:val="20"/>
          <w:color w:val="auto"/>
        </w:rPr>
      </w:pPr>
      <w:r>
        <w:rPr>
          <w:rFonts w:ascii="Arial" w:cs="Arial" w:eastAsia="Arial" w:hAnsi="Arial"/>
          <w:sz w:val="18"/>
          <w:szCs w:val="18"/>
          <w:color w:val="auto"/>
        </w:rPr>
        <w:t>On May 16, 2018, Wynn Resorts, Limited (the "Company") held its 2018 Annual Meeting of Stockholders (the "Annual Meeting"). The proposals voted upon at the Annual Meeting and the final results of the stockholder vote on each proposal, as certified by IVS Associates, Inc. ("IVS"), the independent inspector of elections for the Annual Meeting, were as follows: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Proposal 1: Election of Directors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elect two Class I directors, each to serve until the 2021 Annual Meeting of Stockholders: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Director Nominees</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Votes Withheld</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5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Betsy Atkins</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69,684,481</w:t>
            </w:r>
          </w:p>
        </w:tc>
        <w:tc>
          <w:tcPr>
            <w:tcW w:w="12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401,165</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804,699</w:t>
            </w:r>
          </w:p>
        </w:tc>
      </w:tr>
      <w:tr>
        <w:trPr>
          <w:trHeight w:val="270"/>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Patricia Mulroy</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69,509,499</w:t>
            </w:r>
          </w:p>
        </w:tc>
        <w:tc>
          <w:tcPr>
            <w:tcW w:w="12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576,147</w:t>
            </w:r>
          </w:p>
        </w:tc>
        <w:tc>
          <w:tcPr>
            <w:tcW w:w="10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804,699</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Proposal 2: Ratification of Appointment of Independent Registered Public Accounting Firm</w:t>
      </w:r>
    </w:p>
    <w:p>
      <w:pPr>
        <w:spacing w:after="0" w:line="225"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To ratify the Audit Committee’s appointment of Ernst &amp; Young LLP as the Company’s independent registered public accounting firm for the fiscal year ending December 31,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For</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Votes Against</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Abstain</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jc w:val="right"/>
              <w:ind w:right="950"/>
              <w:spacing w:after="0"/>
              <w:rPr>
                <w:sz w:val="20"/>
                <w:szCs w:val="20"/>
                <w:color w:val="auto"/>
              </w:rPr>
            </w:pPr>
            <w:r>
              <w:rPr>
                <w:rFonts w:ascii="Arial" w:cs="Arial" w:eastAsia="Arial" w:hAnsi="Arial"/>
                <w:sz w:val="18"/>
                <w:szCs w:val="18"/>
                <w:color w:val="auto"/>
              </w:rPr>
              <w:t>59,298,938</w:t>
            </w:r>
          </w:p>
        </w:tc>
        <w:tc>
          <w:tcPr>
            <w:tcW w:w="120" w:type="dxa"/>
            <w:vAlign w:val="bottom"/>
          </w:tcPr>
          <w:p>
            <w:pPr>
              <w:spacing w:after="0"/>
              <w:rPr>
                <w:sz w:val="20"/>
                <w:szCs w:val="20"/>
                <w:color w:val="auto"/>
              </w:rPr>
            </w:pPr>
          </w:p>
        </w:tc>
        <w:tc>
          <w:tcPr>
            <w:tcW w:w="2740" w:type="dxa"/>
            <w:vAlign w:val="bottom"/>
          </w:tcPr>
          <w:p>
            <w:pPr>
              <w:jc w:val="right"/>
              <w:ind w:right="990"/>
              <w:spacing w:after="0"/>
              <w:rPr>
                <w:sz w:val="20"/>
                <w:szCs w:val="20"/>
                <w:color w:val="auto"/>
              </w:rPr>
            </w:pPr>
            <w:r>
              <w:rPr>
                <w:rFonts w:ascii="Arial" w:cs="Arial" w:eastAsia="Arial" w:hAnsi="Arial"/>
                <w:sz w:val="18"/>
                <w:szCs w:val="18"/>
                <w:color w:val="auto"/>
              </w:rPr>
              <w:t>591,708</w:t>
            </w:r>
          </w:p>
        </w:tc>
        <w:tc>
          <w:tcPr>
            <w:tcW w:w="120" w:type="dxa"/>
            <w:vAlign w:val="bottom"/>
          </w:tcPr>
          <w:p>
            <w:pPr>
              <w:spacing w:after="0"/>
              <w:rPr>
                <w:sz w:val="20"/>
                <w:szCs w:val="20"/>
                <w:color w:val="auto"/>
              </w:rPr>
            </w:pPr>
          </w:p>
        </w:tc>
        <w:tc>
          <w:tcPr>
            <w:tcW w:w="2720" w:type="dxa"/>
            <w:vAlign w:val="bottom"/>
          </w:tcPr>
          <w:p>
            <w:pPr>
              <w:jc w:val="right"/>
              <w:ind w:right="870"/>
              <w:spacing w:after="0"/>
              <w:rPr>
                <w:sz w:val="20"/>
                <w:szCs w:val="20"/>
                <w:color w:val="auto"/>
              </w:rPr>
            </w:pPr>
            <w:r>
              <w:rPr>
                <w:rFonts w:ascii="Arial" w:cs="Arial" w:eastAsia="Arial" w:hAnsi="Arial"/>
                <w:sz w:val="18"/>
                <w:szCs w:val="18"/>
                <w:color w:val="auto"/>
              </w:rPr>
              <w:t>10,999,699</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Proposal 3: Approval, on an Advisory Basis, of our Executive Compensation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To approve, on a non-binding advisory basis, the compensation of the Company’s named executive officers as described in the Proxy Statement: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Against</w:t>
            </w:r>
          </w:p>
        </w:tc>
        <w:tc>
          <w:tcPr>
            <w:tcW w:w="2820" w:type="dxa"/>
            <w:vAlign w:val="bottom"/>
            <w:gridSpan w:val="2"/>
          </w:tcPr>
          <w:p>
            <w:pPr>
              <w:ind w:left="1060"/>
              <w:spacing w:after="0"/>
              <w:rPr>
                <w:sz w:val="20"/>
                <w:szCs w:val="20"/>
                <w:color w:val="auto"/>
              </w:rPr>
            </w:pPr>
            <w:r>
              <w:rPr>
                <w:rFonts w:ascii="Arial" w:cs="Arial" w:eastAsia="Arial" w:hAnsi="Arial"/>
                <w:sz w:val="18"/>
                <w:szCs w:val="18"/>
                <w:b w:val="1"/>
                <w:bCs w:val="1"/>
                <w:color w:val="auto"/>
              </w:rPr>
              <w:t>Abstain</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jc w:val="right"/>
              <w:ind w:right="810"/>
              <w:spacing w:after="0"/>
              <w:rPr>
                <w:sz w:val="20"/>
                <w:szCs w:val="20"/>
                <w:color w:val="auto"/>
              </w:rPr>
            </w:pPr>
            <w:r>
              <w:rPr>
                <w:rFonts w:ascii="Arial" w:cs="Arial" w:eastAsia="Arial" w:hAnsi="Arial"/>
                <w:sz w:val="18"/>
                <w:szCs w:val="18"/>
                <w:color w:val="auto"/>
              </w:rPr>
              <w:t>13,972,222</w:t>
            </w:r>
          </w:p>
        </w:tc>
        <w:tc>
          <w:tcPr>
            <w:tcW w:w="120" w:type="dxa"/>
            <w:vAlign w:val="bottom"/>
          </w:tcPr>
          <w:p>
            <w:pPr>
              <w:spacing w:after="0"/>
              <w:rPr>
                <w:sz w:val="20"/>
                <w:szCs w:val="20"/>
                <w:color w:val="auto"/>
              </w:rPr>
            </w:pPr>
          </w:p>
        </w:tc>
        <w:tc>
          <w:tcPr>
            <w:tcW w:w="2840" w:type="dxa"/>
            <w:vAlign w:val="bottom"/>
          </w:tcPr>
          <w:p>
            <w:pPr>
              <w:jc w:val="right"/>
              <w:ind w:right="930"/>
              <w:spacing w:after="0"/>
              <w:rPr>
                <w:sz w:val="20"/>
                <w:szCs w:val="20"/>
                <w:color w:val="auto"/>
              </w:rPr>
            </w:pPr>
            <w:r>
              <w:rPr>
                <w:rFonts w:ascii="Arial" w:cs="Arial" w:eastAsia="Arial" w:hAnsi="Arial"/>
                <w:sz w:val="18"/>
                <w:szCs w:val="18"/>
                <w:color w:val="auto"/>
              </w:rPr>
              <w:t>55,926,886</w:t>
            </w:r>
          </w:p>
        </w:tc>
        <w:tc>
          <w:tcPr>
            <w:tcW w:w="120" w:type="dxa"/>
            <w:vAlign w:val="bottom"/>
          </w:tcPr>
          <w:p>
            <w:pPr>
              <w:spacing w:after="0"/>
              <w:rPr>
                <w:sz w:val="20"/>
                <w:szCs w:val="20"/>
                <w:color w:val="auto"/>
              </w:rPr>
            </w:pPr>
          </w:p>
        </w:tc>
        <w:tc>
          <w:tcPr>
            <w:tcW w:w="2700" w:type="dxa"/>
            <w:vAlign w:val="bottom"/>
          </w:tcPr>
          <w:p>
            <w:pPr>
              <w:ind w:left="1060"/>
              <w:spacing w:after="0"/>
              <w:rPr>
                <w:sz w:val="20"/>
                <w:szCs w:val="20"/>
                <w:color w:val="auto"/>
              </w:rPr>
            </w:pPr>
            <w:r>
              <w:rPr>
                <w:rFonts w:ascii="Arial" w:cs="Arial" w:eastAsia="Arial" w:hAnsi="Arial"/>
                <w:sz w:val="18"/>
                <w:szCs w:val="18"/>
                <w:color w:val="auto"/>
              </w:rPr>
              <w:t>186,538</w:t>
            </w:r>
          </w:p>
        </w:tc>
        <w:tc>
          <w:tcPr>
            <w:tcW w:w="120" w:type="dxa"/>
            <w:vAlign w:val="bottom"/>
          </w:tcPr>
          <w:p>
            <w:pPr>
              <w:spacing w:after="0"/>
              <w:rPr>
                <w:sz w:val="20"/>
                <w:szCs w:val="20"/>
                <w:color w:val="auto"/>
              </w:rPr>
            </w:pPr>
          </w:p>
        </w:tc>
        <w:tc>
          <w:tcPr>
            <w:tcW w:w="2840" w:type="dxa"/>
            <w:vAlign w:val="bottom"/>
          </w:tcPr>
          <w:p>
            <w:pPr>
              <w:jc w:val="right"/>
              <w:ind w:right="1050"/>
              <w:spacing w:after="0"/>
              <w:rPr>
                <w:sz w:val="20"/>
                <w:szCs w:val="20"/>
                <w:color w:val="auto"/>
              </w:rPr>
            </w:pPr>
            <w:r>
              <w:rPr>
                <w:rFonts w:ascii="Arial" w:cs="Arial" w:eastAsia="Arial" w:hAnsi="Arial"/>
                <w:sz w:val="18"/>
                <w:szCs w:val="18"/>
                <w:color w:val="auto"/>
              </w:rPr>
              <w:t>804,699</w:t>
            </w: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Proposal 4: Stockholder Proposal Requesting A Political Contributions Report</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request that the Company provide a political contributions report, updated semiannually, setting forth specified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Votes Against</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Abstain</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jc w:val="right"/>
              <w:ind w:right="810"/>
              <w:spacing w:after="0"/>
              <w:rPr>
                <w:sz w:val="20"/>
                <w:szCs w:val="20"/>
                <w:color w:val="auto"/>
              </w:rPr>
            </w:pPr>
            <w:r>
              <w:rPr>
                <w:rFonts w:ascii="Arial" w:cs="Arial" w:eastAsia="Arial" w:hAnsi="Arial"/>
                <w:sz w:val="18"/>
                <w:szCs w:val="18"/>
                <w:color w:val="auto"/>
              </w:rPr>
              <w:t>21,250,344</w:t>
            </w:r>
          </w:p>
        </w:tc>
        <w:tc>
          <w:tcPr>
            <w:tcW w:w="120" w:type="dxa"/>
            <w:vAlign w:val="bottom"/>
          </w:tcPr>
          <w:p>
            <w:pPr>
              <w:spacing w:after="0"/>
              <w:rPr>
                <w:sz w:val="20"/>
                <w:szCs w:val="20"/>
                <w:color w:val="auto"/>
              </w:rPr>
            </w:pPr>
          </w:p>
        </w:tc>
        <w:tc>
          <w:tcPr>
            <w:tcW w:w="2860" w:type="dxa"/>
            <w:vAlign w:val="bottom"/>
          </w:tcPr>
          <w:p>
            <w:pPr>
              <w:jc w:val="right"/>
              <w:ind w:right="930"/>
              <w:spacing w:after="0"/>
              <w:rPr>
                <w:sz w:val="20"/>
                <w:szCs w:val="20"/>
                <w:color w:val="auto"/>
              </w:rPr>
            </w:pPr>
            <w:r>
              <w:rPr>
                <w:rFonts w:ascii="Arial" w:cs="Arial" w:eastAsia="Arial" w:hAnsi="Arial"/>
                <w:sz w:val="18"/>
                <w:szCs w:val="18"/>
                <w:color w:val="auto"/>
              </w:rPr>
              <w:t>36,727,825</w:t>
            </w:r>
          </w:p>
        </w:tc>
        <w:tc>
          <w:tcPr>
            <w:tcW w:w="100" w:type="dxa"/>
            <w:vAlign w:val="bottom"/>
          </w:tcPr>
          <w:p>
            <w:pPr>
              <w:spacing w:after="0"/>
              <w:rPr>
                <w:sz w:val="20"/>
                <w:szCs w:val="20"/>
                <w:color w:val="auto"/>
              </w:rPr>
            </w:pPr>
          </w:p>
        </w:tc>
        <w:tc>
          <w:tcPr>
            <w:tcW w:w="2720" w:type="dxa"/>
            <w:vAlign w:val="bottom"/>
          </w:tcPr>
          <w:p>
            <w:pPr>
              <w:jc w:val="right"/>
              <w:ind w:right="870"/>
              <w:spacing w:after="0"/>
              <w:rPr>
                <w:sz w:val="20"/>
                <w:szCs w:val="20"/>
                <w:color w:val="auto"/>
              </w:rPr>
            </w:pPr>
            <w:r>
              <w:rPr>
                <w:rFonts w:ascii="Arial" w:cs="Arial" w:eastAsia="Arial" w:hAnsi="Arial"/>
                <w:sz w:val="18"/>
                <w:szCs w:val="18"/>
                <w:color w:val="auto"/>
              </w:rPr>
              <w:t>12,107,477</w:t>
            </w:r>
          </w:p>
        </w:tc>
        <w:tc>
          <w:tcPr>
            <w:tcW w:w="100" w:type="dxa"/>
            <w:vAlign w:val="bottom"/>
          </w:tcPr>
          <w:p>
            <w:pPr>
              <w:spacing w:after="0"/>
              <w:rPr>
                <w:sz w:val="20"/>
                <w:szCs w:val="20"/>
                <w:color w:val="auto"/>
              </w:rPr>
            </w:pPr>
          </w:p>
        </w:tc>
        <w:tc>
          <w:tcPr>
            <w:tcW w:w="2840" w:type="dxa"/>
            <w:vAlign w:val="bottom"/>
          </w:tcPr>
          <w:p>
            <w:pPr>
              <w:jc w:val="right"/>
              <w:ind w:right="1030"/>
              <w:spacing w:after="0"/>
              <w:rPr>
                <w:sz w:val="20"/>
                <w:szCs w:val="20"/>
                <w:color w:val="auto"/>
              </w:rPr>
            </w:pPr>
            <w:r>
              <w:rPr>
                <w:rFonts w:ascii="Arial" w:cs="Arial" w:eastAsia="Arial" w:hAnsi="Arial"/>
                <w:sz w:val="18"/>
                <w:szCs w:val="18"/>
                <w:color w:val="auto"/>
              </w:rPr>
              <w:t>804,699</w:t>
            </w:r>
          </w:p>
        </w:tc>
      </w:tr>
    </w:tbl>
    <w:p>
      <w:pPr>
        <w:sectPr>
          <w:pgSz w:w="11900" w:h="16838" w:orient="portrait"/>
          <w:cols w:equalWidth="0" w:num="1">
            <w:col w:w="11420"/>
          </w:cols>
          <w:pgMar w:left="240" w:top="580" w:right="23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6440" w:right="2340" w:hanging="6401"/>
        <w:spacing w:after="0" w:line="313" w:lineRule="auto"/>
        <w:tabs>
          <w:tab w:leader="none" w:pos="6420" w:val="left"/>
        </w:tabs>
        <w:rPr>
          <w:sz w:val="20"/>
          <w:szCs w:val="20"/>
          <w:color w:val="auto"/>
        </w:rPr>
      </w:pPr>
      <w:r>
        <w:rPr>
          <w:rFonts w:ascii="Arial" w:cs="Arial" w:eastAsia="Arial" w:hAnsi="Arial"/>
          <w:sz w:val="18"/>
          <w:szCs w:val="18"/>
          <w:color w:val="auto"/>
        </w:rPr>
        <w:t>Dated: May 29, 2018</w:t>
      </w:r>
      <w:r>
        <w:rPr>
          <w:sz w:val="20"/>
          <w:szCs w:val="20"/>
          <w:color w:val="auto"/>
        </w:rPr>
        <w:tab/>
      </w:r>
      <w:r>
        <w:rPr>
          <w:rFonts w:ascii="Arial" w:cs="Arial" w:eastAsia="Arial" w:hAnsi="Arial"/>
          <w:sz w:val="18"/>
          <w:szCs w:val="18"/>
          <w:color w:val="auto"/>
        </w:rPr>
        <w:t>By: /s/ Kim Sinatra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-178435</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Executive Vice President and General Counsel</w:t>
      </w:r>
    </w:p>
    <w:sectPr>
      <w:pgSz w:w="11900" w:h="16838" w:orient="portrait"/>
      <w:cols w:equalWidth="0" w:num="1">
        <w:col w:w="10780"/>
      </w:cols>
      <w:pgMar w:left="240" w:top="58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2019-12-06T19:49:05Z</dcterms:created>
  <dcterms:modified xsi:type="dcterms:W3CDTF">2019-12-06T19:49:05Z</dcterms:modified>
</cp:coreProperties>
</file>