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Cootey Stephen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CFO, SVP and Treasurer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01/02/2017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1,391</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86.51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20,609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withheld upon vesting of previously granted restricted stock to satisfy tax withholding obligations.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7"/>
              </w:rPr>
              <w:t>/s/ Stephen Lawrence Cootey</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01/04/2017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Signed: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448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796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2019-12-04T00:49:35Z</dcterms:created>
  <dcterms:modified xsi:type="dcterms:W3CDTF">2019-12-04T00:49:35Z</dcterms:modified>
</cp:coreProperties>
</file>