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#983134107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335,863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5,895,378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5,895,378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5.844%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5,895,378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5,895,378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5.844%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3131 Las Vegas Boulevard South</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Las Vegas, NV</w:t>
      </w:r>
      <w:r>
        <w:rPr>
          <w:sz w:val="20"/>
          <w:szCs w:val="20"/>
          <w:color w:val="auto"/>
        </w:rPr>
        <w:tab/>
      </w:r>
      <w:r>
        <w:rPr>
          <w:rFonts w:ascii="Courier New" w:cs="Courier New" w:eastAsia="Courier New" w:hAnsi="Courier New"/>
          <w:sz w:val="16"/>
          <w:szCs w:val="16"/>
          <w:color w:val="auto"/>
        </w:rPr>
        <w:t>89109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983134107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5,895,378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5.844%</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335,863</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5,895,378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Wynn Resorts Ltd. No one person's interest in the Common Stock of Wynn Resorts Ltd is more than five percent of the total outstanding Common Stock.</w:t>
      </w:r>
    </w:p>
    <w:p>
      <w:pPr>
        <w:spacing w:after="0" w:line="39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13,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5,571,415 shares or 5.523% of the Common Stock outstanding of Wynn Resorts Ltd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5,571,415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19,200 shares or 0.019%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19,200 shares and sole power to vote or to direct the voting of 19,200 shares of Common Stock owned by the institutional account(s) as reported above.</w:t>
      </w:r>
    </w:p>
    <w:p>
      <w:pPr>
        <w:spacing w:after="0" w:line="185"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As such, FMR Corp.'s beneficial ownership includes 263 shares, or 0.000%, of the Common Stock stock outstanding of Wynn Resorts Ltd, beneficially owned through Strategic Advisers, Inc.</w:t>
      </w:r>
    </w:p>
    <w:p>
      <w:pPr>
        <w:spacing w:after="0" w:line="21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304,500 shares or 0.302%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Corp.</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Corp. and FIL are separate and independent corporate entities, and their Boards of Directors are generally composed of different individuals.</w:t>
      </w:r>
    </w:p>
    <w:p>
      <w:pPr>
        <w:spacing w:after="0" w:line="210" w:lineRule="exact"/>
        <w:rPr>
          <w:sz w:val="20"/>
          <w:szCs w:val="20"/>
          <w:color w:val="auto"/>
        </w:rPr>
      </w:pPr>
    </w:p>
    <w:p>
      <w:pPr>
        <w:ind w:right="3999" w:firstLine="843"/>
        <w:spacing w:after="0" w:line="290" w:lineRule="auto"/>
        <w:rPr>
          <w:sz w:val="20"/>
          <w:szCs w:val="20"/>
          <w:color w:val="auto"/>
        </w:rPr>
      </w:pPr>
      <w:r>
        <w:rPr>
          <w:rFonts w:ascii="Courier New" w:cs="Courier New" w:eastAsia="Courier New" w:hAnsi="Courier New"/>
          <w:sz w:val="16"/>
          <w:szCs w:val="16"/>
          <w:color w:val="auto"/>
        </w:rPr>
        <w:t>FMR Corp. and FIL are of the view that they are not acting as a "group" for purposes of Section 13(d) under the</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w:t>
      </w:r>
    </w:p>
    <w:p>
      <w:pPr>
        <w:spacing w:after="0" w:line="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November 13, 2006,</w:t>
      </w:r>
    </w:p>
    <w:p>
      <w:pPr>
        <w:spacing w:after="0" w:line="238" w:lineRule="auto"/>
        <w:rPr>
          <w:sz w:val="20"/>
          <w:szCs w:val="20"/>
          <w:color w:val="auto"/>
        </w:rPr>
      </w:pPr>
      <w:r>
        <w:rPr>
          <w:rFonts w:ascii="Courier New" w:cs="Courier New" w:eastAsia="Courier New" w:hAnsi="Courier New"/>
          <w:sz w:val="18"/>
          <w:szCs w:val="18"/>
          <w:color w:val="auto"/>
        </w:rPr>
        <w:t>agree and consent to the joint filing on their behalf of this</w:t>
      </w:r>
    </w:p>
    <w:p>
      <w:pPr>
        <w:spacing w:after="0"/>
        <w:rPr>
          <w:sz w:val="20"/>
          <w:szCs w:val="20"/>
          <w:color w:val="auto"/>
        </w:rPr>
      </w:pPr>
      <w:r>
        <w:rPr>
          <w:rFonts w:ascii="Courier New" w:cs="Courier New" w:eastAsia="Courier New" w:hAnsi="Courier New"/>
          <w:sz w:val="18"/>
          <w:szCs w:val="18"/>
          <w:color w:val="auto"/>
        </w:rPr>
        <w:t>Schedule 13G in connection with their beneficial ownership of</w:t>
      </w:r>
    </w:p>
    <w:p>
      <w:pPr>
        <w:spacing w:after="0" w:line="237" w:lineRule="auto"/>
        <w:rPr>
          <w:sz w:val="20"/>
          <w:szCs w:val="20"/>
          <w:color w:val="auto"/>
        </w:rPr>
      </w:pPr>
      <w:r>
        <w:rPr>
          <w:rFonts w:ascii="Courier New" w:cs="Courier New" w:eastAsia="Courier New" w:hAnsi="Courier New"/>
          <w:sz w:val="18"/>
          <w:szCs w:val="18"/>
          <w:color w:val="auto"/>
        </w:rPr>
        <w:t>the Common Stock of Wynn Resorts Ltd at October 31, 2006.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2019-12-15T07:55:42Z</dcterms:created>
  <dcterms:modified xsi:type="dcterms:W3CDTF">2019-12-15T07:55:42Z</dcterms:modified>
</cp:coreProperties>
</file>