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August 23, 2011</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its Charter)</w:t>
      </w:r>
    </w:p>
    <w:p>
      <w:pPr>
        <w:spacing w:after="0" w:line="22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40" w:type="dxa"/>
            <w:vAlign w:val="bottom"/>
          </w:tcPr>
          <w:p>
            <w:pPr>
              <w:jc w:val="center"/>
              <w:ind w:right="183"/>
              <w:spacing w:after="0"/>
              <w:rPr>
                <w:sz w:val="20"/>
                <w:szCs w:val="20"/>
                <w:color w:val="auto"/>
              </w:rPr>
            </w:pPr>
            <w:r>
              <w:rPr>
                <w:rFonts w:ascii="Arial" w:cs="Arial" w:eastAsia="Arial" w:hAnsi="Arial"/>
                <w:sz w:val="19"/>
                <w:szCs w:val="19"/>
                <w:b w:val="1"/>
                <w:bCs w:val="1"/>
                <w:color w:val="auto"/>
                <w:w w:val="91"/>
              </w:rPr>
              <w:t>Nevada</w:t>
            </w: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2"/>
              </w:rPr>
              <w:t>000-50028</w:t>
            </w:r>
          </w:p>
        </w:tc>
        <w:tc>
          <w:tcPr>
            <w:tcW w:w="1900" w:type="dxa"/>
            <w:vAlign w:val="bottom"/>
          </w:tcPr>
          <w:p>
            <w:pPr>
              <w:jc w:val="center"/>
              <w:ind w:left="34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340" w:type="dxa"/>
            <w:vAlign w:val="bottom"/>
          </w:tcPr>
          <w:p>
            <w:pPr>
              <w:jc w:val="center"/>
              <w:ind w:right="203"/>
              <w:spacing w:after="0"/>
              <w:rPr>
                <w:sz w:val="20"/>
                <w:szCs w:val="20"/>
                <w:color w:val="auto"/>
              </w:rPr>
            </w:pPr>
            <w:r>
              <w:rPr>
                <w:rFonts w:ascii="Arial" w:cs="Arial" w:eastAsia="Arial" w:hAnsi="Arial"/>
                <w:sz w:val="19"/>
                <w:szCs w:val="19"/>
                <w:color w:val="auto"/>
                <w:w w:val="94"/>
              </w:rPr>
              <w:t>(State or other jurisdiction</w:t>
            </w: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5"/>
              </w:rPr>
              <w:t>(Commission File</w:t>
            </w:r>
          </w:p>
        </w:tc>
        <w:tc>
          <w:tcPr>
            <w:tcW w:w="1900" w:type="dxa"/>
            <w:vAlign w:val="bottom"/>
          </w:tcPr>
          <w:p>
            <w:pPr>
              <w:jc w:val="center"/>
              <w:ind w:left="343"/>
              <w:spacing w:after="0"/>
              <w:rPr>
                <w:sz w:val="20"/>
                <w:szCs w:val="20"/>
                <w:color w:val="auto"/>
              </w:rPr>
            </w:pPr>
            <w:r>
              <w:rPr>
                <w:rFonts w:ascii="Arial" w:cs="Arial" w:eastAsia="Arial" w:hAnsi="Arial"/>
                <w:sz w:val="19"/>
                <w:szCs w:val="19"/>
                <w:color w:val="auto"/>
                <w:w w:val="96"/>
              </w:rPr>
              <w:t>(I.R.S. Employer</w:t>
            </w:r>
          </w:p>
        </w:tc>
      </w:tr>
      <w:tr>
        <w:trPr>
          <w:trHeight w:val="247"/>
        </w:trPr>
        <w:tc>
          <w:tcPr>
            <w:tcW w:w="2340" w:type="dxa"/>
            <w:vAlign w:val="bottom"/>
          </w:tcPr>
          <w:p>
            <w:pPr>
              <w:jc w:val="center"/>
              <w:ind w:right="203"/>
              <w:spacing w:after="0"/>
              <w:rPr>
                <w:sz w:val="20"/>
                <w:szCs w:val="20"/>
                <w:color w:val="auto"/>
              </w:rPr>
            </w:pPr>
            <w:r>
              <w:rPr>
                <w:rFonts w:ascii="Arial" w:cs="Arial" w:eastAsia="Arial" w:hAnsi="Arial"/>
                <w:sz w:val="19"/>
                <w:szCs w:val="19"/>
                <w:color w:val="auto"/>
                <w:w w:val="96"/>
              </w:rPr>
              <w:t>of incorporation)</w:t>
            </w: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7"/>
              </w:rPr>
              <w:t>Number)</w:t>
            </w:r>
          </w:p>
        </w:tc>
        <w:tc>
          <w:tcPr>
            <w:tcW w:w="1900" w:type="dxa"/>
            <w:vAlign w:val="bottom"/>
          </w:tcPr>
          <w:p>
            <w:pPr>
              <w:jc w:val="center"/>
              <w:ind w:left="343"/>
              <w:spacing w:after="0"/>
              <w:rPr>
                <w:sz w:val="20"/>
                <w:szCs w:val="20"/>
                <w:color w:val="auto"/>
              </w:rPr>
            </w:pPr>
            <w:r>
              <w:rPr>
                <w:rFonts w:ascii="Arial" w:cs="Arial" w:eastAsia="Arial" w:hAnsi="Arial"/>
                <w:sz w:val="19"/>
                <w:szCs w:val="19"/>
                <w:color w:val="auto"/>
                <w:w w:val="98"/>
              </w:rPr>
              <w:t>Identification No.)</w:t>
            </w:r>
          </w:p>
        </w:tc>
      </w:tr>
      <w:tr>
        <w:trPr>
          <w:trHeight w:val="675"/>
        </w:trPr>
        <w:tc>
          <w:tcPr>
            <w:tcW w:w="2340" w:type="dxa"/>
            <w:vAlign w:val="bottom"/>
          </w:tcPr>
          <w:p>
            <w:pPr>
              <w:spacing w:after="0"/>
              <w:rPr>
                <w:sz w:val="24"/>
                <w:szCs w:val="24"/>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1"/>
              </w:rPr>
              <w:t>3131 Las Vegas Boulevard South</w:t>
            </w:r>
          </w:p>
        </w:tc>
        <w:tc>
          <w:tcPr>
            <w:tcW w:w="1900" w:type="dxa"/>
            <w:vAlign w:val="bottom"/>
          </w:tcPr>
          <w:p>
            <w:pPr>
              <w:spacing w:after="0"/>
              <w:rPr>
                <w:sz w:val="24"/>
                <w:szCs w:val="24"/>
                <w:color w:val="auto"/>
              </w:rPr>
            </w:pPr>
          </w:p>
        </w:tc>
      </w:tr>
      <w:tr>
        <w:trPr>
          <w:trHeight w:val="231"/>
        </w:trPr>
        <w:tc>
          <w:tcPr>
            <w:tcW w:w="2340" w:type="dxa"/>
            <w:vAlign w:val="bottom"/>
          </w:tcPr>
          <w:p>
            <w:pPr>
              <w:spacing w:after="0"/>
              <w:rPr>
                <w:sz w:val="20"/>
                <w:szCs w:val="20"/>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b w:val="1"/>
                <w:bCs w:val="1"/>
                <w:color w:val="auto"/>
                <w:w w:val="90"/>
              </w:rPr>
              <w:t>Las Vegas, Nevada 89109</w:t>
            </w:r>
          </w:p>
        </w:tc>
        <w:tc>
          <w:tcPr>
            <w:tcW w:w="1900" w:type="dxa"/>
            <w:vAlign w:val="bottom"/>
          </w:tcPr>
          <w:p>
            <w:pPr>
              <w:spacing w:after="0"/>
              <w:rPr>
                <w:sz w:val="20"/>
                <w:szCs w:val="20"/>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color w:val="auto"/>
                <w:w w:val="94"/>
              </w:rPr>
              <w:t>(Address of principal executive offices) (Zip Code)</w:t>
            </w:r>
          </w:p>
        </w:tc>
        <w:tc>
          <w:tcPr>
            <w:tcW w:w="190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(702) 770-7555</w:t>
            </w:r>
          </w:p>
        </w:tc>
        <w:tc>
          <w:tcPr>
            <w:tcW w:w="190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43"/>
              <w:spacing w:after="0"/>
              <w:rPr>
                <w:sz w:val="20"/>
                <w:szCs w:val="20"/>
                <w:color w:val="auto"/>
              </w:rPr>
            </w:pPr>
            <w:r>
              <w:rPr>
                <w:rFonts w:ascii="Arial" w:cs="Arial" w:eastAsia="Arial" w:hAnsi="Arial"/>
                <w:sz w:val="19"/>
                <w:szCs w:val="19"/>
                <w:color w:val="auto"/>
                <w:w w:val="92"/>
              </w:rPr>
              <w:t>(Registrant’s telephone number, including area code)</w:t>
            </w:r>
          </w:p>
        </w:tc>
        <w:tc>
          <w:tcPr>
            <w:tcW w:w="1900" w:type="dxa"/>
            <w:vAlign w:val="bottom"/>
          </w:tcPr>
          <w:p>
            <w:pPr>
              <w:spacing w:after="0"/>
              <w:rPr>
                <w:sz w:val="21"/>
                <w:szCs w:val="21"/>
                <w:color w:val="auto"/>
              </w:rPr>
            </w:pPr>
          </w:p>
        </w:tc>
      </w:tr>
      <w:tr>
        <w:trPr>
          <w:trHeight w:val="442"/>
        </w:trPr>
        <w:tc>
          <w:tcPr>
            <w:tcW w:w="2340" w:type="dxa"/>
            <w:vAlign w:val="bottom"/>
          </w:tcPr>
          <w:p>
            <w:pPr>
              <w:spacing w:after="0"/>
              <w:rPr>
                <w:sz w:val="24"/>
                <w:szCs w:val="24"/>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b w:val="1"/>
                <w:bCs w:val="1"/>
                <w:color w:val="auto"/>
                <w:w w:val="93"/>
              </w:rPr>
              <w:t>Not applicable.</w:t>
            </w:r>
          </w:p>
        </w:tc>
        <w:tc>
          <w:tcPr>
            <w:tcW w:w="1900" w:type="dxa"/>
            <w:vAlign w:val="bottom"/>
          </w:tcPr>
          <w:p>
            <w:pPr>
              <w:spacing w:after="0"/>
              <w:rPr>
                <w:sz w:val="24"/>
                <w:szCs w:val="24"/>
                <w:color w:val="auto"/>
              </w:rPr>
            </w:pPr>
          </w:p>
        </w:tc>
      </w:tr>
      <w:tr>
        <w:trPr>
          <w:trHeight w:val="247"/>
        </w:trPr>
        <w:tc>
          <w:tcPr>
            <w:tcW w:w="2340" w:type="dxa"/>
            <w:vAlign w:val="bottom"/>
          </w:tcPr>
          <w:p>
            <w:pPr>
              <w:spacing w:after="0"/>
              <w:rPr>
                <w:sz w:val="21"/>
                <w:szCs w:val="21"/>
                <w:color w:val="auto"/>
              </w:rPr>
            </w:pPr>
          </w:p>
        </w:tc>
        <w:tc>
          <w:tcPr>
            <w:tcW w:w="5500" w:type="dxa"/>
            <w:vAlign w:val="bottom"/>
          </w:tcPr>
          <w:p>
            <w:pPr>
              <w:jc w:val="center"/>
              <w:ind w:right="63"/>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1900" w:type="dxa"/>
            <w:vAlign w:val="bottom"/>
          </w:tcPr>
          <w:p>
            <w:pPr>
              <w:spacing w:after="0"/>
              <w:rPr>
                <w:sz w:val="21"/>
                <w:szCs w:val="21"/>
                <w:color w:val="auto"/>
              </w:rPr>
            </w:pPr>
          </w:p>
        </w:tc>
      </w:tr>
    </w:tbl>
    <w:p>
      <w:pPr>
        <w:spacing w:after="0" w:line="217"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980" w:type="dxa"/>
            <w:vAlign w:val="bottom"/>
          </w:tcPr>
          <w:p>
            <w:pPr>
              <w:ind w:left="14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641"/>
        </w:trPr>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9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7.01.  Regulation FD Disclosure.</w:t>
      </w:r>
    </w:p>
    <w:p>
      <w:pPr>
        <w:spacing w:after="0" w:line="242" w:lineRule="exact"/>
        <w:rPr>
          <w:sz w:val="20"/>
          <w:szCs w:val="20"/>
          <w:color w:val="auto"/>
        </w:rPr>
      </w:pPr>
    </w:p>
    <w:p>
      <w:pPr>
        <w:ind w:firstLine="530"/>
        <w:spacing w:after="0" w:line="241" w:lineRule="auto"/>
        <w:rPr>
          <w:sz w:val="20"/>
          <w:szCs w:val="20"/>
          <w:color w:val="auto"/>
        </w:rPr>
      </w:pPr>
      <w:r>
        <w:rPr>
          <w:rFonts w:ascii="Arial" w:cs="Arial" w:eastAsia="Arial" w:hAnsi="Arial"/>
          <w:sz w:val="21"/>
          <w:szCs w:val="21"/>
          <w:color w:val="auto"/>
        </w:rPr>
        <w:t>On August 23, 2011, Wynn Macau, Limited (“WML”), an indirect subsidiary of Wynn Resorts, Limited (the “Registrant”) with ordinary shares of its common stock listed on The Stock Exchange of Hong Kong Limited, filed its preliminary results in respect of the six months ended June 30, 2011 (the “Semi-Annual Results Announcement”) with The Stock Exchange of Hong Kong Limited. The Registrant owns approximately 72.3%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p>
      <w:pPr>
        <w:ind w:left="580" w:hanging="574"/>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Exhibits.</w:t>
      </w:r>
    </w:p>
    <w:p>
      <w:pPr>
        <w:spacing w:after="0" w:line="230" w:lineRule="exact"/>
        <w:rPr>
          <w:sz w:val="20"/>
          <w:szCs w:val="20"/>
          <w:color w:val="auto"/>
        </w:rPr>
      </w:pPr>
    </w:p>
    <w:p>
      <w:pPr>
        <w:spacing w:after="0"/>
        <w:tabs>
          <w:tab w:leader="none" w:pos="1360" w:val="left"/>
        </w:tabs>
        <w:rPr>
          <w:sz w:val="20"/>
          <w:szCs w:val="20"/>
          <w:color w:val="auto"/>
        </w:rPr>
      </w:pPr>
      <w:r>
        <w:rPr>
          <w:rFonts w:ascii="Arial" w:cs="Arial" w:eastAsia="Arial" w:hAnsi="Arial"/>
          <w:sz w:val="21"/>
          <w:szCs w:val="21"/>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15" w:lineRule="exact"/>
        <w:rPr>
          <w:sz w:val="20"/>
          <w:szCs w:val="20"/>
          <w:color w:val="auto"/>
        </w:rPr>
      </w:pPr>
    </w:p>
    <w:p>
      <w:pPr>
        <w:spacing w:after="0"/>
        <w:tabs>
          <w:tab w:leader="none" w:pos="1360" w:val="left"/>
        </w:tabs>
        <w:rPr>
          <w:sz w:val="20"/>
          <w:szCs w:val="20"/>
          <w:color w:val="auto"/>
        </w:rPr>
      </w:pPr>
      <w:r>
        <w:rPr>
          <w:rFonts w:ascii="Arial" w:cs="Arial" w:eastAsia="Arial" w:hAnsi="Arial"/>
          <w:sz w:val="21"/>
          <w:szCs w:val="21"/>
          <w:color w:val="auto"/>
        </w:rPr>
        <w:t>99.1</w:t>
      </w:r>
      <w:r>
        <w:rPr>
          <w:sz w:val="20"/>
          <w:szCs w:val="20"/>
          <w:color w:val="auto"/>
        </w:rPr>
        <w:tab/>
      </w:r>
      <w:r>
        <w:rPr>
          <w:rFonts w:ascii="Arial" w:cs="Arial" w:eastAsia="Arial" w:hAnsi="Arial"/>
          <w:sz w:val="19"/>
          <w:szCs w:val="19"/>
          <w:color w:val="auto"/>
        </w:rPr>
        <w:t>Semi-Annual Results Announcement of Wynn Macau, Limited, for the Six Months Ended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716915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97"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19"/>
          <w:szCs w:val="19"/>
          <w:color w:val="auto"/>
        </w:rPr>
        <w:t>August 23, 2011</w:t>
      </w:r>
    </w:p>
    <w:p>
      <w:pPr>
        <w:spacing w:after="0" w:line="200" w:lineRule="exact"/>
        <w:rPr>
          <w:sz w:val="20"/>
          <w:szCs w:val="20"/>
          <w:color w:val="auto"/>
        </w:rPr>
      </w:pPr>
    </w:p>
    <w:p>
      <w:pPr>
        <w:spacing w:after="0" w:line="274"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21"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21"/>
          <w:szCs w:val="21"/>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12065</wp:posOffset>
            </wp:positionV>
            <wp:extent cx="3115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5310" cy="8255"/>
                    </a:xfrm>
                    <a:prstGeom prst="rect">
                      <a:avLst/>
                    </a:prstGeom>
                    <a:noFill/>
                  </pic:spPr>
                </pic:pic>
              </a:graphicData>
            </a:graphic>
          </wp:anchor>
        </w:drawing>
      </w:r>
    </w:p>
    <w:p>
      <w:pPr>
        <w:spacing w:after="0" w:line="6" w:lineRule="exact"/>
        <w:rPr>
          <w:sz w:val="20"/>
          <w:szCs w:val="20"/>
          <w:color w:val="auto"/>
        </w:rPr>
      </w:pPr>
    </w:p>
    <w:p>
      <w:pPr>
        <w:ind w:left="6520"/>
        <w:spacing w:after="0"/>
        <w:rPr>
          <w:sz w:val="20"/>
          <w:szCs w:val="20"/>
          <w:color w:val="auto"/>
        </w:rPr>
      </w:pPr>
      <w:r>
        <w:rPr>
          <w:rFonts w:ascii="Arial" w:cs="Arial" w:eastAsia="Arial" w:hAnsi="Arial"/>
          <w:sz w:val="21"/>
          <w:szCs w:val="21"/>
          <w:color w:val="auto"/>
        </w:rPr>
        <w:t>Matt Maddox</w:t>
      </w:r>
    </w:p>
    <w:p>
      <w:pPr>
        <w:ind w:left="6520"/>
        <w:spacing w:after="0"/>
        <w:rPr>
          <w:sz w:val="20"/>
          <w:szCs w:val="20"/>
          <w:color w:val="auto"/>
        </w:rPr>
      </w:pPr>
      <w:r>
        <w:rPr>
          <w:rFonts w:ascii="Arial" w:cs="Arial" w:eastAsia="Arial" w:hAnsi="Arial"/>
          <w:sz w:val="21"/>
          <w:szCs w:val="21"/>
          <w:color w:val="auto"/>
        </w:rPr>
        <w:t>Chief Financial Officer and Treasurer</w:t>
      </w:r>
    </w:p>
    <w:p>
      <w:pPr>
        <w:sectPr>
          <w:pgSz w:w="11900" w:h="16838" w:orient="portrait"/>
          <w:cols w:equalWidth="0" w:num="1">
            <w:col w:w="11420"/>
          </w:cols>
          <w:pgMar w:left="240" w:top="49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9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i w:val="1"/>
          <w:iCs w:val="1"/>
          <w:color w:val="231E1F"/>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144780</wp:posOffset>
            </wp:positionV>
            <wp:extent cx="2947035" cy="1389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703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E1F"/>
        </w:rPr>
        <w:t>(incorporated in the Cayman Islands with limited liability)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31E1F"/>
        </w:rPr>
        <w:t>(Stock Code: 1128)</w:t>
      </w:r>
    </w:p>
    <w:p>
      <w:pPr>
        <w:spacing w:after="0" w:line="204" w:lineRule="exact"/>
        <w:rPr>
          <w:sz w:val="20"/>
          <w:szCs w:val="20"/>
          <w:color w:val="auto"/>
        </w:rPr>
      </w:pPr>
    </w:p>
    <w:p>
      <w:pPr>
        <w:jc w:val="center"/>
        <w:ind w:left="260" w:right="140"/>
        <w:spacing w:after="0" w:line="264" w:lineRule="auto"/>
        <w:rPr>
          <w:sz w:val="20"/>
          <w:szCs w:val="20"/>
          <w:color w:val="auto"/>
        </w:rPr>
      </w:pPr>
      <w:r>
        <w:rPr>
          <w:rFonts w:ascii="Arial" w:cs="Arial" w:eastAsia="Arial" w:hAnsi="Arial"/>
          <w:sz w:val="32"/>
          <w:szCs w:val="32"/>
          <w:b w:val="1"/>
          <w:bCs w:val="1"/>
          <w:color w:val="231E1F"/>
        </w:rPr>
        <w:t>ANNOUNCEMENT OF INTERIM RESULTS FOR THE SIX MONTHS ENDED 30 JUNE 2011</w:t>
      </w:r>
    </w:p>
    <w:p>
      <w:pPr>
        <w:spacing w:after="0" w:line="154" w:lineRule="exact"/>
        <w:rPr>
          <w:sz w:val="20"/>
          <w:szCs w:val="20"/>
          <w:color w:val="auto"/>
        </w:rPr>
      </w:pPr>
    </w:p>
    <w:p>
      <w:pPr>
        <w:ind w:right="240"/>
        <w:spacing w:after="0" w:line="348" w:lineRule="auto"/>
        <w:rPr>
          <w:sz w:val="20"/>
          <w:szCs w:val="20"/>
          <w:color w:val="auto"/>
        </w:rPr>
      </w:pPr>
      <w:r>
        <w:rPr>
          <w:rFonts w:ascii="Arial" w:cs="Arial" w:eastAsia="Arial" w:hAnsi="Arial"/>
          <w:sz w:val="20"/>
          <w:szCs w:val="20"/>
          <w:color w:val="231E1F"/>
        </w:rPr>
        <w:t>The Board of Directors of Wynn Macau, Limited (the “</w:t>
      </w:r>
      <w:r>
        <w:rPr>
          <w:rFonts w:ascii="Arial" w:cs="Arial" w:eastAsia="Arial" w:hAnsi="Arial"/>
          <w:sz w:val="20"/>
          <w:szCs w:val="20"/>
          <w:b w:val="1"/>
          <w:bCs w:val="1"/>
          <w:color w:val="231E1F"/>
        </w:rPr>
        <w:t>Company</w:t>
      </w:r>
      <w:r>
        <w:rPr>
          <w:rFonts w:ascii="Arial" w:cs="Arial" w:eastAsia="Arial" w:hAnsi="Arial"/>
          <w:sz w:val="20"/>
          <w:szCs w:val="20"/>
          <w:color w:val="231E1F"/>
        </w:rPr>
        <w:t>”) is pleased to announce the unaudited consolidated results of the Company and its subsidiaries (collectively, the “</w:t>
      </w:r>
      <w:r>
        <w:rPr>
          <w:rFonts w:ascii="Arial" w:cs="Arial" w:eastAsia="Arial" w:hAnsi="Arial"/>
          <w:sz w:val="20"/>
          <w:szCs w:val="20"/>
          <w:b w:val="1"/>
          <w:bCs w:val="1"/>
          <w:color w:val="231E1F"/>
        </w:rPr>
        <w:t>Group</w:t>
      </w:r>
      <w:r>
        <w:rPr>
          <w:rFonts w:ascii="Arial" w:cs="Arial" w:eastAsia="Arial" w:hAnsi="Arial"/>
          <w:sz w:val="20"/>
          <w:szCs w:val="20"/>
          <w:color w:val="231E1F"/>
        </w:rPr>
        <w:t>”) for the six months ended 30 June 2011 as follows.</w:t>
      </w:r>
    </w:p>
    <w:p>
      <w:pPr>
        <w:spacing w:after="0" w:line="102"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FINANCIAL HIGHLIGHTS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4380" w:type="dxa"/>
            <w:vAlign w:val="bottom"/>
          </w:tcPr>
          <w:p>
            <w:pPr>
              <w:jc w:val="center"/>
              <w:ind w:left="3165"/>
              <w:spacing w:after="0"/>
              <w:rPr>
                <w:sz w:val="20"/>
                <w:szCs w:val="20"/>
                <w:color w:val="auto"/>
              </w:rPr>
            </w:pPr>
            <w:r>
              <w:rPr>
                <w:rFonts w:ascii="Arial" w:cs="Arial" w:eastAsia="Arial" w:hAnsi="Arial"/>
                <w:sz w:val="23"/>
                <w:szCs w:val="23"/>
                <w:b w:val="1"/>
                <w:bCs w:val="1"/>
                <w:color w:val="231E1F"/>
                <w:w w:val="95"/>
              </w:rPr>
              <w:t>Group</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620" w:type="dxa"/>
            <w:vAlign w:val="bottom"/>
            <w:gridSpan w:val="2"/>
          </w:tcPr>
          <w:p>
            <w:pPr>
              <w:jc w:val="center"/>
              <w:ind w:left="1925"/>
              <w:spacing w:after="0"/>
              <w:rPr>
                <w:sz w:val="20"/>
                <w:szCs w:val="20"/>
                <w:color w:val="auto"/>
              </w:rPr>
            </w:pPr>
            <w:r>
              <w:rPr>
                <w:rFonts w:ascii="Arial" w:cs="Arial" w:eastAsia="Arial" w:hAnsi="Arial"/>
                <w:sz w:val="23"/>
                <w:szCs w:val="23"/>
                <w:b w:val="1"/>
                <w:bCs w:val="1"/>
                <w:color w:val="231E1F"/>
                <w:w w:val="88"/>
              </w:rPr>
              <w:t>For the six months ended 30 June</w:t>
            </w: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380" w:type="dxa"/>
            <w:vAlign w:val="bottom"/>
          </w:tcPr>
          <w:p>
            <w:pPr>
              <w:jc w:val="right"/>
              <w:ind w:right="585"/>
              <w:spacing w:after="0"/>
              <w:rPr>
                <w:sz w:val="20"/>
                <w:szCs w:val="20"/>
                <w:color w:val="auto"/>
              </w:rPr>
            </w:pPr>
            <w:r>
              <w:rPr>
                <w:rFonts w:ascii="Arial" w:cs="Arial" w:eastAsia="Arial" w:hAnsi="Arial"/>
                <w:sz w:val="23"/>
                <w:szCs w:val="23"/>
                <w:b w:val="1"/>
                <w:bCs w:val="1"/>
                <w:color w:val="auto"/>
              </w:rPr>
              <w:t>2011</w:t>
            </w:r>
          </w:p>
        </w:tc>
        <w:tc>
          <w:tcPr>
            <w:tcW w:w="1240" w:type="dxa"/>
            <w:vAlign w:val="bottom"/>
          </w:tcPr>
          <w:p>
            <w:pPr>
              <w:jc w:val="right"/>
              <w:spacing w:after="0"/>
              <w:rPr>
                <w:sz w:val="20"/>
                <w:szCs w:val="20"/>
                <w:color w:val="auto"/>
              </w:rPr>
            </w:pPr>
            <w:r>
              <w:rPr>
                <w:rFonts w:ascii="Arial" w:cs="Arial" w:eastAsia="Arial" w:hAnsi="Arial"/>
                <w:sz w:val="23"/>
                <w:szCs w:val="23"/>
                <w:color w:val="auto"/>
              </w:rPr>
              <w:t>2010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4380" w:type="dxa"/>
            <w:vAlign w:val="bottom"/>
          </w:tcPr>
          <w:p>
            <w:pPr>
              <w:jc w:val="right"/>
              <w:ind w:right="585"/>
              <w:spacing w:after="0"/>
              <w:rPr>
                <w:sz w:val="20"/>
                <w:szCs w:val="20"/>
                <w:color w:val="auto"/>
              </w:rPr>
            </w:pPr>
            <w:r>
              <w:rPr>
                <w:rFonts w:ascii="Arial" w:cs="Arial" w:eastAsia="Arial" w:hAnsi="Arial"/>
                <w:sz w:val="23"/>
                <w:szCs w:val="23"/>
                <w:b w:val="1"/>
                <w:bCs w:val="1"/>
                <w:i w:val="1"/>
                <w:iCs w:val="1"/>
                <w:color w:val="auto"/>
              </w:rPr>
              <w:t>HK$</w:t>
            </w:r>
          </w:p>
        </w:tc>
        <w:tc>
          <w:tcPr>
            <w:tcW w:w="1240" w:type="dxa"/>
            <w:vAlign w:val="bottom"/>
          </w:tcPr>
          <w:p>
            <w:pPr>
              <w:jc w:val="right"/>
              <w:spacing w:after="0"/>
              <w:rPr>
                <w:sz w:val="20"/>
                <w:szCs w:val="20"/>
                <w:color w:val="auto"/>
              </w:rPr>
            </w:pPr>
            <w:r>
              <w:rPr>
                <w:rFonts w:ascii="Arial" w:cs="Arial" w:eastAsia="Arial" w:hAnsi="Arial"/>
                <w:sz w:val="23"/>
                <w:szCs w:val="23"/>
                <w:i w:val="1"/>
                <w:iCs w:val="1"/>
                <w:color w:val="auto"/>
              </w:rPr>
              <w:t>HK$</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620" w:type="dxa"/>
            <w:vAlign w:val="bottom"/>
            <w:gridSpan w:val="2"/>
          </w:tcPr>
          <w:p>
            <w:pPr>
              <w:jc w:val="center"/>
              <w:ind w:left="1965"/>
              <w:spacing w:after="0"/>
              <w:rPr>
                <w:sz w:val="20"/>
                <w:szCs w:val="20"/>
                <w:color w:val="auto"/>
              </w:rPr>
            </w:pPr>
            <w:r>
              <w:rPr>
                <w:rFonts w:ascii="Arial" w:cs="Arial" w:eastAsia="Arial" w:hAnsi="Arial"/>
                <w:sz w:val="23"/>
                <w:szCs w:val="23"/>
                <w:i w:val="1"/>
                <w:iCs w:val="1"/>
                <w:color w:val="auto"/>
                <w:w w:val="88"/>
              </w:rPr>
              <w:t>(in thousands, except share amounts)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23"/>
                <w:szCs w:val="23"/>
                <w:color w:val="auto"/>
              </w:rPr>
              <w:t>Casino revenues</w:t>
            </w:r>
          </w:p>
        </w:tc>
        <w:tc>
          <w:tcPr>
            <w:tcW w:w="4380" w:type="dxa"/>
            <w:vAlign w:val="bottom"/>
            <w:shd w:val="clear" w:color="auto" w:fill="CCEEFF"/>
          </w:tcPr>
          <w:p>
            <w:pPr>
              <w:jc w:val="right"/>
              <w:ind w:right="585"/>
              <w:spacing w:after="0"/>
              <w:rPr>
                <w:sz w:val="20"/>
                <w:szCs w:val="20"/>
                <w:color w:val="auto"/>
              </w:rPr>
            </w:pPr>
            <w:r>
              <w:rPr>
                <w:rFonts w:ascii="Arial" w:cs="Arial" w:eastAsia="Arial" w:hAnsi="Arial"/>
                <w:sz w:val="23"/>
                <w:szCs w:val="23"/>
                <w:b w:val="1"/>
                <w:bCs w:val="1"/>
                <w:color w:val="auto"/>
              </w:rPr>
              <w:t>13,510,030</w:t>
            </w:r>
          </w:p>
        </w:tc>
        <w:tc>
          <w:tcPr>
            <w:tcW w:w="1240" w:type="dxa"/>
            <w:vAlign w:val="bottom"/>
            <w:shd w:val="clear" w:color="auto" w:fill="CCEEFF"/>
          </w:tcPr>
          <w:p>
            <w:pPr>
              <w:jc w:val="right"/>
              <w:spacing w:after="0"/>
              <w:rPr>
                <w:sz w:val="20"/>
                <w:szCs w:val="20"/>
                <w:color w:val="auto"/>
              </w:rPr>
            </w:pPr>
            <w:r>
              <w:rPr>
                <w:rFonts w:ascii="Arial" w:cs="Arial" w:eastAsia="Arial" w:hAnsi="Arial"/>
                <w:sz w:val="23"/>
                <w:szCs w:val="23"/>
                <w:color w:val="auto"/>
              </w:rPr>
              <w:t>9,510,861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23"/>
                <w:szCs w:val="23"/>
                <w:color w:val="auto"/>
              </w:rPr>
              <w:t>Other revenues</w:t>
            </w:r>
          </w:p>
        </w:tc>
        <w:tc>
          <w:tcPr>
            <w:tcW w:w="4380" w:type="dxa"/>
            <w:vAlign w:val="bottom"/>
          </w:tcPr>
          <w:p>
            <w:pPr>
              <w:jc w:val="right"/>
              <w:ind w:right="585"/>
              <w:spacing w:after="0"/>
              <w:rPr>
                <w:sz w:val="20"/>
                <w:szCs w:val="20"/>
                <w:color w:val="auto"/>
              </w:rPr>
            </w:pPr>
            <w:r>
              <w:rPr>
                <w:rFonts w:ascii="Arial" w:cs="Arial" w:eastAsia="Arial" w:hAnsi="Arial"/>
                <w:sz w:val="23"/>
                <w:szCs w:val="23"/>
                <w:b w:val="1"/>
                <w:bCs w:val="1"/>
                <w:color w:val="auto"/>
              </w:rPr>
              <w:t>827,753</w:t>
            </w:r>
          </w:p>
        </w:tc>
        <w:tc>
          <w:tcPr>
            <w:tcW w:w="1240" w:type="dxa"/>
            <w:vAlign w:val="bottom"/>
          </w:tcPr>
          <w:p>
            <w:pPr>
              <w:jc w:val="right"/>
              <w:spacing w:after="0"/>
              <w:rPr>
                <w:sz w:val="20"/>
                <w:szCs w:val="20"/>
                <w:color w:val="auto"/>
              </w:rPr>
            </w:pPr>
            <w:r>
              <w:rPr>
                <w:rFonts w:ascii="Arial" w:cs="Arial" w:eastAsia="Arial" w:hAnsi="Arial"/>
                <w:sz w:val="23"/>
                <w:szCs w:val="23"/>
                <w:color w:val="auto"/>
              </w:rPr>
              <w:t>629,092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23"/>
                <w:szCs w:val="23"/>
                <w:color w:val="auto"/>
              </w:rPr>
              <w:t>EBITDA</w:t>
            </w:r>
          </w:p>
        </w:tc>
        <w:tc>
          <w:tcPr>
            <w:tcW w:w="4380" w:type="dxa"/>
            <w:vAlign w:val="bottom"/>
            <w:shd w:val="clear" w:color="auto" w:fill="CCEEFF"/>
          </w:tcPr>
          <w:p>
            <w:pPr>
              <w:jc w:val="right"/>
              <w:ind w:right="585"/>
              <w:spacing w:after="0"/>
              <w:rPr>
                <w:sz w:val="20"/>
                <w:szCs w:val="20"/>
                <w:color w:val="auto"/>
              </w:rPr>
            </w:pPr>
            <w:r>
              <w:rPr>
                <w:rFonts w:ascii="Arial" w:cs="Arial" w:eastAsia="Arial" w:hAnsi="Arial"/>
                <w:sz w:val="23"/>
                <w:szCs w:val="23"/>
                <w:b w:val="1"/>
                <w:bCs w:val="1"/>
                <w:color w:val="auto"/>
              </w:rPr>
              <w:t>3,909,496</w:t>
            </w:r>
          </w:p>
        </w:tc>
        <w:tc>
          <w:tcPr>
            <w:tcW w:w="1240" w:type="dxa"/>
            <w:vAlign w:val="bottom"/>
            <w:shd w:val="clear" w:color="auto" w:fill="CCEEFF"/>
          </w:tcPr>
          <w:p>
            <w:pPr>
              <w:jc w:val="right"/>
              <w:spacing w:after="0"/>
              <w:rPr>
                <w:sz w:val="20"/>
                <w:szCs w:val="20"/>
                <w:color w:val="auto"/>
              </w:rPr>
            </w:pPr>
            <w:r>
              <w:rPr>
                <w:rFonts w:ascii="Arial" w:cs="Arial" w:eastAsia="Arial" w:hAnsi="Arial"/>
                <w:sz w:val="23"/>
                <w:szCs w:val="23"/>
                <w:color w:val="auto"/>
              </w:rPr>
              <w:t>2,618,907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23"/>
                <w:szCs w:val="23"/>
                <w:color w:val="auto"/>
              </w:rPr>
              <w:t>Profit attributable to owners</w:t>
            </w:r>
            <w:r>
              <w:rPr>
                <w:rFonts w:ascii="Arial" w:cs="Arial" w:eastAsia="Arial" w:hAnsi="Arial"/>
                <w:sz w:val="16"/>
                <w:szCs w:val="16"/>
                <w:color w:val="auto"/>
              </w:rPr>
              <w:t>(1)</w:t>
            </w:r>
          </w:p>
        </w:tc>
        <w:tc>
          <w:tcPr>
            <w:tcW w:w="4380" w:type="dxa"/>
            <w:vAlign w:val="bottom"/>
          </w:tcPr>
          <w:p>
            <w:pPr>
              <w:jc w:val="right"/>
              <w:ind w:right="585"/>
              <w:spacing w:after="0"/>
              <w:rPr>
                <w:sz w:val="20"/>
                <w:szCs w:val="20"/>
                <w:color w:val="auto"/>
              </w:rPr>
            </w:pPr>
            <w:r>
              <w:rPr>
                <w:rFonts w:ascii="Arial" w:cs="Arial" w:eastAsia="Arial" w:hAnsi="Arial"/>
                <w:sz w:val="23"/>
                <w:szCs w:val="23"/>
                <w:b w:val="1"/>
                <w:bCs w:val="1"/>
                <w:color w:val="auto"/>
              </w:rPr>
              <w:t>2,412,447</w:t>
            </w:r>
          </w:p>
        </w:tc>
        <w:tc>
          <w:tcPr>
            <w:tcW w:w="1240" w:type="dxa"/>
            <w:vAlign w:val="bottom"/>
          </w:tcPr>
          <w:p>
            <w:pPr>
              <w:jc w:val="right"/>
              <w:spacing w:after="0"/>
              <w:rPr>
                <w:sz w:val="20"/>
                <w:szCs w:val="20"/>
                <w:color w:val="auto"/>
              </w:rPr>
            </w:pPr>
            <w:r>
              <w:rPr>
                <w:rFonts w:ascii="Arial" w:cs="Arial" w:eastAsia="Arial" w:hAnsi="Arial"/>
                <w:sz w:val="23"/>
                <w:szCs w:val="23"/>
                <w:color w:val="auto"/>
              </w:rPr>
              <w:t>1,906,609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23"/>
                <w:szCs w:val="23"/>
                <w:color w:val="auto"/>
              </w:rPr>
              <w:t>Earnings per Share — basic and diluted</w:t>
            </w:r>
          </w:p>
        </w:tc>
        <w:tc>
          <w:tcPr>
            <w:tcW w:w="4380" w:type="dxa"/>
            <w:vAlign w:val="bottom"/>
            <w:shd w:val="clear" w:color="auto" w:fill="CCEEFF"/>
          </w:tcPr>
          <w:p>
            <w:pPr>
              <w:jc w:val="right"/>
              <w:ind w:right="585"/>
              <w:spacing w:after="0"/>
              <w:rPr>
                <w:sz w:val="20"/>
                <w:szCs w:val="20"/>
                <w:color w:val="auto"/>
              </w:rPr>
            </w:pPr>
            <w:r>
              <w:rPr>
                <w:rFonts w:ascii="Arial" w:cs="Arial" w:eastAsia="Arial" w:hAnsi="Arial"/>
                <w:sz w:val="23"/>
                <w:szCs w:val="23"/>
                <w:b w:val="1"/>
                <w:bCs w:val="1"/>
                <w:color w:val="auto"/>
              </w:rPr>
              <w:t>47 cents</w:t>
            </w:r>
          </w:p>
        </w:tc>
        <w:tc>
          <w:tcPr>
            <w:tcW w:w="1240" w:type="dxa"/>
            <w:vAlign w:val="bottom"/>
            <w:shd w:val="clear" w:color="auto" w:fill="CCEEFF"/>
          </w:tcPr>
          <w:p>
            <w:pPr>
              <w:jc w:val="right"/>
              <w:spacing w:after="0"/>
              <w:rPr>
                <w:sz w:val="20"/>
                <w:szCs w:val="20"/>
                <w:color w:val="auto"/>
              </w:rPr>
            </w:pPr>
            <w:r>
              <w:rPr>
                <w:rFonts w:ascii="Arial" w:cs="Arial" w:eastAsia="Arial" w:hAnsi="Arial"/>
                <w:sz w:val="23"/>
                <w:szCs w:val="23"/>
                <w:color w:val="auto"/>
              </w:rPr>
              <w:t>37 cents</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480" w:right="40" w:hanging="474"/>
        <w:spacing w:after="0" w:line="249" w:lineRule="auto"/>
        <w:tabs>
          <w:tab w:leader="none" w:pos="480" w:val="left"/>
        </w:tabs>
        <w:numPr>
          <w:ilvl w:val="0"/>
          <w:numId w:val="2"/>
        </w:numPr>
        <w:rPr>
          <w:rFonts w:ascii="Arial" w:cs="Arial" w:eastAsia="Arial" w:hAnsi="Arial"/>
          <w:sz w:val="18"/>
          <w:szCs w:val="18"/>
          <w:color w:val="231E1F"/>
        </w:rPr>
      </w:pPr>
      <w:r>
        <w:rPr>
          <w:rFonts w:ascii="Arial" w:cs="Arial" w:eastAsia="Arial" w:hAnsi="Arial"/>
          <w:sz w:val="18"/>
          <w:szCs w:val="18"/>
          <w:color w:val="231E1F"/>
        </w:rPr>
        <w:t>Net profit in the six months ended 30 June 2011 included a HK$831.1 million charge representing the present value of a charitable contribution made by WRM to the University of Macau Development Foundation. This contribution consists of a MOP200.0 million (approximately HK$194.2 million) payment made in May 2011, and a commitment for additional donations of MOP80.0 million (approximately HK$77.7 million) each year for the calendar years 2012 through 2022 inclusive, for a total of MOP1,080.0 million (approximately HK$1,048.5 million). Excluding this one time charge, net profit in the six months ended 30 June 2011 would have been HK$3.2 billion, a 70.1% increase from the HK$1.9 billion in the six months ended 30 June 2010.</w:t>
      </w:r>
    </w:p>
    <w:p>
      <w:pPr>
        <w:spacing w:after="0" w:line="203"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DIVIDEND</w:t>
      </w:r>
    </w:p>
    <w:p>
      <w:pPr>
        <w:spacing w:after="0" w:line="254" w:lineRule="exact"/>
        <w:rPr>
          <w:sz w:val="20"/>
          <w:szCs w:val="20"/>
          <w:color w:val="auto"/>
        </w:rPr>
      </w:pPr>
    </w:p>
    <w:p>
      <w:pPr>
        <w:spacing w:after="0"/>
        <w:rPr>
          <w:sz w:val="20"/>
          <w:szCs w:val="20"/>
          <w:color w:val="auto"/>
        </w:rPr>
      </w:pPr>
      <w:r>
        <w:rPr>
          <w:rFonts w:ascii="Arial" w:cs="Arial" w:eastAsia="Arial" w:hAnsi="Arial"/>
          <w:sz w:val="23"/>
          <w:szCs w:val="23"/>
          <w:color w:val="231E1F"/>
        </w:rPr>
        <w:t>The Board has not recommended an interim dividend payment for the six months ended 30 June 2011.</w:t>
      </w:r>
    </w:p>
    <w:p>
      <w:pPr>
        <w:spacing w:after="0" w:line="253" w:lineRule="exact"/>
        <w:rPr>
          <w:sz w:val="20"/>
          <w:szCs w:val="20"/>
          <w:color w:val="auto"/>
        </w:rPr>
      </w:pPr>
    </w:p>
    <w:p>
      <w:pPr>
        <w:ind w:left="220" w:hanging="214"/>
        <w:spacing w:after="0"/>
        <w:tabs>
          <w:tab w:leader="none" w:pos="220" w:val="left"/>
        </w:tabs>
        <w:numPr>
          <w:ilvl w:val="0"/>
          <w:numId w:val="3"/>
        </w:numPr>
        <w:rPr>
          <w:rFonts w:ascii="Arial" w:cs="Arial" w:eastAsia="Arial" w:hAnsi="Arial"/>
          <w:sz w:val="18"/>
          <w:szCs w:val="18"/>
          <w:color w:val="231E1F"/>
        </w:rPr>
      </w:pPr>
      <w:r>
        <w:rPr>
          <w:rFonts w:ascii="Arial" w:cs="Arial" w:eastAsia="Arial" w:hAnsi="Arial"/>
          <w:sz w:val="18"/>
          <w:szCs w:val="18"/>
          <w:i w:val="1"/>
          <w:iCs w:val="1"/>
          <w:color w:val="231E1F"/>
        </w:rPr>
        <w:t>For identification purpose only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Arial" w:cs="Arial" w:eastAsia="Arial" w:hAnsi="Arial"/>
          <w:sz w:val="28"/>
          <w:szCs w:val="28"/>
          <w:b w:val="1"/>
          <w:bCs w:val="1"/>
          <w:color w:val="231E1F"/>
        </w:rPr>
        <w:t>Condensed Consolidated Statement of Comprehensive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20" w:type="dxa"/>
            <w:vAlign w:val="bottom"/>
            <w:gridSpan w:val="3"/>
          </w:tcPr>
          <w:p>
            <w:pPr>
              <w:ind w:left="960"/>
              <w:spacing w:after="0"/>
              <w:rPr>
                <w:sz w:val="20"/>
                <w:szCs w:val="20"/>
                <w:color w:val="auto"/>
              </w:rPr>
            </w:pPr>
            <w:r>
              <w:rPr>
                <w:rFonts w:ascii="Arial" w:cs="Arial" w:eastAsia="Arial" w:hAnsi="Arial"/>
                <w:sz w:val="23"/>
                <w:szCs w:val="23"/>
                <w:b w:val="1"/>
                <w:bCs w:val="1"/>
                <w:color w:val="231E1F"/>
                <w:w w:val="92"/>
              </w:rPr>
              <w:t>Group</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80" w:type="dxa"/>
            <w:vAlign w:val="bottom"/>
            <w:gridSpan w:val="5"/>
          </w:tcPr>
          <w:p>
            <w:pPr>
              <w:jc w:val="right"/>
              <w:ind w:right="300"/>
              <w:spacing w:after="0"/>
              <w:rPr>
                <w:sz w:val="20"/>
                <w:szCs w:val="20"/>
                <w:color w:val="auto"/>
              </w:rPr>
            </w:pPr>
            <w:r>
              <w:rPr>
                <w:rFonts w:ascii="Arial" w:cs="Arial" w:eastAsia="Arial" w:hAnsi="Arial"/>
                <w:sz w:val="23"/>
                <w:szCs w:val="23"/>
                <w:b w:val="1"/>
                <w:bCs w:val="1"/>
                <w:color w:val="231E1F"/>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80" w:type="dxa"/>
            <w:vAlign w:val="bottom"/>
            <w:gridSpan w:val="5"/>
          </w:tcPr>
          <w:p>
            <w:pPr>
              <w:jc w:val="right"/>
              <w:ind w:right="1200"/>
              <w:spacing w:after="0"/>
              <w:rPr>
                <w:sz w:val="20"/>
                <w:szCs w:val="20"/>
                <w:color w:val="auto"/>
              </w:rPr>
            </w:pPr>
            <w:r>
              <w:rPr>
                <w:rFonts w:ascii="Arial" w:cs="Arial" w:eastAsia="Arial" w:hAnsi="Arial"/>
                <w:sz w:val="23"/>
                <w:szCs w:val="23"/>
                <w:b w:val="1"/>
                <w:bCs w:val="1"/>
                <w:color w:val="231E1F"/>
              </w:rPr>
              <w:t>30 June</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23"/>
                <w:szCs w:val="23"/>
                <w:b w:val="1"/>
                <w:bCs w:val="1"/>
                <w:color w:val="231E1F"/>
              </w:rPr>
              <w:t>2011</w:t>
            </w: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3"/>
                <w:szCs w:val="23"/>
                <w:color w:val="231E1F"/>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gridSpan w:val="3"/>
          </w:tcPr>
          <w:p>
            <w:pPr>
              <w:ind w:left="820"/>
              <w:spacing w:after="0"/>
              <w:rPr>
                <w:sz w:val="20"/>
                <w:szCs w:val="20"/>
                <w:color w:val="auto"/>
              </w:rPr>
            </w:pPr>
            <w:r>
              <w:rPr>
                <w:rFonts w:ascii="Arial" w:cs="Arial" w:eastAsia="Arial" w:hAnsi="Arial"/>
                <w:sz w:val="23"/>
                <w:szCs w:val="23"/>
                <w:b w:val="1"/>
                <w:bCs w:val="1"/>
                <w:i w:val="1"/>
                <w:iCs w:val="1"/>
                <w:color w:val="231E1F"/>
              </w:rPr>
              <w:t>HK$</w:t>
            </w:r>
          </w:p>
        </w:tc>
        <w:tc>
          <w:tcPr>
            <w:tcW w:w="126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jc w:val="right"/>
              <w:ind w:right="165"/>
              <w:spacing w:after="0" w:line="233" w:lineRule="exact"/>
              <w:rPr>
                <w:sz w:val="20"/>
                <w:szCs w:val="20"/>
                <w:color w:val="auto"/>
              </w:rPr>
            </w:pPr>
            <w:r>
              <w:rPr>
                <w:rFonts w:ascii="Arial" w:cs="Arial" w:eastAsia="Arial" w:hAnsi="Arial"/>
                <w:sz w:val="23"/>
                <w:szCs w:val="23"/>
                <w:color w:val="231E1F"/>
              </w:rPr>
              <w:t>(in</w:t>
            </w:r>
          </w:p>
        </w:tc>
        <w:tc>
          <w:tcPr>
            <w:tcW w:w="1520" w:type="dxa"/>
            <w:vAlign w:val="bottom"/>
            <w:gridSpan w:val="3"/>
          </w:tcPr>
          <w:p>
            <w:pPr>
              <w:jc w:val="right"/>
              <w:ind w:right="625"/>
              <w:spacing w:after="0" w:line="233" w:lineRule="exact"/>
              <w:rPr>
                <w:sz w:val="20"/>
                <w:szCs w:val="20"/>
                <w:color w:val="auto"/>
              </w:rPr>
            </w:pPr>
            <w:r>
              <w:rPr>
                <w:rFonts w:ascii="Arial" w:cs="Arial" w:eastAsia="Arial" w:hAnsi="Arial"/>
                <w:sz w:val="21"/>
                <w:szCs w:val="21"/>
                <w:color w:val="231E1F"/>
                <w:w w:val="73"/>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300" w:type="dxa"/>
            <w:vAlign w:val="bottom"/>
          </w:tcPr>
          <w:p>
            <w:pPr>
              <w:jc w:val="right"/>
              <w:ind w:right="445"/>
              <w:spacing w:after="0"/>
              <w:rPr>
                <w:sz w:val="20"/>
                <w:szCs w:val="20"/>
                <w:color w:val="auto"/>
              </w:rPr>
            </w:pPr>
            <w:r>
              <w:rPr>
                <w:rFonts w:ascii="Arial" w:cs="Arial" w:eastAsia="Arial" w:hAnsi="Arial"/>
                <w:sz w:val="23"/>
                <w:szCs w:val="23"/>
                <w:i w:val="1"/>
                <w:iCs w:val="1"/>
                <w:color w:val="231E1F"/>
              </w:rPr>
              <w:t>Notes</w:t>
            </w:r>
          </w:p>
        </w:tc>
        <w:tc>
          <w:tcPr>
            <w:tcW w:w="1620" w:type="dxa"/>
            <w:vAlign w:val="bottom"/>
            <w:gridSpan w:val="3"/>
          </w:tcPr>
          <w:p>
            <w:pPr>
              <w:ind w:left="80"/>
              <w:spacing w:after="0"/>
              <w:rPr>
                <w:sz w:val="20"/>
                <w:szCs w:val="20"/>
                <w:color w:val="auto"/>
              </w:rPr>
            </w:pPr>
            <w:r>
              <w:rPr>
                <w:rFonts w:ascii="Arial" w:cs="Arial" w:eastAsia="Arial" w:hAnsi="Arial"/>
                <w:sz w:val="23"/>
                <w:szCs w:val="23"/>
                <w:b w:val="1"/>
                <w:bCs w:val="1"/>
                <w:i w:val="1"/>
                <w:iCs w:val="1"/>
                <w:color w:val="231E1F"/>
              </w:rPr>
              <w:t>(unaudited)</w:t>
            </w:r>
          </w:p>
        </w:tc>
        <w:tc>
          <w:tcPr>
            <w:tcW w:w="126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w w:val="91"/>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Operating revenues</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spacing w:after="0"/>
              <w:rPr>
                <w:sz w:val="20"/>
                <w:szCs w:val="20"/>
                <w:color w:val="auto"/>
              </w:rPr>
            </w:pPr>
            <w:r>
              <w:rPr>
                <w:rFonts w:ascii="Arial" w:cs="Arial" w:eastAsia="Arial" w:hAnsi="Arial"/>
                <w:sz w:val="23"/>
                <w:szCs w:val="23"/>
                <w:color w:val="231E1F"/>
              </w:rPr>
              <w:t>Casino</w:t>
            </w: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13,510,030</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3"/>
                <w:szCs w:val="23"/>
                <w:color w:val="231E1F"/>
              </w:rPr>
              <w:t>9,510,861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color w:val="231E1F"/>
              </w:rPr>
              <w:t>Rooms</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65,865</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57,022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spacing w:after="0"/>
              <w:rPr>
                <w:sz w:val="20"/>
                <w:szCs w:val="20"/>
                <w:color w:val="auto"/>
              </w:rPr>
            </w:pPr>
            <w:r>
              <w:rPr>
                <w:rFonts w:ascii="Arial" w:cs="Arial" w:eastAsia="Arial" w:hAnsi="Arial"/>
                <w:sz w:val="23"/>
                <w:szCs w:val="23"/>
                <w:color w:val="231E1F"/>
              </w:rPr>
              <w:t>Food and beverage</w:t>
            </w: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94,198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3"/>
                <w:szCs w:val="23"/>
                <w:color w:val="231E1F"/>
              </w:rPr>
              <w:t>76,033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color w:val="231E1F"/>
              </w:rPr>
              <w:t>Retail and other</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667,690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496,037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14,337,783</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w w:val="99"/>
              </w:rPr>
              <w:t>10,139,953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Operating costs and expenses</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ind w:left="300"/>
              <w:spacing w:after="0"/>
              <w:rPr>
                <w:sz w:val="20"/>
                <w:szCs w:val="20"/>
                <w:color w:val="auto"/>
              </w:rPr>
            </w:pPr>
            <w:r>
              <w:rPr>
                <w:rFonts w:ascii="Arial" w:cs="Arial" w:eastAsia="Arial" w:hAnsi="Arial"/>
                <w:sz w:val="23"/>
                <w:szCs w:val="23"/>
                <w:color w:val="231E1F"/>
              </w:rPr>
              <w:t>Gaming taxes and premiums</w:t>
            </w: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6,962,293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3"/>
                <w:szCs w:val="23"/>
                <w:color w:val="231E1F"/>
              </w:rPr>
              <w:t>4,884,481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Staff costs</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1,026,103</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879,201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ind w:left="300"/>
              <w:spacing w:after="0"/>
              <w:rPr>
                <w:sz w:val="20"/>
                <w:szCs w:val="20"/>
                <w:color w:val="auto"/>
              </w:rPr>
            </w:pPr>
            <w:r>
              <w:rPr>
                <w:rFonts w:ascii="Arial" w:cs="Arial" w:eastAsia="Arial" w:hAnsi="Arial"/>
                <w:sz w:val="23"/>
                <w:szCs w:val="23"/>
                <w:color w:val="231E1F"/>
              </w:rPr>
              <w:t>Other operating expenses</w:t>
            </w:r>
          </w:p>
        </w:tc>
        <w:tc>
          <w:tcPr>
            <w:tcW w:w="1300" w:type="dxa"/>
            <w:vAlign w:val="bottom"/>
          </w:tcPr>
          <w:p>
            <w:pPr>
              <w:jc w:val="right"/>
              <w:ind w:right="545"/>
              <w:spacing w:after="0"/>
              <w:rPr>
                <w:sz w:val="20"/>
                <w:szCs w:val="20"/>
                <w:color w:val="auto"/>
              </w:rPr>
            </w:pPr>
            <w:r>
              <w:rPr>
                <w:rFonts w:ascii="Arial" w:cs="Arial" w:eastAsia="Arial" w:hAnsi="Arial"/>
                <w:sz w:val="23"/>
                <w:szCs w:val="23"/>
                <w:color w:val="231E1F"/>
              </w:rPr>
              <w:t>3</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2,476,222</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3"/>
                <w:szCs w:val="23"/>
                <w:color w:val="231E1F"/>
              </w:rPr>
              <w:t>1,848,372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Depreciation and amortization</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540,572</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445,363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ind w:left="300"/>
              <w:spacing w:after="0"/>
              <w:rPr>
                <w:sz w:val="20"/>
                <w:szCs w:val="20"/>
                <w:color w:val="auto"/>
              </w:rPr>
            </w:pPr>
            <w:r>
              <w:rPr>
                <w:rFonts w:ascii="Arial" w:cs="Arial" w:eastAsia="Arial" w:hAnsi="Arial"/>
                <w:sz w:val="23"/>
                <w:szCs w:val="23"/>
                <w:color w:val="231E1F"/>
              </w:rPr>
              <w:t>Property charges and other</w:t>
            </w:r>
          </w:p>
        </w:tc>
        <w:tc>
          <w:tcPr>
            <w:tcW w:w="1300" w:type="dxa"/>
            <w:vAlign w:val="bottom"/>
          </w:tcPr>
          <w:p>
            <w:pPr>
              <w:jc w:val="right"/>
              <w:ind w:right="545"/>
              <w:spacing w:after="0"/>
              <w:rPr>
                <w:sz w:val="20"/>
                <w:szCs w:val="20"/>
                <w:color w:val="auto"/>
              </w:rPr>
            </w:pPr>
            <w:r>
              <w:rPr>
                <w:rFonts w:ascii="Arial" w:cs="Arial" w:eastAsia="Arial" w:hAnsi="Arial"/>
                <w:sz w:val="23"/>
                <w:szCs w:val="23"/>
                <w:color w:val="231E1F"/>
              </w:rPr>
              <w:t>4</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849,311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3"/>
                <w:szCs w:val="23"/>
                <w:color w:val="231E1F"/>
              </w:rPr>
              <w:t>22,945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11,854,501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3"/>
                <w:szCs w:val="23"/>
                <w:color w:val="231E1F"/>
              </w:rPr>
              <w:t>8,080,362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tcPr>
          <w:p>
            <w:pPr>
              <w:spacing w:after="0"/>
              <w:rPr>
                <w:sz w:val="20"/>
                <w:szCs w:val="20"/>
                <w:color w:val="auto"/>
              </w:rPr>
            </w:pPr>
            <w:r>
              <w:rPr>
                <w:rFonts w:ascii="Arial" w:cs="Arial" w:eastAsia="Arial" w:hAnsi="Arial"/>
                <w:sz w:val="23"/>
                <w:szCs w:val="23"/>
                <w:b w:val="1"/>
                <w:bCs w:val="1"/>
                <w:color w:val="231E1F"/>
              </w:rPr>
              <w:t>Operating profit</w:t>
            </w: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2,483,282</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3"/>
                <w:szCs w:val="23"/>
                <w:color w:val="231E1F"/>
              </w:rPr>
              <w:t>2,059,591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tcPr>
          <w:p>
            <w:pPr>
              <w:spacing w:after="0"/>
              <w:rPr>
                <w:sz w:val="20"/>
                <w:szCs w:val="20"/>
                <w:color w:val="auto"/>
              </w:rPr>
            </w:pPr>
            <w:r>
              <w:rPr>
                <w:rFonts w:ascii="Arial" w:cs="Arial" w:eastAsia="Arial" w:hAnsi="Arial"/>
                <w:sz w:val="23"/>
                <w:szCs w:val="23"/>
                <w:color w:val="231E1F"/>
              </w:rPr>
              <w:t>Finance revenues</w:t>
            </w:r>
          </w:p>
        </w:tc>
        <w:tc>
          <w:tcPr>
            <w:tcW w:w="1300" w:type="dxa"/>
            <w:vAlign w:val="bottom"/>
          </w:tcPr>
          <w:p>
            <w:pPr>
              <w:jc w:val="right"/>
              <w:ind w:right="545"/>
              <w:spacing w:after="0"/>
              <w:rPr>
                <w:sz w:val="20"/>
                <w:szCs w:val="20"/>
                <w:color w:val="auto"/>
              </w:rPr>
            </w:pPr>
            <w:r>
              <w:rPr>
                <w:rFonts w:ascii="Arial" w:cs="Arial" w:eastAsia="Arial" w:hAnsi="Arial"/>
                <w:sz w:val="23"/>
                <w:szCs w:val="23"/>
                <w:color w:val="231E1F"/>
              </w:rPr>
              <w:t>5</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9,917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3"/>
                <w:szCs w:val="23"/>
                <w:color w:val="231E1F"/>
              </w:rPr>
              <w:t>268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color w:val="231E1F"/>
              </w:rPr>
              <w:t>Finance costs</w:t>
            </w:r>
          </w:p>
        </w:tc>
        <w:tc>
          <w:tcPr>
            <w:tcW w:w="1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56"/>
              <w:spacing w:after="0"/>
              <w:rPr>
                <w:sz w:val="20"/>
                <w:szCs w:val="20"/>
                <w:color w:val="auto"/>
              </w:rPr>
            </w:pPr>
            <w:r>
              <w:rPr>
                <w:rFonts w:ascii="Arial" w:cs="Arial" w:eastAsia="Arial" w:hAnsi="Arial"/>
                <w:sz w:val="23"/>
                <w:szCs w:val="23"/>
                <w:b w:val="1"/>
                <w:bCs w:val="1"/>
                <w:color w:val="231E1F"/>
              </w:rPr>
              <w:t>(135,939)</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231E1F"/>
              </w:rPr>
              <w:t>(107,087)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tcPr>
          <w:p>
            <w:pPr>
              <w:spacing w:after="0"/>
              <w:rPr>
                <w:sz w:val="20"/>
                <w:szCs w:val="20"/>
                <w:color w:val="auto"/>
              </w:rPr>
            </w:pPr>
            <w:r>
              <w:rPr>
                <w:rFonts w:ascii="Arial" w:cs="Arial" w:eastAsia="Arial" w:hAnsi="Arial"/>
                <w:sz w:val="23"/>
                <w:szCs w:val="23"/>
                <w:color w:val="231E1F"/>
              </w:rPr>
              <w:t>Net foreign currency differences</w:t>
            </w:r>
          </w:p>
        </w:tc>
        <w:tc>
          <w:tcPr>
            <w:tcW w:w="1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3"/>
                <w:szCs w:val="23"/>
                <w:b w:val="1"/>
                <w:bCs w:val="1"/>
                <w:color w:val="231E1F"/>
              </w:rPr>
              <w:t>12,003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3"/>
                <w:szCs w:val="23"/>
                <w:color w:val="231E1F"/>
              </w:rPr>
              <w:t>(4,494)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color w:val="231E1F"/>
              </w:rPr>
              <w:t>Changes in fair value of interest rate swaps</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46,679</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231E1F"/>
              </w:rPr>
              <w:t>(5,586)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56"/>
              <w:spacing w:after="0"/>
              <w:rPr>
                <w:sz w:val="20"/>
                <w:szCs w:val="20"/>
                <w:color w:val="auto"/>
              </w:rPr>
            </w:pPr>
            <w:r>
              <w:rPr>
                <w:rFonts w:ascii="Arial" w:cs="Arial" w:eastAsia="Arial" w:hAnsi="Arial"/>
                <w:sz w:val="23"/>
                <w:szCs w:val="23"/>
                <w:b w:val="1"/>
                <w:bCs w:val="1"/>
                <w:color w:val="231E1F"/>
              </w:rPr>
              <w:t>(67,340)</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231E1F"/>
              </w:rPr>
              <w:t>(116,899)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Profit before tax</w:t>
            </w:r>
          </w:p>
        </w:tc>
        <w:tc>
          <w:tcPr>
            <w:tcW w:w="1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2,415,942</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color w:val="231E1F"/>
              </w:rPr>
              <w:t>1,942,692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color w:val="231E1F"/>
              </w:rPr>
              <w:t>Income tax expense</w:t>
            </w:r>
          </w:p>
        </w:tc>
        <w:tc>
          <w:tcPr>
            <w:tcW w:w="1300" w:type="dxa"/>
            <w:vAlign w:val="bottom"/>
            <w:shd w:val="clear" w:color="auto" w:fill="CCEEFF"/>
          </w:tcPr>
          <w:p>
            <w:pPr>
              <w:jc w:val="right"/>
              <w:ind w:right="545"/>
              <w:spacing w:after="0"/>
              <w:rPr>
                <w:sz w:val="20"/>
                <w:szCs w:val="20"/>
                <w:color w:val="auto"/>
              </w:rPr>
            </w:pPr>
            <w:r>
              <w:rPr>
                <w:rFonts w:ascii="Arial" w:cs="Arial" w:eastAsia="Arial" w:hAnsi="Arial"/>
                <w:sz w:val="23"/>
                <w:szCs w:val="23"/>
                <w:color w:val="231E1F"/>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231E1F"/>
              </w:rPr>
              <w:t>3,495</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36,083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20" w:type="dxa"/>
            <w:vAlign w:val="bottom"/>
            <w:shd w:val="clear" w:color="auto" w:fill="CCEEFF"/>
          </w:tcPr>
          <w:p>
            <w:pPr>
              <w:spacing w:after="0" w:line="233" w:lineRule="exact"/>
              <w:rPr>
                <w:sz w:val="20"/>
                <w:szCs w:val="20"/>
                <w:color w:val="auto"/>
              </w:rPr>
            </w:pPr>
            <w:r>
              <w:rPr>
                <w:rFonts w:ascii="Arial" w:cs="Arial" w:eastAsia="Arial" w:hAnsi="Arial"/>
                <w:sz w:val="23"/>
                <w:szCs w:val="23"/>
                <w:b w:val="1"/>
                <w:bCs w:val="1"/>
                <w:color w:val="231E1F"/>
                <w:w w:val="92"/>
              </w:rPr>
              <w:t>Net profit and total comprehensive income attributable to owners of the</w:t>
            </w:r>
          </w:p>
        </w:tc>
        <w:tc>
          <w:tcPr>
            <w:tcW w:w="130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23"/>
                <w:szCs w:val="23"/>
                <w:b w:val="1"/>
                <w:bCs w:val="1"/>
                <w:color w:val="231E1F"/>
              </w:rPr>
              <w:t>2,412,447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3"/>
                <w:szCs w:val="23"/>
                <w:color w:val="231E1F"/>
              </w:rPr>
              <w:t>1,906,609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3"/>
                <w:szCs w:val="23"/>
                <w:b w:val="1"/>
                <w:bCs w:val="1"/>
                <w:color w:val="231E1F"/>
              </w:rPr>
              <w:t>Company</w:t>
            </w:r>
          </w:p>
        </w:tc>
        <w:tc>
          <w:tcPr>
            <w:tcW w:w="1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vMerge w:val="continue"/>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Basic and diluted earnings per Share</w:t>
            </w:r>
          </w:p>
        </w:tc>
        <w:tc>
          <w:tcPr>
            <w:tcW w:w="1300" w:type="dxa"/>
            <w:vAlign w:val="bottom"/>
            <w:shd w:val="clear" w:color="auto" w:fill="CCEEFF"/>
          </w:tcPr>
          <w:p>
            <w:pPr>
              <w:jc w:val="right"/>
              <w:ind w:right="545"/>
              <w:spacing w:after="0"/>
              <w:rPr>
                <w:sz w:val="20"/>
                <w:szCs w:val="20"/>
                <w:color w:val="auto"/>
              </w:rPr>
            </w:pPr>
            <w:r>
              <w:rPr>
                <w:rFonts w:ascii="Arial" w:cs="Arial" w:eastAsia="Arial" w:hAnsi="Arial"/>
                <w:sz w:val="23"/>
                <w:szCs w:val="23"/>
                <w:color w:val="231E1F"/>
              </w:rPr>
              <w:t>7</w:t>
            </w:r>
          </w:p>
        </w:tc>
        <w:tc>
          <w:tcPr>
            <w:tcW w:w="1620" w:type="dxa"/>
            <w:vAlign w:val="bottom"/>
            <w:gridSpan w:val="3"/>
            <w:shd w:val="clear" w:color="auto" w:fill="CCEEFF"/>
          </w:tcPr>
          <w:p>
            <w:pPr>
              <w:ind w:left="500"/>
              <w:spacing w:after="0"/>
              <w:rPr>
                <w:sz w:val="20"/>
                <w:szCs w:val="20"/>
                <w:color w:val="auto"/>
              </w:rPr>
            </w:pPr>
            <w:r>
              <w:rPr>
                <w:rFonts w:ascii="Arial" w:cs="Arial" w:eastAsia="Arial" w:hAnsi="Arial"/>
                <w:sz w:val="23"/>
                <w:szCs w:val="23"/>
                <w:b w:val="1"/>
                <w:bCs w:val="1"/>
                <w:color w:val="231E1F"/>
              </w:rPr>
              <w:t>47 cents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23"/>
                <w:szCs w:val="23"/>
                <w:color w:val="231E1F"/>
              </w:rPr>
              <w:t>37 cents</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7220" w:type="dxa"/>
            <w:vAlign w:val="bottom"/>
            <w:tcBorders>
              <w:top w:val="single" w:sz="8" w:color="CCEEFF"/>
            </w:tcBorders>
          </w:tcPr>
          <w:p>
            <w:pPr>
              <w:ind w:left="5640"/>
              <w:spacing w:after="0"/>
              <w:rPr>
                <w:sz w:val="20"/>
                <w:szCs w:val="20"/>
                <w:color w:val="auto"/>
              </w:rPr>
            </w:pPr>
            <w:r>
              <w:rPr>
                <w:rFonts w:ascii="Arial" w:cs="Arial" w:eastAsia="Arial" w:hAnsi="Arial"/>
                <w:sz w:val="18"/>
                <w:szCs w:val="18"/>
                <w:color w:val="auto"/>
              </w:rPr>
              <w:t>2</w:t>
            </w:r>
          </w:p>
        </w:tc>
        <w:tc>
          <w:tcPr>
            <w:tcW w:w="130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5" w:name="page6"/>
    <w:bookmarkEnd w:id="5"/>
    <w:p>
      <w:pPr>
        <w:spacing w:after="0"/>
        <w:rPr>
          <w:sz w:val="20"/>
          <w:szCs w:val="20"/>
          <w:color w:val="auto"/>
        </w:rPr>
      </w:pPr>
      <w:r>
        <w:rPr>
          <w:rFonts w:ascii="Arial" w:cs="Arial" w:eastAsia="Arial" w:hAnsi="Arial"/>
          <w:sz w:val="28"/>
          <w:szCs w:val="28"/>
          <w:b w:val="1"/>
          <w:bCs w:val="1"/>
          <w:color w:val="231E1F"/>
        </w:rPr>
        <w:t>Condensed Consolidated Statement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As at</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30 June</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500" w:type="dxa"/>
            <w:vAlign w:val="bottom"/>
            <w:gridSpan w:val="3"/>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33"/>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080" w:type="dxa"/>
            <w:vAlign w:val="bottom"/>
          </w:tcPr>
          <w:p>
            <w:pPr>
              <w:jc w:val="right"/>
              <w:ind w:right="448"/>
              <w:spacing w:after="0"/>
              <w:rPr>
                <w:sz w:val="20"/>
                <w:szCs w:val="20"/>
                <w:color w:val="auto"/>
              </w:rPr>
            </w:pPr>
            <w:r>
              <w:rPr>
                <w:rFonts w:ascii="Arial" w:cs="Arial" w:eastAsia="Arial" w:hAnsi="Arial"/>
                <w:sz w:val="23"/>
                <w:szCs w:val="23"/>
                <w:i w:val="1"/>
                <w:iCs w:val="1"/>
                <w:color w:val="231E1F"/>
              </w:rPr>
              <w:t>Notes</w:t>
            </w: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7"/>
              </w:rPr>
              <w:t>(unaudited)</w:t>
            </w:r>
          </w:p>
        </w:tc>
        <w:tc>
          <w:tcPr>
            <w:tcW w:w="1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Non-current assets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w w:val="90"/>
              </w:rPr>
              <w:t>Property and equipment, net and construction in progress</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7,945,771</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8,352,187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Leasehold interest in land</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462,826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475,129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Goodwill</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398,345</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398,345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Deposits for acquisition of property and equipment</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26,214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24,881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Held-to-maturity investments</w:t>
            </w:r>
          </w:p>
        </w:tc>
        <w:tc>
          <w:tcPr>
            <w:tcW w:w="3080" w:type="dxa"/>
            <w:vAlign w:val="bottom"/>
          </w:tcPr>
          <w:p>
            <w:pPr>
              <w:jc w:val="center"/>
              <w:ind w:left="1528"/>
              <w:spacing w:after="0"/>
              <w:rPr>
                <w:sz w:val="20"/>
                <w:szCs w:val="20"/>
                <w:color w:val="auto"/>
              </w:rPr>
            </w:pPr>
            <w:r>
              <w:rPr>
                <w:rFonts w:ascii="Arial" w:cs="Arial" w:eastAsia="Arial" w:hAnsi="Arial"/>
                <w:sz w:val="23"/>
                <w:szCs w:val="23"/>
                <w:color w:val="231E1F"/>
                <w:w w:val="93"/>
              </w:rPr>
              <w:t>8</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257,843</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Other non-current assets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189,097</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188,133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Total non-current assets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9,280,096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9,438,675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Current assets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Inventories</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159,581</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173,758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Trade and other receivables</w:t>
            </w:r>
          </w:p>
        </w:tc>
        <w:tc>
          <w:tcPr>
            <w:tcW w:w="3080" w:type="dxa"/>
            <w:vAlign w:val="bottom"/>
            <w:shd w:val="clear" w:color="auto" w:fill="CCEEFF"/>
          </w:tcPr>
          <w:p>
            <w:pPr>
              <w:jc w:val="center"/>
              <w:ind w:left="1528"/>
              <w:spacing w:after="0"/>
              <w:rPr>
                <w:sz w:val="20"/>
                <w:szCs w:val="20"/>
                <w:color w:val="auto"/>
              </w:rPr>
            </w:pPr>
            <w:r>
              <w:rPr>
                <w:rFonts w:ascii="Arial" w:cs="Arial" w:eastAsia="Arial" w:hAnsi="Arial"/>
                <w:sz w:val="23"/>
                <w:szCs w:val="23"/>
                <w:color w:val="231E1F"/>
                <w:w w:val="93"/>
              </w:rPr>
              <w:t>9</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458,562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485,413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Prepayments and other current assets</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67,307</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45,167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Amounts due from related companies</w:t>
            </w:r>
          </w:p>
        </w:tc>
        <w:tc>
          <w:tcPr>
            <w:tcW w:w="3080" w:type="dxa"/>
            <w:vAlign w:val="bottom"/>
            <w:shd w:val="clear" w:color="auto" w:fill="CCEEFF"/>
          </w:tcPr>
          <w:p>
            <w:pPr>
              <w:jc w:val="center"/>
              <w:ind w:left="1528"/>
              <w:spacing w:after="0"/>
              <w:rPr>
                <w:sz w:val="20"/>
                <w:szCs w:val="20"/>
                <w:color w:val="auto"/>
              </w:rPr>
            </w:pPr>
            <w:r>
              <w:rPr>
                <w:rFonts w:ascii="Arial" w:cs="Arial" w:eastAsia="Arial" w:hAnsi="Arial"/>
                <w:sz w:val="23"/>
                <w:szCs w:val="23"/>
                <w:color w:val="231E1F"/>
                <w:w w:val="93"/>
              </w:rPr>
              <w:t>13</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161,300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386,295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Cash and cash equivalents</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7,483,917</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3,819,163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tcPr>
          <w:p>
            <w:pPr>
              <w:spacing w:after="0"/>
              <w:rPr>
                <w:sz w:val="20"/>
                <w:szCs w:val="20"/>
                <w:color w:val="auto"/>
              </w:rPr>
            </w:pPr>
            <w:r>
              <w:rPr>
                <w:rFonts w:ascii="Arial" w:cs="Arial" w:eastAsia="Arial" w:hAnsi="Arial"/>
                <w:sz w:val="23"/>
                <w:szCs w:val="23"/>
                <w:b w:val="1"/>
                <w:bCs w:val="1"/>
                <w:color w:val="231E1F"/>
              </w:rPr>
              <w:t>Total current assets</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8,330,667</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4,909,796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tcPr>
          <w:p>
            <w:pPr>
              <w:spacing w:after="0"/>
              <w:rPr>
                <w:sz w:val="20"/>
                <w:szCs w:val="20"/>
                <w:color w:val="auto"/>
              </w:rPr>
            </w:pPr>
            <w:r>
              <w:rPr>
                <w:rFonts w:ascii="Arial" w:cs="Arial" w:eastAsia="Arial" w:hAnsi="Arial"/>
                <w:sz w:val="23"/>
                <w:szCs w:val="23"/>
                <w:b w:val="1"/>
                <w:bCs w:val="1"/>
                <w:color w:val="231E1F"/>
              </w:rPr>
              <w:t>Current liabilities</w:t>
            </w:r>
          </w:p>
        </w:tc>
        <w:tc>
          <w:tcPr>
            <w:tcW w:w="3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Accounts payable</w:t>
            </w:r>
          </w:p>
        </w:tc>
        <w:tc>
          <w:tcPr>
            <w:tcW w:w="3080" w:type="dxa"/>
            <w:vAlign w:val="bottom"/>
            <w:shd w:val="clear" w:color="auto" w:fill="CCEEFF"/>
          </w:tcPr>
          <w:p>
            <w:pPr>
              <w:jc w:val="center"/>
              <w:ind w:left="1528"/>
              <w:spacing w:after="0"/>
              <w:rPr>
                <w:sz w:val="20"/>
                <w:szCs w:val="20"/>
                <w:color w:val="auto"/>
              </w:rPr>
            </w:pPr>
            <w:r>
              <w:rPr>
                <w:rFonts w:ascii="Arial" w:cs="Arial" w:eastAsia="Arial" w:hAnsi="Arial"/>
                <w:sz w:val="23"/>
                <w:szCs w:val="23"/>
                <w:color w:val="231E1F"/>
                <w:w w:val="93"/>
              </w:rPr>
              <w:t>10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1,104,258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1,018,086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Other payables and accruals</w:t>
            </w:r>
          </w:p>
        </w:tc>
        <w:tc>
          <w:tcPr>
            <w:tcW w:w="3080" w:type="dxa"/>
            <w:vAlign w:val="bottom"/>
          </w:tcPr>
          <w:p>
            <w:pPr>
              <w:jc w:val="center"/>
              <w:ind w:left="1548"/>
              <w:spacing w:after="0"/>
              <w:rPr>
                <w:sz w:val="20"/>
                <w:szCs w:val="20"/>
                <w:color w:val="auto"/>
              </w:rPr>
            </w:pPr>
            <w:r>
              <w:rPr>
                <w:rFonts w:ascii="Arial" w:cs="Arial" w:eastAsia="Arial" w:hAnsi="Arial"/>
                <w:sz w:val="23"/>
                <w:szCs w:val="23"/>
                <w:color w:val="231E1F"/>
                <w:w w:val="85"/>
              </w:rPr>
              <w:t>11</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4,554,736</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3,665,441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Amounts due to related companies</w:t>
            </w:r>
          </w:p>
        </w:tc>
        <w:tc>
          <w:tcPr>
            <w:tcW w:w="3080" w:type="dxa"/>
            <w:vAlign w:val="bottom"/>
            <w:shd w:val="clear" w:color="auto" w:fill="CCEEFF"/>
          </w:tcPr>
          <w:p>
            <w:pPr>
              <w:jc w:val="center"/>
              <w:ind w:left="1528"/>
              <w:spacing w:after="0"/>
              <w:rPr>
                <w:sz w:val="20"/>
                <w:szCs w:val="20"/>
                <w:color w:val="auto"/>
              </w:rPr>
            </w:pPr>
            <w:r>
              <w:rPr>
                <w:rFonts w:ascii="Arial" w:cs="Arial" w:eastAsia="Arial" w:hAnsi="Arial"/>
                <w:sz w:val="23"/>
                <w:szCs w:val="23"/>
                <w:color w:val="231E1F"/>
                <w:w w:val="93"/>
              </w:rPr>
              <w:t>13</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206,839</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235,922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Interest-bearing loans and borrowings</w:t>
            </w:r>
          </w:p>
        </w:tc>
        <w:tc>
          <w:tcPr>
            <w:tcW w:w="3080" w:type="dxa"/>
            <w:vAlign w:val="bottom"/>
          </w:tcPr>
          <w:p>
            <w:pPr>
              <w:jc w:val="center"/>
              <w:ind w:left="1528"/>
              <w:spacing w:after="0"/>
              <w:rPr>
                <w:sz w:val="20"/>
                <w:szCs w:val="20"/>
                <w:color w:val="auto"/>
              </w:rPr>
            </w:pPr>
            <w:r>
              <w:rPr>
                <w:rFonts w:ascii="Arial" w:cs="Arial" w:eastAsia="Arial" w:hAnsi="Arial"/>
                <w:sz w:val="23"/>
                <w:szCs w:val="23"/>
                <w:color w:val="231E1F"/>
                <w:w w:val="93"/>
              </w:rPr>
              <w:t>12</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1,153,464</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Interest rate swaps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54,435</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45,730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tcPr>
          <w:p>
            <w:pPr>
              <w:ind w:left="300"/>
              <w:spacing w:after="0"/>
              <w:rPr>
                <w:sz w:val="20"/>
                <w:szCs w:val="20"/>
                <w:color w:val="auto"/>
              </w:rPr>
            </w:pPr>
            <w:r>
              <w:rPr>
                <w:rFonts w:ascii="Arial" w:cs="Arial" w:eastAsia="Arial" w:hAnsi="Arial"/>
                <w:sz w:val="23"/>
                <w:szCs w:val="23"/>
                <w:color w:val="231E1F"/>
              </w:rPr>
              <w:t>Income tax payable</w:t>
            </w:r>
          </w:p>
        </w:tc>
        <w:tc>
          <w:tcPr>
            <w:tcW w:w="30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11,960</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15,455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23"/>
                <w:szCs w:val="23"/>
                <w:color w:val="231E1F"/>
              </w:rPr>
              <w:t>Other current liabilities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26,490</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Total current liabilities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7,112,182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4,980,634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Net current assets/(liabilities)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1,218,485</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23"/>
                <w:szCs w:val="23"/>
                <w:color w:val="231E1F"/>
              </w:rPr>
              <w:t>(70,838)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Total assets less current liabilities</w:t>
            </w:r>
          </w:p>
        </w:tc>
        <w:tc>
          <w:tcPr>
            <w:tcW w:w="308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10,498,581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9,367,837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60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2828"/>
              <w:spacing w:after="0"/>
              <w:rPr>
                <w:sz w:val="20"/>
                <w:szCs w:val="20"/>
                <w:color w:val="auto"/>
              </w:rPr>
            </w:pPr>
            <w:r>
              <w:rPr>
                <w:rFonts w:ascii="Arial" w:cs="Arial" w:eastAsia="Arial" w:hAnsi="Arial"/>
                <w:sz w:val="18"/>
                <w:szCs w:val="18"/>
                <w:color w:val="auto"/>
              </w:rPr>
              <w:t>3</w:t>
            </w: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6" w:name="page7"/>
    <w:bookmarkEnd w:id="6"/>
    <w:p>
      <w:pPr>
        <w:spacing w:after="0"/>
        <w:rPr>
          <w:sz w:val="20"/>
          <w:szCs w:val="20"/>
          <w:color w:val="auto"/>
        </w:rPr>
      </w:pPr>
      <w:r>
        <w:rPr>
          <w:rFonts w:ascii="Arial" w:cs="Arial" w:eastAsia="Arial" w:hAnsi="Arial"/>
          <w:sz w:val="28"/>
          <w:szCs w:val="28"/>
          <w:b w:val="1"/>
          <w:bCs w:val="1"/>
          <w:color w:val="231E1F"/>
        </w:rPr>
        <w:t>Condensed Consolidated Statement of Financial Position (continued)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As at</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30 June</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500" w:type="dxa"/>
            <w:vAlign w:val="bottom"/>
            <w:gridSpan w:val="3"/>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0" w:type="dxa"/>
            <w:vAlign w:val="bottom"/>
          </w:tcPr>
          <w:p>
            <w:pPr>
              <w:jc w:val="right"/>
              <w:ind w:right="452"/>
              <w:spacing w:after="0"/>
              <w:rPr>
                <w:sz w:val="20"/>
                <w:szCs w:val="20"/>
                <w:color w:val="auto"/>
              </w:rPr>
            </w:pPr>
            <w:r>
              <w:rPr>
                <w:rFonts w:ascii="Arial" w:cs="Arial" w:eastAsia="Arial" w:hAnsi="Arial"/>
                <w:sz w:val="23"/>
                <w:szCs w:val="23"/>
                <w:i w:val="1"/>
                <w:iCs w:val="1"/>
                <w:color w:val="231E1F"/>
              </w:rPr>
              <w:t>Notes</w:t>
            </w: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7"/>
              </w:rPr>
              <w:t>(unaudited)</w:t>
            </w:r>
          </w:p>
        </w:tc>
        <w:tc>
          <w:tcPr>
            <w:tcW w:w="1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Non-current liabilities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ind w:left="260"/>
              <w:spacing w:after="0"/>
              <w:rPr>
                <w:sz w:val="20"/>
                <w:szCs w:val="20"/>
                <w:color w:val="auto"/>
              </w:rPr>
            </w:pPr>
            <w:r>
              <w:rPr>
                <w:rFonts w:ascii="Arial" w:cs="Arial" w:eastAsia="Arial" w:hAnsi="Arial"/>
                <w:sz w:val="23"/>
                <w:szCs w:val="23"/>
                <w:color w:val="231E1F"/>
              </w:rPr>
              <w:t>Interest-bearing loans and borrowings</w:t>
            </w:r>
          </w:p>
        </w:tc>
        <w:tc>
          <w:tcPr>
            <w:tcW w:w="3600" w:type="dxa"/>
            <w:vAlign w:val="bottom"/>
          </w:tcPr>
          <w:p>
            <w:pPr>
              <w:jc w:val="right"/>
              <w:ind w:right="492"/>
              <w:spacing w:after="0"/>
              <w:rPr>
                <w:sz w:val="20"/>
                <w:szCs w:val="20"/>
                <w:color w:val="auto"/>
              </w:rPr>
            </w:pPr>
            <w:r>
              <w:rPr>
                <w:rFonts w:ascii="Arial" w:cs="Arial" w:eastAsia="Arial" w:hAnsi="Arial"/>
                <w:sz w:val="23"/>
                <w:szCs w:val="23"/>
                <w:color w:val="231E1F"/>
              </w:rPr>
              <w:t>12</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3,038,032</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4,949,703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shd w:val="clear" w:color="auto" w:fill="CCEEFF"/>
          </w:tcPr>
          <w:p>
            <w:pPr>
              <w:ind w:left="260"/>
              <w:spacing w:after="0"/>
              <w:rPr>
                <w:sz w:val="20"/>
                <w:szCs w:val="20"/>
                <w:color w:val="auto"/>
              </w:rPr>
            </w:pPr>
            <w:r>
              <w:rPr>
                <w:rFonts w:ascii="Arial" w:cs="Arial" w:eastAsia="Arial" w:hAnsi="Arial"/>
                <w:sz w:val="23"/>
                <w:szCs w:val="23"/>
                <w:color w:val="231E1F"/>
              </w:rPr>
              <w:t>Interest rate swaps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55,378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ind w:left="260"/>
              <w:spacing w:after="0"/>
              <w:rPr>
                <w:sz w:val="20"/>
                <w:szCs w:val="20"/>
                <w:color w:val="auto"/>
              </w:rPr>
            </w:pPr>
            <w:r>
              <w:rPr>
                <w:rFonts w:ascii="Arial" w:cs="Arial" w:eastAsia="Arial" w:hAnsi="Arial"/>
                <w:sz w:val="23"/>
                <w:szCs w:val="23"/>
                <w:color w:val="231E1F"/>
              </w:rPr>
              <w:t>Other payables and accruals</w:t>
            </w:r>
          </w:p>
        </w:tc>
        <w:tc>
          <w:tcPr>
            <w:tcW w:w="3600" w:type="dxa"/>
            <w:vAlign w:val="bottom"/>
          </w:tcPr>
          <w:p>
            <w:pPr>
              <w:jc w:val="right"/>
              <w:ind w:right="492"/>
              <w:spacing w:after="0"/>
              <w:rPr>
                <w:sz w:val="20"/>
                <w:szCs w:val="20"/>
                <w:color w:val="auto"/>
              </w:rPr>
            </w:pPr>
            <w:r>
              <w:rPr>
                <w:rFonts w:ascii="Arial" w:cs="Arial" w:eastAsia="Arial" w:hAnsi="Arial"/>
                <w:sz w:val="23"/>
                <w:szCs w:val="23"/>
                <w:color w:val="231E1F"/>
              </w:rPr>
              <w:t>11</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563,571</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shd w:val="clear" w:color="auto" w:fill="CCEEFF"/>
          </w:tcPr>
          <w:p>
            <w:pPr>
              <w:ind w:left="260"/>
              <w:spacing w:after="0"/>
              <w:rPr>
                <w:sz w:val="20"/>
                <w:szCs w:val="20"/>
                <w:color w:val="auto"/>
              </w:rPr>
            </w:pPr>
            <w:r>
              <w:rPr>
                <w:rFonts w:ascii="Arial" w:cs="Arial" w:eastAsia="Arial" w:hAnsi="Arial"/>
                <w:sz w:val="23"/>
                <w:szCs w:val="23"/>
                <w:color w:val="231E1F"/>
              </w:rPr>
              <w:t>Other long-term liabilities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161,939</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65,667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Total non-current liabilities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3,763,542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5,070,748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Net assets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6,735,039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4,297,089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23"/>
                <w:szCs w:val="23"/>
                <w:b w:val="1"/>
                <w:bCs w:val="1"/>
                <w:color w:val="231E1F"/>
              </w:rPr>
              <w:t>Equity</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Arial" w:cs="Arial" w:eastAsia="Arial" w:hAnsi="Arial"/>
                <w:sz w:val="23"/>
                <w:szCs w:val="23"/>
                <w:b w:val="1"/>
                <w:bCs w:val="1"/>
                <w:color w:val="231E1F"/>
              </w:rPr>
              <w:t>Equity attributable to owners of the Company</w:t>
            </w:r>
          </w:p>
        </w:tc>
        <w:tc>
          <w:tcPr>
            <w:tcW w:w="3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shd w:val="clear" w:color="auto" w:fill="CCEEFF"/>
          </w:tcPr>
          <w:p>
            <w:pPr>
              <w:ind w:left="260"/>
              <w:spacing w:after="0"/>
              <w:rPr>
                <w:sz w:val="20"/>
                <w:szCs w:val="20"/>
                <w:color w:val="auto"/>
              </w:rPr>
            </w:pPr>
            <w:r>
              <w:rPr>
                <w:rFonts w:ascii="Arial" w:cs="Arial" w:eastAsia="Arial" w:hAnsi="Arial"/>
                <w:sz w:val="23"/>
                <w:szCs w:val="23"/>
                <w:color w:val="231E1F"/>
              </w:rPr>
              <w:t>Issued capital</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5,188</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5,188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Pr>
          <w:p>
            <w:pPr>
              <w:ind w:left="260"/>
              <w:spacing w:after="0"/>
              <w:rPr>
                <w:sz w:val="20"/>
                <w:szCs w:val="20"/>
                <w:color w:val="auto"/>
              </w:rPr>
            </w:pPr>
            <w:r>
              <w:rPr>
                <w:rFonts w:ascii="Arial" w:cs="Arial" w:eastAsia="Arial" w:hAnsi="Arial"/>
                <w:sz w:val="23"/>
                <w:szCs w:val="23"/>
                <w:color w:val="231E1F"/>
              </w:rPr>
              <w:t>Share premium account</w:t>
            </w:r>
          </w:p>
        </w:tc>
        <w:tc>
          <w:tcPr>
            <w:tcW w:w="3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153,436</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152,657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shd w:val="clear" w:color="auto" w:fill="CCEEFF"/>
          </w:tcPr>
          <w:p>
            <w:pPr>
              <w:ind w:left="260"/>
              <w:spacing w:after="0"/>
              <w:rPr>
                <w:sz w:val="20"/>
                <w:szCs w:val="20"/>
                <w:color w:val="auto"/>
              </w:rPr>
            </w:pPr>
            <w:r>
              <w:rPr>
                <w:rFonts w:ascii="Arial" w:cs="Arial" w:eastAsia="Arial" w:hAnsi="Arial"/>
                <w:sz w:val="23"/>
                <w:szCs w:val="23"/>
                <w:color w:val="231E1F"/>
              </w:rPr>
              <w:t>Reserves</w:t>
            </w:r>
          </w:p>
        </w:tc>
        <w:tc>
          <w:tcPr>
            <w:tcW w:w="3600" w:type="dxa"/>
            <w:vAlign w:val="bottom"/>
            <w:shd w:val="clear" w:color="auto" w:fill="CCEEFF"/>
          </w:tcPr>
          <w:p>
            <w:pPr>
              <w:spacing w:after="0"/>
              <w:rPr>
                <w:sz w:val="23"/>
                <w:szCs w:val="23"/>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6,576,415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4,139,244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23"/>
                <w:szCs w:val="23"/>
                <w:color w:val="231E1F"/>
              </w:rPr>
              <w:t>Total equity</w:t>
            </w:r>
          </w:p>
        </w:tc>
        <w:tc>
          <w:tcPr>
            <w:tcW w:w="3600" w:type="dxa"/>
            <w:vAlign w:val="bottom"/>
            <w:shd w:val="clear" w:color="auto" w:fill="CCEEFF"/>
          </w:tcPr>
          <w:p>
            <w:pPr>
              <w:spacing w:after="0"/>
              <w:rPr>
                <w:sz w:val="24"/>
                <w:szCs w:val="24"/>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6,735,039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231E1F"/>
              </w:rPr>
              <w:t>4,297,089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08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jc w:val="right"/>
              <w:ind w:right="2832"/>
              <w:spacing w:after="0"/>
              <w:rPr>
                <w:sz w:val="20"/>
                <w:szCs w:val="20"/>
                <w:color w:val="auto"/>
              </w:rPr>
            </w:pPr>
            <w:r>
              <w:rPr>
                <w:rFonts w:ascii="Arial" w:cs="Arial" w:eastAsia="Arial" w:hAnsi="Arial"/>
                <w:sz w:val="18"/>
                <w:szCs w:val="18"/>
                <w:color w:val="auto"/>
              </w:rPr>
              <w:t>4</w:t>
            </w: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7" w:name="page8"/>
    <w:bookmarkEnd w:id="7"/>
    <w:p>
      <w:pPr>
        <w:spacing w:after="0"/>
        <w:rPr>
          <w:sz w:val="20"/>
          <w:szCs w:val="20"/>
          <w:color w:val="auto"/>
        </w:rPr>
      </w:pPr>
      <w:r>
        <w:rPr>
          <w:rFonts w:ascii="Arial" w:cs="Arial" w:eastAsia="Arial" w:hAnsi="Arial"/>
          <w:sz w:val="28"/>
          <w:szCs w:val="28"/>
          <w:b w:val="1"/>
          <w:bCs w:val="1"/>
          <w:color w:val="231E1F"/>
        </w:rPr>
        <w:t>Notes to Interim Financial Information</w:t>
      </w:r>
    </w:p>
    <w:p>
      <w:pPr>
        <w:spacing w:after="0" w:line="248" w:lineRule="exact"/>
        <w:rPr>
          <w:sz w:val="20"/>
          <w:szCs w:val="20"/>
          <w:color w:val="auto"/>
        </w:rPr>
      </w:pPr>
    </w:p>
    <w:p>
      <w:pPr>
        <w:ind w:left="480" w:hanging="474"/>
        <w:spacing w:after="0"/>
        <w:tabs>
          <w:tab w:leader="none" w:pos="480" w:val="left"/>
        </w:tabs>
        <w:numPr>
          <w:ilvl w:val="0"/>
          <w:numId w:val="4"/>
        </w:numPr>
        <w:rPr>
          <w:rFonts w:ascii="Arial" w:cs="Arial" w:eastAsia="Arial" w:hAnsi="Arial"/>
          <w:sz w:val="23"/>
          <w:szCs w:val="23"/>
          <w:b w:val="1"/>
          <w:bCs w:val="1"/>
          <w:color w:val="231E1F"/>
        </w:rPr>
      </w:pPr>
      <w:r>
        <w:rPr>
          <w:rFonts w:ascii="Arial" w:cs="Arial" w:eastAsia="Arial" w:hAnsi="Arial"/>
          <w:sz w:val="23"/>
          <w:szCs w:val="23"/>
          <w:b w:val="1"/>
          <w:bCs w:val="1"/>
          <w:color w:val="231E1F"/>
        </w:rPr>
        <w:t>BASIS OF PREPARATION AND PRESENTATION</w:t>
      </w:r>
    </w:p>
    <w:p>
      <w:pPr>
        <w:spacing w:after="0" w:line="218" w:lineRule="exact"/>
        <w:rPr>
          <w:rFonts w:ascii="Arial" w:cs="Arial" w:eastAsia="Arial" w:hAnsi="Arial"/>
          <w:sz w:val="23"/>
          <w:szCs w:val="23"/>
          <w:b w:val="1"/>
          <w:bCs w:val="1"/>
          <w:color w:val="231E1F"/>
        </w:rPr>
      </w:pPr>
    </w:p>
    <w:p>
      <w:pPr>
        <w:ind w:left="480" w:right="20"/>
        <w:spacing w:after="0" w:line="269" w:lineRule="auto"/>
        <w:rPr>
          <w:rFonts w:ascii="Arial" w:cs="Arial" w:eastAsia="Arial" w:hAnsi="Arial"/>
          <w:sz w:val="23"/>
          <w:szCs w:val="23"/>
          <w:b w:val="1"/>
          <w:bCs w:val="1"/>
          <w:color w:val="231E1F"/>
        </w:rPr>
      </w:pPr>
      <w:r>
        <w:rPr>
          <w:rFonts w:ascii="Arial" w:cs="Arial" w:eastAsia="Arial" w:hAnsi="Arial"/>
          <w:sz w:val="21"/>
          <w:szCs w:val="21"/>
          <w:color w:val="231E1F"/>
        </w:rPr>
        <w:t xml:space="preserve">This interim financial information has been prepared in accordance with the applicable disclosure requirements of Appendix 16 to the Rules Governing the Listing of Securities on the Hong Kong Stock Exchange and International Accounting Standard (“IAS”) 34 </w:t>
      </w:r>
      <w:r>
        <w:rPr>
          <w:rFonts w:ascii="Arial" w:cs="Arial" w:eastAsia="Arial" w:hAnsi="Arial"/>
          <w:sz w:val="21"/>
          <w:szCs w:val="21"/>
          <w:i w:val="1"/>
          <w:iCs w:val="1"/>
          <w:color w:val="231E1F"/>
        </w:rPr>
        <w:t>Interim Financial Reporting</w:t>
      </w:r>
      <w:r>
        <w:rPr>
          <w:rFonts w:ascii="Arial" w:cs="Arial" w:eastAsia="Arial" w:hAnsi="Arial"/>
          <w:sz w:val="21"/>
          <w:szCs w:val="21"/>
          <w:color w:val="231E1F"/>
        </w:rPr>
        <w:t>. The interim financial information does not include all the information and disclosures required in the annual financial statements, and should be read in conjunction with the Group’s annual financial statements for the year ended 31 December 2010. The accounting policies and basis of preparation adopted in the preparation of the interim financial information are the same as those used in the annual financial statements for the year ended 31 December 2010, except for the Group’s new investments as described below and the adoption of certain new and revised International Financial Reporting Standards (“IFRSs”) for the first time in the current period as disclosed in “Application of new and revised IFRSs” below.</w:t>
      </w:r>
    </w:p>
    <w:p>
      <w:pPr>
        <w:spacing w:after="0" w:line="156" w:lineRule="exact"/>
        <w:rPr>
          <w:rFonts w:ascii="Arial" w:cs="Arial" w:eastAsia="Arial" w:hAnsi="Arial"/>
          <w:sz w:val="23"/>
          <w:szCs w:val="23"/>
          <w:b w:val="1"/>
          <w:bCs w:val="1"/>
          <w:color w:val="231E1F"/>
        </w:rPr>
      </w:pPr>
    </w:p>
    <w:p>
      <w:pPr>
        <w:ind w:left="480"/>
        <w:spacing w:after="0"/>
        <w:rPr>
          <w:rFonts w:ascii="Arial" w:cs="Arial" w:eastAsia="Arial" w:hAnsi="Arial"/>
          <w:sz w:val="23"/>
          <w:szCs w:val="23"/>
          <w:b w:val="1"/>
          <w:bCs w:val="1"/>
          <w:color w:val="231E1F"/>
        </w:rPr>
      </w:pPr>
      <w:r>
        <w:rPr>
          <w:rFonts w:ascii="Arial" w:cs="Arial" w:eastAsia="Arial" w:hAnsi="Arial"/>
          <w:sz w:val="23"/>
          <w:szCs w:val="23"/>
          <w:b w:val="1"/>
          <w:bCs w:val="1"/>
          <w:color w:val="231E1F"/>
        </w:rPr>
        <w:t>Held-to-maturity investments</w:t>
      </w:r>
    </w:p>
    <w:p>
      <w:pPr>
        <w:spacing w:after="0" w:line="218" w:lineRule="exact"/>
        <w:rPr>
          <w:rFonts w:ascii="Arial" w:cs="Arial" w:eastAsia="Arial" w:hAnsi="Arial"/>
          <w:sz w:val="23"/>
          <w:szCs w:val="23"/>
          <w:b w:val="1"/>
          <w:bCs w:val="1"/>
          <w:color w:val="231E1F"/>
        </w:rPr>
      </w:pPr>
    </w:p>
    <w:p>
      <w:pPr>
        <w:jc w:val="both"/>
        <w:ind w:left="480" w:right="40"/>
        <w:spacing w:after="0" w:line="257" w:lineRule="auto"/>
        <w:rPr>
          <w:rFonts w:ascii="Arial" w:cs="Arial" w:eastAsia="Arial" w:hAnsi="Arial"/>
          <w:sz w:val="23"/>
          <w:szCs w:val="23"/>
          <w:b w:val="1"/>
          <w:bCs w:val="1"/>
          <w:color w:val="231E1F"/>
        </w:rPr>
      </w:pPr>
      <w:r>
        <w:rPr>
          <w:rFonts w:ascii="Arial" w:cs="Arial" w:eastAsia="Arial" w:hAnsi="Arial"/>
          <w:sz w:val="22"/>
          <w:szCs w:val="22"/>
          <w:color w:val="231E1F"/>
        </w:rPr>
        <w:t>Non-derivative financial assets with fixed or determinable payments and fixed maturity are classified as held to maturity when the Group has the positive intention and ability to hold to maturity. Held-to-maturity investments are initially recognized on the settlement date and are subsequently measured at amortized cost less any allowance for impairment. Amortized cost is calculated by taking into account any discount or premium on acquisition and fees or costs that are an integral part of the effective interest rate. The effective interest rate amortization is included in finance revenues in the statement of comprehensive income. The loss arising from impairment is recognized in the statement of comprehensive income in other operating expenses.</w:t>
      </w:r>
    </w:p>
    <w:p>
      <w:pPr>
        <w:spacing w:after="0" w:line="166" w:lineRule="exact"/>
        <w:rPr>
          <w:rFonts w:ascii="Arial" w:cs="Arial" w:eastAsia="Arial" w:hAnsi="Arial"/>
          <w:sz w:val="23"/>
          <w:szCs w:val="23"/>
          <w:b w:val="1"/>
          <w:bCs w:val="1"/>
          <w:color w:val="231E1F"/>
        </w:rPr>
      </w:pPr>
    </w:p>
    <w:p>
      <w:pPr>
        <w:ind w:left="480"/>
        <w:spacing w:after="0"/>
        <w:rPr>
          <w:rFonts w:ascii="Arial" w:cs="Arial" w:eastAsia="Arial" w:hAnsi="Arial"/>
          <w:sz w:val="23"/>
          <w:szCs w:val="23"/>
          <w:b w:val="1"/>
          <w:bCs w:val="1"/>
          <w:color w:val="231E1F"/>
        </w:rPr>
      </w:pPr>
      <w:r>
        <w:rPr>
          <w:rFonts w:ascii="Arial" w:cs="Arial" w:eastAsia="Arial" w:hAnsi="Arial"/>
          <w:sz w:val="23"/>
          <w:szCs w:val="23"/>
          <w:b w:val="1"/>
          <w:bCs w:val="1"/>
          <w:color w:val="231E1F"/>
        </w:rPr>
        <w:t>Application of new and revised IFRSs</w:t>
      </w:r>
    </w:p>
    <w:p>
      <w:pPr>
        <w:spacing w:after="0" w:line="218" w:lineRule="exact"/>
        <w:rPr>
          <w:rFonts w:ascii="Arial" w:cs="Arial" w:eastAsia="Arial" w:hAnsi="Arial"/>
          <w:sz w:val="23"/>
          <w:szCs w:val="23"/>
          <w:b w:val="1"/>
          <w:bCs w:val="1"/>
          <w:color w:val="231E1F"/>
        </w:rPr>
      </w:pPr>
    </w:p>
    <w:p>
      <w:pPr>
        <w:ind w:left="480" w:right="40"/>
        <w:spacing w:after="0" w:line="266" w:lineRule="auto"/>
        <w:rPr>
          <w:rFonts w:ascii="Arial" w:cs="Arial" w:eastAsia="Arial" w:hAnsi="Arial"/>
          <w:sz w:val="23"/>
          <w:szCs w:val="23"/>
          <w:b w:val="1"/>
          <w:bCs w:val="1"/>
          <w:color w:val="231E1F"/>
        </w:rPr>
      </w:pPr>
      <w:r>
        <w:rPr>
          <w:rFonts w:ascii="Arial" w:cs="Arial" w:eastAsia="Arial" w:hAnsi="Arial"/>
          <w:sz w:val="23"/>
          <w:szCs w:val="23"/>
          <w:color w:val="231E1F"/>
        </w:rPr>
        <w:t>The Group has adopted the following new and revised IFRSs for the first time for the current period’s interim financial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80" w:type="dxa"/>
            <w:vAlign w:val="bottom"/>
          </w:tcPr>
          <w:p>
            <w:pPr>
              <w:ind w:left="480"/>
              <w:spacing w:after="0"/>
              <w:rPr>
                <w:sz w:val="20"/>
                <w:szCs w:val="20"/>
                <w:color w:val="auto"/>
              </w:rPr>
            </w:pPr>
            <w:r>
              <w:rPr>
                <w:rFonts w:ascii="Arial" w:cs="Arial" w:eastAsia="Arial" w:hAnsi="Arial"/>
                <w:sz w:val="23"/>
                <w:szCs w:val="23"/>
                <w:color w:val="231E1F"/>
              </w:rPr>
              <w:t>IFRS 1 Amendment</w:t>
            </w:r>
          </w:p>
        </w:tc>
        <w:tc>
          <w:tcPr>
            <w:tcW w:w="8340" w:type="dxa"/>
            <w:vAlign w:val="bottom"/>
          </w:tcPr>
          <w:p>
            <w:pPr>
              <w:ind w:left="460"/>
              <w:spacing w:after="0"/>
              <w:rPr>
                <w:sz w:val="20"/>
                <w:szCs w:val="20"/>
                <w:color w:val="auto"/>
              </w:rPr>
            </w:pPr>
            <w:r>
              <w:rPr>
                <w:rFonts w:ascii="Arial" w:cs="Arial" w:eastAsia="Arial" w:hAnsi="Arial"/>
                <w:sz w:val="23"/>
                <w:szCs w:val="23"/>
                <w:color w:val="231E1F"/>
                <w:w w:val="99"/>
              </w:rPr>
              <w:t xml:space="preserve">Amendment to IFRS 1 </w:t>
            </w:r>
            <w:r>
              <w:rPr>
                <w:rFonts w:ascii="Arial" w:cs="Arial" w:eastAsia="Arial" w:hAnsi="Arial"/>
                <w:sz w:val="23"/>
                <w:szCs w:val="23"/>
                <w:i w:val="1"/>
                <w:iCs w:val="1"/>
                <w:color w:val="231E1F"/>
                <w:w w:val="99"/>
              </w:rPr>
              <w:t>First-time Adoption of International Financial Reporting</w:t>
            </w:r>
          </w:p>
        </w:tc>
      </w:tr>
      <w:tr>
        <w:trPr>
          <w:trHeight w:val="265"/>
        </w:trPr>
        <w:tc>
          <w:tcPr>
            <w:tcW w:w="3080" w:type="dxa"/>
            <w:vAlign w:val="bottom"/>
          </w:tcPr>
          <w:p>
            <w:pPr>
              <w:spacing w:after="0"/>
              <w:rPr>
                <w:sz w:val="23"/>
                <w:szCs w:val="23"/>
                <w:color w:val="auto"/>
              </w:rPr>
            </w:pPr>
          </w:p>
        </w:tc>
        <w:tc>
          <w:tcPr>
            <w:tcW w:w="8340" w:type="dxa"/>
            <w:vAlign w:val="bottom"/>
          </w:tcPr>
          <w:p>
            <w:pPr>
              <w:ind w:left="620"/>
              <w:spacing w:after="0"/>
              <w:rPr>
                <w:sz w:val="20"/>
                <w:szCs w:val="20"/>
                <w:color w:val="auto"/>
              </w:rPr>
            </w:pPr>
            <w:r>
              <w:rPr>
                <w:rFonts w:ascii="Arial" w:cs="Arial" w:eastAsia="Arial" w:hAnsi="Arial"/>
                <w:sz w:val="23"/>
                <w:szCs w:val="23"/>
                <w:i w:val="1"/>
                <w:iCs w:val="1"/>
                <w:color w:val="231E1F"/>
                <w:w w:val="94"/>
              </w:rPr>
              <w:t>Standards — Limited Exemption from Comparatives IFRS 7 Disclosure for First-</w:t>
            </w:r>
          </w:p>
        </w:tc>
      </w:tr>
      <w:tr>
        <w:trPr>
          <w:trHeight w:val="265"/>
        </w:trPr>
        <w:tc>
          <w:tcPr>
            <w:tcW w:w="3080" w:type="dxa"/>
            <w:vAlign w:val="bottom"/>
          </w:tcPr>
          <w:p>
            <w:pPr>
              <w:spacing w:after="0"/>
              <w:rPr>
                <w:sz w:val="23"/>
                <w:szCs w:val="23"/>
                <w:color w:val="auto"/>
              </w:rPr>
            </w:pPr>
          </w:p>
        </w:tc>
        <w:tc>
          <w:tcPr>
            <w:tcW w:w="8340" w:type="dxa"/>
            <w:vAlign w:val="bottom"/>
          </w:tcPr>
          <w:p>
            <w:pPr>
              <w:ind w:left="620"/>
              <w:spacing w:after="0"/>
              <w:rPr>
                <w:sz w:val="20"/>
                <w:szCs w:val="20"/>
                <w:color w:val="auto"/>
              </w:rPr>
            </w:pPr>
            <w:r>
              <w:rPr>
                <w:rFonts w:ascii="Arial" w:cs="Arial" w:eastAsia="Arial" w:hAnsi="Arial"/>
                <w:sz w:val="23"/>
                <w:szCs w:val="23"/>
                <w:i w:val="1"/>
                <w:iCs w:val="1"/>
                <w:color w:val="231E1F"/>
              </w:rPr>
              <w:t>time Adopters</w:t>
            </w:r>
          </w:p>
        </w:tc>
      </w:tr>
      <w:tr>
        <w:trPr>
          <w:trHeight w:val="265"/>
        </w:trPr>
        <w:tc>
          <w:tcPr>
            <w:tcW w:w="3080" w:type="dxa"/>
            <w:vAlign w:val="bottom"/>
          </w:tcPr>
          <w:p>
            <w:pPr>
              <w:ind w:left="480"/>
              <w:spacing w:after="0"/>
              <w:rPr>
                <w:sz w:val="20"/>
                <w:szCs w:val="20"/>
                <w:color w:val="auto"/>
              </w:rPr>
            </w:pPr>
            <w:r>
              <w:rPr>
                <w:rFonts w:ascii="Arial" w:cs="Arial" w:eastAsia="Arial" w:hAnsi="Arial"/>
                <w:sz w:val="23"/>
                <w:szCs w:val="23"/>
                <w:color w:val="231E1F"/>
              </w:rPr>
              <w:t>IAS 24 (Revised)</w:t>
            </w:r>
          </w:p>
        </w:tc>
        <w:tc>
          <w:tcPr>
            <w:tcW w:w="8340" w:type="dxa"/>
            <w:vAlign w:val="bottom"/>
          </w:tcPr>
          <w:p>
            <w:pPr>
              <w:ind w:left="460"/>
              <w:spacing w:after="0"/>
              <w:rPr>
                <w:sz w:val="20"/>
                <w:szCs w:val="20"/>
                <w:color w:val="auto"/>
              </w:rPr>
            </w:pPr>
            <w:r>
              <w:rPr>
                <w:rFonts w:ascii="Arial" w:cs="Arial" w:eastAsia="Arial" w:hAnsi="Arial"/>
                <w:sz w:val="23"/>
                <w:szCs w:val="23"/>
                <w:i w:val="1"/>
                <w:iCs w:val="1"/>
                <w:color w:val="231E1F"/>
              </w:rPr>
              <w:t>Related Party Disclosures</w:t>
            </w:r>
          </w:p>
        </w:tc>
      </w:tr>
      <w:tr>
        <w:trPr>
          <w:trHeight w:val="265"/>
        </w:trPr>
        <w:tc>
          <w:tcPr>
            <w:tcW w:w="3080" w:type="dxa"/>
            <w:vAlign w:val="bottom"/>
          </w:tcPr>
          <w:p>
            <w:pPr>
              <w:ind w:left="480"/>
              <w:spacing w:after="0"/>
              <w:rPr>
                <w:sz w:val="20"/>
                <w:szCs w:val="20"/>
                <w:color w:val="auto"/>
              </w:rPr>
            </w:pPr>
            <w:r>
              <w:rPr>
                <w:rFonts w:ascii="Arial" w:cs="Arial" w:eastAsia="Arial" w:hAnsi="Arial"/>
                <w:sz w:val="23"/>
                <w:szCs w:val="23"/>
                <w:color w:val="231E1F"/>
              </w:rPr>
              <w:t>IAS 32 Amendment</w:t>
            </w:r>
          </w:p>
        </w:tc>
        <w:tc>
          <w:tcPr>
            <w:tcW w:w="8340" w:type="dxa"/>
            <w:vAlign w:val="bottom"/>
          </w:tcPr>
          <w:p>
            <w:pPr>
              <w:ind w:left="460"/>
              <w:spacing w:after="0"/>
              <w:rPr>
                <w:sz w:val="20"/>
                <w:szCs w:val="20"/>
                <w:color w:val="auto"/>
              </w:rPr>
            </w:pPr>
            <w:r>
              <w:rPr>
                <w:rFonts w:ascii="Arial" w:cs="Arial" w:eastAsia="Arial" w:hAnsi="Arial"/>
                <w:sz w:val="23"/>
                <w:szCs w:val="23"/>
                <w:color w:val="231E1F"/>
                <w:w w:val="92"/>
              </w:rPr>
              <w:t xml:space="preserve">Amendment to IAS 32 </w:t>
            </w:r>
            <w:r>
              <w:rPr>
                <w:rFonts w:ascii="Arial" w:cs="Arial" w:eastAsia="Arial" w:hAnsi="Arial"/>
                <w:sz w:val="23"/>
                <w:szCs w:val="23"/>
                <w:i w:val="1"/>
                <w:iCs w:val="1"/>
                <w:color w:val="231E1F"/>
                <w:w w:val="92"/>
              </w:rPr>
              <w:t>Financial Instruments: Presentation — Classification of Right</w:t>
            </w:r>
          </w:p>
        </w:tc>
      </w:tr>
      <w:tr>
        <w:trPr>
          <w:trHeight w:val="265"/>
        </w:trPr>
        <w:tc>
          <w:tcPr>
            <w:tcW w:w="3080" w:type="dxa"/>
            <w:vAlign w:val="bottom"/>
          </w:tcPr>
          <w:p>
            <w:pPr>
              <w:spacing w:after="0"/>
              <w:rPr>
                <w:sz w:val="23"/>
                <w:szCs w:val="23"/>
                <w:color w:val="auto"/>
              </w:rPr>
            </w:pPr>
          </w:p>
        </w:tc>
        <w:tc>
          <w:tcPr>
            <w:tcW w:w="8340" w:type="dxa"/>
            <w:vAlign w:val="bottom"/>
          </w:tcPr>
          <w:p>
            <w:pPr>
              <w:ind w:left="620"/>
              <w:spacing w:after="0"/>
              <w:rPr>
                <w:sz w:val="20"/>
                <w:szCs w:val="20"/>
                <w:color w:val="auto"/>
              </w:rPr>
            </w:pPr>
            <w:r>
              <w:rPr>
                <w:rFonts w:ascii="Arial" w:cs="Arial" w:eastAsia="Arial" w:hAnsi="Arial"/>
                <w:sz w:val="23"/>
                <w:szCs w:val="23"/>
                <w:i w:val="1"/>
                <w:iCs w:val="1"/>
                <w:color w:val="231E1F"/>
              </w:rPr>
              <w:t>Issues</w:t>
            </w:r>
          </w:p>
        </w:tc>
      </w:tr>
      <w:tr>
        <w:trPr>
          <w:trHeight w:val="265"/>
        </w:trPr>
        <w:tc>
          <w:tcPr>
            <w:tcW w:w="3080" w:type="dxa"/>
            <w:vAlign w:val="bottom"/>
          </w:tcPr>
          <w:p>
            <w:pPr>
              <w:ind w:left="480"/>
              <w:spacing w:after="0"/>
              <w:rPr>
                <w:sz w:val="20"/>
                <w:szCs w:val="20"/>
                <w:color w:val="auto"/>
              </w:rPr>
            </w:pPr>
            <w:r>
              <w:rPr>
                <w:rFonts w:ascii="Arial" w:cs="Arial" w:eastAsia="Arial" w:hAnsi="Arial"/>
                <w:sz w:val="23"/>
                <w:szCs w:val="23"/>
                <w:color w:val="231E1F"/>
              </w:rPr>
              <w:t>IFRIC 14 Amendments</w:t>
            </w:r>
          </w:p>
        </w:tc>
        <w:tc>
          <w:tcPr>
            <w:tcW w:w="8340" w:type="dxa"/>
            <w:vAlign w:val="bottom"/>
          </w:tcPr>
          <w:p>
            <w:pPr>
              <w:ind w:left="460"/>
              <w:spacing w:after="0"/>
              <w:rPr>
                <w:sz w:val="20"/>
                <w:szCs w:val="20"/>
                <w:color w:val="auto"/>
              </w:rPr>
            </w:pPr>
            <w:r>
              <w:rPr>
                <w:rFonts w:ascii="Arial" w:cs="Arial" w:eastAsia="Arial" w:hAnsi="Arial"/>
                <w:sz w:val="23"/>
                <w:szCs w:val="23"/>
                <w:color w:val="231E1F"/>
              </w:rPr>
              <w:t xml:space="preserve">Amendments to IFRIC 14 </w:t>
            </w:r>
            <w:r>
              <w:rPr>
                <w:rFonts w:ascii="Arial" w:cs="Arial" w:eastAsia="Arial" w:hAnsi="Arial"/>
                <w:sz w:val="23"/>
                <w:szCs w:val="23"/>
                <w:i w:val="1"/>
                <w:iCs w:val="1"/>
                <w:color w:val="231E1F"/>
              </w:rPr>
              <w:t>Prepayments of a Minimum Funding Requirement</w:t>
            </w:r>
          </w:p>
        </w:tc>
      </w:tr>
      <w:tr>
        <w:trPr>
          <w:trHeight w:val="265"/>
        </w:trPr>
        <w:tc>
          <w:tcPr>
            <w:tcW w:w="3080" w:type="dxa"/>
            <w:vAlign w:val="bottom"/>
          </w:tcPr>
          <w:p>
            <w:pPr>
              <w:ind w:left="480"/>
              <w:spacing w:after="0"/>
              <w:rPr>
                <w:sz w:val="20"/>
                <w:szCs w:val="20"/>
                <w:color w:val="auto"/>
              </w:rPr>
            </w:pPr>
            <w:r>
              <w:rPr>
                <w:rFonts w:ascii="Arial" w:cs="Arial" w:eastAsia="Arial" w:hAnsi="Arial"/>
                <w:sz w:val="23"/>
                <w:szCs w:val="23"/>
                <w:color w:val="231E1F"/>
              </w:rPr>
              <w:t>IFRIC 19</w:t>
            </w:r>
          </w:p>
        </w:tc>
        <w:tc>
          <w:tcPr>
            <w:tcW w:w="8340" w:type="dxa"/>
            <w:vAlign w:val="bottom"/>
          </w:tcPr>
          <w:p>
            <w:pPr>
              <w:ind w:left="460"/>
              <w:spacing w:after="0"/>
              <w:rPr>
                <w:sz w:val="20"/>
                <w:szCs w:val="20"/>
                <w:color w:val="auto"/>
              </w:rPr>
            </w:pPr>
            <w:r>
              <w:rPr>
                <w:rFonts w:ascii="Arial" w:cs="Arial" w:eastAsia="Arial" w:hAnsi="Arial"/>
                <w:sz w:val="23"/>
                <w:szCs w:val="23"/>
                <w:i w:val="1"/>
                <w:iCs w:val="1"/>
                <w:color w:val="231E1F"/>
              </w:rPr>
              <w:t>Extinguishing Financial Liabilities with Equity Instruments</w:t>
            </w:r>
          </w:p>
        </w:tc>
      </w:tr>
      <w:tr>
        <w:trPr>
          <w:trHeight w:val="265"/>
        </w:trPr>
        <w:tc>
          <w:tcPr>
            <w:tcW w:w="3080" w:type="dxa"/>
            <w:vAlign w:val="bottom"/>
          </w:tcPr>
          <w:p>
            <w:pPr>
              <w:ind w:left="480"/>
              <w:spacing w:after="0"/>
              <w:rPr>
                <w:sz w:val="20"/>
                <w:szCs w:val="20"/>
                <w:color w:val="auto"/>
              </w:rPr>
            </w:pPr>
            <w:r>
              <w:rPr>
                <w:rFonts w:ascii="Arial" w:cs="Arial" w:eastAsia="Arial" w:hAnsi="Arial"/>
                <w:sz w:val="23"/>
                <w:szCs w:val="23"/>
                <w:i w:val="1"/>
                <w:iCs w:val="1"/>
                <w:color w:val="231E1F"/>
              </w:rPr>
              <w:t>Improvements to IFRSs</w:t>
            </w:r>
          </w:p>
        </w:tc>
        <w:tc>
          <w:tcPr>
            <w:tcW w:w="8340" w:type="dxa"/>
            <w:vAlign w:val="bottom"/>
          </w:tcPr>
          <w:p>
            <w:pPr>
              <w:ind w:left="460"/>
              <w:spacing w:after="0"/>
              <w:rPr>
                <w:sz w:val="20"/>
                <w:szCs w:val="20"/>
                <w:color w:val="auto"/>
              </w:rPr>
            </w:pPr>
            <w:r>
              <w:rPr>
                <w:rFonts w:ascii="Arial" w:cs="Arial" w:eastAsia="Arial" w:hAnsi="Arial"/>
                <w:sz w:val="23"/>
                <w:szCs w:val="23"/>
                <w:color w:val="231E1F"/>
              </w:rPr>
              <w:t>Amendments to a number of IFRSs</w:t>
            </w:r>
          </w:p>
        </w:tc>
      </w:tr>
      <w:tr>
        <w:trPr>
          <w:trHeight w:val="293"/>
        </w:trPr>
        <w:tc>
          <w:tcPr>
            <w:tcW w:w="3080" w:type="dxa"/>
            <w:vAlign w:val="bottom"/>
          </w:tcPr>
          <w:p>
            <w:pPr>
              <w:ind w:left="620"/>
              <w:spacing w:after="0"/>
              <w:rPr>
                <w:sz w:val="20"/>
                <w:szCs w:val="20"/>
                <w:color w:val="auto"/>
              </w:rPr>
            </w:pPr>
            <w:r>
              <w:rPr>
                <w:rFonts w:ascii="Arial" w:cs="Arial" w:eastAsia="Arial" w:hAnsi="Arial"/>
                <w:sz w:val="23"/>
                <w:szCs w:val="23"/>
                <w:i w:val="1"/>
                <w:iCs w:val="1"/>
                <w:color w:val="231E1F"/>
              </w:rPr>
              <w:t>issued in May 2010</w:t>
            </w:r>
          </w:p>
        </w:tc>
        <w:tc>
          <w:tcPr>
            <w:tcW w:w="8340" w:type="dxa"/>
            <w:vAlign w:val="bottom"/>
          </w:tcPr>
          <w:p>
            <w:pPr>
              <w:spacing w:after="0"/>
              <w:rPr>
                <w:sz w:val="24"/>
                <w:szCs w:val="24"/>
                <w:color w:val="auto"/>
              </w:rPr>
            </w:pPr>
          </w:p>
        </w:tc>
      </w:tr>
      <w:tr>
        <w:trPr>
          <w:trHeight w:val="594"/>
        </w:trPr>
        <w:tc>
          <w:tcPr>
            <w:tcW w:w="3080" w:type="dxa"/>
            <w:vAlign w:val="bottom"/>
          </w:tcPr>
          <w:p>
            <w:pPr>
              <w:spacing w:after="0"/>
              <w:rPr>
                <w:sz w:val="24"/>
                <w:szCs w:val="24"/>
                <w:color w:val="auto"/>
              </w:rPr>
            </w:pPr>
          </w:p>
        </w:tc>
        <w:tc>
          <w:tcPr>
            <w:tcW w:w="8340" w:type="dxa"/>
            <w:vAlign w:val="bottom"/>
          </w:tcPr>
          <w:p>
            <w:pPr>
              <w:ind w:left="2580"/>
              <w:spacing w:after="0"/>
              <w:rPr>
                <w:sz w:val="20"/>
                <w:szCs w:val="20"/>
                <w:color w:val="auto"/>
              </w:rPr>
            </w:pPr>
            <w:r>
              <w:rPr>
                <w:rFonts w:ascii="Arial" w:cs="Arial" w:eastAsia="Arial" w:hAnsi="Arial"/>
                <w:sz w:val="18"/>
                <w:szCs w:val="18"/>
                <w:color w:val="auto"/>
              </w:rPr>
              <w:t>5</w:t>
            </w:r>
          </w:p>
        </w:tc>
      </w:tr>
      <w:tr>
        <w:trPr>
          <w:trHeight w:val="117"/>
        </w:trPr>
        <w:tc>
          <w:tcPr>
            <w:tcW w:w="3080" w:type="dxa"/>
            <w:vAlign w:val="bottom"/>
            <w:tcBorders>
              <w:bottom w:val="single" w:sz="8" w:color="808080"/>
            </w:tcBorders>
          </w:tcPr>
          <w:p>
            <w:pPr>
              <w:spacing w:after="0"/>
              <w:rPr>
                <w:sz w:val="10"/>
                <w:szCs w:val="10"/>
                <w:color w:val="auto"/>
              </w:rPr>
            </w:pPr>
          </w:p>
        </w:tc>
        <w:tc>
          <w:tcPr>
            <w:tcW w:w="8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 w:name="page9"/>
    <w:bookmarkEnd w:id="8"/>
    <w:p>
      <w:pPr>
        <w:ind w:left="480" w:right="60"/>
        <w:spacing w:after="0" w:line="253" w:lineRule="auto"/>
        <w:rPr>
          <w:sz w:val="20"/>
          <w:szCs w:val="20"/>
          <w:color w:val="auto"/>
        </w:rPr>
      </w:pPr>
      <w:r>
        <w:rPr>
          <w:rFonts w:ascii="Arial" w:cs="Arial" w:eastAsia="Arial" w:hAnsi="Arial"/>
          <w:sz w:val="23"/>
          <w:szCs w:val="23"/>
          <w:color w:val="231E1F"/>
        </w:rPr>
        <w:t>The adoption of these new and revised IFRSs and interpretations has had no significant financial effects on the interim financial information and there have been no significant changes to the accounting policies applied in the interim financial information.</w:t>
      </w:r>
    </w:p>
    <w:p>
      <w:pPr>
        <w:spacing w:after="0" w:line="171" w:lineRule="exact"/>
        <w:rPr>
          <w:sz w:val="20"/>
          <w:szCs w:val="20"/>
          <w:color w:val="auto"/>
        </w:rPr>
      </w:pPr>
    </w:p>
    <w:p>
      <w:pPr>
        <w:ind w:left="480" w:right="1040"/>
        <w:spacing w:after="0" w:line="433" w:lineRule="auto"/>
        <w:rPr>
          <w:sz w:val="20"/>
          <w:szCs w:val="20"/>
          <w:color w:val="auto"/>
        </w:rPr>
      </w:pPr>
      <w:r>
        <w:rPr>
          <w:rFonts w:ascii="Arial" w:cs="Arial" w:eastAsia="Arial" w:hAnsi="Arial"/>
          <w:sz w:val="23"/>
          <w:szCs w:val="23"/>
          <w:color w:val="231E1F"/>
        </w:rPr>
        <w:t xml:space="preserve">The Group has not early adopted the new and revised IFRSs that have been issued, but are not yet effective. </w:t>
      </w:r>
      <w:r>
        <w:rPr>
          <w:rFonts w:ascii="Arial" w:cs="Arial" w:eastAsia="Arial" w:hAnsi="Arial"/>
          <w:sz w:val="23"/>
          <w:szCs w:val="23"/>
          <w:b w:val="1"/>
          <w:bCs w:val="1"/>
          <w:color w:val="231E1F"/>
        </w:rPr>
        <w:t>Reclassifications</w:t>
      </w:r>
    </w:p>
    <w:p>
      <w:pPr>
        <w:jc w:val="both"/>
        <w:ind w:left="480"/>
        <w:spacing w:after="0" w:line="253" w:lineRule="auto"/>
        <w:rPr>
          <w:sz w:val="20"/>
          <w:szCs w:val="20"/>
          <w:color w:val="auto"/>
        </w:rPr>
      </w:pPr>
      <w:r>
        <w:rPr>
          <w:rFonts w:ascii="Arial" w:cs="Arial" w:eastAsia="Arial" w:hAnsi="Arial"/>
          <w:sz w:val="23"/>
          <w:szCs w:val="23"/>
          <w:color w:val="231E1F"/>
        </w:rPr>
        <w:t>Certain amounts in the interim financial information for the six months ended 30 June 2010 have been reclassified to be consistent with the current period’s presentation. These reclassifications have no effect on the previously reported profit for the prior period.</w:t>
      </w:r>
    </w:p>
    <w:p>
      <w:pPr>
        <w:spacing w:after="0" w:line="165" w:lineRule="exact"/>
        <w:rPr>
          <w:sz w:val="20"/>
          <w:szCs w:val="20"/>
          <w:color w:val="auto"/>
        </w:rPr>
      </w:pPr>
    </w:p>
    <w:p>
      <w:pPr>
        <w:ind w:left="480" w:hanging="474"/>
        <w:spacing w:after="0"/>
        <w:tabs>
          <w:tab w:leader="none" w:pos="480" w:val="left"/>
        </w:tabs>
        <w:numPr>
          <w:ilvl w:val="0"/>
          <w:numId w:val="5"/>
        </w:numPr>
        <w:rPr>
          <w:rFonts w:ascii="Arial" w:cs="Arial" w:eastAsia="Arial" w:hAnsi="Arial"/>
          <w:sz w:val="23"/>
          <w:szCs w:val="23"/>
          <w:b w:val="1"/>
          <w:bCs w:val="1"/>
          <w:color w:val="231E1F"/>
        </w:rPr>
      </w:pPr>
      <w:r>
        <w:rPr>
          <w:rFonts w:ascii="Arial" w:cs="Arial" w:eastAsia="Arial" w:hAnsi="Arial"/>
          <w:sz w:val="23"/>
          <w:szCs w:val="23"/>
          <w:b w:val="1"/>
          <w:bCs w:val="1"/>
          <w:color w:val="231E1F"/>
        </w:rPr>
        <w:t>SEGMENT REPORTING</w:t>
      </w:r>
    </w:p>
    <w:p>
      <w:pPr>
        <w:spacing w:after="0" w:line="218" w:lineRule="exact"/>
        <w:rPr>
          <w:rFonts w:ascii="Arial" w:cs="Arial" w:eastAsia="Arial" w:hAnsi="Arial"/>
          <w:sz w:val="23"/>
          <w:szCs w:val="23"/>
          <w:b w:val="1"/>
          <w:bCs w:val="1"/>
          <w:color w:val="231E1F"/>
        </w:rPr>
      </w:pPr>
    </w:p>
    <w:p>
      <w:pPr>
        <w:jc w:val="both"/>
        <w:ind w:left="480"/>
        <w:spacing w:after="0" w:line="289" w:lineRule="auto"/>
        <w:rPr>
          <w:rFonts w:ascii="Arial" w:cs="Arial" w:eastAsia="Arial" w:hAnsi="Arial"/>
          <w:sz w:val="23"/>
          <w:szCs w:val="23"/>
          <w:b w:val="1"/>
          <w:bCs w:val="1"/>
          <w:color w:val="231E1F"/>
        </w:rPr>
      </w:pPr>
      <w:r>
        <w:rPr>
          <w:rFonts w:ascii="Arial" w:cs="Arial" w:eastAsia="Arial" w:hAnsi="Arial"/>
          <w:sz w:val="21"/>
          <w:szCs w:val="21"/>
          <w:color w:val="231E1F"/>
        </w:rPr>
        <w:t>The Group currently operates in one business segment, namely, the management of its casino, hotel, retail and food and beverage operations. A single management team reports to the chief operating decision-maker who comprehensively manages the entire business. Accordingly, the Group does not have separate reportable segments.</w:t>
      </w:r>
    </w:p>
    <w:p>
      <w:pPr>
        <w:spacing w:after="0" w:line="129" w:lineRule="exact"/>
        <w:rPr>
          <w:rFonts w:ascii="Arial" w:cs="Arial" w:eastAsia="Arial" w:hAnsi="Arial"/>
          <w:sz w:val="23"/>
          <w:szCs w:val="23"/>
          <w:b w:val="1"/>
          <w:bCs w:val="1"/>
          <w:color w:val="231E1F"/>
        </w:rPr>
      </w:pPr>
    </w:p>
    <w:p>
      <w:pPr>
        <w:ind w:left="480" w:hanging="474"/>
        <w:spacing w:after="0"/>
        <w:tabs>
          <w:tab w:leader="none" w:pos="480" w:val="left"/>
        </w:tabs>
        <w:numPr>
          <w:ilvl w:val="0"/>
          <w:numId w:val="5"/>
        </w:numPr>
        <w:rPr>
          <w:rFonts w:ascii="Arial" w:cs="Arial" w:eastAsia="Arial" w:hAnsi="Arial"/>
          <w:sz w:val="23"/>
          <w:szCs w:val="23"/>
          <w:b w:val="1"/>
          <w:bCs w:val="1"/>
          <w:color w:val="231E1F"/>
        </w:rPr>
      </w:pPr>
      <w:r>
        <w:rPr>
          <w:rFonts w:ascii="Arial" w:cs="Arial" w:eastAsia="Arial" w:hAnsi="Arial"/>
          <w:sz w:val="23"/>
          <w:szCs w:val="23"/>
          <w:b w:val="1"/>
          <w:bCs w:val="1"/>
          <w:color w:val="231E1F"/>
        </w:rPr>
        <w:t>OTHER OPERATING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92"/>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66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231E1F"/>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231E1F"/>
              </w:rPr>
              <w:t>2011</w:t>
            </w:r>
          </w:p>
        </w:tc>
        <w:tc>
          <w:tcPr>
            <w:tcW w:w="136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231E1F"/>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200" w:type="dxa"/>
            <w:vAlign w:val="bottom"/>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60" w:type="dxa"/>
            <w:vAlign w:val="bottom"/>
            <w:gridSpan w:val="4"/>
          </w:tcPr>
          <w:p>
            <w:pPr>
              <w:jc w:val="center"/>
              <w:ind w:right="80"/>
              <w:spacing w:after="0" w:line="233" w:lineRule="exact"/>
              <w:rPr>
                <w:sz w:val="20"/>
                <w:szCs w:val="20"/>
                <w:color w:val="auto"/>
              </w:rPr>
            </w:pPr>
            <w:r>
              <w:rPr>
                <w:rFonts w:ascii="Arial" w:cs="Arial" w:eastAsia="Arial" w:hAnsi="Arial"/>
                <w:sz w:val="23"/>
                <w:szCs w:val="23"/>
                <w:color w:val="231E1F"/>
                <w:w w:val="89"/>
              </w:rPr>
              <w:t>(in thousands)</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6"/>
              </w:rPr>
              <w:t>(unaudited)</w:t>
            </w:r>
          </w:p>
        </w:tc>
        <w:tc>
          <w:tcPr>
            <w:tcW w:w="2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3"/>
                <w:szCs w:val="23"/>
                <w:i w:val="1"/>
                <w:iCs w:val="1"/>
                <w:color w:val="231E1F"/>
              </w:rPr>
              <w:t>(unaudited)</w:t>
            </w: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45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Gaming promoters’ commissions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960,524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651,828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Royalty fees</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574,131</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401,877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Cost of sales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358,640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273,191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Corporate support services and other</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90,667</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68,915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Advertising and promotions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86,298</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96,370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Utilities and fuel</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84,506</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69,363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Operating supplies and equipment</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70,012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59,553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Other support services</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44,689</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37,186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Provision for doubtful accounts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42,195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36,131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Operating rental expenses</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10,723</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11,856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3"/>
                <w:szCs w:val="23"/>
                <w:color w:val="231E1F"/>
              </w:rPr>
              <w:t>Auditor’s remuneration</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1,760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2,064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3"/>
                <w:szCs w:val="23"/>
                <w:color w:val="231E1F"/>
              </w:rPr>
              <w:t>Other</w:t>
            </w: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152,077</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140,038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2,476,222</w:t>
            </w:r>
          </w:p>
        </w:tc>
        <w:tc>
          <w:tcPr>
            <w:tcW w:w="1360" w:type="dxa"/>
            <w:vAlign w:val="bottom"/>
            <w:gridSpan w:val="2"/>
          </w:tcPr>
          <w:p>
            <w:pPr>
              <w:jc w:val="right"/>
              <w:spacing w:after="0"/>
              <w:rPr>
                <w:sz w:val="20"/>
                <w:szCs w:val="20"/>
                <w:color w:val="auto"/>
              </w:rPr>
            </w:pPr>
            <w:r>
              <w:rPr>
                <w:rFonts w:ascii="Arial" w:cs="Arial" w:eastAsia="Arial" w:hAnsi="Arial"/>
                <w:sz w:val="23"/>
                <w:szCs w:val="23"/>
                <w:color w:val="231E1F"/>
              </w:rPr>
              <w:t>1,848,372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40" w:type="dxa"/>
            <w:vAlign w:val="bottom"/>
          </w:tcPr>
          <w:p>
            <w:pPr>
              <w:jc w:val="right"/>
              <w:ind w:right="2887"/>
              <w:spacing w:after="0"/>
              <w:rPr>
                <w:sz w:val="20"/>
                <w:szCs w:val="20"/>
                <w:color w:val="auto"/>
              </w:rPr>
            </w:pPr>
            <w:r>
              <w:rPr>
                <w:rFonts w:ascii="Arial" w:cs="Arial" w:eastAsia="Arial" w:hAnsi="Arial"/>
                <w:sz w:val="18"/>
                <w:szCs w:val="18"/>
                <w:color w:val="auto"/>
              </w:rPr>
              <w:t>6</w:t>
            </w: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 w:name="page10"/>
    <w:bookmarkEnd w:id="9"/>
    <w:p>
      <w:pPr>
        <w:ind w:left="480" w:hanging="474"/>
        <w:spacing w:after="0"/>
        <w:tabs>
          <w:tab w:leader="none" w:pos="480" w:val="left"/>
        </w:tabs>
        <w:numPr>
          <w:ilvl w:val="0"/>
          <w:numId w:val="6"/>
        </w:numPr>
        <w:rPr>
          <w:rFonts w:ascii="Arial" w:cs="Arial" w:eastAsia="Arial" w:hAnsi="Arial"/>
          <w:sz w:val="23"/>
          <w:szCs w:val="23"/>
          <w:b w:val="1"/>
          <w:bCs w:val="1"/>
          <w:color w:val="231E1F"/>
        </w:rPr>
      </w:pPr>
      <w:r>
        <w:rPr>
          <w:rFonts w:ascii="Arial" w:cs="Arial" w:eastAsia="Arial" w:hAnsi="Arial"/>
          <w:sz w:val="23"/>
          <w:szCs w:val="23"/>
          <w:b w:val="1"/>
          <w:bCs w:val="1"/>
          <w:color w:val="231E1F"/>
        </w:rPr>
        <w:t>PROPERTY CHARGES AND OTHER</w:t>
      </w:r>
    </w:p>
    <w:p>
      <w:pPr>
        <w:spacing w:after="0" w:line="218" w:lineRule="exact"/>
        <w:rPr>
          <w:rFonts w:ascii="Arial" w:cs="Arial" w:eastAsia="Arial" w:hAnsi="Arial"/>
          <w:sz w:val="23"/>
          <w:szCs w:val="23"/>
          <w:b w:val="1"/>
          <w:bCs w:val="1"/>
          <w:color w:val="231E1F"/>
        </w:rPr>
      </w:pPr>
    </w:p>
    <w:p>
      <w:pPr>
        <w:jc w:val="both"/>
        <w:ind w:left="480" w:right="40"/>
        <w:spacing w:after="0" w:line="256" w:lineRule="auto"/>
        <w:rPr>
          <w:rFonts w:ascii="Arial" w:cs="Arial" w:eastAsia="Arial" w:hAnsi="Arial"/>
          <w:sz w:val="23"/>
          <w:szCs w:val="23"/>
          <w:b w:val="1"/>
          <w:bCs w:val="1"/>
          <w:color w:val="231E1F"/>
        </w:rPr>
      </w:pPr>
      <w:r>
        <w:rPr>
          <w:rFonts w:ascii="Arial" w:cs="Arial" w:eastAsia="Arial" w:hAnsi="Arial"/>
          <w:sz w:val="22"/>
          <w:szCs w:val="22"/>
          <w:color w:val="231E1F"/>
        </w:rPr>
        <w:t>“Property charges and other” includes a donation made by the Group to the University of Macau Development Foundation (the “Foundation”). In May 2011, the Group entered into an agreement with the Foundation to donate a certain amount to the Foundation with the primary purpose of supporting the creation, promotion, operation, and other activities related to the Asia-Pacific Academy of Economics and Management created by the University of Macau. Under such agreement, the Group donated MOP200.0 million (approximately HK$194.2 million) in May 2011, and for each of the years from 2012 through 2022, the Group will donate MOP80.0 million (approximately HK$77.7 million). As a result of the above arrangement, the Group recognized approximately HK$831.1 million representing the present value of the donation as an expense for the six months ended 30 June 2011. No such arrangement exists for the six months ended 30 June 2010.</w:t>
      </w:r>
    </w:p>
    <w:p>
      <w:pPr>
        <w:spacing w:after="0" w:line="164" w:lineRule="exact"/>
        <w:rPr>
          <w:rFonts w:ascii="Arial" w:cs="Arial" w:eastAsia="Arial" w:hAnsi="Arial"/>
          <w:sz w:val="23"/>
          <w:szCs w:val="23"/>
          <w:b w:val="1"/>
          <w:bCs w:val="1"/>
          <w:color w:val="231E1F"/>
        </w:rPr>
      </w:pPr>
    </w:p>
    <w:p>
      <w:pPr>
        <w:ind w:left="480" w:hanging="474"/>
        <w:spacing w:after="0"/>
        <w:tabs>
          <w:tab w:leader="none" w:pos="480" w:val="left"/>
        </w:tabs>
        <w:numPr>
          <w:ilvl w:val="0"/>
          <w:numId w:val="6"/>
        </w:numPr>
        <w:rPr>
          <w:rFonts w:ascii="Arial" w:cs="Arial" w:eastAsia="Arial" w:hAnsi="Arial"/>
          <w:sz w:val="23"/>
          <w:szCs w:val="23"/>
          <w:b w:val="1"/>
          <w:bCs w:val="1"/>
          <w:color w:val="231E1F"/>
        </w:rPr>
      </w:pPr>
      <w:r>
        <w:rPr>
          <w:rFonts w:ascii="Arial" w:cs="Arial" w:eastAsia="Arial" w:hAnsi="Arial"/>
          <w:sz w:val="23"/>
          <w:szCs w:val="23"/>
          <w:b w:val="1"/>
          <w:bCs w:val="1"/>
          <w:color w:val="231E1F"/>
        </w:rPr>
        <w:t>FINANCE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92"/>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6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231E1F"/>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231E1F"/>
              </w:rPr>
              <w:t>2011</w:t>
            </w:r>
          </w:p>
        </w:tc>
        <w:tc>
          <w:tcPr>
            <w:tcW w:w="136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231E1F"/>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200" w:type="dxa"/>
            <w:vAlign w:val="bottom"/>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60" w:type="dxa"/>
            <w:vAlign w:val="bottom"/>
            <w:gridSpan w:val="4"/>
          </w:tcPr>
          <w:p>
            <w:pPr>
              <w:jc w:val="center"/>
              <w:ind w:right="80"/>
              <w:spacing w:after="0" w:line="233" w:lineRule="exact"/>
              <w:rPr>
                <w:sz w:val="20"/>
                <w:szCs w:val="20"/>
                <w:color w:val="auto"/>
              </w:rPr>
            </w:pPr>
            <w:r>
              <w:rPr>
                <w:rFonts w:ascii="Arial" w:cs="Arial" w:eastAsia="Arial" w:hAnsi="Arial"/>
                <w:sz w:val="23"/>
                <w:szCs w:val="23"/>
                <w:color w:val="231E1F"/>
                <w:w w:val="89"/>
              </w:rPr>
              <w:t>(in thousands)</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6"/>
              </w:rPr>
              <w:t>(unaudited)</w:t>
            </w:r>
          </w:p>
        </w:tc>
        <w:tc>
          <w:tcPr>
            <w:tcW w:w="2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3"/>
                <w:szCs w:val="23"/>
                <w:i w:val="1"/>
                <w:iCs w:val="1"/>
                <w:color w:val="231E1F"/>
              </w:rPr>
              <w:t>(unaudited)</w:t>
            </w: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47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23"/>
                <w:szCs w:val="23"/>
                <w:color w:val="231E1F"/>
              </w:rPr>
              <w:t>Interest income from:</w:t>
            </w:r>
          </w:p>
        </w:tc>
        <w:tc>
          <w:tcPr>
            <w:tcW w:w="40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Pr>
          <w:p>
            <w:pPr>
              <w:ind w:left="260"/>
              <w:spacing w:after="0"/>
              <w:rPr>
                <w:sz w:val="20"/>
                <w:szCs w:val="20"/>
                <w:color w:val="auto"/>
              </w:rPr>
            </w:pPr>
            <w:r>
              <w:rPr>
                <w:rFonts w:ascii="Arial" w:cs="Arial" w:eastAsia="Arial" w:hAnsi="Arial"/>
                <w:sz w:val="23"/>
                <w:szCs w:val="23"/>
                <w:color w:val="231E1F"/>
              </w:rPr>
              <w:t>Listed held-to-maturity investments</w:t>
            </w:r>
          </w:p>
        </w:tc>
        <w:tc>
          <w:tcPr>
            <w:tcW w:w="52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702</w:t>
            </w: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3"/>
                <w:szCs w:val="23"/>
                <w:color w:val="231E1F"/>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23"/>
                <w:szCs w:val="23"/>
                <w:color w:val="231E1F"/>
              </w:rPr>
              <w:t>Unlisted held-to-maturity investments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14</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Pr>
          <w:p>
            <w:pPr>
              <w:ind w:left="260"/>
              <w:spacing w:after="0"/>
              <w:rPr>
                <w:sz w:val="20"/>
                <w:szCs w:val="20"/>
                <w:color w:val="auto"/>
              </w:rPr>
            </w:pPr>
            <w:r>
              <w:rPr>
                <w:rFonts w:ascii="Arial" w:cs="Arial" w:eastAsia="Arial" w:hAnsi="Arial"/>
                <w:sz w:val="23"/>
                <w:szCs w:val="23"/>
                <w:color w:val="231E1F"/>
              </w:rPr>
              <w:t>Cash at banks</w:t>
            </w:r>
          </w:p>
        </w:tc>
        <w:tc>
          <w:tcPr>
            <w:tcW w:w="52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9,201</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268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240" w:type="dxa"/>
            <w:vAlign w:val="bottom"/>
            <w:gridSpan w:val="2"/>
          </w:tcPr>
          <w:p>
            <w:pPr>
              <w:jc w:val="right"/>
              <w:spacing w:after="0"/>
              <w:rPr>
                <w:sz w:val="20"/>
                <w:szCs w:val="20"/>
                <w:color w:val="auto"/>
              </w:rPr>
            </w:pPr>
            <w:r>
              <w:rPr>
                <w:rFonts w:ascii="Arial" w:cs="Arial" w:eastAsia="Arial" w:hAnsi="Arial"/>
                <w:sz w:val="23"/>
                <w:szCs w:val="23"/>
                <w:b w:val="1"/>
                <w:bCs w:val="1"/>
                <w:color w:val="auto"/>
              </w:rPr>
              <w:t>9,917</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auto"/>
              </w:rPr>
              <w:t>268</w:t>
            </w:r>
          </w:p>
        </w:tc>
        <w:tc>
          <w:tcPr>
            <w:tcW w:w="0" w:type="dxa"/>
            <w:vAlign w:val="bottom"/>
          </w:tcPr>
          <w:p>
            <w:pPr>
              <w:spacing w:after="0"/>
              <w:rPr>
                <w:sz w:val="1"/>
                <w:szCs w:val="1"/>
                <w:color w:val="auto"/>
              </w:rPr>
            </w:pPr>
          </w:p>
        </w:tc>
      </w:tr>
      <w:tr>
        <w:trPr>
          <w:trHeight w:val="506"/>
        </w:trPr>
        <w:tc>
          <w:tcPr>
            <w:tcW w:w="4720" w:type="dxa"/>
            <w:vAlign w:val="bottom"/>
            <w:gridSpan w:val="2"/>
          </w:tcPr>
          <w:p>
            <w:pPr>
              <w:spacing w:after="0"/>
              <w:rPr>
                <w:sz w:val="20"/>
                <w:szCs w:val="20"/>
                <w:color w:val="auto"/>
              </w:rPr>
            </w:pPr>
            <w:r>
              <w:rPr>
                <w:rFonts w:ascii="Arial" w:cs="Arial" w:eastAsia="Arial" w:hAnsi="Arial"/>
                <w:sz w:val="23"/>
                <w:szCs w:val="23"/>
                <w:b w:val="1"/>
                <w:bCs w:val="1"/>
                <w:color w:val="231E1F"/>
              </w:rPr>
              <w:t>6.   INCOME TAX EXPENSE</w:t>
            </w:r>
          </w:p>
        </w:tc>
        <w:tc>
          <w:tcPr>
            <w:tcW w:w="40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92"/>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6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231E1F"/>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231E1F"/>
              </w:rPr>
              <w:t>2011</w:t>
            </w:r>
          </w:p>
        </w:tc>
        <w:tc>
          <w:tcPr>
            <w:tcW w:w="136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231E1F"/>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200" w:type="dxa"/>
            <w:vAlign w:val="bottom"/>
          </w:tcPr>
          <w:p>
            <w:pPr>
              <w:spacing w:after="0"/>
              <w:rPr>
                <w:sz w:val="24"/>
                <w:szCs w:val="24"/>
                <w:color w:val="auto"/>
              </w:rPr>
            </w:pPr>
          </w:p>
        </w:tc>
        <w:tc>
          <w:tcPr>
            <w:tcW w:w="1260" w:type="dxa"/>
            <w:vAlign w:val="bottom"/>
            <w:gridSpan w:val="2"/>
          </w:tcPr>
          <w:p>
            <w:pPr>
              <w:ind w:left="74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60" w:type="dxa"/>
            <w:vAlign w:val="bottom"/>
            <w:gridSpan w:val="4"/>
          </w:tcPr>
          <w:p>
            <w:pPr>
              <w:jc w:val="center"/>
              <w:ind w:right="80"/>
              <w:spacing w:after="0" w:line="233" w:lineRule="exact"/>
              <w:rPr>
                <w:sz w:val="20"/>
                <w:szCs w:val="20"/>
                <w:color w:val="auto"/>
              </w:rPr>
            </w:pPr>
            <w:r>
              <w:rPr>
                <w:rFonts w:ascii="Arial" w:cs="Arial" w:eastAsia="Arial" w:hAnsi="Arial"/>
                <w:sz w:val="23"/>
                <w:szCs w:val="23"/>
                <w:color w:val="231E1F"/>
                <w:w w:val="89"/>
              </w:rPr>
              <w:t>(in thousands)</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6"/>
              </w:rPr>
              <w:t>(unaudited)</w:t>
            </w:r>
          </w:p>
        </w:tc>
        <w:tc>
          <w:tcPr>
            <w:tcW w:w="2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3"/>
                <w:szCs w:val="23"/>
                <w:i w:val="1"/>
                <w:iCs w:val="1"/>
                <w:color w:val="231E1F"/>
              </w:rPr>
              <w:t>(unaudited)</w:t>
            </w: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47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23"/>
                <w:szCs w:val="23"/>
                <w:color w:val="231E1F"/>
              </w:rPr>
              <w:t>Income tax expense:</w:t>
            </w:r>
          </w:p>
        </w:tc>
        <w:tc>
          <w:tcPr>
            <w:tcW w:w="40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Pr>
          <w:p>
            <w:pPr>
              <w:ind w:left="200"/>
              <w:spacing w:after="0"/>
              <w:rPr>
                <w:sz w:val="20"/>
                <w:szCs w:val="20"/>
                <w:color w:val="auto"/>
              </w:rPr>
            </w:pPr>
            <w:r>
              <w:rPr>
                <w:rFonts w:ascii="Arial" w:cs="Arial" w:eastAsia="Arial" w:hAnsi="Arial"/>
                <w:sz w:val="23"/>
                <w:szCs w:val="23"/>
                <w:color w:val="231E1F"/>
              </w:rPr>
              <w:t>Current — overseas</w:t>
            </w:r>
          </w:p>
        </w:tc>
        <w:tc>
          <w:tcPr>
            <w:tcW w:w="5240" w:type="dxa"/>
            <w:vAlign w:val="bottom"/>
            <w:gridSpan w:val="2"/>
          </w:tcPr>
          <w:p>
            <w:pPr>
              <w:jc w:val="right"/>
              <w:spacing w:after="0"/>
              <w:rPr>
                <w:sz w:val="20"/>
                <w:szCs w:val="20"/>
                <w:color w:val="auto"/>
              </w:rPr>
            </w:pPr>
            <w:r>
              <w:rPr>
                <w:rFonts w:ascii="Arial" w:cs="Arial" w:eastAsia="Arial" w:hAnsi="Arial"/>
                <w:sz w:val="23"/>
                <w:szCs w:val="23"/>
                <w:b w:val="1"/>
                <w:bCs w:val="1"/>
                <w:color w:val="231E1F"/>
              </w:rPr>
              <w:t>3,495</w:t>
            </w:r>
          </w:p>
        </w:tc>
        <w:tc>
          <w:tcPr>
            <w:tcW w:w="1460" w:type="dxa"/>
            <w:vAlign w:val="bottom"/>
            <w:gridSpan w:val="3"/>
          </w:tcPr>
          <w:p>
            <w:pPr>
              <w:jc w:val="right"/>
              <w:ind w:right="100"/>
              <w:spacing w:after="0"/>
              <w:rPr>
                <w:sz w:val="20"/>
                <w:szCs w:val="20"/>
                <w:color w:val="auto"/>
              </w:rPr>
            </w:pPr>
            <w:r>
              <w:rPr>
                <w:rFonts w:ascii="Arial" w:cs="Arial" w:eastAsia="Arial" w:hAnsi="Arial"/>
                <w:sz w:val="23"/>
                <w:szCs w:val="23"/>
                <w:color w:val="231E1F"/>
              </w:rPr>
              <w:t>3,495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3"/>
                <w:szCs w:val="23"/>
                <w:color w:val="231E1F"/>
              </w:rPr>
              <w:t>Deferred</w:t>
            </w:r>
          </w:p>
        </w:tc>
        <w:tc>
          <w:tcPr>
            <w:tcW w:w="40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color w:val="231E1F"/>
              </w:rPr>
              <w:t>32,588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5240" w:type="dxa"/>
            <w:vAlign w:val="bottom"/>
            <w:gridSpan w:val="2"/>
          </w:tcPr>
          <w:p>
            <w:pPr>
              <w:spacing w:after="0"/>
              <w:rPr>
                <w:sz w:val="17"/>
                <w:szCs w:val="17"/>
                <w:color w:val="auto"/>
              </w:rPr>
            </w:pPr>
          </w:p>
        </w:tc>
        <w:tc>
          <w:tcPr>
            <w:tcW w:w="1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3,495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36,083</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4040" w:type="dxa"/>
            <w:vAlign w:val="bottom"/>
            <w:tcBorders>
              <w:top w:val="single" w:sz="8" w:color="CCEEFF"/>
            </w:tcBorders>
          </w:tcPr>
          <w:p>
            <w:pPr>
              <w:jc w:val="right"/>
              <w:ind w:right="2889"/>
              <w:spacing w:after="0"/>
              <w:rPr>
                <w:sz w:val="20"/>
                <w:szCs w:val="20"/>
                <w:color w:val="auto"/>
              </w:rPr>
            </w:pPr>
            <w:r>
              <w:rPr>
                <w:rFonts w:ascii="Arial" w:cs="Arial" w:eastAsia="Arial" w:hAnsi="Arial"/>
                <w:sz w:val="18"/>
                <w:szCs w:val="18"/>
                <w:color w:val="auto"/>
              </w:rPr>
              <w:t>7</w:t>
            </w: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0" w:name="page11"/>
    <w:bookmarkEnd w:id="10"/>
    <w:p>
      <w:pPr>
        <w:ind w:right="20"/>
        <w:spacing w:after="0" w:line="267" w:lineRule="auto"/>
        <w:rPr>
          <w:sz w:val="20"/>
          <w:szCs w:val="20"/>
          <w:color w:val="auto"/>
        </w:rPr>
      </w:pPr>
      <w:r>
        <w:rPr>
          <w:rFonts w:ascii="Arial" w:cs="Arial" w:eastAsia="Arial" w:hAnsi="Arial"/>
          <w:sz w:val="21"/>
          <w:szCs w:val="21"/>
          <w:color w:val="231E1F"/>
        </w:rPr>
        <w:t>No provision for Hong Kong profit tax for the six months ended 30 June 2011 has been made as there was no assessable profit generated in Hong Kong (six months ended 30 June 2010: Nil). Taxation for overseas jurisdictions is charged at the appropriate prevailing rates ruling in the respective jurisdictions and the maximum rate is 12% (six months ended 30 June 2010: 12%). For the six months ended 30 June 2011 and 30 June 2010, the current tax provision of HK$3.5 million results from the current income tax expense accrued by our subsidiaries owning WRM’s shares under the WRM Shareholder Dividend Tax Agreement. For the six months ended 30 June 2011, WRM did not recognize a deferred income tax benefit for increases in deferred tax assets due to uncertainty regarding future realization. For the six months ended 30 June 2010, WRM recorded a deferred income tax provision of HK$32.6 million as the result of derecognizing certain deferred tax assets. Effective 6 September 2006, WRM received a 5-year exemption from Macau’s 12% Complementary Tax on casino gaming profits. On 30 November 2010, WRM received an additional 5-year exemption effective from 1 January 2011 through 31 December 2015. Accordingly, the Group was exempted from the payment of approximately HK$267.5 million in such tax for the six months ended 30 June 2011 (six months ended 30 June 2010: HK$215.6 million). The Group’s non-gaming profits remain subject to the Macau Complementary Tax and its casino winnings remain subject to the Macau Special Gaming Tax and other levies in accordance with its Concession Agreement.</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22"/>
          <w:szCs w:val="22"/>
          <w:color w:val="231E1F"/>
        </w:rPr>
        <w:t>In June 2009, WRM entered into an agreement with the Macau Special Administrative Region that provided for an annual payment of MOP7.2 million (approximately HK$7.0 million) to the Macau Special Administrative Region as a payment in lieu of Complementary Tax otherwise due by the WRM shareholders on dividend distributions from gaming profits. This agreement covered dividend distributions of gaming profit earned in the years 2006 through 2010. On 3 November 2010, WRM applied for a 5-year extension of this agreement for the years ending 31 December 2011 through 2015. On 19 July 2011, WRM received notification that the 5-year extension had been ratified and that an annual payment of MOP15.5 million (approximately HK$15.0 million) would be due to the Macau Special Administrative Region for each of the years 2011 through 2015.</w:t>
      </w:r>
    </w:p>
    <w:p>
      <w:pPr>
        <w:spacing w:after="0" w:line="175"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231E1F"/>
        </w:rPr>
        <w:t>The Group is exempted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The Group’s 2006 to 2010 Macau income tax returns remain subject to examination by the Macau Finance Bureau. During the six months ended 30 June 2011, the Group received the results of the Macau Finance Bureau’s examination of its 2006 and 2007 Macau Complementary Tax returns. During July 2011, the Group filed an appeal of the examinations findings. The Group does not anticipate that the resolution of theses issues will result in significant tax payments and believes that the tax reserves established for any uncertain tax issues is adequate with respect to these years.</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21"/>
          <w:szCs w:val="21"/>
          <w:color w:val="231E1F"/>
        </w:rPr>
        <w:t>Quarterly, the Group reviews any potentially unfavorable tax outcome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 With respect to these items, as at 30 June 2011, the Group has provided a reserve of HK$41.9 million (31 December 2010: HK$41.9 million) and included this amount in “other long-term liabilities”. The Group believes that it has adequately provided reasonable reserves for prudent and foreseeable outcomes related to uncertain tax matters. As a result of the lack of authoritative guidance regarding the computation of the Group’s Complementary Tax exemptions, the Group establishes reserves for its estimates of additional tax exposures if such exemptions are denied by the Macau tax authorities.</w:t>
      </w:r>
    </w:p>
    <w:p>
      <w:pPr>
        <w:spacing w:after="0" w:line="3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76200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0"/>
          </w:cols>
          <w:pgMar w:left="720" w:top="498" w:right="239" w:bottom="1440" w:gutter="0" w:footer="0" w:header="0"/>
        </w:sectPr>
      </w:pPr>
    </w:p>
    <w:bookmarkStart w:id="11" w:name="page12"/>
    <w:bookmarkEnd w:id="11"/>
    <w:p>
      <w:pPr>
        <w:ind w:left="480" w:hanging="474"/>
        <w:spacing w:after="0"/>
        <w:tabs>
          <w:tab w:leader="none" w:pos="480" w:val="left"/>
        </w:tabs>
        <w:numPr>
          <w:ilvl w:val="0"/>
          <w:numId w:val="7"/>
        </w:numPr>
        <w:rPr>
          <w:rFonts w:ascii="Arial" w:cs="Arial" w:eastAsia="Arial" w:hAnsi="Arial"/>
          <w:sz w:val="23"/>
          <w:szCs w:val="23"/>
          <w:b w:val="1"/>
          <w:bCs w:val="1"/>
          <w:color w:val="231E1F"/>
        </w:rPr>
      </w:pPr>
      <w:r>
        <w:rPr>
          <w:rFonts w:ascii="Arial" w:cs="Arial" w:eastAsia="Arial" w:hAnsi="Arial"/>
          <w:sz w:val="23"/>
          <w:szCs w:val="23"/>
          <w:b w:val="1"/>
          <w:bCs w:val="1"/>
          <w:color w:val="231E1F"/>
        </w:rPr>
        <w:t>EARNINGS PER SHARE ATTRIBUTABLE TO OWNERS OF THE COMPANY</w:t>
      </w:r>
    </w:p>
    <w:p>
      <w:pPr>
        <w:spacing w:after="0" w:line="218" w:lineRule="exact"/>
        <w:rPr>
          <w:rFonts w:ascii="Arial" w:cs="Arial" w:eastAsia="Arial" w:hAnsi="Arial"/>
          <w:sz w:val="23"/>
          <w:szCs w:val="23"/>
          <w:b w:val="1"/>
          <w:bCs w:val="1"/>
          <w:color w:val="231E1F"/>
        </w:rPr>
      </w:pPr>
    </w:p>
    <w:p>
      <w:pPr>
        <w:jc w:val="both"/>
        <w:ind w:left="480" w:right="40"/>
        <w:spacing w:after="0" w:line="253" w:lineRule="auto"/>
        <w:rPr>
          <w:rFonts w:ascii="Arial" w:cs="Arial" w:eastAsia="Arial" w:hAnsi="Arial"/>
          <w:sz w:val="23"/>
          <w:szCs w:val="23"/>
          <w:b w:val="1"/>
          <w:bCs w:val="1"/>
          <w:color w:val="231E1F"/>
        </w:rPr>
      </w:pPr>
      <w:r>
        <w:rPr>
          <w:rFonts w:ascii="Arial" w:cs="Arial" w:eastAsia="Arial" w:hAnsi="Arial"/>
          <w:sz w:val="23"/>
          <w:szCs w:val="23"/>
          <w:color w:val="231E1F"/>
        </w:rPr>
        <w:t>The calculation of basic earnings per Share for the six months ended 30 June 2011 is based on the consolidated net profit attributable to owners of the Company and on the weighted average number of Shares of 5,187,508,287 in issue during the period (six months ended 30 June 2010: 5,187,500,000).</w:t>
      </w:r>
    </w:p>
    <w:p>
      <w:pPr>
        <w:spacing w:after="0" w:line="171" w:lineRule="exact"/>
        <w:rPr>
          <w:rFonts w:ascii="Arial" w:cs="Arial" w:eastAsia="Arial" w:hAnsi="Arial"/>
          <w:sz w:val="23"/>
          <w:szCs w:val="23"/>
          <w:b w:val="1"/>
          <w:bCs w:val="1"/>
          <w:color w:val="231E1F"/>
        </w:rPr>
      </w:pPr>
    </w:p>
    <w:p>
      <w:pPr>
        <w:jc w:val="both"/>
        <w:ind w:left="480" w:right="40"/>
        <w:spacing w:after="0" w:line="247" w:lineRule="auto"/>
        <w:rPr>
          <w:rFonts w:ascii="Arial" w:cs="Arial" w:eastAsia="Arial" w:hAnsi="Arial"/>
          <w:sz w:val="23"/>
          <w:szCs w:val="23"/>
          <w:b w:val="1"/>
          <w:bCs w:val="1"/>
          <w:color w:val="231E1F"/>
        </w:rPr>
      </w:pPr>
      <w:r>
        <w:rPr>
          <w:rFonts w:ascii="Arial" w:cs="Arial" w:eastAsia="Arial" w:hAnsi="Arial"/>
          <w:sz w:val="23"/>
          <w:szCs w:val="23"/>
          <w:color w:val="231E1F"/>
        </w:rPr>
        <w:t>The calculation of diluted earnings per Share for the six months ended 30 June 2011 is based on the consolidated net profit attributable to owners of the Company and on the weighted average number of 5,187,928,658 Shares (six months ended 30 June 2010: 5,187,500,000); including Shares of 5,187,508,287 issued during the period (six months ended 30 June 2010: 5,187,500,000) plus 420,371 (30 June 2010: Nil) potential Shares arising from exercise of share options.</w:t>
      </w:r>
    </w:p>
    <w:p>
      <w:pPr>
        <w:spacing w:after="0" w:line="171" w:lineRule="exact"/>
        <w:rPr>
          <w:rFonts w:ascii="Arial" w:cs="Arial" w:eastAsia="Arial" w:hAnsi="Arial"/>
          <w:sz w:val="23"/>
          <w:szCs w:val="23"/>
          <w:b w:val="1"/>
          <w:bCs w:val="1"/>
          <w:color w:val="231E1F"/>
        </w:rPr>
      </w:pPr>
    </w:p>
    <w:p>
      <w:pPr>
        <w:ind w:left="480" w:hanging="474"/>
        <w:spacing w:after="0"/>
        <w:tabs>
          <w:tab w:leader="none" w:pos="480" w:val="left"/>
        </w:tabs>
        <w:numPr>
          <w:ilvl w:val="0"/>
          <w:numId w:val="7"/>
        </w:numPr>
        <w:rPr>
          <w:rFonts w:ascii="Arial" w:cs="Arial" w:eastAsia="Arial" w:hAnsi="Arial"/>
          <w:sz w:val="23"/>
          <w:szCs w:val="23"/>
          <w:b w:val="1"/>
          <w:bCs w:val="1"/>
          <w:color w:val="231E1F"/>
        </w:rPr>
      </w:pPr>
      <w:r>
        <w:rPr>
          <w:rFonts w:ascii="Arial" w:cs="Arial" w:eastAsia="Arial" w:hAnsi="Arial"/>
          <w:sz w:val="23"/>
          <w:szCs w:val="23"/>
          <w:b w:val="1"/>
          <w:bCs w:val="1"/>
          <w:color w:val="231E1F"/>
        </w:rPr>
        <w:t>HELD-TO-MATURITY INVESTMENTS</w:t>
      </w:r>
    </w:p>
    <w:p>
      <w:pPr>
        <w:spacing w:after="0" w:line="218" w:lineRule="exact"/>
        <w:rPr>
          <w:rFonts w:ascii="Arial" w:cs="Arial" w:eastAsia="Arial" w:hAnsi="Arial"/>
          <w:sz w:val="23"/>
          <w:szCs w:val="23"/>
          <w:b w:val="1"/>
          <w:bCs w:val="1"/>
          <w:color w:val="231E1F"/>
        </w:rPr>
      </w:pPr>
    </w:p>
    <w:p>
      <w:pPr>
        <w:jc w:val="both"/>
        <w:ind w:left="480" w:right="40"/>
        <w:spacing w:after="0" w:line="249" w:lineRule="auto"/>
        <w:rPr>
          <w:rFonts w:ascii="Arial" w:cs="Arial" w:eastAsia="Arial" w:hAnsi="Arial"/>
          <w:sz w:val="23"/>
          <w:szCs w:val="23"/>
          <w:b w:val="1"/>
          <w:bCs w:val="1"/>
          <w:color w:val="231E1F"/>
        </w:rPr>
      </w:pPr>
      <w:r>
        <w:rPr>
          <w:rFonts w:ascii="Arial" w:cs="Arial" w:eastAsia="Arial" w:hAnsi="Arial"/>
          <w:sz w:val="23"/>
          <w:szCs w:val="23"/>
          <w:color w:val="231E1F"/>
        </w:rPr>
        <w:t>Held-to-maturity investments as at 30 June 2011 represent listed and unlisted debt securities at amortized cost of approximately Offshore RMB151.5 million (approximately HK$182.2 million) (31 December 2010: Nil) and Offshore RMB62.8 million (approximately HK$75.6 million) (31 December 2010: Nil) respectively. These investments have maturities up to three years from the reporting date.</w:t>
      </w:r>
    </w:p>
    <w:p>
      <w:pPr>
        <w:spacing w:after="0" w:line="175" w:lineRule="exact"/>
        <w:rPr>
          <w:rFonts w:ascii="Arial" w:cs="Arial" w:eastAsia="Arial" w:hAnsi="Arial"/>
          <w:sz w:val="23"/>
          <w:szCs w:val="23"/>
          <w:b w:val="1"/>
          <w:bCs w:val="1"/>
          <w:color w:val="231E1F"/>
        </w:rPr>
      </w:pPr>
    </w:p>
    <w:p>
      <w:pPr>
        <w:ind w:left="480" w:right="40"/>
        <w:spacing w:after="0" w:line="266" w:lineRule="auto"/>
        <w:rPr>
          <w:rFonts w:ascii="Arial" w:cs="Arial" w:eastAsia="Arial" w:hAnsi="Arial"/>
          <w:sz w:val="23"/>
          <w:szCs w:val="23"/>
          <w:b w:val="1"/>
          <w:bCs w:val="1"/>
          <w:color w:val="231E1F"/>
        </w:rPr>
      </w:pPr>
      <w:r>
        <w:rPr>
          <w:rFonts w:ascii="Arial" w:cs="Arial" w:eastAsia="Arial" w:hAnsi="Arial"/>
          <w:sz w:val="23"/>
          <w:szCs w:val="23"/>
          <w:color w:val="231E1F"/>
        </w:rPr>
        <w:t>The total fair value of the held-to-maturity investments as at 30 June 2011 are approximately HK$256.6 million (31 December 2010: Nil).</w:t>
      </w:r>
    </w:p>
    <w:p>
      <w:pPr>
        <w:spacing w:after="0" w:line="156" w:lineRule="exact"/>
        <w:rPr>
          <w:rFonts w:ascii="Arial" w:cs="Arial" w:eastAsia="Arial" w:hAnsi="Arial"/>
          <w:sz w:val="23"/>
          <w:szCs w:val="23"/>
          <w:b w:val="1"/>
          <w:bCs w:val="1"/>
          <w:color w:val="231E1F"/>
        </w:rPr>
      </w:pPr>
    </w:p>
    <w:p>
      <w:pPr>
        <w:ind w:left="480"/>
        <w:spacing w:after="0"/>
        <w:rPr>
          <w:rFonts w:ascii="Arial" w:cs="Arial" w:eastAsia="Arial" w:hAnsi="Arial"/>
          <w:sz w:val="23"/>
          <w:szCs w:val="23"/>
          <w:b w:val="1"/>
          <w:bCs w:val="1"/>
          <w:color w:val="231E1F"/>
        </w:rPr>
      </w:pPr>
      <w:r>
        <w:rPr>
          <w:rFonts w:ascii="Arial" w:cs="Arial" w:eastAsia="Arial" w:hAnsi="Arial"/>
          <w:sz w:val="21"/>
          <w:szCs w:val="21"/>
          <w:color w:val="231E1F"/>
        </w:rPr>
        <w:t>The maximum exposure to credit risk at the reporting date is the carrying amount of the held- to-maturity investments.</w:t>
      </w:r>
    </w:p>
    <w:p>
      <w:pPr>
        <w:spacing w:after="0" w:line="229" w:lineRule="exact"/>
        <w:rPr>
          <w:rFonts w:ascii="Arial" w:cs="Arial" w:eastAsia="Arial" w:hAnsi="Arial"/>
          <w:sz w:val="23"/>
          <w:szCs w:val="23"/>
          <w:b w:val="1"/>
          <w:bCs w:val="1"/>
          <w:color w:val="231E1F"/>
        </w:rPr>
      </w:pPr>
    </w:p>
    <w:p>
      <w:pPr>
        <w:ind w:left="480" w:hanging="474"/>
        <w:spacing w:after="0"/>
        <w:tabs>
          <w:tab w:leader="none" w:pos="480" w:val="left"/>
        </w:tabs>
        <w:numPr>
          <w:ilvl w:val="0"/>
          <w:numId w:val="7"/>
        </w:numPr>
        <w:rPr>
          <w:rFonts w:ascii="Arial" w:cs="Arial" w:eastAsia="Arial" w:hAnsi="Arial"/>
          <w:sz w:val="23"/>
          <w:szCs w:val="23"/>
          <w:b w:val="1"/>
          <w:bCs w:val="1"/>
          <w:color w:val="231E1F"/>
        </w:rPr>
      </w:pPr>
      <w:r>
        <w:rPr>
          <w:rFonts w:ascii="Arial" w:cs="Arial" w:eastAsia="Arial" w:hAnsi="Arial"/>
          <w:sz w:val="23"/>
          <w:szCs w:val="23"/>
          <w:b w:val="1"/>
          <w:bCs w:val="1"/>
          <w:color w:val="231E1F"/>
        </w:rPr>
        <w:t>TRADE AND OTHER RECEIVABLES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As at</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30 June</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5100" w:type="dxa"/>
            <w:vAlign w:val="bottom"/>
            <w:gridSpan w:val="2"/>
          </w:tcPr>
          <w:p>
            <w:pPr>
              <w:jc w:val="right"/>
              <w:spacing w:after="0"/>
              <w:rPr>
                <w:sz w:val="20"/>
                <w:szCs w:val="20"/>
                <w:color w:val="auto"/>
              </w:rPr>
            </w:pPr>
            <w:r>
              <w:rPr>
                <w:rFonts w:ascii="Arial" w:cs="Arial" w:eastAsia="Arial" w:hAnsi="Arial"/>
                <w:sz w:val="23"/>
                <w:szCs w:val="23"/>
                <w:b w:val="1"/>
                <w:bCs w:val="1"/>
                <w:color w:val="231E1F"/>
              </w:rPr>
              <w:t>2011</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23"/>
                <w:szCs w:val="23"/>
                <w:b w:val="1"/>
                <w:bCs w:val="1"/>
                <w:i w:val="1"/>
                <w:iCs w:val="1"/>
                <w:color w:val="231E1F"/>
                <w:w w:val="87"/>
              </w:rPr>
              <w:t>(unaudited)</w:t>
            </w: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23"/>
                <w:szCs w:val="23"/>
                <w:color w:val="231E1F"/>
              </w:rPr>
              <w:t>Casino</w:t>
            </w:r>
          </w:p>
        </w:tc>
        <w:tc>
          <w:tcPr>
            <w:tcW w:w="5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614,852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701,235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23"/>
                <w:szCs w:val="23"/>
                <w:color w:val="231E1F"/>
              </w:rPr>
              <w:t>Hotel</w:t>
            </w:r>
          </w:p>
        </w:tc>
        <w:tc>
          <w:tcPr>
            <w:tcW w:w="5100" w:type="dxa"/>
            <w:vAlign w:val="bottom"/>
            <w:gridSpan w:val="2"/>
          </w:tcPr>
          <w:p>
            <w:pPr>
              <w:jc w:val="right"/>
              <w:spacing w:after="0"/>
              <w:rPr>
                <w:sz w:val="20"/>
                <w:szCs w:val="20"/>
                <w:color w:val="auto"/>
              </w:rPr>
            </w:pPr>
            <w:r>
              <w:rPr>
                <w:rFonts w:ascii="Arial" w:cs="Arial" w:eastAsia="Arial" w:hAnsi="Arial"/>
                <w:sz w:val="23"/>
                <w:szCs w:val="23"/>
                <w:b w:val="1"/>
                <w:bCs w:val="1"/>
                <w:color w:val="231E1F"/>
              </w:rPr>
              <w:t>7,836</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10,426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23"/>
                <w:szCs w:val="23"/>
                <w:color w:val="231E1F"/>
              </w:rPr>
              <w:t>Retail leases and other</w:t>
            </w:r>
          </w:p>
        </w:tc>
        <w:tc>
          <w:tcPr>
            <w:tcW w:w="5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212,829</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108,512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top w:val="single" w:sz="8" w:color="CCEEFF"/>
            </w:tcBorders>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5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23"/>
                <w:szCs w:val="23"/>
                <w:b w:val="1"/>
                <w:bCs w:val="1"/>
                <w:color w:val="231E1F"/>
              </w:rPr>
              <w:t>835,517</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820,173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23"/>
                <w:szCs w:val="23"/>
                <w:color w:val="231E1F"/>
              </w:rPr>
              <w:t>Less: allowance for doubtful accounts</w:t>
            </w:r>
          </w:p>
        </w:tc>
        <w:tc>
          <w:tcPr>
            <w:tcW w:w="5280" w:type="dxa"/>
            <w:vAlign w:val="bottom"/>
            <w:gridSpan w:val="3"/>
          </w:tcPr>
          <w:p>
            <w:pPr>
              <w:jc w:val="right"/>
              <w:ind w:right="16"/>
              <w:spacing w:after="0"/>
              <w:rPr>
                <w:sz w:val="20"/>
                <w:szCs w:val="20"/>
                <w:color w:val="auto"/>
              </w:rPr>
            </w:pPr>
            <w:r>
              <w:rPr>
                <w:rFonts w:ascii="Arial" w:cs="Arial" w:eastAsia="Arial" w:hAnsi="Arial"/>
                <w:sz w:val="23"/>
                <w:szCs w:val="23"/>
                <w:b w:val="1"/>
                <w:bCs w:val="1"/>
                <w:color w:val="231E1F"/>
              </w:rPr>
              <w:t>(376,955)</w:t>
            </w:r>
          </w:p>
        </w:tc>
        <w:tc>
          <w:tcPr>
            <w:tcW w:w="1320" w:type="dxa"/>
            <w:vAlign w:val="bottom"/>
            <w:gridSpan w:val="2"/>
          </w:tcPr>
          <w:p>
            <w:pPr>
              <w:jc w:val="right"/>
              <w:ind w:right="20"/>
              <w:spacing w:after="0"/>
              <w:rPr>
                <w:sz w:val="20"/>
                <w:szCs w:val="20"/>
                <w:color w:val="auto"/>
              </w:rPr>
            </w:pPr>
            <w:r>
              <w:rPr>
                <w:rFonts w:ascii="Arial" w:cs="Arial" w:eastAsia="Arial" w:hAnsi="Arial"/>
                <w:sz w:val="23"/>
                <w:szCs w:val="23"/>
                <w:color w:val="231E1F"/>
              </w:rPr>
              <w:t>(334,760)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800" w:type="dxa"/>
            <w:vAlign w:val="bottom"/>
          </w:tcPr>
          <w:p>
            <w:pPr>
              <w:ind w:left="560"/>
              <w:spacing w:after="0"/>
              <w:rPr>
                <w:sz w:val="20"/>
                <w:szCs w:val="20"/>
                <w:color w:val="auto"/>
              </w:rPr>
            </w:pPr>
            <w:r>
              <w:rPr>
                <w:rFonts w:ascii="Arial" w:cs="Arial" w:eastAsia="Arial" w:hAnsi="Arial"/>
                <w:sz w:val="23"/>
                <w:szCs w:val="23"/>
                <w:color w:val="231E1F"/>
              </w:rPr>
              <w:t>Total trade and other receivables, net</w:t>
            </w:r>
          </w:p>
        </w:tc>
        <w:tc>
          <w:tcPr>
            <w:tcW w:w="5100" w:type="dxa"/>
            <w:vAlign w:val="bottom"/>
            <w:gridSpan w:val="2"/>
          </w:tcPr>
          <w:p>
            <w:pPr>
              <w:jc w:val="right"/>
              <w:spacing w:after="0"/>
              <w:rPr>
                <w:sz w:val="20"/>
                <w:szCs w:val="20"/>
                <w:color w:val="auto"/>
              </w:rPr>
            </w:pPr>
            <w:r>
              <w:rPr>
                <w:rFonts w:ascii="Arial" w:cs="Arial" w:eastAsia="Arial" w:hAnsi="Arial"/>
                <w:sz w:val="23"/>
                <w:szCs w:val="23"/>
                <w:b w:val="1"/>
                <w:bCs w:val="1"/>
                <w:color w:val="231E1F"/>
              </w:rPr>
              <w:t>458,562</w:t>
            </w:r>
          </w:p>
        </w:tc>
        <w:tc>
          <w:tcPr>
            <w:tcW w:w="18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485,413</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80" w:type="dxa"/>
            <w:vAlign w:val="bottom"/>
          </w:tcPr>
          <w:p>
            <w:pPr>
              <w:jc w:val="right"/>
              <w:ind w:right="2828"/>
              <w:spacing w:after="0"/>
              <w:rPr>
                <w:sz w:val="20"/>
                <w:szCs w:val="20"/>
                <w:color w:val="auto"/>
              </w:rPr>
            </w:pPr>
            <w:r>
              <w:rPr>
                <w:rFonts w:ascii="Arial" w:cs="Arial" w:eastAsia="Arial" w:hAnsi="Arial"/>
                <w:sz w:val="18"/>
                <w:szCs w:val="18"/>
                <w:color w:val="auto"/>
              </w:rPr>
              <w:t>9</w:t>
            </w:r>
          </w:p>
        </w:tc>
        <w:tc>
          <w:tcPr>
            <w:tcW w:w="1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93"/>
        </w:trPr>
        <w:tc>
          <w:tcPr>
            <w:tcW w:w="20" w:type="dxa"/>
            <w:vAlign w:val="bottom"/>
          </w:tcPr>
          <w:p>
            <w:pPr>
              <w:spacing w:after="0"/>
              <w:rPr>
                <w:sz w:val="24"/>
                <w:szCs w:val="24"/>
                <w:color w:val="auto"/>
              </w:rPr>
            </w:pPr>
          </w:p>
        </w:tc>
        <w:tc>
          <w:tcPr>
            <w:tcW w:w="8680" w:type="dxa"/>
            <w:vAlign w:val="bottom"/>
          </w:tcPr>
          <w:p>
            <w:pPr>
              <w:ind w:left="460"/>
              <w:spacing w:after="0"/>
              <w:rPr>
                <w:sz w:val="20"/>
                <w:szCs w:val="20"/>
                <w:color w:val="auto"/>
              </w:rPr>
            </w:pPr>
            <w:r>
              <w:rPr>
                <w:rFonts w:ascii="Arial" w:cs="Arial" w:eastAsia="Arial" w:hAnsi="Arial"/>
                <w:sz w:val="23"/>
                <w:szCs w:val="23"/>
                <w:color w:val="auto"/>
              </w:rPr>
              <w:t>An aged analysis of trade and other receivables is as follows: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As at</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30 June</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23"/>
                <w:szCs w:val="23"/>
                <w:b w:val="1"/>
                <w:bCs w:val="1"/>
                <w:i w:val="1"/>
                <w:iCs w:val="1"/>
                <w:color w:val="231E1F"/>
                <w:w w:val="87"/>
              </w:rPr>
              <w:t>(unaudited)</w:t>
            </w: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231E1F"/>
              </w:rPr>
              <w:t>Within 30 days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157,172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272,664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0"/>
                <w:szCs w:val="20"/>
                <w:color w:val="auto"/>
              </w:rPr>
            </w:pPr>
            <w:r>
              <w:rPr>
                <w:rFonts w:ascii="Arial" w:cs="Arial" w:eastAsia="Arial" w:hAnsi="Arial"/>
                <w:sz w:val="23"/>
                <w:szCs w:val="23"/>
                <w:color w:val="231E1F"/>
              </w:rPr>
              <w:t>31 to 60 days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139,075</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106,525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231E1F"/>
              </w:rPr>
              <w:t>61 to 90 days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79,663</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231E1F"/>
              </w:rPr>
              <w:t>134,969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0"/>
                <w:szCs w:val="20"/>
                <w:color w:val="auto"/>
              </w:rPr>
            </w:pPr>
            <w:r>
              <w:rPr>
                <w:rFonts w:ascii="Arial" w:cs="Arial" w:eastAsia="Arial" w:hAnsi="Arial"/>
                <w:sz w:val="23"/>
                <w:szCs w:val="23"/>
                <w:color w:val="231E1F"/>
              </w:rPr>
              <w:t>Over 90 days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459,607</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306,015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835,517</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231E1F"/>
              </w:rPr>
              <w:t>820,173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231E1F"/>
              </w:rPr>
              <w:t>Less: allowance for doubtful accounts</w:t>
            </w:r>
          </w:p>
        </w:tc>
        <w:tc>
          <w:tcPr>
            <w:tcW w:w="1400" w:type="dxa"/>
            <w:vAlign w:val="bottom"/>
            <w:gridSpan w:val="2"/>
            <w:shd w:val="clear" w:color="auto" w:fill="CCEEFF"/>
          </w:tcPr>
          <w:p>
            <w:pPr>
              <w:jc w:val="right"/>
              <w:ind w:right="16"/>
              <w:spacing w:after="0"/>
              <w:rPr>
                <w:sz w:val="20"/>
                <w:szCs w:val="20"/>
                <w:color w:val="auto"/>
              </w:rPr>
            </w:pPr>
            <w:r>
              <w:rPr>
                <w:rFonts w:ascii="Arial" w:cs="Arial" w:eastAsia="Arial" w:hAnsi="Arial"/>
                <w:sz w:val="23"/>
                <w:szCs w:val="23"/>
                <w:b w:val="1"/>
                <w:bCs w:val="1"/>
                <w:color w:val="231E1F"/>
              </w:rPr>
              <w:t>(376,955)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231E1F"/>
              </w:rPr>
              <w:t>(334,760)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3"/>
                <w:szCs w:val="23"/>
                <w:color w:val="231E1F"/>
              </w:rPr>
              <w:t>Net of allowance for doubtful accounts</w:t>
            </w: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458,562</w:t>
            </w: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color w:val="231E1F"/>
              </w:rPr>
              <w:t>485,413</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80" w:right="40"/>
        <w:spacing w:after="0" w:line="266" w:lineRule="auto"/>
        <w:rPr>
          <w:sz w:val="20"/>
          <w:szCs w:val="20"/>
          <w:color w:val="auto"/>
        </w:rPr>
      </w:pPr>
      <w:r>
        <w:rPr>
          <w:rFonts w:ascii="Arial" w:cs="Arial" w:eastAsia="Arial" w:hAnsi="Arial"/>
          <w:sz w:val="23"/>
          <w:szCs w:val="23"/>
          <w:color w:val="231E1F"/>
        </w:rPr>
        <w:t>Substantially all of the trade and other receivables as at 30 June 2011 and 31 December 2010 were repayable within 14 days.</w:t>
      </w:r>
    </w:p>
    <w:p>
      <w:pPr>
        <w:spacing w:after="0" w:line="177" w:lineRule="exact"/>
        <w:rPr>
          <w:sz w:val="20"/>
          <w:szCs w:val="20"/>
          <w:color w:val="auto"/>
        </w:rPr>
      </w:pPr>
    </w:p>
    <w:p>
      <w:pPr>
        <w:ind w:left="480" w:hanging="474"/>
        <w:spacing w:after="0"/>
        <w:tabs>
          <w:tab w:leader="none" w:pos="480" w:val="left"/>
        </w:tabs>
        <w:numPr>
          <w:ilvl w:val="0"/>
          <w:numId w:val="8"/>
        </w:numPr>
        <w:rPr>
          <w:rFonts w:ascii="Arial" w:cs="Arial" w:eastAsia="Arial" w:hAnsi="Arial"/>
          <w:sz w:val="23"/>
          <w:szCs w:val="23"/>
          <w:b w:val="1"/>
          <w:bCs w:val="1"/>
          <w:color w:val="231E1F"/>
        </w:rPr>
      </w:pPr>
      <w:r>
        <w:rPr>
          <w:rFonts w:ascii="Arial" w:cs="Arial" w:eastAsia="Arial" w:hAnsi="Arial"/>
          <w:sz w:val="23"/>
          <w:szCs w:val="23"/>
          <w:b w:val="1"/>
          <w:bCs w:val="1"/>
          <w:color w:val="231E1F"/>
        </w:rPr>
        <w:t>ACCOUNTS PAYABLE</w:t>
      </w:r>
    </w:p>
    <w:p>
      <w:pPr>
        <w:spacing w:after="0" w:line="218" w:lineRule="exact"/>
        <w:rPr>
          <w:rFonts w:ascii="Arial" w:cs="Arial" w:eastAsia="Arial" w:hAnsi="Arial"/>
          <w:sz w:val="23"/>
          <w:szCs w:val="23"/>
          <w:b w:val="1"/>
          <w:bCs w:val="1"/>
          <w:color w:val="231E1F"/>
        </w:rPr>
      </w:pPr>
    </w:p>
    <w:p>
      <w:pPr>
        <w:ind w:left="480" w:right="60"/>
        <w:spacing w:after="0" w:line="289" w:lineRule="auto"/>
        <w:rPr>
          <w:rFonts w:ascii="Arial" w:cs="Arial" w:eastAsia="Arial" w:hAnsi="Arial"/>
          <w:sz w:val="23"/>
          <w:szCs w:val="23"/>
          <w:b w:val="1"/>
          <w:bCs w:val="1"/>
          <w:color w:val="231E1F"/>
        </w:rPr>
      </w:pPr>
      <w:r>
        <w:rPr>
          <w:rFonts w:ascii="Arial" w:cs="Arial" w:eastAsia="Arial" w:hAnsi="Arial"/>
          <w:sz w:val="22"/>
          <w:szCs w:val="22"/>
          <w:color w:val="231E1F"/>
        </w:rPr>
        <w:t>During the six months ended 30 June 2011 and 2010, the Group normally received credit terms of 30 days. An aged analysis of accounts payable as at the end of the reporting period, based on invoice dates,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As at</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30 June</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500" w:type="dxa"/>
            <w:vAlign w:val="bottom"/>
            <w:gridSpan w:val="3"/>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7"/>
              </w:rPr>
              <w:t>(unaudited)</w:t>
            </w:r>
          </w:p>
        </w:tc>
        <w:tc>
          <w:tcPr>
            <w:tcW w:w="1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231E1F"/>
              </w:rPr>
              <w:t>Within 30 days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972,306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886,886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0"/>
                <w:szCs w:val="20"/>
                <w:color w:val="auto"/>
              </w:rPr>
            </w:pPr>
            <w:r>
              <w:rPr>
                <w:rFonts w:ascii="Arial" w:cs="Arial" w:eastAsia="Arial" w:hAnsi="Arial"/>
                <w:sz w:val="23"/>
                <w:szCs w:val="23"/>
                <w:color w:val="231E1F"/>
              </w:rPr>
              <w:t>31 to 60 days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9,353</w:t>
            </w:r>
          </w:p>
        </w:tc>
        <w:tc>
          <w:tcPr>
            <w:tcW w:w="1500" w:type="dxa"/>
            <w:vAlign w:val="bottom"/>
            <w:gridSpan w:val="3"/>
          </w:tcPr>
          <w:p>
            <w:pPr>
              <w:jc w:val="right"/>
              <w:ind w:right="100"/>
              <w:spacing w:after="0"/>
              <w:rPr>
                <w:sz w:val="20"/>
                <w:szCs w:val="20"/>
                <w:color w:val="auto"/>
              </w:rPr>
            </w:pPr>
            <w:r>
              <w:rPr>
                <w:rFonts w:ascii="Arial" w:cs="Arial" w:eastAsia="Arial" w:hAnsi="Arial"/>
                <w:sz w:val="23"/>
                <w:szCs w:val="23"/>
                <w:color w:val="231E1F"/>
              </w:rPr>
              <w:t>11,313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231E1F"/>
              </w:rPr>
              <w:t>61 to 90 days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2,792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231E1F"/>
              </w:rPr>
              <w:t>3,067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0"/>
                <w:szCs w:val="20"/>
                <w:color w:val="auto"/>
              </w:rPr>
            </w:pPr>
            <w:r>
              <w:rPr>
                <w:rFonts w:ascii="Arial" w:cs="Arial" w:eastAsia="Arial" w:hAnsi="Arial"/>
                <w:sz w:val="23"/>
                <w:szCs w:val="23"/>
                <w:color w:val="231E1F"/>
              </w:rPr>
              <w:t>Over 90 days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119,807</w:t>
            </w:r>
          </w:p>
        </w:tc>
        <w:tc>
          <w:tcPr>
            <w:tcW w:w="1400" w:type="dxa"/>
            <w:vAlign w:val="bottom"/>
            <w:gridSpan w:val="2"/>
          </w:tcPr>
          <w:p>
            <w:pPr>
              <w:jc w:val="right"/>
              <w:spacing w:after="0"/>
              <w:rPr>
                <w:sz w:val="20"/>
                <w:szCs w:val="20"/>
                <w:color w:val="auto"/>
              </w:rPr>
            </w:pPr>
            <w:r>
              <w:rPr>
                <w:rFonts w:ascii="Arial" w:cs="Arial" w:eastAsia="Arial" w:hAnsi="Arial"/>
                <w:sz w:val="23"/>
                <w:szCs w:val="23"/>
                <w:color w:val="231E1F"/>
              </w:rPr>
              <w:t>116,820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231E1F"/>
              </w:rPr>
              <w:t>1,104,258</w:t>
            </w:r>
          </w:p>
        </w:tc>
        <w:tc>
          <w:tcPr>
            <w:tcW w:w="1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231E1F"/>
              </w:rPr>
              <w:t>1,018,086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80"/>
        <w:spacing w:after="0" w:line="266" w:lineRule="auto"/>
        <w:rPr>
          <w:sz w:val="20"/>
          <w:szCs w:val="20"/>
          <w:color w:val="auto"/>
        </w:rPr>
      </w:pPr>
      <w:r>
        <w:rPr>
          <w:rFonts w:ascii="Arial" w:cs="Arial" w:eastAsia="Arial" w:hAnsi="Arial"/>
          <w:sz w:val="23"/>
          <w:szCs w:val="23"/>
          <w:color w:val="231E1F"/>
        </w:rPr>
        <w:t>The “Over 90 days” balance included HK$106.1 million of short-term construction retention and construction payables at 30 June 2011 (31 December 2010: HK$111.2 million).</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98"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9"/>
        </w:trPr>
        <w:tc>
          <w:tcPr>
            <w:tcW w:w="8700" w:type="dxa"/>
            <w:vAlign w:val="bottom"/>
            <w:gridSpan w:val="2"/>
          </w:tcPr>
          <w:p>
            <w:pPr>
              <w:spacing w:after="0"/>
              <w:rPr>
                <w:sz w:val="20"/>
                <w:szCs w:val="20"/>
                <w:color w:val="auto"/>
              </w:rPr>
            </w:pPr>
            <w:r>
              <w:rPr>
                <w:rFonts w:ascii="Arial" w:cs="Arial" w:eastAsia="Arial" w:hAnsi="Arial"/>
                <w:sz w:val="23"/>
                <w:szCs w:val="23"/>
                <w:b w:val="1"/>
                <w:bCs w:val="1"/>
                <w:color w:val="231E1F"/>
              </w:rPr>
              <w:t xml:space="preserve">11.  </w:t>
            </w:r>
            <w:r>
              <w:rPr>
                <w:rFonts w:ascii="Arial" w:cs="Arial" w:eastAsia="Arial" w:hAnsi="Arial"/>
                <w:sz w:val="23"/>
                <w:szCs w:val="23"/>
                <w:b w:val="1"/>
                <w:bCs w:val="1"/>
                <w:color w:val="000000"/>
              </w:rPr>
              <w:t>OTHER PAYABLES AND ACCRUALS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As at</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30 June</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23"/>
                <w:szCs w:val="23"/>
                <w:b w:val="1"/>
                <w:bCs w:val="1"/>
                <w:i w:val="1"/>
                <w:iCs w:val="1"/>
                <w:color w:val="231E1F"/>
                <w:w w:val="87"/>
              </w:rPr>
              <w:t>(unaudited)</w:t>
            </w: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450"/>
        </w:trPr>
        <w:tc>
          <w:tcPr>
            <w:tcW w:w="8700" w:type="dxa"/>
            <w:vAlign w:val="bottom"/>
            <w:gridSpan w:val="2"/>
          </w:tcPr>
          <w:p>
            <w:pPr>
              <w:spacing w:after="0"/>
              <w:rPr>
                <w:sz w:val="20"/>
                <w:szCs w:val="20"/>
                <w:color w:val="auto"/>
              </w:rPr>
            </w:pPr>
            <w:r>
              <w:rPr>
                <w:rFonts w:ascii="Arial" w:cs="Arial" w:eastAsia="Arial" w:hAnsi="Arial"/>
                <w:sz w:val="23"/>
                <w:szCs w:val="23"/>
                <w:b w:val="1"/>
                <w:bCs w:val="1"/>
                <w:color w:val="auto"/>
              </w:rPr>
              <w:t>Current</w:t>
            </w:r>
          </w:p>
        </w:tc>
        <w:tc>
          <w:tcPr>
            <w:tcW w:w="1220" w:type="dxa"/>
            <w:vAlign w:val="bottom"/>
            <w:vMerge w:val="restart"/>
          </w:tcPr>
          <w:p>
            <w:pPr>
              <w:jc w:val="right"/>
              <w:spacing w:after="0"/>
              <w:rPr>
                <w:sz w:val="20"/>
                <w:szCs w:val="20"/>
                <w:color w:val="auto"/>
              </w:rPr>
            </w:pPr>
            <w:r>
              <w:rPr>
                <w:rFonts w:ascii="Arial" w:cs="Arial" w:eastAsia="Arial" w:hAnsi="Arial"/>
                <w:sz w:val="23"/>
                <w:szCs w:val="23"/>
                <w:b w:val="1"/>
                <w:bCs w:val="1"/>
                <w:color w:val="231E1F"/>
              </w:rPr>
              <w:t>1,212,944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700" w:type="dxa"/>
            <w:vAlign w:val="bottom"/>
            <w:gridSpan w:val="2"/>
          </w:tcPr>
          <w:p>
            <w:pPr>
              <w:spacing w:after="0" w:line="259" w:lineRule="exact"/>
              <w:rPr>
                <w:sz w:val="20"/>
                <w:szCs w:val="20"/>
                <w:color w:val="auto"/>
              </w:rPr>
            </w:pPr>
            <w:r>
              <w:rPr>
                <w:rFonts w:ascii="Arial" w:cs="Arial" w:eastAsia="Arial" w:hAnsi="Arial"/>
                <w:sz w:val="23"/>
                <w:szCs w:val="23"/>
                <w:color w:val="auto"/>
              </w:rPr>
              <w:t>Gaming taxes payable</w:t>
            </w:r>
          </w:p>
        </w:tc>
        <w:tc>
          <w:tcPr>
            <w:tcW w:w="12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line="259" w:lineRule="exact"/>
              <w:rPr>
                <w:sz w:val="20"/>
                <w:szCs w:val="20"/>
                <w:color w:val="auto"/>
              </w:rPr>
            </w:pPr>
            <w:r>
              <w:rPr>
                <w:rFonts w:ascii="Arial" w:cs="Arial" w:eastAsia="Arial" w:hAnsi="Arial"/>
                <w:sz w:val="23"/>
                <w:szCs w:val="23"/>
                <w:color w:val="auto"/>
              </w:rPr>
              <w:t>1,275,716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700" w:type="dxa"/>
            <w:vAlign w:val="bottom"/>
            <w:gridSpan w:val="2"/>
          </w:tcPr>
          <w:p>
            <w:pPr>
              <w:spacing w:after="0"/>
              <w:rPr>
                <w:sz w:val="20"/>
                <w:szCs w:val="20"/>
                <w:color w:val="auto"/>
              </w:rPr>
            </w:pPr>
            <w:r>
              <w:rPr>
                <w:rFonts w:ascii="Arial" w:cs="Arial" w:eastAsia="Arial" w:hAnsi="Arial"/>
                <w:sz w:val="23"/>
                <w:szCs w:val="23"/>
                <w:color w:val="auto"/>
              </w:rPr>
              <w:t>Outstanding chip liabilities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2,545,971</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color w:val="auto"/>
              </w:rPr>
              <w:t>1,706,248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700" w:type="dxa"/>
            <w:vAlign w:val="bottom"/>
            <w:gridSpan w:val="2"/>
          </w:tcPr>
          <w:p>
            <w:pPr>
              <w:spacing w:after="0"/>
              <w:rPr>
                <w:sz w:val="20"/>
                <w:szCs w:val="20"/>
                <w:color w:val="auto"/>
              </w:rPr>
            </w:pPr>
            <w:r>
              <w:rPr>
                <w:rFonts w:ascii="Arial" w:cs="Arial" w:eastAsia="Arial" w:hAnsi="Arial"/>
                <w:sz w:val="23"/>
                <w:szCs w:val="23"/>
                <w:color w:val="auto"/>
              </w:rPr>
              <w:t>Customer deposits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536,768</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auto"/>
              </w:rPr>
              <w:t>435,812</w:t>
            </w:r>
          </w:p>
        </w:tc>
        <w:tc>
          <w:tcPr>
            <w:tcW w:w="0" w:type="dxa"/>
            <w:vAlign w:val="bottom"/>
          </w:tcPr>
          <w:p>
            <w:pPr>
              <w:spacing w:after="0"/>
              <w:rPr>
                <w:sz w:val="1"/>
                <w:szCs w:val="1"/>
                <w:color w:val="auto"/>
              </w:rPr>
            </w:pPr>
          </w:p>
        </w:tc>
      </w:tr>
      <w:tr>
        <w:trPr>
          <w:trHeight w:val="265"/>
        </w:trPr>
        <w:tc>
          <w:tcPr>
            <w:tcW w:w="8700" w:type="dxa"/>
            <w:vAlign w:val="bottom"/>
            <w:gridSpan w:val="2"/>
          </w:tcPr>
          <w:p>
            <w:pPr>
              <w:spacing w:after="0"/>
              <w:rPr>
                <w:sz w:val="20"/>
                <w:szCs w:val="20"/>
                <w:color w:val="auto"/>
              </w:rPr>
            </w:pPr>
            <w:r>
              <w:rPr>
                <w:rFonts w:ascii="Arial" w:cs="Arial" w:eastAsia="Arial" w:hAnsi="Arial"/>
                <w:sz w:val="23"/>
                <w:szCs w:val="23"/>
                <w:color w:val="auto"/>
              </w:rPr>
              <w:t>Donation payable</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77,670</w:t>
            </w:r>
          </w:p>
        </w:tc>
        <w:tc>
          <w:tcPr>
            <w:tcW w:w="18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97"/>
        </w:trPr>
        <w:tc>
          <w:tcPr>
            <w:tcW w:w="8700" w:type="dxa"/>
            <w:vAlign w:val="bottom"/>
            <w:gridSpan w:val="2"/>
          </w:tcPr>
          <w:p>
            <w:pPr>
              <w:spacing w:after="0"/>
              <w:rPr>
                <w:sz w:val="20"/>
                <w:szCs w:val="20"/>
                <w:color w:val="auto"/>
              </w:rPr>
            </w:pPr>
            <w:r>
              <w:rPr>
                <w:rFonts w:ascii="Arial" w:cs="Arial" w:eastAsia="Arial" w:hAnsi="Arial"/>
                <w:sz w:val="23"/>
                <w:szCs w:val="23"/>
                <w:color w:val="auto"/>
              </w:rPr>
              <w:t>Other liabilities</w:t>
            </w: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181,383</w:t>
            </w:r>
          </w:p>
        </w:tc>
        <w:tc>
          <w:tcPr>
            <w:tcW w:w="18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auto"/>
              </w:rPr>
              <w:t>247,665</w:t>
            </w: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3"/>
                <w:szCs w:val="23"/>
                <w:b w:val="1"/>
                <w:bCs w:val="1"/>
                <w:color w:val="231E1F"/>
              </w:rPr>
              <w:t>4,554,736</w:t>
            </w:r>
          </w:p>
        </w:tc>
        <w:tc>
          <w:tcPr>
            <w:tcW w:w="18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3"/>
                <w:szCs w:val="23"/>
                <w:color w:val="auto"/>
              </w:rPr>
              <w:t>3,665,441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8700" w:type="dxa"/>
            <w:vAlign w:val="bottom"/>
            <w:gridSpan w:val="2"/>
          </w:tcPr>
          <w:p>
            <w:pPr>
              <w:spacing w:after="0"/>
              <w:rPr>
                <w:sz w:val="20"/>
                <w:szCs w:val="20"/>
                <w:color w:val="auto"/>
              </w:rPr>
            </w:pPr>
            <w:r>
              <w:rPr>
                <w:rFonts w:ascii="Arial" w:cs="Arial" w:eastAsia="Arial" w:hAnsi="Arial"/>
                <w:sz w:val="23"/>
                <w:szCs w:val="23"/>
                <w:b w:val="1"/>
                <w:bCs w:val="1"/>
                <w:color w:val="auto"/>
              </w:rPr>
              <w:t>Non-current</w:t>
            </w:r>
          </w:p>
        </w:tc>
        <w:tc>
          <w:tcPr>
            <w:tcW w:w="1220" w:type="dxa"/>
            <w:vAlign w:val="bottom"/>
            <w:vMerge w:val="restart"/>
          </w:tcPr>
          <w:p>
            <w:pPr>
              <w:jc w:val="right"/>
              <w:spacing w:after="0"/>
              <w:rPr>
                <w:sz w:val="20"/>
                <w:szCs w:val="20"/>
                <w:color w:val="auto"/>
              </w:rPr>
            </w:pPr>
            <w:r>
              <w:rPr>
                <w:rFonts w:ascii="Arial" w:cs="Arial" w:eastAsia="Arial" w:hAnsi="Arial"/>
                <w:sz w:val="23"/>
                <w:szCs w:val="23"/>
                <w:b w:val="1"/>
                <w:bCs w:val="1"/>
                <w:color w:val="231E1F"/>
              </w:rPr>
              <w:t>563,571</w:t>
            </w:r>
          </w:p>
        </w:tc>
        <w:tc>
          <w:tcPr>
            <w:tcW w:w="180" w:type="dxa"/>
            <w:vAlign w:val="bottom"/>
          </w:tcPr>
          <w:p>
            <w:pPr>
              <w:spacing w:after="0"/>
              <w:rPr>
                <w:sz w:val="24"/>
                <w:szCs w:val="24"/>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98"/>
        </w:trPr>
        <w:tc>
          <w:tcPr>
            <w:tcW w:w="8700" w:type="dxa"/>
            <w:vAlign w:val="bottom"/>
            <w:gridSpan w:val="2"/>
          </w:tcPr>
          <w:p>
            <w:pPr>
              <w:spacing w:after="0"/>
              <w:rPr>
                <w:sz w:val="20"/>
                <w:szCs w:val="20"/>
                <w:color w:val="auto"/>
              </w:rPr>
            </w:pPr>
            <w:r>
              <w:rPr>
                <w:rFonts w:ascii="Arial" w:cs="Arial" w:eastAsia="Arial" w:hAnsi="Arial"/>
                <w:sz w:val="23"/>
                <w:szCs w:val="23"/>
                <w:color w:val="auto"/>
              </w:rPr>
              <w:t>Donation payable</w:t>
            </w: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8700" w:type="dxa"/>
            <w:vAlign w:val="bottom"/>
            <w:gridSpan w:val="2"/>
          </w:tcPr>
          <w:p>
            <w:pPr>
              <w:spacing w:after="0"/>
              <w:rPr>
                <w:sz w:val="20"/>
                <w:szCs w:val="20"/>
                <w:color w:val="auto"/>
              </w:rPr>
            </w:pPr>
            <w:r>
              <w:rPr>
                <w:rFonts w:ascii="Arial" w:cs="Arial" w:eastAsia="Arial" w:hAnsi="Arial"/>
                <w:sz w:val="23"/>
                <w:szCs w:val="23"/>
                <w:b w:val="1"/>
                <w:bCs w:val="1"/>
                <w:color w:val="231E1F"/>
              </w:rPr>
              <w:t xml:space="preserve">12.  </w:t>
            </w:r>
            <w:r>
              <w:rPr>
                <w:rFonts w:ascii="Arial" w:cs="Arial" w:eastAsia="Arial" w:hAnsi="Arial"/>
                <w:sz w:val="23"/>
                <w:szCs w:val="23"/>
                <w:b w:val="1"/>
                <w:bCs w:val="1"/>
                <w:color w:val="000000"/>
              </w:rPr>
              <w:t>INTEREST-BEARING LOANS AND BORROWINGS</w:t>
            </w:r>
          </w:p>
        </w:tc>
        <w:tc>
          <w:tcPr>
            <w:tcW w:w="1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23"/>
                <w:szCs w:val="23"/>
                <w:b w:val="1"/>
                <w:bCs w:val="1"/>
                <w:color w:val="231E1F"/>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As at</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As at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23"/>
                <w:szCs w:val="23"/>
                <w:b w:val="1"/>
                <w:bCs w:val="1"/>
                <w:color w:val="231E1F"/>
              </w:rPr>
              <w:t>30 June</w:t>
            </w: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w w:val="88"/>
              </w:rPr>
              <w:t>31 December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color w:val="231E1F"/>
              </w:rPr>
              <w:t>2011</w:t>
            </w:r>
          </w:p>
        </w:tc>
        <w:tc>
          <w:tcPr>
            <w:tcW w:w="18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color w:val="231E1F"/>
              </w:rPr>
              <w:t>2010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180" w:type="dxa"/>
            <w:vAlign w:val="bottom"/>
          </w:tcPr>
          <w:p>
            <w:pPr>
              <w:spacing w:after="0"/>
              <w:rPr>
                <w:sz w:val="24"/>
                <w:szCs w:val="2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20" w:type="dxa"/>
            <w:vAlign w:val="bottom"/>
          </w:tcPr>
          <w:p>
            <w:pPr>
              <w:jc w:val="right"/>
              <w:ind w:right="185"/>
              <w:spacing w:after="0" w:line="233" w:lineRule="exact"/>
              <w:rPr>
                <w:sz w:val="20"/>
                <w:szCs w:val="20"/>
                <w:color w:val="auto"/>
              </w:rPr>
            </w:pPr>
            <w:r>
              <w:rPr>
                <w:rFonts w:ascii="Arial" w:cs="Arial" w:eastAsia="Arial" w:hAnsi="Arial"/>
                <w:sz w:val="23"/>
                <w:szCs w:val="23"/>
                <w:color w:val="231E1F"/>
              </w:rPr>
              <w:t>(in</w:t>
            </w:r>
          </w:p>
        </w:tc>
        <w:tc>
          <w:tcPr>
            <w:tcW w:w="1400" w:type="dxa"/>
            <w:vAlign w:val="bottom"/>
            <w:gridSpan w:val="2"/>
          </w:tcPr>
          <w:p>
            <w:pPr>
              <w:jc w:val="right"/>
              <w:ind w:right="525"/>
              <w:spacing w:after="0" w:line="233" w:lineRule="exact"/>
              <w:rPr>
                <w:sz w:val="20"/>
                <w:szCs w:val="20"/>
                <w:color w:val="auto"/>
              </w:rPr>
            </w:pPr>
            <w:r>
              <w:rPr>
                <w:rFonts w:ascii="Arial" w:cs="Arial" w:eastAsia="Arial" w:hAnsi="Arial"/>
                <w:sz w:val="21"/>
                <w:szCs w:val="21"/>
                <w:color w:val="231E1F"/>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23"/>
                <w:szCs w:val="23"/>
                <w:b w:val="1"/>
                <w:bCs w:val="1"/>
                <w:i w:val="1"/>
                <w:iCs w:val="1"/>
                <w:color w:val="231E1F"/>
                <w:w w:val="87"/>
              </w:rPr>
              <w:t>(unaudited)</w:t>
            </w:r>
          </w:p>
        </w:tc>
        <w:tc>
          <w:tcPr>
            <w:tcW w:w="1320" w:type="dxa"/>
            <w:vAlign w:val="bottom"/>
            <w:gridSpan w:val="2"/>
          </w:tcPr>
          <w:p>
            <w:pPr>
              <w:jc w:val="right"/>
              <w:ind w:right="180"/>
              <w:spacing w:after="0"/>
              <w:rPr>
                <w:sz w:val="20"/>
                <w:szCs w:val="20"/>
                <w:color w:val="auto"/>
              </w:rPr>
            </w:pPr>
            <w:r>
              <w:rPr>
                <w:rFonts w:ascii="Arial" w:cs="Arial" w:eastAsia="Arial" w:hAnsi="Arial"/>
                <w:sz w:val="23"/>
                <w:szCs w:val="23"/>
                <w:i w:val="1"/>
                <w:iCs w:val="1"/>
                <w:color w:val="231E1F"/>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auto"/>
              </w:rPr>
              <w:t>7-Year term loan — secured (as amended)</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4,287,223</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3"/>
                <w:szCs w:val="23"/>
                <w:color w:val="auto"/>
              </w:rPr>
              <w:t>4,287,283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spacing w:after="0"/>
              <w:rPr>
                <w:sz w:val="20"/>
                <w:szCs w:val="20"/>
                <w:color w:val="auto"/>
              </w:rPr>
            </w:pPr>
            <w:r>
              <w:rPr>
                <w:rFonts w:ascii="Arial" w:cs="Arial" w:eastAsia="Arial" w:hAnsi="Arial"/>
                <w:sz w:val="23"/>
                <w:szCs w:val="23"/>
                <w:color w:val="auto"/>
              </w:rPr>
              <w:t>5-Year revolving credit facility — secured (as amended)</w:t>
            </w:r>
          </w:p>
        </w:tc>
        <w:tc>
          <w:tcPr>
            <w:tcW w:w="1400" w:type="dxa"/>
            <w:vAlign w:val="bottom"/>
            <w:gridSpan w:val="2"/>
          </w:tcPr>
          <w:p>
            <w:pPr>
              <w:jc w:val="right"/>
              <w:ind w:right="96"/>
              <w:spacing w:after="0"/>
              <w:rPr>
                <w:sz w:val="20"/>
                <w:szCs w:val="20"/>
                <w:color w:val="auto"/>
              </w:rPr>
            </w:pPr>
            <w:r>
              <w:rPr>
                <w:rFonts w:ascii="Arial" w:cs="Arial" w:eastAsia="Arial" w:hAnsi="Arial"/>
                <w:sz w:val="23"/>
                <w:szCs w:val="23"/>
                <w:b w:val="1"/>
                <w:bCs w:val="1"/>
                <w:color w:val="231E1F"/>
              </w:rPr>
              <w:t>—</w:t>
            </w: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auto"/>
              </w:rPr>
              <w:t>779,521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23"/>
                <w:szCs w:val="23"/>
                <w:color w:val="auto"/>
              </w:rPr>
              <w:t>Less: debt financing costs, net</w:t>
            </w:r>
          </w:p>
        </w:tc>
        <w:tc>
          <w:tcPr>
            <w:tcW w:w="1400" w:type="dxa"/>
            <w:vAlign w:val="bottom"/>
            <w:gridSpan w:val="2"/>
            <w:shd w:val="clear" w:color="auto" w:fill="CCEEFF"/>
          </w:tcPr>
          <w:p>
            <w:pPr>
              <w:jc w:val="right"/>
              <w:ind w:right="16"/>
              <w:spacing w:after="0"/>
              <w:rPr>
                <w:sz w:val="20"/>
                <w:szCs w:val="20"/>
                <w:color w:val="auto"/>
              </w:rPr>
            </w:pPr>
            <w:r>
              <w:rPr>
                <w:rFonts w:ascii="Arial" w:cs="Arial" w:eastAsia="Arial" w:hAnsi="Arial"/>
                <w:sz w:val="23"/>
                <w:szCs w:val="23"/>
                <w:b w:val="1"/>
                <w:bCs w:val="1"/>
                <w:color w:val="231E1F"/>
              </w:rPr>
              <w:t>(95,727)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auto"/>
              </w:rPr>
              <w:t>(117,101)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23"/>
                <w:szCs w:val="23"/>
                <w:color w:val="auto"/>
              </w:rPr>
              <w:t>Total interest-bearing loans and borrowings — secured</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4,191,496</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3"/>
                <w:szCs w:val="23"/>
                <w:color w:val="auto"/>
              </w:rPr>
              <w:t>4,949,703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680" w:type="dxa"/>
            <w:vAlign w:val="bottom"/>
          </w:tcPr>
          <w:p>
            <w:pPr>
              <w:ind w:left="360"/>
              <w:spacing w:after="0"/>
              <w:rPr>
                <w:sz w:val="20"/>
                <w:szCs w:val="20"/>
                <w:color w:val="auto"/>
              </w:rPr>
            </w:pPr>
            <w:r>
              <w:rPr>
                <w:rFonts w:ascii="Arial" w:cs="Arial" w:eastAsia="Arial" w:hAnsi="Arial"/>
                <w:sz w:val="23"/>
                <w:szCs w:val="23"/>
                <w:color w:val="auto"/>
              </w:rPr>
              <w:t>Current portion of long term interest-bearing loans and borrowings — secured</w:t>
            </w:r>
          </w:p>
        </w:tc>
        <w:tc>
          <w:tcPr>
            <w:tcW w:w="1400" w:type="dxa"/>
            <w:vAlign w:val="bottom"/>
            <w:gridSpan w:val="2"/>
          </w:tcPr>
          <w:p>
            <w:pPr>
              <w:jc w:val="right"/>
              <w:ind w:right="16"/>
              <w:spacing w:after="0"/>
              <w:rPr>
                <w:sz w:val="20"/>
                <w:szCs w:val="20"/>
                <w:color w:val="auto"/>
              </w:rPr>
            </w:pPr>
            <w:r>
              <w:rPr>
                <w:rFonts w:ascii="Arial" w:cs="Arial" w:eastAsia="Arial" w:hAnsi="Arial"/>
                <w:sz w:val="23"/>
                <w:szCs w:val="23"/>
                <w:b w:val="1"/>
                <w:bCs w:val="1"/>
                <w:color w:val="231E1F"/>
              </w:rPr>
              <w:t>(1,153,464)</w:t>
            </w:r>
          </w:p>
        </w:tc>
        <w:tc>
          <w:tcPr>
            <w:tcW w:w="1320" w:type="dxa"/>
            <w:vAlign w:val="bottom"/>
            <w:gridSpan w:val="2"/>
          </w:tcPr>
          <w:p>
            <w:pPr>
              <w:jc w:val="right"/>
              <w:ind w:right="100"/>
              <w:spacing w:after="0"/>
              <w:rPr>
                <w:sz w:val="20"/>
                <w:szCs w:val="20"/>
                <w:color w:val="auto"/>
              </w:rPr>
            </w:pP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231E1F"/>
              </w:rPr>
              <w:t>3,038,032</w:t>
            </w:r>
          </w:p>
        </w:tc>
        <w:tc>
          <w:tcPr>
            <w:tcW w:w="1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rPr>
              <w:t>4,949,703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480" w:right="40"/>
        <w:spacing w:after="0" w:line="253" w:lineRule="auto"/>
        <w:rPr>
          <w:sz w:val="20"/>
          <w:szCs w:val="20"/>
          <w:color w:val="auto"/>
        </w:rPr>
      </w:pPr>
      <w:r>
        <w:rPr>
          <w:rFonts w:ascii="Arial" w:cs="Arial" w:eastAsia="Arial" w:hAnsi="Arial"/>
          <w:sz w:val="23"/>
          <w:szCs w:val="23"/>
          <w:color w:val="auto"/>
        </w:rPr>
        <w:t>The WRM term loan matures in June 2014, and the WRM revolving credit facility matures in June 2012. The principal amount of the WRM term loan is required to be repaid in quarterly installments, commencing in September 2011. Borrowings under the Wynn Macau Credit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4" w:name="page15"/>
    <w:bookmarkEnd w:id="14"/>
    <w:p>
      <w:pPr>
        <w:jc w:val="both"/>
        <w:ind w:left="480" w:right="40"/>
        <w:spacing w:after="0" w:line="293" w:lineRule="auto"/>
        <w:rPr>
          <w:sz w:val="20"/>
          <w:szCs w:val="20"/>
          <w:color w:val="auto"/>
        </w:rPr>
      </w:pPr>
      <w:r>
        <w:rPr>
          <w:rFonts w:ascii="Arial" w:cs="Arial" w:eastAsia="Arial" w:hAnsi="Arial"/>
          <w:sz w:val="20"/>
          <w:szCs w:val="20"/>
          <w:color w:val="auto"/>
        </w:rPr>
        <w:t>Facilities bore interest at LIBOR or HIBOR plus a margin of 1.75% through 30 September 2010. Commencing in the fourth quarter of 2010, the WRM revolving credit facility, the WRM term loan hotel facility and the WRM term loan project facility tranches A (US$18,500,000) and B (HK$2,451,150,000) are subject to a margin of 1.25% to 2.00% depending on the Group’s leverage ratio at the end of each quarter. The WRM term loan project facility tranche C (US$125,000,000) remains subject to a margin of 1.75%. As at 30 June 2011, the weighted average margin is 1.29%.</w:t>
      </w:r>
    </w:p>
    <w:p>
      <w:pPr>
        <w:spacing w:after="0" w:line="134" w:lineRule="exact"/>
        <w:rPr>
          <w:sz w:val="20"/>
          <w:szCs w:val="20"/>
          <w:color w:val="auto"/>
        </w:rPr>
      </w:pPr>
    </w:p>
    <w:p>
      <w:pPr>
        <w:jc w:val="both"/>
        <w:ind w:left="480" w:right="40"/>
        <w:spacing w:after="0" w:line="253" w:lineRule="auto"/>
        <w:rPr>
          <w:sz w:val="20"/>
          <w:szCs w:val="20"/>
          <w:color w:val="auto"/>
        </w:rPr>
      </w:pPr>
      <w:r>
        <w:rPr>
          <w:rFonts w:ascii="Arial" w:cs="Arial" w:eastAsia="Arial" w:hAnsi="Arial"/>
          <w:sz w:val="23"/>
          <w:szCs w:val="23"/>
          <w:color w:val="auto"/>
        </w:rPr>
        <w:t>During the six months ended 30 June 2011, the Group repaid HK$779.5 million (six months ended 30 June 2010: HK$2.9 billion) of borrowings under the WRM revolving credit facility. As at 30 June 2011, the Group had approximately HK$7.7 billion (31 December 2010: HK$7.0 billion) available under the credit facilities.</w:t>
      </w:r>
    </w:p>
    <w:p>
      <w:pPr>
        <w:spacing w:after="0" w:line="165" w:lineRule="exact"/>
        <w:rPr>
          <w:sz w:val="20"/>
          <w:szCs w:val="20"/>
          <w:color w:val="auto"/>
        </w:rPr>
      </w:pPr>
    </w:p>
    <w:p>
      <w:pPr>
        <w:ind w:left="480" w:hanging="474"/>
        <w:spacing w:after="0"/>
        <w:tabs>
          <w:tab w:leader="none" w:pos="480" w:val="left"/>
        </w:tabs>
        <w:numPr>
          <w:ilvl w:val="0"/>
          <w:numId w:val="9"/>
        </w:numPr>
        <w:rPr>
          <w:rFonts w:ascii="Arial" w:cs="Arial" w:eastAsia="Arial" w:hAnsi="Arial"/>
          <w:sz w:val="23"/>
          <w:szCs w:val="23"/>
          <w:b w:val="1"/>
          <w:bCs w:val="1"/>
          <w:color w:val="231E1F"/>
        </w:rPr>
      </w:pPr>
      <w:r>
        <w:rPr>
          <w:rFonts w:ascii="Arial" w:cs="Arial" w:eastAsia="Arial" w:hAnsi="Arial"/>
          <w:sz w:val="23"/>
          <w:szCs w:val="23"/>
          <w:b w:val="1"/>
          <w:bCs w:val="1"/>
          <w:color w:val="auto"/>
        </w:rPr>
        <w:t>RELATED PARTY DISCLOSURES</w:t>
      </w:r>
    </w:p>
    <w:p>
      <w:pPr>
        <w:spacing w:after="0" w:line="218" w:lineRule="exact"/>
        <w:rPr>
          <w:rFonts w:ascii="Arial" w:cs="Arial" w:eastAsia="Arial" w:hAnsi="Arial"/>
          <w:sz w:val="23"/>
          <w:szCs w:val="23"/>
          <w:b w:val="1"/>
          <w:bCs w:val="1"/>
          <w:color w:val="231E1F"/>
        </w:rPr>
      </w:pPr>
    </w:p>
    <w:p>
      <w:pPr>
        <w:ind w:left="480" w:right="40"/>
        <w:spacing w:after="0" w:line="266" w:lineRule="auto"/>
        <w:rPr>
          <w:rFonts w:ascii="Arial" w:cs="Arial" w:eastAsia="Arial" w:hAnsi="Arial"/>
          <w:sz w:val="23"/>
          <w:szCs w:val="23"/>
          <w:b w:val="1"/>
          <w:bCs w:val="1"/>
          <w:color w:val="231E1F"/>
        </w:rPr>
      </w:pPr>
      <w:r>
        <w:rPr>
          <w:rFonts w:ascii="Arial" w:cs="Arial" w:eastAsia="Arial" w:hAnsi="Arial"/>
          <w:sz w:val="23"/>
          <w:szCs w:val="23"/>
          <w:color w:val="auto"/>
        </w:rPr>
        <w:t>As at the end of the period, amounts due from/(to) related companies are unsecured, interest- free and repayable on demand.</w:t>
      </w:r>
    </w:p>
    <w:p>
      <w:pPr>
        <w:spacing w:after="0" w:line="156" w:lineRule="exact"/>
        <w:rPr>
          <w:rFonts w:ascii="Arial" w:cs="Arial" w:eastAsia="Arial" w:hAnsi="Arial"/>
          <w:sz w:val="23"/>
          <w:szCs w:val="23"/>
          <w:b w:val="1"/>
          <w:bCs w:val="1"/>
          <w:color w:val="231E1F"/>
        </w:rPr>
      </w:pPr>
    </w:p>
    <w:p>
      <w:pPr>
        <w:ind w:left="480"/>
        <w:spacing w:after="0"/>
        <w:rPr>
          <w:rFonts w:ascii="Arial" w:cs="Arial" w:eastAsia="Arial" w:hAnsi="Arial"/>
          <w:sz w:val="23"/>
          <w:szCs w:val="23"/>
          <w:b w:val="1"/>
          <w:bCs w:val="1"/>
          <w:color w:val="231E1F"/>
        </w:rPr>
      </w:pPr>
      <w:r>
        <w:rPr>
          <w:rFonts w:ascii="Arial" w:cs="Arial" w:eastAsia="Arial" w:hAnsi="Arial"/>
          <w:sz w:val="23"/>
          <w:szCs w:val="23"/>
          <w:color w:val="auto"/>
        </w:rPr>
        <w:t>The Group had the following material transactions with related companies: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4"/>
          </w:tcPr>
          <w:p>
            <w:pPr>
              <w:jc w:val="center"/>
              <w:ind w:right="160"/>
              <w:spacing w:after="0"/>
              <w:rPr>
                <w:sz w:val="20"/>
                <w:szCs w:val="20"/>
                <w:color w:val="auto"/>
              </w:rPr>
            </w:pPr>
            <w:r>
              <w:rPr>
                <w:rFonts w:ascii="Arial" w:cs="Arial" w:eastAsia="Arial" w:hAnsi="Arial"/>
                <w:sz w:val="23"/>
                <w:szCs w:val="23"/>
                <w:b w:val="1"/>
                <w:bCs w:val="1"/>
                <w:color w:val="auto"/>
                <w:w w:val="92"/>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840" w:type="dxa"/>
            <w:vAlign w:val="bottom"/>
            <w:gridSpan w:val="5"/>
          </w:tcPr>
          <w:p>
            <w:pPr>
              <w:jc w:val="center"/>
              <w:ind w:right="2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vMerge w:val="restart"/>
          </w:tcPr>
          <w:p>
            <w:pPr>
              <w:ind w:left="520"/>
              <w:spacing w:after="0"/>
              <w:rPr>
                <w:sz w:val="20"/>
                <w:szCs w:val="20"/>
                <w:color w:val="auto"/>
              </w:rPr>
            </w:pPr>
            <w:r>
              <w:rPr>
                <w:rFonts w:ascii="Arial" w:cs="Arial" w:eastAsia="Arial" w:hAnsi="Arial"/>
                <w:sz w:val="23"/>
                <w:szCs w:val="23"/>
                <w:b w:val="1"/>
                <w:bCs w:val="1"/>
                <w:color w:val="auto"/>
              </w:rPr>
              <w:t>Primary Nature of</w:t>
            </w:r>
          </w:p>
        </w:tc>
        <w:tc>
          <w:tcPr>
            <w:tcW w:w="120" w:type="dxa"/>
            <w:vAlign w:val="bottom"/>
          </w:tcPr>
          <w:p>
            <w:pPr>
              <w:spacing w:after="0"/>
              <w:rPr>
                <w:sz w:val="24"/>
                <w:szCs w:val="24"/>
                <w:color w:val="auto"/>
              </w:rPr>
            </w:pPr>
          </w:p>
        </w:tc>
        <w:tc>
          <w:tcPr>
            <w:tcW w:w="2720" w:type="dxa"/>
            <w:vAlign w:val="bottom"/>
            <w:gridSpan w:val="4"/>
          </w:tcPr>
          <w:p>
            <w:pPr>
              <w:jc w:val="center"/>
              <w:ind w:right="160"/>
              <w:spacing w:after="0"/>
              <w:rPr>
                <w:sz w:val="20"/>
                <w:szCs w:val="20"/>
                <w:color w:val="auto"/>
              </w:rPr>
            </w:pPr>
            <w:r>
              <w:rPr>
                <w:rFonts w:ascii="Arial" w:cs="Arial" w:eastAsia="Arial" w:hAnsi="Arial"/>
                <w:sz w:val="23"/>
                <w:szCs w:val="23"/>
                <w:b w:val="1"/>
                <w:bCs w:val="1"/>
                <w:color w:val="auto"/>
                <w:w w:val="88"/>
              </w:rPr>
              <w:t>30 June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line="226" w:lineRule="exact"/>
              <w:rPr>
                <w:sz w:val="20"/>
                <w:szCs w:val="20"/>
                <w:color w:val="auto"/>
              </w:rPr>
            </w:pPr>
            <w:r>
              <w:rPr>
                <w:rFonts w:ascii="Arial" w:cs="Arial" w:eastAsia="Arial" w:hAnsi="Arial"/>
                <w:sz w:val="23"/>
                <w:szCs w:val="23"/>
                <w:b w:val="1"/>
                <w:bCs w:val="1"/>
                <w:color w:val="auto"/>
              </w:rPr>
              <w:t>2011</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6"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0" w:type="dxa"/>
            <w:vAlign w:val="bottom"/>
          </w:tcPr>
          <w:p>
            <w:pPr>
              <w:ind w:left="60"/>
              <w:spacing w:after="0"/>
              <w:rPr>
                <w:sz w:val="20"/>
                <w:szCs w:val="20"/>
                <w:color w:val="auto"/>
              </w:rPr>
            </w:pPr>
            <w:r>
              <w:rPr>
                <w:rFonts w:ascii="Arial" w:cs="Arial" w:eastAsia="Arial" w:hAnsi="Arial"/>
                <w:sz w:val="23"/>
                <w:szCs w:val="23"/>
                <w:b w:val="1"/>
                <w:bCs w:val="1"/>
                <w:color w:val="auto"/>
                <w:w w:val="93"/>
              </w:rPr>
              <w:t>Name of Related Company</w:t>
            </w:r>
          </w:p>
        </w:tc>
        <w:tc>
          <w:tcPr>
            <w:tcW w:w="100" w:type="dxa"/>
            <w:vAlign w:val="bottom"/>
          </w:tcPr>
          <w:p>
            <w:pPr>
              <w:spacing w:after="0"/>
              <w:rPr>
                <w:sz w:val="24"/>
                <w:szCs w:val="24"/>
                <w:color w:val="auto"/>
              </w:rPr>
            </w:pPr>
          </w:p>
        </w:tc>
        <w:tc>
          <w:tcPr>
            <w:tcW w:w="2720" w:type="dxa"/>
            <w:vAlign w:val="bottom"/>
          </w:tcPr>
          <w:p>
            <w:pPr>
              <w:ind w:left="140"/>
              <w:spacing w:after="0"/>
              <w:rPr>
                <w:sz w:val="20"/>
                <w:szCs w:val="20"/>
                <w:color w:val="auto"/>
              </w:rPr>
            </w:pPr>
            <w:r>
              <w:rPr>
                <w:rFonts w:ascii="Arial" w:cs="Arial" w:eastAsia="Arial" w:hAnsi="Arial"/>
                <w:sz w:val="23"/>
                <w:szCs w:val="23"/>
                <w:b w:val="1"/>
                <w:bCs w:val="1"/>
                <w:color w:val="auto"/>
                <w:w w:val="93"/>
              </w:rPr>
              <w:t>Relation to the Company</w:t>
            </w:r>
          </w:p>
        </w:tc>
        <w:tc>
          <w:tcPr>
            <w:tcW w:w="100" w:type="dxa"/>
            <w:vAlign w:val="bottom"/>
          </w:tcPr>
          <w:p>
            <w:pPr>
              <w:spacing w:after="0"/>
              <w:rPr>
                <w:sz w:val="24"/>
                <w:szCs w:val="24"/>
                <w:color w:val="auto"/>
              </w:rPr>
            </w:pPr>
          </w:p>
        </w:tc>
        <w:tc>
          <w:tcPr>
            <w:tcW w:w="2840" w:type="dxa"/>
            <w:vAlign w:val="bottom"/>
          </w:tcPr>
          <w:p>
            <w:pPr>
              <w:ind w:left="800"/>
              <w:spacing w:after="0"/>
              <w:rPr>
                <w:sz w:val="20"/>
                <w:szCs w:val="20"/>
                <w:color w:val="auto"/>
              </w:rPr>
            </w:pPr>
            <w:r>
              <w:rPr>
                <w:rFonts w:ascii="Arial" w:cs="Arial" w:eastAsia="Arial" w:hAnsi="Arial"/>
                <w:sz w:val="23"/>
                <w:szCs w:val="23"/>
                <w:b w:val="1"/>
                <w:bCs w:val="1"/>
                <w:color w:val="auto"/>
              </w:rPr>
              <w:t>Transactions</w:t>
            </w:r>
          </w:p>
        </w:tc>
        <w:tc>
          <w:tcPr>
            <w:tcW w:w="120" w:type="dxa"/>
            <w:vAlign w:val="bottom"/>
          </w:tcPr>
          <w:p>
            <w:pPr>
              <w:spacing w:after="0"/>
              <w:rPr>
                <w:sz w:val="24"/>
                <w:szCs w:val="24"/>
                <w:color w:val="auto"/>
              </w:rPr>
            </w:pPr>
          </w:p>
        </w:tc>
        <w:tc>
          <w:tcPr>
            <w:tcW w:w="1420" w:type="dxa"/>
            <w:vAlign w:val="bottom"/>
            <w:gridSpan w:val="2"/>
          </w:tcPr>
          <w:p>
            <w:pPr>
              <w:jc w:val="right"/>
              <w:ind w:right="136"/>
              <w:spacing w:after="0"/>
              <w:rPr>
                <w:sz w:val="20"/>
                <w:szCs w:val="20"/>
                <w:color w:val="auto"/>
              </w:rPr>
            </w:pPr>
            <w:r>
              <w:rPr>
                <w:rFonts w:ascii="Arial" w:cs="Arial" w:eastAsia="Arial" w:hAnsi="Arial"/>
                <w:sz w:val="23"/>
                <w:szCs w:val="23"/>
                <w:b w:val="1"/>
                <w:bCs w:val="1"/>
                <w:i w:val="1"/>
                <w:iCs w:val="1"/>
                <w:color w:val="auto"/>
              </w:rPr>
              <w:t>HK$</w:t>
            </w:r>
          </w:p>
        </w:tc>
        <w:tc>
          <w:tcPr>
            <w:tcW w:w="130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85"/>
              <w:spacing w:after="0" w:line="233" w:lineRule="exact"/>
              <w:rPr>
                <w:sz w:val="20"/>
                <w:szCs w:val="20"/>
                <w:color w:val="auto"/>
              </w:rPr>
            </w:pPr>
            <w:r>
              <w:rPr>
                <w:rFonts w:ascii="Arial" w:cs="Arial" w:eastAsia="Arial" w:hAnsi="Arial"/>
                <w:sz w:val="23"/>
                <w:szCs w:val="23"/>
                <w:color w:val="auto"/>
              </w:rPr>
              <w:t>(in</w:t>
            </w:r>
          </w:p>
        </w:tc>
        <w:tc>
          <w:tcPr>
            <w:tcW w:w="1440" w:type="dxa"/>
            <w:vAlign w:val="bottom"/>
            <w:gridSpan w:val="2"/>
          </w:tcPr>
          <w:p>
            <w:pPr>
              <w:jc w:val="right"/>
              <w:ind w:right="565"/>
              <w:spacing w:after="0" w:line="233" w:lineRule="exact"/>
              <w:rPr>
                <w:sz w:val="20"/>
                <w:szCs w:val="20"/>
                <w:color w:val="auto"/>
              </w:rPr>
            </w:pPr>
            <w:r>
              <w:rPr>
                <w:rFonts w:ascii="Arial" w:cs="Arial" w:eastAsia="Arial" w:hAnsi="Arial"/>
                <w:sz w:val="21"/>
                <w:szCs w:val="2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136"/>
              <w:spacing w:after="0"/>
              <w:rPr>
                <w:sz w:val="20"/>
                <w:szCs w:val="20"/>
                <w:color w:val="auto"/>
              </w:rPr>
            </w:pPr>
            <w:r>
              <w:rPr>
                <w:rFonts w:ascii="Arial" w:cs="Arial" w:eastAsia="Arial" w:hAnsi="Arial"/>
                <w:sz w:val="23"/>
                <w:szCs w:val="23"/>
                <w:b w:val="1"/>
                <w:bCs w:val="1"/>
                <w:i w:val="1"/>
                <w:iCs w:val="1"/>
                <w:color w:val="auto"/>
                <w:w w:val="92"/>
              </w:rPr>
              <w:t>(unaudited)</w:t>
            </w:r>
          </w:p>
        </w:tc>
        <w:tc>
          <w:tcPr>
            <w:tcW w:w="130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23"/>
                <w:szCs w:val="23"/>
                <w:color w:val="auto"/>
              </w:rPr>
              <w:t>Wynn Resorts, Limited</w:t>
            </w:r>
          </w:p>
        </w:tc>
        <w:tc>
          <w:tcPr>
            <w:tcW w:w="28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23"/>
                <w:szCs w:val="23"/>
                <w:color w:val="auto"/>
              </w:rPr>
              <w:t>Ultimate parent company</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3"/>
                <w:szCs w:val="23"/>
                <w:color w:val="auto"/>
              </w:rPr>
              <w:t>Royalty fees</w:t>
            </w:r>
            <w:r>
              <w:rPr>
                <w:rFonts w:ascii="Arial" w:cs="Arial" w:eastAsia="Arial" w:hAnsi="Arial"/>
                <w:sz w:val="16"/>
                <w:szCs w:val="16"/>
                <w:color w:val="auto"/>
              </w:rPr>
              <w:t>(i)</w:t>
            </w:r>
          </w:p>
        </w:tc>
        <w:tc>
          <w:tcPr>
            <w:tcW w:w="1540" w:type="dxa"/>
            <w:vAlign w:val="bottom"/>
            <w:gridSpan w:val="3"/>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574,131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401,877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23"/>
                <w:szCs w:val="23"/>
                <w:color w:val="auto"/>
              </w:rPr>
              <w:t>Wynn Resorts, Limited</w:t>
            </w:r>
          </w:p>
        </w:tc>
        <w:tc>
          <w:tcPr>
            <w:tcW w:w="28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23"/>
                <w:szCs w:val="23"/>
                <w:color w:val="auto"/>
              </w:rPr>
              <w:t>Ultimate parent company</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3"/>
                <w:szCs w:val="23"/>
                <w:color w:val="auto"/>
                <w:w w:val="95"/>
              </w:rPr>
              <w:t>Corporate support services</w:t>
            </w:r>
            <w:r>
              <w:rPr>
                <w:rFonts w:ascii="Arial" w:cs="Arial" w:eastAsia="Arial" w:hAnsi="Arial"/>
                <w:sz w:val="16"/>
                <w:szCs w:val="16"/>
                <w:color w:val="auto"/>
                <w:w w:val="95"/>
              </w:rPr>
              <w:t>(ii)</w:t>
            </w:r>
          </w:p>
        </w:tc>
        <w:tc>
          <w:tcPr>
            <w:tcW w:w="1540" w:type="dxa"/>
            <w:vAlign w:val="bottom"/>
            <w:gridSpan w:val="3"/>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82,765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65,850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line="240" w:lineRule="exact"/>
              <w:rPr>
                <w:sz w:val="20"/>
                <w:szCs w:val="20"/>
                <w:color w:val="auto"/>
              </w:rPr>
            </w:pPr>
            <w:r>
              <w:rPr>
                <w:rFonts w:ascii="Arial" w:cs="Arial" w:eastAsia="Arial" w:hAnsi="Arial"/>
                <w:sz w:val="23"/>
                <w:szCs w:val="23"/>
                <w:color w:val="auto"/>
              </w:rPr>
              <w:t>Share-based payment</w:t>
            </w:r>
          </w:p>
        </w:tc>
        <w:tc>
          <w:tcPr>
            <w:tcW w:w="1540" w:type="dxa"/>
            <w:vAlign w:val="bottom"/>
            <w:gridSpan w:val="3"/>
            <w:vMerge w:val="restart"/>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23,992</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23"/>
                <w:szCs w:val="23"/>
                <w:color w:val="auto"/>
              </w:rPr>
              <w:t>Wynn Resorts, Limited</w:t>
            </w:r>
          </w:p>
        </w:tc>
        <w:tc>
          <w:tcPr>
            <w:tcW w:w="28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23"/>
                <w:szCs w:val="23"/>
                <w:color w:val="auto"/>
              </w:rPr>
              <w:t>Ultimate parent company</w:t>
            </w: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23"/>
                <w:szCs w:val="23"/>
                <w:color w:val="auto"/>
              </w:rPr>
              <w:t>expenses</w:t>
            </w:r>
          </w:p>
        </w:tc>
        <w:tc>
          <w:tcPr>
            <w:tcW w:w="1540" w:type="dxa"/>
            <w:vAlign w:val="bottom"/>
            <w:gridSpan w:val="3"/>
            <w:vMerge w:val="continue"/>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22,770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820" w:type="dxa"/>
            <w:vAlign w:val="bottom"/>
            <w:tcBorders>
              <w:right w:val="single" w:sz="8" w:color="CCEEFF"/>
            </w:tcBorders>
            <w:gridSpan w:val="2"/>
            <w:shd w:val="clear" w:color="auto" w:fill="CCEEFF"/>
          </w:tcPr>
          <w:p>
            <w:pPr>
              <w:ind w:left="100"/>
              <w:spacing w:after="0" w:line="240" w:lineRule="exact"/>
              <w:rPr>
                <w:sz w:val="20"/>
                <w:szCs w:val="20"/>
                <w:color w:val="auto"/>
              </w:rPr>
            </w:pPr>
            <w:r>
              <w:rPr>
                <w:rFonts w:ascii="Arial" w:cs="Arial" w:eastAsia="Arial" w:hAnsi="Arial"/>
                <w:sz w:val="23"/>
                <w:szCs w:val="23"/>
                <w:color w:val="auto"/>
                <w:w w:val="92"/>
              </w:rPr>
              <w:t>Subsidiary of Wynn Resorts,</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line="240" w:lineRule="exact"/>
              <w:rPr>
                <w:sz w:val="20"/>
                <w:szCs w:val="20"/>
                <w:color w:val="auto"/>
              </w:rPr>
            </w:pPr>
            <w:r>
              <w:rPr>
                <w:rFonts w:ascii="Arial" w:cs="Arial" w:eastAsia="Arial" w:hAnsi="Arial"/>
                <w:sz w:val="23"/>
                <w:szCs w:val="23"/>
                <w:color w:val="auto"/>
              </w:rPr>
              <w:t>International marketing</w:t>
            </w:r>
          </w:p>
        </w:tc>
        <w:tc>
          <w:tcPr>
            <w:tcW w:w="1540" w:type="dxa"/>
            <w:vAlign w:val="bottom"/>
            <w:gridSpan w:val="3"/>
            <w:vMerge w:val="restart"/>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43,657</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23"/>
                <w:szCs w:val="23"/>
                <w:color w:val="auto"/>
              </w:rPr>
              <w:t>WIML</w:t>
            </w:r>
          </w:p>
        </w:tc>
        <w:tc>
          <w:tcPr>
            <w:tcW w:w="100" w:type="dxa"/>
            <w:vAlign w:val="bottom"/>
            <w:shd w:val="clear" w:color="auto" w:fill="CCEEFF"/>
          </w:tcPr>
          <w:p>
            <w:pPr>
              <w:spacing w:after="0"/>
              <w:rPr>
                <w:sz w:val="24"/>
                <w:szCs w:val="24"/>
                <w:color w:val="auto"/>
              </w:rPr>
            </w:pPr>
          </w:p>
        </w:tc>
        <w:tc>
          <w:tcPr>
            <w:tcW w:w="27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23"/>
                <w:szCs w:val="23"/>
                <w:color w:val="auto"/>
              </w:rPr>
              <w:t>Limited</w:t>
            </w: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23"/>
                <w:szCs w:val="23"/>
                <w:color w:val="auto"/>
              </w:rPr>
              <w:t>expenses</w:t>
            </w:r>
            <w:r>
              <w:rPr>
                <w:rFonts w:ascii="Arial" w:cs="Arial" w:eastAsia="Arial" w:hAnsi="Arial"/>
                <w:sz w:val="16"/>
                <w:szCs w:val="16"/>
                <w:color w:val="auto"/>
              </w:rPr>
              <w:t>(iii)</w:t>
            </w:r>
          </w:p>
        </w:tc>
        <w:tc>
          <w:tcPr>
            <w:tcW w:w="1540" w:type="dxa"/>
            <w:vAlign w:val="bottom"/>
            <w:gridSpan w:val="3"/>
            <w:vMerge w:val="continue"/>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36,049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820" w:type="dxa"/>
            <w:vAlign w:val="bottom"/>
            <w:tcBorders>
              <w:right w:val="single" w:sz="8" w:color="CCEEFF"/>
            </w:tcBorders>
            <w:gridSpan w:val="2"/>
            <w:shd w:val="clear" w:color="auto" w:fill="CCEEFF"/>
          </w:tcPr>
          <w:p>
            <w:pPr>
              <w:ind w:left="100"/>
              <w:spacing w:after="0" w:line="240" w:lineRule="exact"/>
              <w:rPr>
                <w:sz w:val="20"/>
                <w:szCs w:val="20"/>
                <w:color w:val="auto"/>
              </w:rPr>
            </w:pPr>
            <w:r>
              <w:rPr>
                <w:rFonts w:ascii="Arial" w:cs="Arial" w:eastAsia="Arial" w:hAnsi="Arial"/>
                <w:sz w:val="23"/>
                <w:szCs w:val="23"/>
                <w:color w:val="auto"/>
                <w:w w:val="92"/>
              </w:rPr>
              <w:t>Subsidiary of Wynn Resorts,</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line="240" w:lineRule="exact"/>
              <w:rPr>
                <w:sz w:val="20"/>
                <w:szCs w:val="20"/>
                <w:color w:val="auto"/>
              </w:rPr>
            </w:pPr>
            <w:r>
              <w:rPr>
                <w:rFonts w:ascii="Arial" w:cs="Arial" w:eastAsia="Arial" w:hAnsi="Arial"/>
                <w:sz w:val="23"/>
                <w:szCs w:val="23"/>
                <w:color w:val="auto"/>
              </w:rPr>
              <w:t>Staff secondment payroll</w:t>
            </w:r>
          </w:p>
        </w:tc>
        <w:tc>
          <w:tcPr>
            <w:tcW w:w="1540" w:type="dxa"/>
            <w:vAlign w:val="bottom"/>
            <w:gridSpan w:val="3"/>
            <w:vMerge w:val="restart"/>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21,659</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23"/>
                <w:szCs w:val="23"/>
                <w:color w:val="auto"/>
              </w:rPr>
              <w:t>Worldwide Wynn</w:t>
            </w:r>
          </w:p>
        </w:tc>
        <w:tc>
          <w:tcPr>
            <w:tcW w:w="100" w:type="dxa"/>
            <w:vAlign w:val="bottom"/>
            <w:shd w:val="clear" w:color="auto" w:fill="CCEEFF"/>
          </w:tcPr>
          <w:p>
            <w:pPr>
              <w:spacing w:after="0"/>
              <w:rPr>
                <w:sz w:val="24"/>
                <w:szCs w:val="24"/>
                <w:color w:val="auto"/>
              </w:rPr>
            </w:pPr>
          </w:p>
        </w:tc>
        <w:tc>
          <w:tcPr>
            <w:tcW w:w="27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23"/>
                <w:szCs w:val="23"/>
                <w:color w:val="auto"/>
              </w:rPr>
              <w:t>Limited</w:t>
            </w: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23"/>
                <w:szCs w:val="23"/>
                <w:color w:val="auto"/>
              </w:rPr>
              <w:t>charges</w:t>
            </w:r>
            <w:r>
              <w:rPr>
                <w:rFonts w:ascii="Arial" w:cs="Arial" w:eastAsia="Arial" w:hAnsi="Arial"/>
                <w:sz w:val="16"/>
                <w:szCs w:val="16"/>
                <w:color w:val="auto"/>
              </w:rPr>
              <w:t>(iv)</w:t>
            </w:r>
          </w:p>
        </w:tc>
        <w:tc>
          <w:tcPr>
            <w:tcW w:w="1540" w:type="dxa"/>
            <w:vAlign w:val="bottom"/>
            <w:gridSpan w:val="3"/>
            <w:vMerge w:val="continue"/>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31,477</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40" w:type="dxa"/>
            <w:vAlign w:val="bottom"/>
            <w:gridSpan w:val="2"/>
          </w:tcPr>
          <w:p>
            <w:pPr>
              <w:jc w:val="right"/>
              <w:ind w:right="2665"/>
              <w:spacing w:after="0"/>
              <w:rPr>
                <w:sz w:val="20"/>
                <w:szCs w:val="20"/>
                <w:color w:val="auto"/>
              </w:rPr>
            </w:pPr>
            <w:r>
              <w:rPr>
                <w:rFonts w:ascii="Arial" w:cs="Arial" w:eastAsia="Arial" w:hAnsi="Arial"/>
                <w:sz w:val="17"/>
                <w:szCs w:val="17"/>
                <w:color w:val="auto"/>
                <w:w w:val="73"/>
              </w:rPr>
              <w:t>12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65"/>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4"/>
          </w:tcPr>
          <w:p>
            <w:pPr>
              <w:jc w:val="center"/>
              <w:ind w:right="160"/>
              <w:spacing w:after="0"/>
              <w:rPr>
                <w:sz w:val="20"/>
                <w:szCs w:val="20"/>
                <w:color w:val="auto"/>
              </w:rPr>
            </w:pPr>
            <w:r>
              <w:rPr>
                <w:rFonts w:ascii="Arial" w:cs="Arial" w:eastAsia="Arial" w:hAnsi="Arial"/>
                <w:sz w:val="23"/>
                <w:szCs w:val="23"/>
                <w:b w:val="1"/>
                <w:bCs w:val="1"/>
                <w:color w:val="auto"/>
                <w:w w:val="92"/>
              </w:rPr>
              <w:t>Group</w:t>
            </w:r>
          </w:p>
        </w:tc>
        <w:tc>
          <w:tcPr>
            <w:tcW w:w="0" w:type="dxa"/>
            <w:vAlign w:val="bottom"/>
          </w:tcPr>
          <w:p>
            <w:pPr>
              <w:spacing w:after="0"/>
              <w:rPr>
                <w:sz w:val="1"/>
                <w:szCs w:val="1"/>
                <w:color w:val="auto"/>
              </w:rPr>
            </w:pPr>
          </w:p>
        </w:tc>
      </w:tr>
      <w:tr>
        <w:trPr>
          <w:trHeight w:val="265"/>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840" w:type="dxa"/>
            <w:vAlign w:val="bottom"/>
            <w:gridSpan w:val="5"/>
          </w:tcPr>
          <w:p>
            <w:pPr>
              <w:jc w:val="center"/>
              <w:ind w:right="2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vMerge w:val="restart"/>
          </w:tcPr>
          <w:p>
            <w:pPr>
              <w:jc w:val="right"/>
              <w:ind w:right="385"/>
              <w:spacing w:after="0"/>
              <w:rPr>
                <w:sz w:val="20"/>
                <w:szCs w:val="20"/>
                <w:color w:val="auto"/>
              </w:rPr>
            </w:pPr>
            <w:r>
              <w:rPr>
                <w:rFonts w:ascii="Arial" w:cs="Arial" w:eastAsia="Arial" w:hAnsi="Arial"/>
                <w:sz w:val="23"/>
                <w:szCs w:val="23"/>
                <w:b w:val="1"/>
                <w:bCs w:val="1"/>
                <w:color w:val="auto"/>
              </w:rPr>
              <w:t>Primary Nature of</w:t>
            </w:r>
          </w:p>
        </w:tc>
        <w:tc>
          <w:tcPr>
            <w:tcW w:w="120" w:type="dxa"/>
            <w:vAlign w:val="bottom"/>
          </w:tcPr>
          <w:p>
            <w:pPr>
              <w:spacing w:after="0"/>
              <w:rPr>
                <w:sz w:val="24"/>
                <w:szCs w:val="24"/>
                <w:color w:val="auto"/>
              </w:rPr>
            </w:pPr>
          </w:p>
        </w:tc>
        <w:tc>
          <w:tcPr>
            <w:tcW w:w="2720" w:type="dxa"/>
            <w:vAlign w:val="bottom"/>
            <w:gridSpan w:val="4"/>
          </w:tcPr>
          <w:p>
            <w:pPr>
              <w:jc w:val="center"/>
              <w:ind w:right="160"/>
              <w:spacing w:after="0"/>
              <w:rPr>
                <w:sz w:val="20"/>
                <w:szCs w:val="20"/>
                <w:color w:val="auto"/>
              </w:rPr>
            </w:pPr>
            <w:r>
              <w:rPr>
                <w:rFonts w:ascii="Arial" w:cs="Arial" w:eastAsia="Arial" w:hAnsi="Arial"/>
                <w:sz w:val="23"/>
                <w:szCs w:val="23"/>
                <w:b w:val="1"/>
                <w:bCs w:val="1"/>
                <w:color w:val="auto"/>
                <w:w w:val="88"/>
              </w:rPr>
              <w:t>30 June</w:t>
            </w:r>
          </w:p>
        </w:tc>
        <w:tc>
          <w:tcPr>
            <w:tcW w:w="0" w:type="dxa"/>
            <w:vAlign w:val="bottom"/>
          </w:tcPr>
          <w:p>
            <w:pPr>
              <w:spacing w:after="0"/>
              <w:rPr>
                <w:sz w:val="1"/>
                <w:szCs w:val="1"/>
                <w:color w:val="auto"/>
              </w:rPr>
            </w:pPr>
          </w:p>
        </w:tc>
      </w:tr>
      <w:tr>
        <w:trPr>
          <w:trHeight w:val="227"/>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136"/>
              <w:spacing w:after="0" w:line="226" w:lineRule="exact"/>
              <w:rPr>
                <w:sz w:val="20"/>
                <w:szCs w:val="20"/>
                <w:color w:val="auto"/>
              </w:rPr>
            </w:pPr>
            <w:r>
              <w:rPr>
                <w:rFonts w:ascii="Arial" w:cs="Arial" w:eastAsia="Arial" w:hAnsi="Arial"/>
                <w:sz w:val="23"/>
                <w:szCs w:val="23"/>
                <w:b w:val="1"/>
                <w:bCs w:val="1"/>
                <w:color w:val="auto"/>
              </w:rPr>
              <w:t>2011</w:t>
            </w:r>
          </w:p>
        </w:tc>
        <w:tc>
          <w:tcPr>
            <w:tcW w:w="1200" w:type="dxa"/>
            <w:vAlign w:val="bottom"/>
            <w:tcBorders>
              <w:top w:val="single" w:sz="8" w:color="auto"/>
            </w:tcBorders>
          </w:tcPr>
          <w:p>
            <w:pPr>
              <w:jc w:val="right"/>
              <w:spacing w:after="0" w:line="226"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840" w:type="dxa"/>
            <w:vAlign w:val="bottom"/>
          </w:tcPr>
          <w:p>
            <w:pPr>
              <w:ind w:left="100"/>
              <w:spacing w:after="0"/>
              <w:rPr>
                <w:sz w:val="20"/>
                <w:szCs w:val="20"/>
                <w:color w:val="auto"/>
              </w:rPr>
            </w:pPr>
            <w:r>
              <w:rPr>
                <w:rFonts w:ascii="Arial" w:cs="Arial" w:eastAsia="Arial" w:hAnsi="Arial"/>
                <w:sz w:val="23"/>
                <w:szCs w:val="23"/>
                <w:b w:val="1"/>
                <w:bCs w:val="1"/>
                <w:color w:val="auto"/>
                <w:w w:val="93"/>
              </w:rPr>
              <w:t>Name of Related Company</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23"/>
                <w:szCs w:val="23"/>
                <w:b w:val="1"/>
                <w:bCs w:val="1"/>
                <w:color w:val="auto"/>
                <w:w w:val="90"/>
              </w:rPr>
              <w:t>Relation to the Company</w:t>
            </w:r>
          </w:p>
        </w:tc>
        <w:tc>
          <w:tcPr>
            <w:tcW w:w="100" w:type="dxa"/>
            <w:vAlign w:val="bottom"/>
          </w:tcPr>
          <w:p>
            <w:pPr>
              <w:spacing w:after="0"/>
              <w:rPr>
                <w:sz w:val="24"/>
                <w:szCs w:val="24"/>
                <w:color w:val="auto"/>
              </w:rPr>
            </w:pPr>
          </w:p>
        </w:tc>
        <w:tc>
          <w:tcPr>
            <w:tcW w:w="2840" w:type="dxa"/>
            <w:vAlign w:val="bottom"/>
          </w:tcPr>
          <w:p>
            <w:pPr>
              <w:jc w:val="right"/>
              <w:ind w:right="665"/>
              <w:spacing w:after="0"/>
              <w:rPr>
                <w:sz w:val="20"/>
                <w:szCs w:val="20"/>
                <w:color w:val="auto"/>
              </w:rPr>
            </w:pPr>
            <w:r>
              <w:rPr>
                <w:rFonts w:ascii="Arial" w:cs="Arial" w:eastAsia="Arial" w:hAnsi="Arial"/>
                <w:sz w:val="23"/>
                <w:szCs w:val="23"/>
                <w:b w:val="1"/>
                <w:bCs w:val="1"/>
                <w:color w:val="auto"/>
              </w:rPr>
              <w:t>Transactions</w:t>
            </w:r>
          </w:p>
        </w:tc>
        <w:tc>
          <w:tcPr>
            <w:tcW w:w="120" w:type="dxa"/>
            <w:vAlign w:val="bottom"/>
          </w:tcPr>
          <w:p>
            <w:pPr>
              <w:spacing w:after="0"/>
              <w:rPr>
                <w:sz w:val="24"/>
                <w:szCs w:val="24"/>
                <w:color w:val="auto"/>
              </w:rPr>
            </w:pPr>
          </w:p>
        </w:tc>
        <w:tc>
          <w:tcPr>
            <w:tcW w:w="1420" w:type="dxa"/>
            <w:vAlign w:val="bottom"/>
            <w:gridSpan w:val="2"/>
          </w:tcPr>
          <w:p>
            <w:pPr>
              <w:jc w:val="right"/>
              <w:ind w:right="136"/>
              <w:spacing w:after="0"/>
              <w:rPr>
                <w:sz w:val="20"/>
                <w:szCs w:val="20"/>
                <w:color w:val="auto"/>
              </w:rPr>
            </w:pPr>
            <w:r>
              <w:rPr>
                <w:rFonts w:ascii="Arial" w:cs="Arial" w:eastAsia="Arial" w:hAnsi="Arial"/>
                <w:sz w:val="23"/>
                <w:szCs w:val="23"/>
                <w:b w:val="1"/>
                <w:bCs w:val="1"/>
                <w:i w:val="1"/>
                <w:iCs w:val="1"/>
                <w:color w:val="auto"/>
              </w:rPr>
              <w:t>HK$</w:t>
            </w:r>
          </w:p>
        </w:tc>
        <w:tc>
          <w:tcPr>
            <w:tcW w:w="130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auto"/>
              </w:rPr>
              <w:t>HK$</w:t>
            </w: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640"/>
              <w:spacing w:after="0" w:line="233" w:lineRule="exact"/>
              <w:rPr>
                <w:sz w:val="20"/>
                <w:szCs w:val="20"/>
                <w:color w:val="auto"/>
              </w:rPr>
            </w:pPr>
            <w:r>
              <w:rPr>
                <w:rFonts w:ascii="Arial" w:cs="Arial" w:eastAsia="Arial" w:hAnsi="Arial"/>
                <w:sz w:val="23"/>
                <w:szCs w:val="23"/>
                <w:color w:val="auto"/>
              </w:rPr>
              <w:t>(in</w:t>
            </w:r>
          </w:p>
        </w:tc>
        <w:tc>
          <w:tcPr>
            <w:tcW w:w="1440" w:type="dxa"/>
            <w:vAlign w:val="bottom"/>
            <w:gridSpan w:val="2"/>
          </w:tcPr>
          <w:p>
            <w:pPr>
              <w:jc w:val="right"/>
              <w:ind w:right="565"/>
              <w:spacing w:after="0" w:line="233" w:lineRule="exact"/>
              <w:rPr>
                <w:sz w:val="20"/>
                <w:szCs w:val="20"/>
                <w:color w:val="auto"/>
              </w:rPr>
            </w:pPr>
            <w:r>
              <w:rPr>
                <w:rFonts w:ascii="Arial" w:cs="Arial" w:eastAsia="Arial" w:hAnsi="Arial"/>
                <w:sz w:val="21"/>
                <w:szCs w:val="2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136"/>
              <w:spacing w:after="0"/>
              <w:rPr>
                <w:sz w:val="20"/>
                <w:szCs w:val="20"/>
                <w:color w:val="auto"/>
              </w:rPr>
            </w:pPr>
            <w:r>
              <w:rPr>
                <w:rFonts w:ascii="Arial" w:cs="Arial" w:eastAsia="Arial" w:hAnsi="Arial"/>
                <w:sz w:val="23"/>
                <w:szCs w:val="23"/>
                <w:b w:val="1"/>
                <w:bCs w:val="1"/>
                <w:i w:val="1"/>
                <w:iCs w:val="1"/>
                <w:color w:val="auto"/>
                <w:w w:val="92"/>
              </w:rPr>
              <w:t>(unaudited)</w:t>
            </w:r>
          </w:p>
        </w:tc>
        <w:tc>
          <w:tcPr>
            <w:tcW w:w="130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auto"/>
              </w:rPr>
              <w:t>(unaudited)</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4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spacing w:after="0" w:line="240" w:lineRule="exact"/>
              <w:rPr>
                <w:sz w:val="20"/>
                <w:szCs w:val="20"/>
                <w:color w:val="auto"/>
              </w:rPr>
            </w:pPr>
            <w:r>
              <w:rPr>
                <w:rFonts w:ascii="Arial" w:cs="Arial" w:eastAsia="Arial" w:hAnsi="Arial"/>
                <w:sz w:val="23"/>
                <w:szCs w:val="23"/>
                <w:color w:val="auto"/>
                <w:w w:val="90"/>
              </w:rPr>
              <w:t>Subsidiary of Wynn Resorts,</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540" w:type="dxa"/>
            <w:vAlign w:val="bottom"/>
            <w:gridSpan w:val="3"/>
            <w:vMerge w:val="restart"/>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12,303</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840" w:type="dxa"/>
            <w:vAlign w:val="bottom"/>
            <w:shd w:val="clear" w:color="auto" w:fill="CCEEFF"/>
          </w:tcPr>
          <w:p>
            <w:pPr>
              <w:spacing w:after="0"/>
              <w:rPr>
                <w:sz w:val="20"/>
                <w:szCs w:val="20"/>
                <w:color w:val="auto"/>
              </w:rPr>
            </w:pPr>
            <w:r>
              <w:rPr>
                <w:rFonts w:ascii="Arial" w:cs="Arial" w:eastAsia="Arial" w:hAnsi="Arial"/>
                <w:sz w:val="23"/>
                <w:szCs w:val="23"/>
                <w:color w:val="auto"/>
                <w:w w:val="93"/>
              </w:rPr>
              <w:t>Wynn Design &amp; Development</w:t>
            </w:r>
          </w:p>
        </w:tc>
        <w:tc>
          <w:tcPr>
            <w:tcW w:w="100" w:type="dxa"/>
            <w:vAlign w:val="bottom"/>
            <w:shd w:val="clear" w:color="auto" w:fill="CCEEFF"/>
          </w:tcPr>
          <w:p>
            <w:pPr>
              <w:spacing w:after="0"/>
              <w:rPr>
                <w:sz w:val="24"/>
                <w:szCs w:val="24"/>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23"/>
                <w:szCs w:val="23"/>
                <w:color w:val="auto"/>
              </w:rPr>
              <w:t>Limited</w:t>
            </w: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jc w:val="right"/>
              <w:ind w:right="105"/>
              <w:spacing w:after="0"/>
              <w:rPr>
                <w:sz w:val="20"/>
                <w:szCs w:val="20"/>
                <w:color w:val="auto"/>
              </w:rPr>
            </w:pPr>
            <w:r>
              <w:rPr>
                <w:rFonts w:ascii="Arial" w:cs="Arial" w:eastAsia="Arial" w:hAnsi="Arial"/>
                <w:sz w:val="23"/>
                <w:szCs w:val="23"/>
                <w:color w:val="auto"/>
                <w:w w:val="91"/>
              </w:rPr>
              <w:t>Design/development payroll</w:t>
            </w:r>
          </w:p>
        </w:tc>
        <w:tc>
          <w:tcPr>
            <w:tcW w:w="1540" w:type="dxa"/>
            <w:vAlign w:val="bottom"/>
            <w:gridSpan w:val="3"/>
            <w:vMerge w:val="continue"/>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9,543</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4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spacing w:after="0" w:line="240" w:lineRule="exact"/>
              <w:rPr>
                <w:sz w:val="20"/>
                <w:szCs w:val="20"/>
                <w:color w:val="auto"/>
              </w:rPr>
            </w:pPr>
            <w:r>
              <w:rPr>
                <w:rFonts w:ascii="Arial" w:cs="Arial" w:eastAsia="Arial" w:hAnsi="Arial"/>
                <w:sz w:val="23"/>
                <w:szCs w:val="23"/>
                <w:color w:val="auto"/>
                <w:w w:val="90"/>
              </w:rPr>
              <w:t>Subsidiary of Wynn Resorts,</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540" w:type="dxa"/>
            <w:vAlign w:val="bottom"/>
            <w:gridSpan w:val="3"/>
            <w:vMerge w:val="restart"/>
            <w:shd w:val="clear" w:color="auto" w:fill="CCEEFF"/>
          </w:tcPr>
          <w:p>
            <w:pPr>
              <w:jc w:val="right"/>
              <w:ind w:right="136"/>
              <w:spacing w:after="0"/>
              <w:rPr>
                <w:sz w:val="20"/>
                <w:szCs w:val="20"/>
                <w:color w:val="auto"/>
              </w:rPr>
            </w:pPr>
            <w:r>
              <w:rPr>
                <w:rFonts w:ascii="Arial" w:cs="Arial" w:eastAsia="Arial" w:hAnsi="Arial"/>
                <w:sz w:val="23"/>
                <w:szCs w:val="23"/>
                <w:b w:val="1"/>
                <w:bCs w:val="1"/>
                <w:color w:val="auto"/>
              </w:rPr>
              <w:t>7,902</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840" w:type="dxa"/>
            <w:vAlign w:val="bottom"/>
            <w:shd w:val="clear" w:color="auto" w:fill="CCEEFF"/>
          </w:tcPr>
          <w:p>
            <w:pPr>
              <w:spacing w:after="0"/>
              <w:rPr>
                <w:sz w:val="20"/>
                <w:szCs w:val="20"/>
                <w:color w:val="auto"/>
              </w:rPr>
            </w:pPr>
            <w:r>
              <w:rPr>
                <w:rFonts w:ascii="Arial" w:cs="Arial" w:eastAsia="Arial" w:hAnsi="Arial"/>
                <w:sz w:val="23"/>
                <w:szCs w:val="23"/>
                <w:color w:val="auto"/>
              </w:rPr>
              <w:t>Las Vegas Jet, LLC</w:t>
            </w:r>
          </w:p>
        </w:tc>
        <w:tc>
          <w:tcPr>
            <w:tcW w:w="100" w:type="dxa"/>
            <w:vAlign w:val="bottom"/>
            <w:shd w:val="clear" w:color="auto" w:fill="CCEEFF"/>
          </w:tcPr>
          <w:p>
            <w:pPr>
              <w:spacing w:after="0"/>
              <w:rPr>
                <w:sz w:val="24"/>
                <w:szCs w:val="24"/>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23"/>
                <w:szCs w:val="23"/>
                <w:color w:val="auto"/>
              </w:rPr>
              <w:t>Limited</w:t>
            </w: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jc w:val="right"/>
              <w:ind w:right="385"/>
              <w:spacing w:after="0"/>
              <w:rPr>
                <w:sz w:val="20"/>
                <w:szCs w:val="20"/>
                <w:color w:val="auto"/>
              </w:rPr>
            </w:pPr>
            <w:r>
              <w:rPr>
                <w:rFonts w:ascii="Arial" w:cs="Arial" w:eastAsia="Arial" w:hAnsi="Arial"/>
                <w:sz w:val="23"/>
                <w:szCs w:val="23"/>
                <w:color w:val="auto"/>
                <w:w w:val="89"/>
              </w:rPr>
              <w:t>Airplane usage charges</w:t>
            </w:r>
            <w:r>
              <w:rPr>
                <w:rFonts w:ascii="Arial" w:cs="Arial" w:eastAsia="Arial" w:hAnsi="Arial"/>
                <w:sz w:val="16"/>
                <w:szCs w:val="16"/>
                <w:color w:val="auto"/>
                <w:w w:val="89"/>
              </w:rPr>
              <w:t>(ii)</w:t>
            </w:r>
          </w:p>
        </w:tc>
        <w:tc>
          <w:tcPr>
            <w:tcW w:w="1540" w:type="dxa"/>
            <w:vAlign w:val="bottom"/>
            <w:gridSpan w:val="3"/>
            <w:vMerge w:val="continue"/>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3,065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Arial" w:cs="Arial" w:eastAsia="Arial" w:hAnsi="Arial"/>
          <w:sz w:val="23"/>
          <w:szCs w:val="23"/>
          <w:color w:val="auto"/>
        </w:rPr>
        <w:t>All of the above transactions are noted as continuing related party transactions.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23"/>
          <w:szCs w:val="23"/>
          <w:i w:val="1"/>
          <w:iCs w:val="1"/>
          <w:color w:val="auto"/>
        </w:rPr>
        <w:t>Notes:</w:t>
      </w:r>
    </w:p>
    <w:p>
      <w:pPr>
        <w:spacing w:after="0" w:line="207" w:lineRule="exact"/>
        <w:rPr>
          <w:sz w:val="20"/>
          <w:szCs w:val="20"/>
          <w:color w:val="auto"/>
        </w:rPr>
      </w:pPr>
    </w:p>
    <w:p>
      <w:pPr>
        <w:ind w:left="920" w:hanging="450"/>
        <w:spacing w:after="0"/>
        <w:tabs>
          <w:tab w:leader="none" w:pos="920"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Royalty fees</w:t>
      </w:r>
    </w:p>
    <w:p>
      <w:pPr>
        <w:spacing w:after="0" w:line="218" w:lineRule="exact"/>
        <w:rPr>
          <w:rFonts w:ascii="Arial" w:cs="Arial" w:eastAsia="Arial" w:hAnsi="Arial"/>
          <w:sz w:val="23"/>
          <w:szCs w:val="23"/>
          <w:b w:val="1"/>
          <w:bCs w:val="1"/>
          <w:color w:val="auto"/>
        </w:rPr>
      </w:pPr>
    </w:p>
    <w:p>
      <w:pPr>
        <w:jc w:val="both"/>
        <w:ind w:left="920" w:right="40"/>
        <w:spacing w:after="0" w:line="242" w:lineRule="auto"/>
        <w:rPr>
          <w:rFonts w:ascii="Arial" w:cs="Arial" w:eastAsia="Arial" w:hAnsi="Arial"/>
          <w:sz w:val="23"/>
          <w:szCs w:val="23"/>
          <w:b w:val="1"/>
          <w:bCs w:val="1"/>
          <w:color w:val="auto"/>
        </w:rPr>
      </w:pPr>
      <w:r>
        <w:rPr>
          <w:rFonts w:ascii="Arial" w:cs="Arial" w:eastAsia="Arial" w:hAnsi="Arial"/>
          <w:sz w:val="23"/>
          <w:szCs w:val="23"/>
          <w:color w:val="auto"/>
        </w:rPr>
        <w:t>Prior to Listing, WRM had an arrangement with Wynn Resorts, Limited and Wynn Resorts Holdings, LLC (together, the “Licensors”) under which the Licensors licensed to WRM certain trademarks and service marks, other marks and works, domain names, and hotel casino design, development and management know-how (collectively, the “Intellectual Property Rights”). On 19 September 2009, each of the Company and WRM entered into an intellectual property license agreement with the Licensors (together, the “IP License Arrangement”), which has a 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a third party’s intellectual property, including any applicable limitations on the scope of the license, limitations on sub-licensing, termination (including change of control) under certain circumstances and other standard provisions.</w:t>
      </w:r>
    </w:p>
    <w:p>
      <w:pPr>
        <w:spacing w:after="0" w:line="194" w:lineRule="exact"/>
        <w:rPr>
          <w:rFonts w:ascii="Arial" w:cs="Arial" w:eastAsia="Arial" w:hAnsi="Arial"/>
          <w:sz w:val="23"/>
          <w:szCs w:val="23"/>
          <w:b w:val="1"/>
          <w:bCs w:val="1"/>
          <w:color w:val="auto"/>
        </w:rPr>
      </w:pPr>
    </w:p>
    <w:p>
      <w:pPr>
        <w:jc w:val="both"/>
        <w:ind w:left="920" w:right="40"/>
        <w:spacing w:after="0" w:line="256" w:lineRule="auto"/>
        <w:rPr>
          <w:rFonts w:ascii="Arial" w:cs="Arial" w:eastAsia="Arial" w:hAnsi="Arial"/>
          <w:sz w:val="23"/>
          <w:szCs w:val="23"/>
          <w:b w:val="1"/>
          <w:bCs w:val="1"/>
          <w:color w:val="auto"/>
        </w:rPr>
      </w:pPr>
      <w:r>
        <w:rPr>
          <w:rFonts w:ascii="Arial" w:cs="Arial" w:eastAsia="Arial" w:hAnsi="Arial"/>
          <w:sz w:val="22"/>
          <w:szCs w:val="22"/>
          <w:color w:val="auto"/>
        </w:rPr>
        <w:t>The license fee payable to Wynn Resorts Holdings, LLC equals the greater of (1) 3% of the IP gross monthly revenues, and (2) US$1.5 million (approximately HK$11.6 million) per month. For the purposes of each intellectual property license agreement, the term “IP gross revenues” refers to the licensee’s total operating revenues as adjusted by adding back (1) commissions and discounts which were netted against operating revenues, and (2) 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Group’s accounting policies and prepared in accordance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6" w:name="page17"/>
    <w:bookmarkEnd w:id="16"/>
    <w:p>
      <w:pPr>
        <w:jc w:val="both"/>
        <w:ind w:left="920" w:right="40"/>
        <w:spacing w:after="0" w:line="249" w:lineRule="auto"/>
        <w:rPr>
          <w:sz w:val="20"/>
          <w:szCs w:val="20"/>
          <w:color w:val="auto"/>
        </w:rPr>
      </w:pPr>
      <w:r>
        <w:rPr>
          <w:rFonts w:ascii="Arial" w:cs="Arial" w:eastAsia="Arial" w:hAnsi="Arial"/>
          <w:sz w:val="23"/>
          <w:szCs w:val="23"/>
          <w:color w:val="auto"/>
        </w:rPr>
        <w:t>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175" w:lineRule="exact"/>
        <w:rPr>
          <w:sz w:val="20"/>
          <w:szCs w:val="20"/>
          <w:color w:val="auto"/>
        </w:rPr>
      </w:pPr>
    </w:p>
    <w:p>
      <w:pPr>
        <w:jc w:val="both"/>
        <w:ind w:left="920" w:right="40"/>
        <w:spacing w:after="0" w:line="253" w:lineRule="auto"/>
        <w:rPr>
          <w:sz w:val="20"/>
          <w:szCs w:val="20"/>
          <w:color w:val="auto"/>
        </w:rPr>
      </w:pPr>
      <w:r>
        <w:rPr>
          <w:rFonts w:ascii="Arial" w:cs="Arial" w:eastAsia="Arial" w:hAnsi="Arial"/>
          <w:sz w:val="23"/>
          <w:szCs w:val="23"/>
          <w:color w:val="auto"/>
        </w:rPr>
        <w:t>The following table presents a reconciliation of total operating revenues (as reported in the Group’s interim financial information) to WRM’s IP gross revenues as used for purposes of the IP License Arrangement between WRM and the Licensors.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64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231E1F"/>
                <w:w w:val="95"/>
              </w:rPr>
              <w:t>Group</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64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231E1F"/>
                <w:w w:val="88"/>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4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231E1F"/>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20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231E1F"/>
              </w:rPr>
              <w:t>2011</w:t>
            </w:r>
          </w:p>
        </w:tc>
        <w:tc>
          <w:tcPr>
            <w:tcW w:w="134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231E1F"/>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rPr>
              <w:t>HK$</w:t>
            </w:r>
          </w:p>
        </w:tc>
        <w:tc>
          <w:tcPr>
            <w:tcW w:w="200" w:type="dxa"/>
            <w:vAlign w:val="bottom"/>
          </w:tcPr>
          <w:p>
            <w:pPr>
              <w:spacing w:after="0"/>
              <w:rPr>
                <w:sz w:val="24"/>
                <w:szCs w:val="24"/>
                <w:color w:val="auto"/>
              </w:rPr>
            </w:pPr>
          </w:p>
        </w:tc>
        <w:tc>
          <w:tcPr>
            <w:tcW w:w="1240" w:type="dxa"/>
            <w:vAlign w:val="bottom"/>
            <w:gridSpan w:val="2"/>
          </w:tcPr>
          <w:p>
            <w:pPr>
              <w:ind w:left="720"/>
              <w:spacing w:after="0"/>
              <w:rPr>
                <w:sz w:val="20"/>
                <w:szCs w:val="20"/>
                <w:color w:val="auto"/>
              </w:rPr>
            </w:pPr>
            <w:r>
              <w:rPr>
                <w:rFonts w:ascii="Arial" w:cs="Arial" w:eastAsia="Arial" w:hAnsi="Arial"/>
                <w:sz w:val="23"/>
                <w:szCs w:val="23"/>
                <w:i w:val="1"/>
                <w:iCs w:val="1"/>
                <w:color w:val="231E1F"/>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640" w:type="dxa"/>
            <w:vAlign w:val="bottom"/>
            <w:gridSpan w:val="4"/>
          </w:tcPr>
          <w:p>
            <w:pPr>
              <w:jc w:val="center"/>
              <w:ind w:right="100"/>
              <w:spacing w:after="0" w:line="233" w:lineRule="exact"/>
              <w:rPr>
                <w:sz w:val="20"/>
                <w:szCs w:val="20"/>
                <w:color w:val="auto"/>
              </w:rPr>
            </w:pPr>
            <w:r>
              <w:rPr>
                <w:rFonts w:ascii="Arial" w:cs="Arial" w:eastAsia="Arial" w:hAnsi="Arial"/>
                <w:sz w:val="23"/>
                <w:szCs w:val="23"/>
                <w:color w:val="231E1F"/>
                <w:w w:val="89"/>
              </w:rPr>
              <w:t>(in thousands)</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3"/>
                <w:szCs w:val="23"/>
                <w:b w:val="1"/>
                <w:bCs w:val="1"/>
                <w:i w:val="1"/>
                <w:iCs w:val="1"/>
                <w:color w:val="231E1F"/>
                <w:w w:val="86"/>
              </w:rPr>
              <w:t>(unaudited)</w:t>
            </w:r>
          </w:p>
        </w:tc>
        <w:tc>
          <w:tcPr>
            <w:tcW w:w="2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23"/>
                <w:szCs w:val="23"/>
                <w:i w:val="1"/>
                <w:iCs w:val="1"/>
                <w:color w:val="231E1F"/>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Total operating revenues</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14,337,783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10,139,953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Commissions and discounts included in operating revenues</w:t>
            </w:r>
          </w:p>
        </w:tc>
        <w:tc>
          <w:tcPr>
            <w:tcW w:w="1200" w:type="dxa"/>
            <w:vAlign w:val="bottom"/>
          </w:tcPr>
          <w:p>
            <w:pPr>
              <w:jc w:val="right"/>
              <w:spacing w:after="0"/>
              <w:rPr>
                <w:sz w:val="20"/>
                <w:szCs w:val="20"/>
                <w:color w:val="auto"/>
              </w:rPr>
            </w:pPr>
            <w:r>
              <w:rPr>
                <w:rFonts w:ascii="Arial" w:cs="Arial" w:eastAsia="Arial" w:hAnsi="Arial"/>
                <w:sz w:val="23"/>
                <w:szCs w:val="23"/>
                <w:b w:val="1"/>
                <w:bCs w:val="1"/>
                <w:color w:val="231E1F"/>
              </w:rPr>
              <w:t>4,160,280</w:t>
            </w:r>
          </w:p>
        </w:tc>
        <w:tc>
          <w:tcPr>
            <w:tcW w:w="1340" w:type="dxa"/>
            <w:vAlign w:val="bottom"/>
            <w:gridSpan w:val="2"/>
          </w:tcPr>
          <w:p>
            <w:pPr>
              <w:jc w:val="right"/>
              <w:spacing w:after="0"/>
              <w:rPr>
                <w:sz w:val="20"/>
                <w:szCs w:val="20"/>
                <w:color w:val="auto"/>
              </w:rPr>
            </w:pPr>
            <w:r>
              <w:rPr>
                <w:rFonts w:ascii="Arial" w:cs="Arial" w:eastAsia="Arial" w:hAnsi="Arial"/>
                <w:sz w:val="23"/>
                <w:szCs w:val="23"/>
                <w:color w:val="auto"/>
              </w:rPr>
              <w:t>2,845,470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Promotional allowances</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641,535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408,214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IP gross revenues</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3"/>
                <w:szCs w:val="23"/>
                <w:b w:val="1"/>
                <w:bCs w:val="1"/>
                <w:color w:val="231E1F"/>
              </w:rPr>
              <w:t>19,139,598</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13,393,637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760" w:type="dxa"/>
            <w:vAlign w:val="bottom"/>
            <w:shd w:val="clear" w:color="auto" w:fill="CCEEFF"/>
          </w:tcPr>
          <w:p>
            <w:pPr>
              <w:spacing w:after="0"/>
              <w:rPr>
                <w:sz w:val="3"/>
                <w:szCs w:val="3"/>
                <w:color w:val="auto"/>
              </w:rPr>
            </w:pPr>
          </w:p>
        </w:tc>
        <w:tc>
          <w:tcPr>
            <w:tcW w:w="1200" w:type="dxa"/>
            <w:vAlign w:val="bottom"/>
            <w:tcBorders>
              <w:right w:val="single" w:sz="8" w:color="CCEEFF"/>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920" w:hanging="450"/>
        <w:spacing w:after="0"/>
        <w:tabs>
          <w:tab w:leader="none" w:pos="920" w:val="left"/>
        </w:tabs>
        <w:numPr>
          <w:ilvl w:val="0"/>
          <w:numId w:val="11"/>
        </w:numPr>
        <w:rPr>
          <w:rFonts w:ascii="Arial" w:cs="Arial" w:eastAsia="Arial" w:hAnsi="Arial"/>
          <w:sz w:val="23"/>
          <w:szCs w:val="23"/>
          <w:b w:val="1"/>
          <w:bCs w:val="1"/>
          <w:color w:val="auto"/>
        </w:rPr>
      </w:pPr>
      <w:r>
        <w:rPr>
          <w:rFonts w:ascii="Arial" w:cs="Arial" w:eastAsia="Arial" w:hAnsi="Arial"/>
          <w:sz w:val="23"/>
          <w:szCs w:val="23"/>
          <w:b w:val="1"/>
          <w:bCs w:val="1"/>
          <w:color w:val="auto"/>
        </w:rPr>
        <w:t>Corporate support services</w:t>
      </w:r>
    </w:p>
    <w:p>
      <w:pPr>
        <w:spacing w:after="0" w:line="218" w:lineRule="exact"/>
        <w:rPr>
          <w:rFonts w:ascii="Arial" w:cs="Arial" w:eastAsia="Arial" w:hAnsi="Arial"/>
          <w:sz w:val="23"/>
          <w:szCs w:val="23"/>
          <w:b w:val="1"/>
          <w:bCs w:val="1"/>
          <w:color w:val="auto"/>
        </w:rPr>
      </w:pPr>
    </w:p>
    <w:p>
      <w:pPr>
        <w:jc w:val="both"/>
        <w:ind w:left="920" w:right="40"/>
        <w:spacing w:after="0" w:line="256" w:lineRule="auto"/>
        <w:rPr>
          <w:rFonts w:ascii="Arial" w:cs="Arial" w:eastAsia="Arial" w:hAnsi="Arial"/>
          <w:sz w:val="23"/>
          <w:szCs w:val="23"/>
          <w:b w:val="1"/>
          <w:bCs w:val="1"/>
          <w:color w:val="auto"/>
        </w:rPr>
      </w:pPr>
      <w:r>
        <w:rPr>
          <w:rFonts w:ascii="Arial" w:cs="Arial" w:eastAsia="Arial" w:hAnsi="Arial"/>
          <w:sz w:val="22"/>
          <w:szCs w:val="22"/>
          <w:color w:val="auto"/>
        </w:rPr>
        <w:t>Wynn Resorts, Limited provides corporate support services to assist the Group. These services consist of a limited number of executives in relevant areas assisting the Group on certain matters. The assistance includes guidance on certain issues and ensuring that, from a regulatory standpoint, Wynn Resorts, Limited’s standard operating procedures are followed and maintained by the Group. 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170" w:lineRule="exact"/>
        <w:rPr>
          <w:rFonts w:ascii="Arial" w:cs="Arial" w:eastAsia="Arial" w:hAnsi="Arial"/>
          <w:sz w:val="23"/>
          <w:szCs w:val="23"/>
          <w:b w:val="1"/>
          <w:bCs w:val="1"/>
          <w:color w:val="auto"/>
        </w:rPr>
      </w:pPr>
    </w:p>
    <w:p>
      <w:pPr>
        <w:jc w:val="both"/>
        <w:ind w:left="920" w:right="40"/>
        <w:spacing w:after="0" w:line="259" w:lineRule="auto"/>
        <w:rPr>
          <w:rFonts w:ascii="Arial" w:cs="Arial" w:eastAsia="Arial" w:hAnsi="Arial"/>
          <w:sz w:val="23"/>
          <w:szCs w:val="23"/>
          <w:b w:val="1"/>
          <w:bCs w:val="1"/>
          <w:color w:val="auto"/>
        </w:rPr>
      </w:pPr>
      <w:r>
        <w:rPr>
          <w:rFonts w:ascii="Arial" w:cs="Arial" w:eastAsia="Arial" w:hAnsi="Arial"/>
          <w:sz w:val="22"/>
          <w:szCs w:val="22"/>
          <w:color w:val="auto"/>
        </w:rPr>
        <w:t>Similarly, WML and WRM had reciprocal arrangements to allow Wynn Resorts, Limited or its subsidiaries (other than the Group) to have access to the services of any of the Group’s employees provided that such services do not materially interfere with such employee’s obligations to, and responsibilities with, the Group. For services provided by the Group’s employees, Wynn Resorts, Limited shall pay for the services based on an actual cost (including salaries and benefits for such employees during the period when such services are being rendered) and expense on a reimbursement basis.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7" w:name="page18"/>
    <w:bookmarkEnd w:id="17"/>
    <w:p>
      <w:pPr>
        <w:ind w:left="470"/>
        <w:spacing w:after="0" w:line="264" w:lineRule="auto"/>
        <w:rPr>
          <w:sz w:val="20"/>
          <w:szCs w:val="20"/>
          <w:color w:val="auto"/>
        </w:rPr>
      </w:pPr>
      <w:r>
        <w:rPr>
          <w:rFonts w:ascii="Arial" w:cs="Arial" w:eastAsia="Arial" w:hAnsi="Arial"/>
          <w:sz w:val="22"/>
          <w:szCs w:val="22"/>
          <w:color w:val="auto"/>
        </w:rPr>
        <w:t>Wynn Resorts, Limited allows WRM and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pacing w:after="0" w:line="207" w:lineRule="exact"/>
        <w:rPr>
          <w:sz w:val="20"/>
          <w:szCs w:val="20"/>
          <w:color w:val="auto"/>
        </w:rPr>
      </w:pPr>
    </w:p>
    <w:p>
      <w:pPr>
        <w:ind w:left="470" w:hanging="470"/>
        <w:spacing w:after="0"/>
        <w:tabs>
          <w:tab w:leader="none" w:pos="470" w:val="left"/>
        </w:tabs>
        <w:numPr>
          <w:ilvl w:val="0"/>
          <w:numId w:val="12"/>
        </w:numPr>
        <w:rPr>
          <w:rFonts w:ascii="Arial" w:cs="Arial" w:eastAsia="Arial" w:hAnsi="Arial"/>
          <w:sz w:val="23"/>
          <w:szCs w:val="23"/>
          <w:b w:val="1"/>
          <w:bCs w:val="1"/>
          <w:color w:val="auto"/>
        </w:rPr>
      </w:pPr>
      <w:r>
        <w:rPr>
          <w:rFonts w:ascii="Arial" w:cs="Arial" w:eastAsia="Arial" w:hAnsi="Arial"/>
          <w:sz w:val="23"/>
          <w:szCs w:val="23"/>
          <w:b w:val="1"/>
          <w:bCs w:val="1"/>
          <w:color w:val="auto"/>
        </w:rPr>
        <w:t>International marketing expenses</w:t>
      </w:r>
    </w:p>
    <w:p>
      <w:pPr>
        <w:spacing w:after="0" w:line="218" w:lineRule="exact"/>
        <w:rPr>
          <w:rFonts w:ascii="Arial" w:cs="Arial" w:eastAsia="Arial" w:hAnsi="Arial"/>
          <w:sz w:val="23"/>
          <w:szCs w:val="23"/>
          <w:b w:val="1"/>
          <w:bCs w:val="1"/>
          <w:color w:val="auto"/>
        </w:rPr>
      </w:pPr>
    </w:p>
    <w:p>
      <w:pPr>
        <w:jc w:val="both"/>
        <w:ind w:left="470" w:right="20"/>
        <w:spacing w:after="0" w:line="249" w:lineRule="auto"/>
        <w:rPr>
          <w:rFonts w:ascii="Arial" w:cs="Arial" w:eastAsia="Arial" w:hAnsi="Arial"/>
          <w:sz w:val="23"/>
          <w:szCs w:val="23"/>
          <w:b w:val="1"/>
          <w:bCs w:val="1"/>
          <w:color w:val="auto"/>
        </w:rPr>
      </w:pPr>
      <w:r>
        <w:rPr>
          <w:rFonts w:ascii="Arial" w:cs="Arial" w:eastAsia="Arial" w:hAnsi="Arial"/>
          <w:sz w:val="23"/>
          <w:szCs w:val="23"/>
          <w:color w:val="auto"/>
        </w:rPr>
        <w:t>WIML, a subsidiary of Wynn Resorts, Limited, (i) provides administrative, promotional, and marketing services as well as a limited number of marketing executives to attract and introduce customers to WRM, and (ii) employs certain non-Macau residents based in or to be based in Macau (“Foreign Resident Staff”) on the Company’s behalf and seconds the Foreign Resident Staff to the Group.</w:t>
      </w:r>
    </w:p>
    <w:p>
      <w:pPr>
        <w:spacing w:after="0" w:line="175" w:lineRule="exact"/>
        <w:rPr>
          <w:rFonts w:ascii="Arial" w:cs="Arial" w:eastAsia="Arial" w:hAnsi="Arial"/>
          <w:sz w:val="23"/>
          <w:szCs w:val="23"/>
          <w:b w:val="1"/>
          <w:bCs w:val="1"/>
          <w:color w:val="auto"/>
        </w:rPr>
      </w:pPr>
    </w:p>
    <w:p>
      <w:pPr>
        <w:jc w:val="both"/>
        <w:ind w:left="470" w:right="20"/>
        <w:spacing w:after="0" w:line="309" w:lineRule="auto"/>
        <w:rPr>
          <w:rFonts w:ascii="Arial" w:cs="Arial" w:eastAsia="Arial" w:hAnsi="Arial"/>
          <w:sz w:val="23"/>
          <w:szCs w:val="23"/>
          <w:b w:val="1"/>
          <w:bCs w:val="1"/>
          <w:color w:val="auto"/>
        </w:rPr>
      </w:pPr>
      <w:r>
        <w:rPr>
          <w:rFonts w:ascii="Arial" w:cs="Arial" w:eastAsia="Arial" w:hAnsi="Arial"/>
          <w:sz w:val="20"/>
          <w:szCs w:val="20"/>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113" w:lineRule="exact"/>
        <w:rPr>
          <w:rFonts w:ascii="Arial" w:cs="Arial" w:eastAsia="Arial" w:hAnsi="Arial"/>
          <w:sz w:val="23"/>
          <w:szCs w:val="23"/>
          <w:b w:val="1"/>
          <w:bCs w:val="1"/>
          <w:color w:val="auto"/>
        </w:rPr>
      </w:pPr>
    </w:p>
    <w:p>
      <w:pPr>
        <w:ind w:left="470" w:hanging="470"/>
        <w:spacing w:after="0"/>
        <w:tabs>
          <w:tab w:leader="none" w:pos="470" w:val="left"/>
        </w:tabs>
        <w:numPr>
          <w:ilvl w:val="0"/>
          <w:numId w:val="12"/>
        </w:numPr>
        <w:rPr>
          <w:rFonts w:ascii="Arial" w:cs="Arial" w:eastAsia="Arial" w:hAnsi="Arial"/>
          <w:sz w:val="23"/>
          <w:szCs w:val="23"/>
          <w:b w:val="1"/>
          <w:bCs w:val="1"/>
          <w:color w:val="auto"/>
        </w:rPr>
      </w:pPr>
      <w:r>
        <w:rPr>
          <w:rFonts w:ascii="Arial" w:cs="Arial" w:eastAsia="Arial" w:hAnsi="Arial"/>
          <w:sz w:val="23"/>
          <w:szCs w:val="23"/>
          <w:b w:val="1"/>
          <w:bCs w:val="1"/>
          <w:color w:val="auto"/>
        </w:rPr>
        <w:t>Staff secondment payroll charges</w:t>
      </w:r>
    </w:p>
    <w:p>
      <w:pPr>
        <w:spacing w:after="0" w:line="218" w:lineRule="exact"/>
        <w:rPr>
          <w:rFonts w:ascii="Arial" w:cs="Arial" w:eastAsia="Arial" w:hAnsi="Arial"/>
          <w:sz w:val="23"/>
          <w:szCs w:val="23"/>
          <w:b w:val="1"/>
          <w:bCs w:val="1"/>
          <w:color w:val="auto"/>
        </w:rPr>
      </w:pPr>
    </w:p>
    <w:p>
      <w:pPr>
        <w:jc w:val="both"/>
        <w:ind w:left="470" w:right="20"/>
        <w:spacing w:after="0" w:line="267" w:lineRule="auto"/>
        <w:rPr>
          <w:rFonts w:ascii="Arial" w:cs="Arial" w:eastAsia="Arial" w:hAnsi="Arial"/>
          <w:sz w:val="23"/>
          <w:szCs w:val="23"/>
          <w:b w:val="1"/>
          <w:bCs w:val="1"/>
          <w:color w:val="auto"/>
        </w:rPr>
      </w:pPr>
      <w:r>
        <w:rPr>
          <w:rFonts w:ascii="Arial" w:cs="Arial" w:eastAsia="Arial" w:hAnsi="Arial"/>
          <w:sz w:val="21"/>
          <w:szCs w:val="21"/>
          <w:color w:val="auto"/>
        </w:rPr>
        <w:t>Worldwide Wynn, a subsidiary of Wynn Resorts, Limited, is responsible for supplying management personnel to WRM for pre-determined lengths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periods. Worldwide Wynn was compensated for these services with a service fee equal to its aggregate costs plus</w:t>
      </w:r>
    </w:p>
    <w:p>
      <w:pPr>
        <w:spacing w:after="0" w:line="2" w:lineRule="exact"/>
        <w:rPr>
          <w:rFonts w:ascii="Arial" w:cs="Arial" w:eastAsia="Arial" w:hAnsi="Arial"/>
          <w:sz w:val="23"/>
          <w:szCs w:val="23"/>
          <w:b w:val="1"/>
          <w:bCs w:val="1"/>
          <w:color w:val="auto"/>
        </w:rPr>
      </w:pPr>
    </w:p>
    <w:p>
      <w:pPr>
        <w:ind w:left="470"/>
        <w:spacing w:after="0"/>
        <w:rPr>
          <w:rFonts w:ascii="Arial" w:cs="Arial" w:eastAsia="Arial" w:hAnsi="Arial"/>
          <w:sz w:val="23"/>
          <w:szCs w:val="23"/>
          <w:b w:val="1"/>
          <w:bCs w:val="1"/>
          <w:color w:val="auto"/>
        </w:rPr>
      </w:pPr>
      <w:r>
        <w:rPr>
          <w:rFonts w:ascii="Arial" w:cs="Arial" w:eastAsia="Arial" w:hAnsi="Arial"/>
          <w:sz w:val="22"/>
          <w:szCs w:val="22"/>
          <w:color w:val="auto"/>
        </w:rPr>
        <w:t>5% to Worldwide Wynn of the seconded employees during the periods of secondment to WRM, including:</w:t>
      </w:r>
    </w:p>
    <w:p>
      <w:pPr>
        <w:spacing w:after="0" w:line="204" w:lineRule="exact"/>
        <w:rPr>
          <w:rFonts w:ascii="Arial" w:cs="Arial" w:eastAsia="Arial" w:hAnsi="Arial"/>
          <w:sz w:val="23"/>
          <w:szCs w:val="23"/>
          <w:b w:val="1"/>
          <w:bCs w:val="1"/>
          <w:color w:val="auto"/>
        </w:rPr>
      </w:pPr>
    </w:p>
    <w:p>
      <w:pPr>
        <w:ind w:left="910" w:hanging="446"/>
        <w:spacing w:after="0"/>
        <w:tabs>
          <w:tab w:leader="none" w:pos="910" w:val="left"/>
        </w:tabs>
        <w:numPr>
          <w:ilvl w:val="1"/>
          <w:numId w:val="12"/>
        </w:numPr>
        <w:rPr>
          <w:rFonts w:ascii="Arial" w:cs="Arial" w:eastAsia="Arial" w:hAnsi="Arial"/>
          <w:sz w:val="23"/>
          <w:szCs w:val="23"/>
          <w:color w:val="auto"/>
        </w:rPr>
      </w:pPr>
      <w:r>
        <w:rPr>
          <w:rFonts w:ascii="Arial" w:cs="Arial" w:eastAsia="Arial" w:hAnsi="Arial"/>
          <w:sz w:val="23"/>
          <w:szCs w:val="23"/>
          <w:color w:val="auto"/>
        </w:rPr>
        <w:t>Wages-regular and overtime;</w:t>
      </w:r>
    </w:p>
    <w:p>
      <w:pPr>
        <w:spacing w:after="0" w:line="212" w:lineRule="exact"/>
        <w:rPr>
          <w:rFonts w:ascii="Arial" w:cs="Arial" w:eastAsia="Arial" w:hAnsi="Arial"/>
          <w:sz w:val="23"/>
          <w:szCs w:val="23"/>
          <w:color w:val="auto"/>
        </w:rPr>
      </w:pPr>
    </w:p>
    <w:p>
      <w:pPr>
        <w:ind w:left="910" w:hanging="446"/>
        <w:spacing w:after="0"/>
        <w:tabs>
          <w:tab w:leader="none" w:pos="910" w:val="left"/>
        </w:tabs>
        <w:numPr>
          <w:ilvl w:val="1"/>
          <w:numId w:val="12"/>
        </w:numPr>
        <w:rPr>
          <w:rFonts w:ascii="Arial" w:cs="Arial" w:eastAsia="Arial" w:hAnsi="Arial"/>
          <w:sz w:val="23"/>
          <w:szCs w:val="23"/>
          <w:color w:val="auto"/>
        </w:rPr>
      </w:pPr>
      <w:r>
        <w:rPr>
          <w:rFonts w:ascii="Arial" w:cs="Arial" w:eastAsia="Arial" w:hAnsi="Arial"/>
          <w:sz w:val="23"/>
          <w:szCs w:val="23"/>
          <w:color w:val="auto"/>
        </w:rPr>
        <w:t>Bonuses and commissions;</w:t>
      </w:r>
    </w:p>
    <w:p>
      <w:pPr>
        <w:spacing w:after="0" w:line="212" w:lineRule="exact"/>
        <w:rPr>
          <w:rFonts w:ascii="Arial" w:cs="Arial" w:eastAsia="Arial" w:hAnsi="Arial"/>
          <w:sz w:val="23"/>
          <w:szCs w:val="23"/>
          <w:color w:val="auto"/>
        </w:rPr>
      </w:pPr>
    </w:p>
    <w:p>
      <w:pPr>
        <w:ind w:left="910" w:hanging="446"/>
        <w:spacing w:after="0"/>
        <w:tabs>
          <w:tab w:leader="none" w:pos="910" w:val="left"/>
        </w:tabs>
        <w:numPr>
          <w:ilvl w:val="1"/>
          <w:numId w:val="12"/>
        </w:numPr>
        <w:rPr>
          <w:rFonts w:ascii="Arial" w:cs="Arial" w:eastAsia="Arial" w:hAnsi="Arial"/>
          <w:sz w:val="23"/>
          <w:szCs w:val="23"/>
          <w:color w:val="auto"/>
        </w:rPr>
      </w:pPr>
      <w:r>
        <w:rPr>
          <w:rFonts w:ascii="Arial" w:cs="Arial" w:eastAsia="Arial" w:hAnsi="Arial"/>
          <w:sz w:val="23"/>
          <w:szCs w:val="23"/>
          <w:color w:val="auto"/>
        </w:rPr>
        <w:t>Vacation pay and sick leave;</w:t>
      </w:r>
    </w:p>
    <w:p>
      <w:pPr>
        <w:spacing w:after="0" w:line="212" w:lineRule="exact"/>
        <w:rPr>
          <w:rFonts w:ascii="Arial" w:cs="Arial" w:eastAsia="Arial" w:hAnsi="Arial"/>
          <w:sz w:val="23"/>
          <w:szCs w:val="23"/>
          <w:color w:val="auto"/>
        </w:rPr>
      </w:pPr>
    </w:p>
    <w:p>
      <w:pPr>
        <w:ind w:left="910" w:hanging="446"/>
        <w:spacing w:after="0"/>
        <w:tabs>
          <w:tab w:leader="none" w:pos="910" w:val="left"/>
        </w:tabs>
        <w:numPr>
          <w:ilvl w:val="1"/>
          <w:numId w:val="12"/>
        </w:numPr>
        <w:rPr>
          <w:rFonts w:ascii="Arial" w:cs="Arial" w:eastAsia="Arial" w:hAnsi="Arial"/>
          <w:sz w:val="22"/>
          <w:szCs w:val="22"/>
          <w:color w:val="auto"/>
        </w:rPr>
      </w:pPr>
      <w:r>
        <w:rPr>
          <w:rFonts w:ascii="Arial" w:cs="Arial" w:eastAsia="Arial" w:hAnsi="Arial"/>
          <w:sz w:val="22"/>
          <w:szCs w:val="22"/>
          <w:color w:val="auto"/>
        </w:rPr>
        <w:t>Employee benefit plans, including health insurance, life insurance, and other insurance or 401k plans;</w:t>
      </w:r>
    </w:p>
    <w:p>
      <w:pPr>
        <w:spacing w:after="0" w:line="224" w:lineRule="exact"/>
        <w:rPr>
          <w:rFonts w:ascii="Arial" w:cs="Arial" w:eastAsia="Arial" w:hAnsi="Arial"/>
          <w:sz w:val="22"/>
          <w:szCs w:val="22"/>
          <w:color w:val="auto"/>
        </w:rPr>
      </w:pPr>
    </w:p>
    <w:p>
      <w:pPr>
        <w:ind w:left="910" w:hanging="446"/>
        <w:spacing w:after="0"/>
        <w:tabs>
          <w:tab w:leader="none" w:pos="910" w:val="left"/>
        </w:tabs>
        <w:numPr>
          <w:ilvl w:val="1"/>
          <w:numId w:val="12"/>
        </w:numPr>
        <w:rPr>
          <w:rFonts w:ascii="Arial" w:cs="Arial" w:eastAsia="Arial" w:hAnsi="Arial"/>
          <w:sz w:val="21"/>
          <w:szCs w:val="21"/>
          <w:color w:val="auto"/>
        </w:rPr>
      </w:pPr>
      <w:r>
        <w:rPr>
          <w:rFonts w:ascii="Arial" w:cs="Arial" w:eastAsia="Arial" w:hAnsi="Arial"/>
          <w:sz w:val="21"/>
          <w:szCs w:val="21"/>
          <w:color w:val="auto"/>
        </w:rPr>
        <w:t>Employer-paid federal, state or local taxes or workers’ compensation costs and unemployment taxes; and</w:t>
      </w:r>
    </w:p>
    <w:p>
      <w:pPr>
        <w:spacing w:after="0" w:line="235" w:lineRule="exact"/>
        <w:rPr>
          <w:rFonts w:ascii="Arial" w:cs="Arial" w:eastAsia="Arial" w:hAnsi="Arial"/>
          <w:sz w:val="21"/>
          <w:szCs w:val="21"/>
          <w:color w:val="auto"/>
        </w:rPr>
      </w:pPr>
    </w:p>
    <w:p>
      <w:pPr>
        <w:ind w:left="910" w:hanging="446"/>
        <w:spacing w:after="0"/>
        <w:tabs>
          <w:tab w:leader="none" w:pos="910" w:val="left"/>
        </w:tabs>
        <w:numPr>
          <w:ilvl w:val="1"/>
          <w:numId w:val="12"/>
        </w:numPr>
        <w:rPr>
          <w:rFonts w:ascii="Arial" w:cs="Arial" w:eastAsia="Arial" w:hAnsi="Arial"/>
          <w:sz w:val="23"/>
          <w:szCs w:val="23"/>
          <w:color w:val="auto"/>
        </w:rPr>
      </w:pPr>
      <w:r>
        <w:rPr>
          <w:rFonts w:ascii="Arial" w:cs="Arial" w:eastAsia="Arial" w:hAnsi="Arial"/>
          <w:sz w:val="23"/>
          <w:szCs w:val="23"/>
          <w:color w:val="auto"/>
        </w:rPr>
        <w:t>Employer-paid business expenses and employee international allowances.</w:t>
      </w:r>
    </w:p>
    <w:p>
      <w:pPr>
        <w:spacing w:after="0" w:line="213" w:lineRule="exact"/>
        <w:rPr>
          <w:sz w:val="20"/>
          <w:szCs w:val="20"/>
          <w:color w:val="auto"/>
        </w:rPr>
      </w:pPr>
    </w:p>
    <w:p>
      <w:pPr>
        <w:jc w:val="both"/>
        <w:ind w:left="10" w:right="20"/>
        <w:spacing w:after="0" w:line="249" w:lineRule="auto"/>
        <w:rPr>
          <w:sz w:val="20"/>
          <w:szCs w:val="20"/>
          <w:color w:val="auto"/>
        </w:rPr>
      </w:pPr>
      <w:r>
        <w:rPr>
          <w:rFonts w:ascii="Arial" w:cs="Arial" w:eastAsia="Arial" w:hAnsi="Arial"/>
          <w:sz w:val="23"/>
          <w:szCs w:val="23"/>
          <w:color w:val="auto"/>
        </w:rPr>
        <w:t>The above transactions were carried out on terms mutually agreed between the Group and the related companies. There were no significant charges from the Group to the related companies during the six months ended 30 June 2011 and 2010. In the opinion of the Directors, the related party transactions were conducted in the ordinary and usual course of the Group’s business.</w:t>
      </w:r>
    </w:p>
    <w:p>
      <w:pPr>
        <w:spacing w:after="0" w:line="361" w:lineRule="exact"/>
        <w:rPr>
          <w:sz w:val="20"/>
          <w:szCs w:val="20"/>
          <w:color w:val="auto"/>
        </w:rPr>
      </w:pPr>
    </w:p>
    <w:p>
      <w:pPr>
        <w:jc w:val="center"/>
        <w:ind w:right="43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30"/>
          </w:cols>
          <w:pgMar w:left="710" w:top="498" w:right="259" w:bottom="1440" w:gutter="0" w:footer="0" w:header="0"/>
        </w:sectPr>
      </w:pPr>
    </w:p>
    <w:bookmarkStart w:id="18" w:name="page19"/>
    <w:bookmarkEnd w:id="18"/>
    <w:p>
      <w:pPr>
        <w:ind w:left="480" w:right="880"/>
        <w:spacing w:after="0" w:line="433" w:lineRule="auto"/>
        <w:rPr>
          <w:sz w:val="20"/>
          <w:szCs w:val="20"/>
          <w:color w:val="auto"/>
        </w:rPr>
      </w:pPr>
      <w:r>
        <w:rPr>
          <w:rFonts w:ascii="Arial" w:cs="Arial" w:eastAsia="Arial" w:hAnsi="Arial"/>
          <w:sz w:val="23"/>
          <w:szCs w:val="23"/>
          <w:color w:val="auto"/>
        </w:rPr>
        <w:t xml:space="preserve">All such outstanding balances between the Group and the related companies are deemed to be trade in nature. </w:t>
      </w:r>
      <w:r>
        <w:rPr>
          <w:rFonts w:ascii="Arial" w:cs="Arial" w:eastAsia="Arial" w:hAnsi="Arial"/>
          <w:sz w:val="23"/>
          <w:szCs w:val="23"/>
          <w:b w:val="1"/>
          <w:bCs w:val="1"/>
          <w:color w:val="auto"/>
        </w:rPr>
        <w:t>Home Purchase</w:t>
      </w:r>
    </w:p>
    <w:p>
      <w:pPr>
        <w:jc w:val="both"/>
        <w:ind w:left="480" w:right="40"/>
        <w:spacing w:after="0" w:line="247" w:lineRule="auto"/>
        <w:rPr>
          <w:sz w:val="20"/>
          <w:szCs w:val="20"/>
          <w:color w:val="auto"/>
        </w:rPr>
      </w:pPr>
      <w:r>
        <w:rPr>
          <w:rFonts w:ascii="Arial" w:cs="Arial" w:eastAsia="Arial" w:hAnsi="Arial"/>
          <w:sz w:val="23"/>
          <w:szCs w:val="23"/>
          <w:color w:val="auto"/>
        </w:rPr>
        <w:t>In May 2010, Worldwide Wynn entered into a new employment agreement with Linda Chen, who is also a director of Wynn Macau, Limited and Wynn Resorts Limited. Under the terms of the employment agreement, Worldwide Wynn caused Wynn Macau to purchase a house in Macau for use by Ms. Chen. As at 30 June 2011, the net carrying amount of the house together with improvements and its land lease right was HK$52.5 million (31 December 2010: HK$44.6 million).</w:t>
      </w:r>
    </w:p>
    <w:p>
      <w:pPr>
        <w:spacing w:after="0" w:line="197"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Management Discussion and Analysis</w:t>
      </w: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OVERVIEW</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Wynn Macau opened to the public on 6 September 2006 at the center of casino activities on the urban Macau peninsula. In December 2007 and November 2009, Wynn Macau completed expansions, adding more gaming space and additional food and beverage and retail amenities. Encore at Wynn Macau, a further expansion of Wynn Macau that adds a fully integrated resort hotel, opened on 21 April 2010.</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231E1F"/>
        </w:rPr>
        <w:t>Our Macau resort complex features:</w:t>
      </w:r>
    </w:p>
    <w:p>
      <w:pPr>
        <w:spacing w:after="0" w:line="239" w:lineRule="exact"/>
        <w:rPr>
          <w:sz w:val="20"/>
          <w:szCs w:val="20"/>
          <w:color w:val="auto"/>
        </w:rPr>
      </w:pPr>
    </w:p>
    <w:p>
      <w:pPr>
        <w:ind w:left="480" w:right="40" w:hanging="474"/>
        <w:spacing w:after="0" w:line="266" w:lineRule="auto"/>
        <w:tabs>
          <w:tab w:leader="none" w:pos="480" w:val="left"/>
        </w:tabs>
        <w:numPr>
          <w:ilvl w:val="0"/>
          <w:numId w:val="13"/>
        </w:numPr>
        <w:rPr>
          <w:rFonts w:ascii="Arial" w:cs="Arial" w:eastAsia="Arial" w:hAnsi="Arial"/>
          <w:sz w:val="23"/>
          <w:szCs w:val="23"/>
          <w:color w:val="231E1F"/>
        </w:rPr>
      </w:pPr>
      <w:r>
        <w:rPr>
          <w:rFonts w:ascii="Arial" w:cs="Arial" w:eastAsia="Arial" w:hAnsi="Arial"/>
          <w:sz w:val="23"/>
          <w:szCs w:val="23"/>
          <w:color w:val="auto"/>
        </w:rPr>
        <w:t>Approximately 265,000 square feet of casino space, offering 24-hour gaming and a full range of games, including private gaming salons, sky casinos and a poker area;</w:t>
      </w:r>
    </w:p>
    <w:p>
      <w:pPr>
        <w:spacing w:after="0" w:line="156" w:lineRule="exact"/>
        <w:rPr>
          <w:rFonts w:ascii="Arial" w:cs="Arial" w:eastAsia="Arial" w:hAnsi="Arial"/>
          <w:sz w:val="23"/>
          <w:szCs w:val="23"/>
          <w:color w:val="231E1F"/>
        </w:rPr>
      </w:pPr>
    </w:p>
    <w:p>
      <w:pPr>
        <w:ind w:left="480" w:hanging="474"/>
        <w:spacing w:after="0"/>
        <w:tabs>
          <w:tab w:leader="none" w:pos="480" w:val="left"/>
        </w:tabs>
        <w:numPr>
          <w:ilvl w:val="0"/>
          <w:numId w:val="13"/>
        </w:numPr>
        <w:rPr>
          <w:rFonts w:ascii="Arial" w:cs="Arial" w:eastAsia="Arial" w:hAnsi="Arial"/>
          <w:sz w:val="23"/>
          <w:szCs w:val="23"/>
          <w:color w:val="231E1F"/>
        </w:rPr>
      </w:pPr>
      <w:r>
        <w:rPr>
          <w:rFonts w:ascii="Arial" w:cs="Arial" w:eastAsia="Arial" w:hAnsi="Arial"/>
          <w:sz w:val="23"/>
          <w:szCs w:val="23"/>
          <w:color w:val="auto"/>
        </w:rPr>
        <w:t>Two luxury hotel towers with a total of 1,009 spacious rooms and suites;</w:t>
      </w:r>
    </w:p>
    <w:p>
      <w:pPr>
        <w:spacing w:after="0" w:line="212" w:lineRule="exact"/>
        <w:rPr>
          <w:rFonts w:ascii="Arial" w:cs="Arial" w:eastAsia="Arial" w:hAnsi="Arial"/>
          <w:sz w:val="23"/>
          <w:szCs w:val="23"/>
          <w:color w:val="231E1F"/>
        </w:rPr>
      </w:pPr>
    </w:p>
    <w:p>
      <w:pPr>
        <w:ind w:left="480" w:hanging="474"/>
        <w:spacing w:after="0"/>
        <w:tabs>
          <w:tab w:leader="none" w:pos="480" w:val="left"/>
        </w:tabs>
        <w:numPr>
          <w:ilvl w:val="0"/>
          <w:numId w:val="13"/>
        </w:numPr>
        <w:rPr>
          <w:rFonts w:ascii="Arial" w:cs="Arial" w:eastAsia="Arial" w:hAnsi="Arial"/>
          <w:sz w:val="23"/>
          <w:szCs w:val="23"/>
          <w:color w:val="231E1F"/>
        </w:rPr>
      </w:pPr>
      <w:r>
        <w:rPr>
          <w:rFonts w:ascii="Arial" w:cs="Arial" w:eastAsia="Arial" w:hAnsi="Arial"/>
          <w:sz w:val="23"/>
          <w:szCs w:val="23"/>
          <w:color w:val="auto"/>
        </w:rPr>
        <w:t>Casual and fine dining in eight restaurants;</w:t>
      </w:r>
    </w:p>
    <w:p>
      <w:pPr>
        <w:spacing w:after="0" w:line="212" w:lineRule="exact"/>
        <w:rPr>
          <w:rFonts w:ascii="Arial" w:cs="Arial" w:eastAsia="Arial" w:hAnsi="Arial"/>
          <w:sz w:val="23"/>
          <w:szCs w:val="23"/>
          <w:color w:val="231E1F"/>
        </w:rPr>
      </w:pPr>
    </w:p>
    <w:p>
      <w:pPr>
        <w:jc w:val="both"/>
        <w:ind w:left="480" w:right="40" w:hanging="474"/>
        <w:spacing w:after="0" w:line="270" w:lineRule="auto"/>
        <w:tabs>
          <w:tab w:leader="none" w:pos="480" w:val="left"/>
        </w:tabs>
        <w:numPr>
          <w:ilvl w:val="0"/>
          <w:numId w:val="13"/>
        </w:numPr>
        <w:rPr>
          <w:rFonts w:ascii="Arial" w:cs="Arial" w:eastAsia="Arial" w:hAnsi="Arial"/>
          <w:sz w:val="22"/>
          <w:szCs w:val="22"/>
          <w:color w:val="231E1F"/>
        </w:rPr>
      </w:pPr>
      <w:r>
        <w:rPr>
          <w:rFonts w:ascii="Arial" w:cs="Arial" w:eastAsia="Arial" w:hAnsi="Arial"/>
          <w:sz w:val="22"/>
          <w:szCs w:val="22"/>
          <w:color w:val="auto"/>
        </w:rPr>
        <w:t>Approximately 54,200 square feet of high-end, brand-name retail shopping, including stores and boutiques by Bvlgari, Cartier, Chanel, Dior, Dunhill, Ermenegildo Zegna, Ferrari, Giorgio Armani, Gucci, Hermes, Hugo Boss, Louis Vuitton, Miu Miu, Piaget, Prada, Rolex, Tiffany, Van Cleef &amp; Arpels, Versace, Vertu, and others;</w:t>
      </w:r>
    </w:p>
    <w:p>
      <w:pPr>
        <w:spacing w:after="0" w:line="153" w:lineRule="exact"/>
        <w:rPr>
          <w:rFonts w:ascii="Arial" w:cs="Arial" w:eastAsia="Arial" w:hAnsi="Arial"/>
          <w:sz w:val="22"/>
          <w:szCs w:val="22"/>
          <w:color w:val="231E1F"/>
        </w:rPr>
      </w:pPr>
    </w:p>
    <w:p>
      <w:pPr>
        <w:ind w:left="480" w:hanging="474"/>
        <w:spacing w:after="0"/>
        <w:tabs>
          <w:tab w:leader="none" w:pos="480" w:val="left"/>
        </w:tabs>
        <w:numPr>
          <w:ilvl w:val="0"/>
          <w:numId w:val="13"/>
        </w:numPr>
        <w:rPr>
          <w:rFonts w:ascii="Arial" w:cs="Arial" w:eastAsia="Arial" w:hAnsi="Arial"/>
          <w:sz w:val="23"/>
          <w:szCs w:val="23"/>
          <w:color w:val="231E1F"/>
        </w:rPr>
      </w:pPr>
      <w:r>
        <w:rPr>
          <w:rFonts w:ascii="Arial" w:cs="Arial" w:eastAsia="Arial" w:hAnsi="Arial"/>
          <w:sz w:val="23"/>
          <w:szCs w:val="23"/>
          <w:color w:val="auto"/>
        </w:rPr>
        <w:t>Recreation and leisure facilities, including two health clubs and spas, a pool; and</w:t>
      </w:r>
    </w:p>
    <w:p>
      <w:pPr>
        <w:spacing w:after="0" w:line="212" w:lineRule="exact"/>
        <w:rPr>
          <w:rFonts w:ascii="Arial" w:cs="Arial" w:eastAsia="Arial" w:hAnsi="Arial"/>
          <w:sz w:val="23"/>
          <w:szCs w:val="23"/>
          <w:color w:val="231E1F"/>
        </w:rPr>
      </w:pPr>
    </w:p>
    <w:p>
      <w:pPr>
        <w:ind w:left="480" w:hanging="474"/>
        <w:spacing w:after="0"/>
        <w:tabs>
          <w:tab w:leader="none" w:pos="480" w:val="left"/>
        </w:tabs>
        <w:numPr>
          <w:ilvl w:val="0"/>
          <w:numId w:val="13"/>
        </w:numPr>
        <w:rPr>
          <w:rFonts w:ascii="Arial" w:cs="Arial" w:eastAsia="Arial" w:hAnsi="Arial"/>
          <w:sz w:val="23"/>
          <w:szCs w:val="23"/>
          <w:color w:val="231E1F"/>
        </w:rPr>
      </w:pPr>
      <w:r>
        <w:rPr>
          <w:rFonts w:ascii="Arial" w:cs="Arial" w:eastAsia="Arial" w:hAnsi="Arial"/>
          <w:sz w:val="23"/>
          <w:szCs w:val="23"/>
          <w:color w:val="auto"/>
        </w:rPr>
        <w:t>Lounges and meeting facilities.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93"/>
        </w:trPr>
        <w:tc>
          <w:tcPr>
            <w:tcW w:w="8800" w:type="dxa"/>
            <w:vAlign w:val="bottom"/>
            <w:gridSpan w:val="2"/>
          </w:tcPr>
          <w:p>
            <w:pPr>
              <w:spacing w:after="0"/>
              <w:rPr>
                <w:sz w:val="20"/>
                <w:szCs w:val="20"/>
                <w:color w:val="auto"/>
              </w:rPr>
            </w:pPr>
            <w:r>
              <w:rPr>
                <w:rFonts w:ascii="Arial" w:cs="Arial" w:eastAsia="Arial" w:hAnsi="Arial"/>
                <w:sz w:val="23"/>
                <w:szCs w:val="23"/>
                <w:color w:val="231E1F"/>
                <w:w w:val="92"/>
              </w:rPr>
              <w:t>The following table presents the number of casino games available at our Macau Operations: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960" w:type="dxa"/>
            <w:vAlign w:val="bottom"/>
            <w:tcBorders>
              <w:bottom w:val="single" w:sz="8" w:color="auto"/>
            </w:tcBorders>
            <w:gridSpan w:val="3"/>
          </w:tcPr>
          <w:p>
            <w:pPr>
              <w:ind w:left="600"/>
              <w:spacing w:after="0"/>
              <w:rPr>
                <w:sz w:val="20"/>
                <w:szCs w:val="20"/>
                <w:color w:val="auto"/>
              </w:rPr>
            </w:pPr>
            <w:r>
              <w:rPr>
                <w:rFonts w:ascii="Arial" w:cs="Arial" w:eastAsia="Arial" w:hAnsi="Arial"/>
                <w:sz w:val="23"/>
                <w:szCs w:val="23"/>
                <w:b w:val="1"/>
                <w:bCs w:val="1"/>
                <w:color w:val="auto"/>
                <w:w w:val="90"/>
              </w:rPr>
              <w:t>As at 30 June</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780" w:type="dxa"/>
            <w:vAlign w:val="bottom"/>
          </w:tcPr>
          <w:p>
            <w:pPr>
              <w:spacing w:after="0"/>
              <w:rPr>
                <w:sz w:val="22"/>
                <w:szCs w:val="22"/>
                <w:color w:val="auto"/>
              </w:rPr>
            </w:pPr>
          </w:p>
        </w:tc>
        <w:tc>
          <w:tcPr>
            <w:tcW w:w="1380" w:type="dxa"/>
            <w:vAlign w:val="bottom"/>
            <w:gridSpan w:val="2"/>
          </w:tcPr>
          <w:p>
            <w:pPr>
              <w:jc w:val="right"/>
              <w:ind w:right="220"/>
              <w:spacing w:after="0" w:line="258" w:lineRule="exact"/>
              <w:rPr>
                <w:sz w:val="20"/>
                <w:szCs w:val="20"/>
                <w:color w:val="auto"/>
              </w:rPr>
            </w:pPr>
            <w:r>
              <w:rPr>
                <w:rFonts w:ascii="Arial" w:cs="Arial" w:eastAsia="Arial" w:hAnsi="Arial"/>
                <w:sz w:val="23"/>
                <w:szCs w:val="23"/>
                <w:b w:val="1"/>
                <w:bCs w:val="1"/>
                <w:color w:val="auto"/>
              </w:rPr>
              <w:t>2011</w:t>
            </w:r>
          </w:p>
        </w:tc>
        <w:tc>
          <w:tcPr>
            <w:tcW w:w="580" w:type="dxa"/>
            <w:vAlign w:val="bottom"/>
          </w:tcPr>
          <w:p>
            <w:pPr>
              <w:spacing w:after="0"/>
              <w:rPr>
                <w:sz w:val="22"/>
                <w:szCs w:val="22"/>
                <w:color w:val="auto"/>
              </w:rPr>
            </w:pPr>
          </w:p>
        </w:tc>
        <w:tc>
          <w:tcPr>
            <w:tcW w:w="560" w:type="dxa"/>
            <w:vAlign w:val="bottom"/>
          </w:tcPr>
          <w:p>
            <w:pPr>
              <w:jc w:val="right"/>
              <w:spacing w:after="0" w:line="258" w:lineRule="exact"/>
              <w:rPr>
                <w:sz w:val="20"/>
                <w:szCs w:val="20"/>
                <w:color w:val="auto"/>
              </w:rPr>
            </w:pPr>
            <w:r>
              <w:rPr>
                <w:rFonts w:ascii="Arial" w:cs="Arial" w:eastAsia="Arial" w:hAnsi="Arial"/>
                <w:sz w:val="23"/>
                <w:szCs w:val="23"/>
                <w:b w:val="1"/>
                <w:bCs w:val="1"/>
                <w:color w:val="auto"/>
              </w:rPr>
              <w:t>2010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23"/>
                <w:szCs w:val="23"/>
                <w:color w:val="auto"/>
              </w:rPr>
              <w:t>VIP table games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23"/>
                <w:szCs w:val="23"/>
                <w:b w:val="1"/>
                <w:bCs w:val="1"/>
                <w:color w:val="auto"/>
              </w:rPr>
              <w:t>255</w:t>
            </w:r>
          </w:p>
        </w:tc>
        <w:tc>
          <w:tcPr>
            <w:tcW w:w="5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234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80" w:type="dxa"/>
            <w:vAlign w:val="bottom"/>
          </w:tcPr>
          <w:p>
            <w:pPr>
              <w:spacing w:after="0"/>
              <w:rPr>
                <w:sz w:val="20"/>
                <w:szCs w:val="20"/>
                <w:color w:val="auto"/>
              </w:rPr>
            </w:pPr>
            <w:r>
              <w:rPr>
                <w:rFonts w:ascii="Arial" w:cs="Arial" w:eastAsia="Arial" w:hAnsi="Arial"/>
                <w:sz w:val="23"/>
                <w:szCs w:val="23"/>
                <w:color w:val="auto"/>
              </w:rPr>
              <w:t>Mass market table games</w:t>
            </w:r>
          </w:p>
        </w:tc>
        <w:tc>
          <w:tcPr>
            <w:tcW w:w="1380" w:type="dxa"/>
            <w:vAlign w:val="bottom"/>
            <w:gridSpan w:val="2"/>
          </w:tcPr>
          <w:p>
            <w:pPr>
              <w:jc w:val="right"/>
              <w:ind w:right="220"/>
              <w:spacing w:after="0"/>
              <w:rPr>
                <w:sz w:val="20"/>
                <w:szCs w:val="20"/>
                <w:color w:val="auto"/>
              </w:rPr>
            </w:pPr>
            <w:r>
              <w:rPr>
                <w:rFonts w:ascii="Arial" w:cs="Arial" w:eastAsia="Arial" w:hAnsi="Arial"/>
                <w:sz w:val="23"/>
                <w:szCs w:val="23"/>
                <w:b w:val="1"/>
                <w:bCs w:val="1"/>
                <w:color w:val="auto"/>
              </w:rPr>
              <w:t>225</w:t>
            </w:r>
          </w:p>
        </w:tc>
        <w:tc>
          <w:tcPr>
            <w:tcW w:w="5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3"/>
                <w:szCs w:val="23"/>
                <w:color w:val="auto"/>
              </w:rPr>
              <w:t>212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23"/>
                <w:szCs w:val="23"/>
                <w:color w:val="auto"/>
              </w:rPr>
              <w:t>Slot machines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23"/>
                <w:szCs w:val="23"/>
                <w:b w:val="1"/>
                <w:bCs w:val="1"/>
                <w:color w:val="auto"/>
              </w:rPr>
              <w:t>1,053</w:t>
            </w:r>
          </w:p>
        </w:tc>
        <w:tc>
          <w:tcPr>
            <w:tcW w:w="5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w w:val="93"/>
              </w:rPr>
              <w:t>1,155</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780" w:type="dxa"/>
            <w:vAlign w:val="bottom"/>
          </w:tcPr>
          <w:p>
            <w:pPr>
              <w:spacing w:after="0"/>
              <w:rPr>
                <w:sz w:val="20"/>
                <w:szCs w:val="20"/>
                <w:color w:val="auto"/>
              </w:rPr>
            </w:pPr>
            <w:r>
              <w:rPr>
                <w:rFonts w:ascii="Arial" w:cs="Arial" w:eastAsia="Arial" w:hAnsi="Arial"/>
                <w:sz w:val="23"/>
                <w:szCs w:val="23"/>
                <w:color w:val="auto"/>
              </w:rPr>
              <w:t>Poker tables</w:t>
            </w:r>
          </w:p>
        </w:tc>
        <w:tc>
          <w:tcPr>
            <w:tcW w:w="1380" w:type="dxa"/>
            <w:vAlign w:val="bottom"/>
            <w:gridSpan w:val="2"/>
          </w:tcPr>
          <w:p>
            <w:pPr>
              <w:jc w:val="right"/>
              <w:ind w:right="220"/>
              <w:spacing w:after="0"/>
              <w:rPr>
                <w:sz w:val="20"/>
                <w:szCs w:val="20"/>
                <w:color w:val="auto"/>
              </w:rPr>
            </w:pPr>
            <w:r>
              <w:rPr>
                <w:rFonts w:ascii="Arial" w:cs="Arial" w:eastAsia="Arial" w:hAnsi="Arial"/>
                <w:sz w:val="23"/>
                <w:szCs w:val="23"/>
                <w:b w:val="1"/>
                <w:bCs w:val="1"/>
                <w:color w:val="auto"/>
              </w:rPr>
              <w:t>11</w:t>
            </w:r>
          </w:p>
        </w:tc>
        <w:tc>
          <w:tcPr>
            <w:tcW w:w="5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3"/>
                <w:szCs w:val="23"/>
                <w:color w:val="auto"/>
              </w:rPr>
              <w:t>11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In response to our evaluation of our operations and the feedback from our guests, we have been, and will continue to make enhancements and refinements to our resort complex.</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Cotai Development</w:t>
      </w:r>
    </w:p>
    <w:p>
      <w:pPr>
        <w:spacing w:after="0" w:line="245"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231E1F"/>
        </w:rPr>
        <w:t>The Group has applied to the government of Macau for a land concession on approximately 52 acres of land on Cotai and is awaiting final government approval on the concession. Subsequent to government approval, we anticipate the construction of a full scale integrated resort containing a casino, approximately 1,500 rooms, convention, retail, entertainment and food and beverage offerings. We continue to finalize the project scope and budget.</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Cotai Land Agreement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3"/>
          <w:szCs w:val="23"/>
          <w:color w:val="231E1F"/>
        </w:rPr>
        <w:t>On 1 August 2008, Palo Real Estate Company Limited entered into an agreement with a Macau incorporated company that is not a connected person of the Group to make a one-time payment in the amount of US$50 million (approximately HK$389.3 million) in consideration of its relinquishment of certain rights in and to any future development on the approximately 52 acres of land on Cotai. The payment will be made within 15 days after the Macau government publishes the Group’s rights to the land in the Macau government’s official gazette. The Group has filed an application for the land with the Macau government and is awaiting final approval.</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Macau</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3"/>
          <w:szCs w:val="23"/>
          <w:color w:val="231E1F"/>
        </w:rPr>
        <w:t>Macau, which was a territory under Portuguese administration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We believe that Macau is located in one of the world’s largest concentrations of potential gaming customers. According to Macau Statistical Information, casinos in Macau generated approximately HK $120.5 billion in gaming revenue during the six months ended 30 June 2011, an increase of approximately 44.5% over the approximate HK$83.4 billion generated in the six months ended 30 June 2010, making Macau the largest gaming market in the world.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0" w:name="page21"/>
    <w:bookmarkEnd w:id="20"/>
    <w:p>
      <w:pPr>
        <w:jc w:val="both"/>
        <w:spacing w:after="0" w:line="289" w:lineRule="auto"/>
        <w:rPr>
          <w:sz w:val="20"/>
          <w:szCs w:val="20"/>
          <w:color w:val="auto"/>
        </w:rPr>
      </w:pPr>
      <w:r>
        <w:rPr>
          <w:rFonts w:ascii="Arial" w:cs="Arial" w:eastAsia="Arial" w:hAnsi="Arial"/>
          <w:sz w:val="21"/>
          <w:szCs w:val="21"/>
          <w:color w:val="231E1F"/>
        </w:rPr>
        <w:t>Macau’s gaming market is primarily dependent on tourists. The Macau market has experienced tremendous growth in capacity in the last several years. As at 31 May 2011, there were 21,518 hotel rooms and as at 30 June 2011, there were 5,237 table games in Macau, compared to 12,978 hotel rooms and 2,760 table games as at 31 December 2006.</w:t>
      </w:r>
    </w:p>
    <w:p>
      <w:pPr>
        <w:spacing w:after="0" w:line="156" w:lineRule="exact"/>
        <w:rPr>
          <w:sz w:val="20"/>
          <w:szCs w:val="20"/>
          <w:color w:val="auto"/>
        </w:rPr>
      </w:pPr>
    </w:p>
    <w:p>
      <w:pPr>
        <w:ind w:right="1580"/>
        <w:spacing w:after="0" w:line="281" w:lineRule="auto"/>
        <w:rPr>
          <w:sz w:val="20"/>
          <w:szCs w:val="20"/>
          <w:color w:val="auto"/>
        </w:rPr>
      </w:pPr>
      <w:r>
        <w:rPr>
          <w:rFonts w:ascii="Arial" w:cs="Arial" w:eastAsia="Arial" w:hAnsi="Arial"/>
          <w:sz w:val="28"/>
          <w:szCs w:val="28"/>
          <w:b w:val="1"/>
          <w:bCs w:val="1"/>
          <w:color w:val="231E1F"/>
        </w:rPr>
        <w:t>FACTORS AFFECTING OUR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Tourism</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The levels of tourism and overall gaming activities in Macau are key drivers of our business. Both the Macau gaming market and visitation to Macau have grown significantly in the last few years. We have benefited from the rise in visitation to Macau over the past several years.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Gaming customers traveling to Macau typically come from nearby destinations in Asia including mainland China, Hong Kong, Taiwan, South Korea and Singapore. According to the Macau Statistics and Census Service Monthly Bulletin of Statistics, approximately 89.1% of visitors to Macau in the six months ended 30 June 2011 were from mainland China, Hong Kong, and Taiwan.</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Tourism levels in Macau are affected by a number of factors, all of which are beyond our control. Key factors affecting tourism levels in Macau may include, among others:</w:t>
      </w: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Prevailing economic conditions in mainland China and Asia;</w:t>
      </w:r>
    </w:p>
    <w:p>
      <w:pPr>
        <w:spacing w:after="0" w:line="212" w:lineRule="exact"/>
        <w:rPr>
          <w:sz w:val="20"/>
          <w:szCs w:val="20"/>
          <w:color w:val="auto"/>
        </w:rPr>
      </w:pPr>
    </w:p>
    <w:p>
      <w:pPr>
        <w:ind w:left="480" w:right="40" w:hanging="464"/>
        <w:spacing w:after="0" w:line="266" w:lineRule="auto"/>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Various countries’ policies on the issuance of travel visas that may be in place from time to time and could affect</w:t>
      </w:r>
      <w:r>
        <w:rPr>
          <w:rFonts w:ascii="Arial" w:cs="Arial" w:eastAsia="Arial" w:hAnsi="Arial"/>
          <w:sz w:val="23"/>
          <w:szCs w:val="23"/>
          <w:color w:val="231E1F"/>
        </w:rPr>
        <w:t xml:space="preserve"> </w:t>
      </w:r>
      <w:r>
        <w:rPr>
          <w:rFonts w:ascii="Arial" w:cs="Arial" w:eastAsia="Arial" w:hAnsi="Arial"/>
          <w:sz w:val="23"/>
          <w:szCs w:val="23"/>
          <w:color w:val="000000"/>
        </w:rPr>
        <w:t>travel to Macau;</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Competition from other destinations which offer gaming and leisure activities;</w:t>
      </w:r>
    </w:p>
    <w:p>
      <w:pPr>
        <w:spacing w:after="0" w:line="212" w:lineRule="exact"/>
        <w:rPr>
          <w:sz w:val="20"/>
          <w:szCs w:val="20"/>
          <w:color w:val="auto"/>
        </w:rPr>
      </w:pPr>
    </w:p>
    <w:p>
      <w:pPr>
        <w:ind w:left="480" w:right="40" w:hanging="464"/>
        <w:spacing w:after="0" w:line="266" w:lineRule="auto"/>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Possible changes to government restrictions on currency conversion or the ability to export currency from mainland</w:t>
      </w:r>
      <w:r>
        <w:rPr>
          <w:rFonts w:ascii="Arial" w:cs="Arial" w:eastAsia="Arial" w:hAnsi="Arial"/>
          <w:sz w:val="23"/>
          <w:szCs w:val="23"/>
          <w:color w:val="231E1F"/>
        </w:rPr>
        <w:t xml:space="preserve"> </w:t>
      </w:r>
      <w:r>
        <w:rPr>
          <w:rFonts w:ascii="Arial" w:cs="Arial" w:eastAsia="Arial" w:hAnsi="Arial"/>
          <w:sz w:val="23"/>
          <w:szCs w:val="23"/>
          <w:color w:val="000000"/>
        </w:rPr>
        <w:t>China or other countries;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Occurrence of natural disasters and disruption of travel; and</w:t>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231E1F"/>
        </w:rPr>
        <w:t xml:space="preserve">—  </w:t>
      </w:r>
      <w:r>
        <w:rPr>
          <w:rFonts w:ascii="Arial" w:cs="Arial" w:eastAsia="Arial" w:hAnsi="Arial"/>
          <w:sz w:val="23"/>
          <w:szCs w:val="23"/>
          <w:color w:val="000000"/>
        </w:rPr>
        <w:t>Possible outbreaks of infectious disease.</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Economic and Operating Environment</w:t>
      </w:r>
    </w:p>
    <w:p>
      <w:pPr>
        <w:spacing w:after="0" w:line="245"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231E1F"/>
        </w:rPr>
        <w:t>Our operating environment has remained stable during the six months ended 30 June 2011. However, economic conditions can have a significant impact on our business. A number of factors, including a slowdown in the global economy, contracting credit markets, reduced consumer spending, various countries’ policies that affect travel to Macau and any outbreak of infectious diseases can negatively impact the gaming industry in Macau and our business.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231E1F"/>
        </w:rPr>
        <w:t>Competition</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3"/>
          <w:szCs w:val="23"/>
          <w:color w:val="231E1F"/>
        </w:rPr>
        <w:t>Since the liberalization of Macau’s gaming industry in 2002, there has been a significant increase in the number of gaming operators and casino properties in Macau. Currently, there are six gaming operators in Macau, including WRM. The three concessionaires are WRM, SJM, and Galaxy which opened Galaxy Macau, a major resort in the Cotai area, on 15 May 2011. The three subconcessionaires are Melco Crown, MGM Macau, and Venetian Macau. As at 30 June 2011, there were approximately 34 casinos in Macau, including 20 operated by SJM. Each of the current six operators has operating casinos and expansion plans announced or underway.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231E1F"/>
        </w:rPr>
        <w:t>Wynn Macau also faces competition from casinos primarily located in other areas of Asia, such as Resorts World Sentosa and Marina Bay Sands which opened in February and April 2010, respectively, in Singapore, Genting Highlands Resort located outside of Kuala Lumpur, Malaysia and casinos in the Philippines.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Gaming Promoters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A significant amount of our casino play is brought to us by gaming promoters. Gaming promoters have historically played a critical role in the Macau gaming market and are important to our casino business.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231E1F"/>
        </w:rPr>
        <w:t>Gaming promoters introduce premium VIP players to Wynn Macau and often assist those clients with their travel and entertainment arrangements. In addition, gaming promoters often grant credit to their players. In exchange for their services, Wynn Macau generally pays the gaming promoters a percentage of the gross gaming win generated by each gaming promoter. Approximately 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for their compensation. The total amount of commissions paid to these promoters and netted against casino revenues were HK$3.8 billion and HK$2.6 billion for the six months ended 30 June 2011 and 2010, respectively. Commissions increased 47.4% for the six months ended 30 June 2011 compared to the six months ended 30 June 2010, due to increased volumes of play generated by gaming promoters and the addition of two new gaming promoters. Additionally, gaming promoters each receive a monthly complimentary allowance based on a percentage of the turnover their clients generate.</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231E1F"/>
        </w:rPr>
        <w:t>The allowance is available for room, food and beverage and other products and services for discretionary use with clients. We typically advance commissions to gaming promoters at the beginning of each month to facilitate their working capital requirements. These advances are provided to a gaming promoter and are offset by the commissions earned by such gaming promoter during the applicable month. The aggregate amounts of exposure to our gaming promoters, which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2" w:name="page23"/>
    <w:bookmarkEnd w:id="22"/>
    <w:p>
      <w:pPr>
        <w:jc w:val="both"/>
        <w:spacing w:after="0" w:line="276" w:lineRule="auto"/>
        <w:rPr>
          <w:sz w:val="20"/>
          <w:szCs w:val="20"/>
          <w:color w:val="auto"/>
        </w:rPr>
      </w:pPr>
      <w:r>
        <w:rPr>
          <w:rFonts w:ascii="Arial" w:cs="Arial" w:eastAsia="Arial" w:hAnsi="Arial"/>
          <w:sz w:val="21"/>
          <w:szCs w:val="21"/>
          <w:color w:val="231E1F"/>
        </w:rPr>
        <w:t>is the difference between commissions advanced to each individual gaming promoter, and the commissions payable to each such gaming promoter, were HK$361.4 million and HK$61.2 million as at 30 June 2011 and 2010, respectively. These outstanding commissions were cleared no later than the fifth day of the succeeding month and prior to the advancement of any further funds to a gaming promoter. We believe we have developed strong relationships with our gaming promoters. Our commission percentages have remained stable throughout our operating history.</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Premium Credit Play</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231E1F"/>
        </w:rPr>
        <w:t>We selectively extend credit to players contingent upon our marketing team’s knowledge of the players, their financial background and payment history. We follow a series of credit procedures and require from each credit recipient various signed documents that are intended to ensure among other things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check in the amount of the applicable credit line from credit players, collateralizing the credit we grant to a player.</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Number and Mix of Table Games and Slot Machines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The mix of VIP table games, mass table games and slot machines in operation at our resort changes from time to time as a result of marketing and operating strategies in response to changing market demand and industry competition. The shift in the mix of our games will affect casino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ADJUSTED EBITDA</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23"/>
          <w:szCs w:val="23"/>
          <w:color w:val="231E1F"/>
        </w:rPr>
        <w:t>Adjusted EBITDA is earnings before finance costs, taxes, depreciation, amortization, pre-opening costs, property charges and other, share-based payments, and other non-operating income/(expense).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 primarily due to the inclusion of royalty fees, adjustments for IFRS differences with U.S. GAAP, corporate support services and other support services in arriving at operating profit.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3" w:name="page24"/>
    <w:bookmarkEnd w:id="23"/>
    <w:p>
      <w:pPr>
        <w:ind w:right="600"/>
        <w:spacing w:after="0" w:line="266" w:lineRule="auto"/>
        <w:rPr>
          <w:sz w:val="20"/>
          <w:szCs w:val="20"/>
          <w:color w:val="auto"/>
        </w:rPr>
      </w:pPr>
      <w:r>
        <w:rPr>
          <w:rFonts w:ascii="Arial" w:cs="Arial" w:eastAsia="Arial" w:hAnsi="Arial"/>
          <w:sz w:val="23"/>
          <w:szCs w:val="23"/>
          <w:color w:val="231E1F"/>
        </w:rPr>
        <w:t>The following table sets forth a quantitative reconciliation of Adjusted EBITDA to its most directly comparable IFRS measurement, operating profit, for the six months ended 30 June 2011 and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23"/>
                <w:szCs w:val="23"/>
                <w:b w:val="1"/>
                <w:bCs w:val="1"/>
                <w:color w:val="auto"/>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16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auto"/>
              </w:rPr>
              <w:t>2011</w:t>
            </w:r>
          </w:p>
        </w:tc>
        <w:tc>
          <w:tcPr>
            <w:tcW w:w="138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i w:val="1"/>
                <w:iCs w:val="1"/>
                <w:color w:val="auto"/>
              </w:rPr>
              <w:t>HK$</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3"/>
                <w:szCs w:val="23"/>
                <w:i w:val="1"/>
                <w:iCs w:val="1"/>
                <w:color w:val="auto"/>
              </w:rPr>
              <w:t>HK$</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Arial" w:cs="Arial" w:eastAsia="Arial" w:hAnsi="Arial"/>
                <w:sz w:val="23"/>
                <w:szCs w:val="23"/>
                <w:color w:val="auto"/>
              </w:rPr>
              <w:t>(in</w:t>
            </w:r>
          </w:p>
        </w:tc>
        <w:tc>
          <w:tcPr>
            <w:tcW w:w="1380" w:type="dxa"/>
            <w:vAlign w:val="bottom"/>
            <w:gridSpan w:val="2"/>
          </w:tcPr>
          <w:p>
            <w:pPr>
              <w:jc w:val="right"/>
              <w:ind w:right="505"/>
              <w:spacing w:after="0"/>
              <w:rPr>
                <w:sz w:val="20"/>
                <w:szCs w:val="20"/>
                <w:color w:val="auto"/>
              </w:rPr>
            </w:pPr>
            <w:r>
              <w:rPr>
                <w:rFonts w:ascii="Arial" w:cs="Arial" w:eastAsia="Arial" w:hAnsi="Arial"/>
                <w:sz w:val="21"/>
                <w:szCs w:val="21"/>
                <w:color w:val="auto"/>
                <w:w w:val="71"/>
              </w:rPr>
              <w:t>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Operating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2,483,282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2,059,591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Add</w:t>
            </w: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540,572</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445,363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Pre-opening costs(1)</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23"/>
                <w:szCs w:val="23"/>
                <w:color w:val="auto"/>
              </w:rPr>
              <w:t>54,571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Property charges and other</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849,311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22,945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Share-based payments</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24,957</w:t>
            </w:r>
          </w:p>
        </w:tc>
        <w:tc>
          <w:tcPr>
            <w:tcW w:w="1480" w:type="dxa"/>
            <w:vAlign w:val="bottom"/>
            <w:gridSpan w:val="3"/>
          </w:tcPr>
          <w:p>
            <w:pPr>
              <w:jc w:val="right"/>
              <w:ind w:right="100"/>
              <w:spacing w:after="0"/>
              <w:rPr>
                <w:sz w:val="20"/>
                <w:szCs w:val="20"/>
                <w:color w:val="auto"/>
              </w:rPr>
            </w:pPr>
            <w:r>
              <w:rPr>
                <w:rFonts w:ascii="Arial" w:cs="Arial" w:eastAsia="Arial" w:hAnsi="Arial"/>
                <w:sz w:val="23"/>
                <w:szCs w:val="23"/>
                <w:color w:val="auto"/>
              </w:rPr>
              <w:t>23,302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Wynn Macau, Limited corporate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11,374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13,135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3"/>
                <w:szCs w:val="23"/>
                <w:color w:val="auto"/>
              </w:rPr>
              <w:t>Adjusted EBITDA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b w:val="1"/>
                <w:bCs w:val="1"/>
                <w:color w:val="auto"/>
              </w:rPr>
              <w:t>3,909,496</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color w:val="auto"/>
              </w:rPr>
              <w:t>2,618,907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217" w:lineRule="exact"/>
        <w:rPr>
          <w:sz w:val="20"/>
          <w:szCs w:val="20"/>
          <w:color w:val="auto"/>
        </w:rPr>
      </w:pPr>
    </w:p>
    <w:p>
      <w:pPr>
        <w:ind w:left="480" w:right="40" w:hanging="474"/>
        <w:spacing w:after="0" w:line="265" w:lineRule="auto"/>
        <w:tabs>
          <w:tab w:leader="none" w:pos="480" w:val="left"/>
        </w:tabs>
        <w:numPr>
          <w:ilvl w:val="0"/>
          <w:numId w:val="15"/>
        </w:numPr>
        <w:rPr>
          <w:rFonts w:ascii="Arial" w:cs="Arial" w:eastAsia="Arial" w:hAnsi="Arial"/>
          <w:sz w:val="18"/>
          <w:szCs w:val="18"/>
          <w:color w:val="231E1F"/>
        </w:rPr>
      </w:pPr>
      <w:r>
        <w:rPr>
          <w:rFonts w:ascii="Arial" w:cs="Arial" w:eastAsia="Arial" w:hAnsi="Arial"/>
          <w:sz w:val="18"/>
          <w:szCs w:val="18"/>
          <w:color w:val="auto"/>
        </w:rPr>
        <w:t>Pre-opening costs for the six months ended 30 June 2010 consisted primarily of payroll attributable to staff engaged in the start-up operations of Encore which opened on 21 April 2010.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4" w:name="page25"/>
    <w:bookmarkEnd w:id="24"/>
    <w:p>
      <w:pPr>
        <w:spacing w:after="0"/>
        <w:rPr>
          <w:sz w:val="20"/>
          <w:szCs w:val="20"/>
          <w:color w:val="auto"/>
        </w:rPr>
      </w:pPr>
      <w:r>
        <w:rPr>
          <w:rFonts w:ascii="Arial" w:cs="Arial" w:eastAsia="Arial" w:hAnsi="Arial"/>
          <w:sz w:val="28"/>
          <w:szCs w:val="28"/>
          <w:b w:val="1"/>
          <w:bCs w:val="1"/>
          <w:color w:val="231E1F"/>
        </w:rPr>
        <w:t>REVIEW OF HISTORICAL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Summary Breakdown Table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231E1F"/>
        </w:rPr>
        <w:t>The following table presents certain selected statement of comprehensive income line items and certain other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560" w:type="dxa"/>
            <w:vAlign w:val="bottom"/>
          </w:tcPr>
          <w:p>
            <w:pPr>
              <w:spacing w:after="0"/>
              <w:rPr>
                <w:sz w:val="23"/>
                <w:szCs w:val="23"/>
                <w:color w:val="auto"/>
              </w:rPr>
            </w:pPr>
          </w:p>
        </w:tc>
        <w:tc>
          <w:tcPr>
            <w:tcW w:w="2840" w:type="dxa"/>
            <w:vAlign w:val="bottom"/>
            <w:gridSpan w:val="4"/>
          </w:tcPr>
          <w:p>
            <w:pPr>
              <w:jc w:val="center"/>
              <w:ind w:right="10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23"/>
                <w:szCs w:val="23"/>
                <w:b w:val="1"/>
                <w:bCs w:val="1"/>
                <w:color w:val="auto"/>
                <w:w w:val="88"/>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6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auto"/>
              </w:rPr>
              <w:t>2011</w:t>
            </w:r>
          </w:p>
        </w:tc>
        <w:tc>
          <w:tcPr>
            <w:tcW w:w="1480" w:type="dxa"/>
            <w:vAlign w:val="bottom"/>
            <w:tcBorders>
              <w:top w:val="single" w:sz="8" w:color="auto"/>
            </w:tcBorders>
            <w:gridSpan w:val="2"/>
          </w:tcPr>
          <w:p>
            <w:pPr>
              <w:jc w:val="right"/>
              <w:spacing w:after="0" w:line="233"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i w:val="1"/>
                <w:iCs w:val="1"/>
                <w:color w:val="auto"/>
              </w:rPr>
              <w:t>HK$</w:t>
            </w: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3"/>
                <w:szCs w:val="23"/>
                <w:i w:val="1"/>
                <w:iCs w:val="1"/>
                <w:color w:val="auto"/>
              </w:rPr>
              <w:t>HK$</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840" w:type="dxa"/>
            <w:vAlign w:val="bottom"/>
            <w:gridSpan w:val="4"/>
          </w:tcPr>
          <w:p>
            <w:pPr>
              <w:jc w:val="center"/>
              <w:ind w:right="100"/>
              <w:spacing w:after="0" w:line="233" w:lineRule="exact"/>
              <w:rPr>
                <w:sz w:val="20"/>
                <w:szCs w:val="20"/>
                <w:color w:val="auto"/>
              </w:rPr>
            </w:pPr>
            <w:r>
              <w:rPr>
                <w:rFonts w:ascii="Arial" w:cs="Arial" w:eastAsia="Arial" w:hAnsi="Arial"/>
                <w:sz w:val="23"/>
                <w:szCs w:val="23"/>
                <w:color w:val="auto"/>
                <w:w w:val="89"/>
              </w:rPr>
              <w:t>(in thousands, except for</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tcPr>
          <w:p>
            <w:pPr>
              <w:spacing w:after="0"/>
              <w:rPr>
                <w:sz w:val="23"/>
                <w:szCs w:val="23"/>
                <w:color w:val="auto"/>
              </w:rPr>
            </w:pPr>
          </w:p>
        </w:tc>
        <w:tc>
          <w:tcPr>
            <w:tcW w:w="2840" w:type="dxa"/>
            <w:vAlign w:val="bottom"/>
            <w:gridSpan w:val="4"/>
          </w:tcPr>
          <w:p>
            <w:pPr>
              <w:jc w:val="center"/>
              <w:ind w:right="100"/>
              <w:spacing w:after="0"/>
              <w:rPr>
                <w:sz w:val="20"/>
                <w:szCs w:val="20"/>
                <w:color w:val="auto"/>
              </w:rPr>
            </w:pPr>
            <w:r>
              <w:rPr>
                <w:rFonts w:ascii="Arial" w:cs="Arial" w:eastAsia="Arial" w:hAnsi="Arial"/>
                <w:sz w:val="23"/>
                <w:szCs w:val="23"/>
                <w:color w:val="auto"/>
                <w:w w:val="90"/>
              </w:rPr>
              <w:t>averages, daily win figures</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tcPr>
          <w:p>
            <w:pPr>
              <w:spacing w:after="0"/>
              <w:rPr>
                <w:sz w:val="23"/>
                <w:szCs w:val="23"/>
                <w:color w:val="auto"/>
              </w:rPr>
            </w:pPr>
          </w:p>
        </w:tc>
        <w:tc>
          <w:tcPr>
            <w:tcW w:w="2840" w:type="dxa"/>
            <w:vAlign w:val="bottom"/>
            <w:gridSpan w:val="4"/>
          </w:tcPr>
          <w:p>
            <w:pPr>
              <w:jc w:val="center"/>
              <w:ind w:right="100"/>
              <w:spacing w:after="0"/>
              <w:rPr>
                <w:sz w:val="20"/>
                <w:szCs w:val="20"/>
                <w:color w:val="auto"/>
              </w:rPr>
            </w:pPr>
            <w:r>
              <w:rPr>
                <w:rFonts w:ascii="Arial" w:cs="Arial" w:eastAsia="Arial" w:hAnsi="Arial"/>
                <w:sz w:val="23"/>
                <w:szCs w:val="23"/>
                <w:color w:val="auto"/>
                <w:w w:val="89"/>
              </w:rPr>
              <w:t>and number of tables and slot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gridSpan w:val="4"/>
          </w:tcPr>
          <w:p>
            <w:pPr>
              <w:jc w:val="center"/>
              <w:ind w:right="100"/>
              <w:spacing w:after="0"/>
              <w:rPr>
                <w:sz w:val="20"/>
                <w:szCs w:val="20"/>
                <w:color w:val="auto"/>
              </w:rPr>
            </w:pPr>
            <w:r>
              <w:rPr>
                <w:rFonts w:ascii="Arial" w:cs="Arial" w:eastAsia="Arial" w:hAnsi="Arial"/>
                <w:sz w:val="23"/>
                <w:szCs w:val="23"/>
                <w:color w:val="auto"/>
                <w:w w:val="88"/>
              </w:rPr>
              <w:t>machines)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Total casino revenues</w:t>
            </w:r>
            <w:r>
              <w:rPr>
                <w:rFonts w:ascii="Arial" w:cs="Arial" w:eastAsia="Arial" w:hAnsi="Arial"/>
                <w:sz w:val="16"/>
                <w:szCs w:val="16"/>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13,510,030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9,510,861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Rooms</w:t>
            </w:r>
            <w:r>
              <w:rPr>
                <w:rFonts w:ascii="Arial" w:cs="Arial" w:eastAsia="Arial" w:hAnsi="Arial"/>
                <w:sz w:val="16"/>
                <w:szCs w:val="16"/>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65,865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57,022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Food and beverage</w:t>
            </w:r>
            <w:r>
              <w:rPr>
                <w:rFonts w:ascii="Arial" w:cs="Arial" w:eastAsia="Arial" w:hAnsi="Arial"/>
                <w:sz w:val="16"/>
                <w:szCs w:val="16"/>
                <w:color w:val="auto"/>
              </w:rPr>
              <w:t>(2)</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94,198</w:t>
            </w:r>
          </w:p>
        </w:tc>
        <w:tc>
          <w:tcPr>
            <w:tcW w:w="1580" w:type="dxa"/>
            <w:vAlign w:val="bottom"/>
            <w:gridSpan w:val="3"/>
          </w:tcPr>
          <w:p>
            <w:pPr>
              <w:jc w:val="right"/>
              <w:ind w:right="100"/>
              <w:spacing w:after="0"/>
              <w:rPr>
                <w:sz w:val="20"/>
                <w:szCs w:val="20"/>
                <w:color w:val="auto"/>
              </w:rPr>
            </w:pPr>
            <w:r>
              <w:rPr>
                <w:rFonts w:ascii="Arial" w:cs="Arial" w:eastAsia="Arial" w:hAnsi="Arial"/>
                <w:sz w:val="23"/>
                <w:szCs w:val="23"/>
                <w:color w:val="auto"/>
              </w:rPr>
              <w:t>76,033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Retail and other</w:t>
            </w:r>
            <w:r>
              <w:rPr>
                <w:rFonts w:ascii="Arial" w:cs="Arial" w:eastAsia="Arial" w:hAnsi="Arial"/>
                <w:sz w:val="16"/>
                <w:szCs w:val="16"/>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667,690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496,037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6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Total operating 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14,337,783</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10,139,953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VIP table games turnover</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w w:val="96"/>
              </w:rPr>
              <w:t>482,143,692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325,643,185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VIP gross table games win</w:t>
            </w: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13,482,862</w:t>
            </w:r>
          </w:p>
        </w:tc>
        <w:tc>
          <w:tcPr>
            <w:tcW w:w="1480" w:type="dxa"/>
            <w:vAlign w:val="bottom"/>
            <w:gridSpan w:val="2"/>
          </w:tcPr>
          <w:p>
            <w:pPr>
              <w:jc w:val="right"/>
              <w:spacing w:after="0"/>
              <w:rPr>
                <w:sz w:val="20"/>
                <w:szCs w:val="20"/>
                <w:color w:val="auto"/>
              </w:rPr>
            </w:pPr>
            <w:r>
              <w:rPr>
                <w:rFonts w:ascii="Arial" w:cs="Arial" w:eastAsia="Arial" w:hAnsi="Arial"/>
                <w:sz w:val="23"/>
                <w:szCs w:val="23"/>
                <w:color w:val="auto"/>
              </w:rPr>
              <w:t>9,671,634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Mass market table games drop</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10,684,063</w:t>
            </w:r>
          </w:p>
        </w:tc>
        <w:tc>
          <w:tcPr>
            <w:tcW w:w="1480" w:type="dxa"/>
            <w:vAlign w:val="bottom"/>
            <w:gridSpan w:val="2"/>
          </w:tcPr>
          <w:p>
            <w:pPr>
              <w:jc w:val="right"/>
              <w:spacing w:after="0"/>
              <w:rPr>
                <w:sz w:val="20"/>
                <w:szCs w:val="20"/>
                <w:color w:val="auto"/>
              </w:rPr>
            </w:pPr>
            <w:r>
              <w:rPr>
                <w:rFonts w:ascii="Arial" w:cs="Arial" w:eastAsia="Arial" w:hAnsi="Arial"/>
                <w:sz w:val="23"/>
                <w:szCs w:val="23"/>
                <w:color w:val="auto"/>
              </w:rPr>
              <w:t>8,362,061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Mass market gross table games win</w:t>
            </w:r>
            <w:r>
              <w:rPr>
                <w:rFonts w:ascii="Arial" w:cs="Arial" w:eastAsia="Arial" w:hAnsi="Arial"/>
                <w:sz w:val="16"/>
                <w:szCs w:val="16"/>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2,973,669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1,883,437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Slot machine handle</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23,096,469</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15,450,526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Slot machine win</w:t>
            </w: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1,151,661</w:t>
            </w:r>
          </w:p>
        </w:tc>
        <w:tc>
          <w:tcPr>
            <w:tcW w:w="1580" w:type="dxa"/>
            <w:vAlign w:val="bottom"/>
            <w:gridSpan w:val="3"/>
          </w:tcPr>
          <w:p>
            <w:pPr>
              <w:jc w:val="right"/>
              <w:ind w:right="100"/>
              <w:spacing w:after="0"/>
              <w:rPr>
                <w:sz w:val="20"/>
                <w:szCs w:val="20"/>
                <w:color w:val="auto"/>
              </w:rPr>
            </w:pPr>
            <w:r>
              <w:rPr>
                <w:rFonts w:ascii="Arial" w:cs="Arial" w:eastAsia="Arial" w:hAnsi="Arial"/>
                <w:sz w:val="23"/>
                <w:szCs w:val="23"/>
                <w:color w:val="auto"/>
              </w:rPr>
              <w:t>753,167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Average number of gaming tables</w:t>
            </w:r>
            <w:r>
              <w:rPr>
                <w:rFonts w:ascii="Arial" w:cs="Arial" w:eastAsia="Arial" w:hAnsi="Arial"/>
                <w:sz w:val="16"/>
                <w:szCs w:val="16"/>
                <w:color w:val="auto"/>
              </w:rPr>
              <w:t>(3)</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475</w:t>
            </w:r>
          </w:p>
        </w:tc>
        <w:tc>
          <w:tcPr>
            <w:tcW w:w="1580" w:type="dxa"/>
            <w:vAlign w:val="bottom"/>
            <w:gridSpan w:val="3"/>
          </w:tcPr>
          <w:p>
            <w:pPr>
              <w:jc w:val="right"/>
              <w:ind w:right="100"/>
              <w:spacing w:after="0"/>
              <w:rPr>
                <w:sz w:val="20"/>
                <w:szCs w:val="20"/>
                <w:color w:val="auto"/>
              </w:rPr>
            </w:pPr>
            <w:r>
              <w:rPr>
                <w:rFonts w:ascii="Arial" w:cs="Arial" w:eastAsia="Arial" w:hAnsi="Arial"/>
                <w:sz w:val="23"/>
                <w:szCs w:val="23"/>
                <w:color w:val="auto"/>
              </w:rPr>
              <w:t>417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Daily gross win per gaming table</w:t>
            </w:r>
            <w:r>
              <w:rPr>
                <w:rFonts w:ascii="Arial" w:cs="Arial" w:eastAsia="Arial" w:hAnsi="Arial"/>
                <w:sz w:val="16"/>
                <w:szCs w:val="16"/>
                <w:color w:val="auto"/>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191,411</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152,976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23"/>
                <w:szCs w:val="23"/>
                <w:color w:val="auto"/>
              </w:rPr>
              <w:t>Average number of slots</w:t>
            </w:r>
            <w:r>
              <w:rPr>
                <w:rFonts w:ascii="Arial" w:cs="Arial" w:eastAsia="Arial" w:hAnsi="Arial"/>
                <w:sz w:val="16"/>
                <w:szCs w:val="16"/>
                <w:color w:val="auto"/>
              </w:rPr>
              <w:t>(3)</w:t>
            </w:r>
          </w:p>
        </w:tc>
        <w:tc>
          <w:tcPr>
            <w:tcW w:w="12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1,026</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1,180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Arial" w:cs="Arial" w:eastAsia="Arial" w:hAnsi="Arial"/>
                <w:sz w:val="23"/>
                <w:szCs w:val="23"/>
                <w:color w:val="auto"/>
              </w:rPr>
              <w:t>Average daily win per slot</w:t>
            </w:r>
            <w:r>
              <w:rPr>
                <w:rFonts w:ascii="Arial" w:cs="Arial" w:eastAsia="Arial" w:hAnsi="Arial"/>
                <w:sz w:val="16"/>
                <w:szCs w:val="16"/>
                <w:color w:val="auto"/>
              </w:rPr>
              <w:t>(4)</w:t>
            </w:r>
          </w:p>
        </w:tc>
        <w:tc>
          <w:tcPr>
            <w:tcW w:w="1260" w:type="dxa"/>
            <w:vAlign w:val="bottom"/>
          </w:tcPr>
          <w:p>
            <w:pPr>
              <w:jc w:val="right"/>
              <w:spacing w:after="0"/>
              <w:rPr>
                <w:sz w:val="20"/>
                <w:szCs w:val="20"/>
                <w:color w:val="auto"/>
              </w:rPr>
            </w:pPr>
            <w:r>
              <w:rPr>
                <w:rFonts w:ascii="Arial" w:cs="Arial" w:eastAsia="Arial" w:hAnsi="Arial"/>
                <w:sz w:val="23"/>
                <w:szCs w:val="23"/>
                <w:b w:val="1"/>
                <w:bCs w:val="1"/>
                <w:color w:val="auto"/>
              </w:rPr>
              <w:t>6,202</w:t>
            </w:r>
          </w:p>
        </w:tc>
        <w:tc>
          <w:tcPr>
            <w:tcW w:w="1580" w:type="dxa"/>
            <w:vAlign w:val="bottom"/>
            <w:gridSpan w:val="3"/>
          </w:tcPr>
          <w:p>
            <w:pPr>
              <w:jc w:val="right"/>
              <w:ind w:right="100"/>
              <w:spacing w:after="0"/>
              <w:rPr>
                <w:sz w:val="20"/>
                <w:szCs w:val="20"/>
                <w:color w:val="auto"/>
              </w:rPr>
            </w:pPr>
            <w:r>
              <w:rPr>
                <w:rFonts w:ascii="Arial" w:cs="Arial" w:eastAsia="Arial" w:hAnsi="Arial"/>
                <w:sz w:val="23"/>
                <w:szCs w:val="23"/>
                <w:color w:val="auto"/>
              </w:rPr>
              <w:t>3,526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17" w:lineRule="exact"/>
        <w:rPr>
          <w:sz w:val="20"/>
          <w:szCs w:val="20"/>
          <w:color w:val="auto"/>
        </w:rPr>
      </w:pPr>
    </w:p>
    <w:p>
      <w:pPr>
        <w:jc w:val="both"/>
        <w:ind w:left="480" w:right="40" w:hanging="474"/>
        <w:spacing w:after="0" w:line="252" w:lineRule="auto"/>
        <w:tabs>
          <w:tab w:leader="none" w:pos="480" w:val="left"/>
        </w:tabs>
        <w:numPr>
          <w:ilvl w:val="0"/>
          <w:numId w:val="16"/>
        </w:numPr>
        <w:rPr>
          <w:rFonts w:ascii="Arial" w:cs="Arial" w:eastAsia="Arial" w:hAnsi="Arial"/>
          <w:sz w:val="18"/>
          <w:szCs w:val="18"/>
          <w:color w:val="231E1F"/>
        </w:rPr>
      </w:pPr>
      <w:r>
        <w:rPr>
          <w:rFonts w:ascii="Arial" w:cs="Arial" w:eastAsia="Arial" w:hAnsi="Arial"/>
          <w:sz w:val="18"/>
          <w:szCs w:val="18"/>
          <w:color w:val="auto"/>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640" w:type="dxa"/>
            <w:vAlign w:val="bottom"/>
            <w:gridSpan w:val="4"/>
          </w:tcPr>
          <w:p>
            <w:pPr>
              <w:jc w:val="right"/>
              <w:ind w:right="6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23"/>
                <w:szCs w:val="23"/>
                <w:b w:val="1"/>
                <w:bCs w:val="1"/>
                <w:color w:val="auto"/>
              </w:rPr>
              <w:t>30 June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16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b w:val="1"/>
                <w:bCs w:val="1"/>
                <w:color w:val="auto"/>
              </w:rPr>
              <w:t>2011</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line="233"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i w:val="1"/>
                <w:iCs w:val="1"/>
                <w:color w:val="auto"/>
              </w:rPr>
              <w:t>HK$</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3"/>
                <w:szCs w:val="23"/>
                <w:i w:val="1"/>
                <w:iCs w:val="1"/>
                <w:color w:val="auto"/>
              </w:rPr>
              <w:t>HK$</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Arial" w:cs="Arial" w:eastAsia="Arial" w:hAnsi="Arial"/>
                <w:sz w:val="23"/>
                <w:szCs w:val="23"/>
                <w:color w:val="auto"/>
              </w:rPr>
              <w:t>(in</w:t>
            </w:r>
          </w:p>
        </w:tc>
        <w:tc>
          <w:tcPr>
            <w:tcW w:w="1380" w:type="dxa"/>
            <w:vAlign w:val="bottom"/>
            <w:gridSpan w:val="2"/>
          </w:tcPr>
          <w:p>
            <w:pPr>
              <w:jc w:val="right"/>
              <w:ind w:right="505"/>
              <w:spacing w:after="0"/>
              <w:rPr>
                <w:sz w:val="20"/>
                <w:szCs w:val="20"/>
                <w:color w:val="auto"/>
              </w:rPr>
            </w:pPr>
            <w:r>
              <w:rPr>
                <w:rFonts w:ascii="Arial" w:cs="Arial" w:eastAsia="Arial" w:hAnsi="Arial"/>
                <w:sz w:val="21"/>
                <w:szCs w:val="21"/>
                <w:color w:val="auto"/>
                <w:w w:val="71"/>
              </w:rPr>
              <w:t>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VIP gross table games win</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w w:val="99"/>
              </w:rPr>
              <w:t>13,482,862</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3"/>
                <w:szCs w:val="23"/>
                <w:color w:val="auto"/>
              </w:rPr>
              <w:t>9,671,634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Mass market gross table games win</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2,973,669</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3"/>
                <w:szCs w:val="23"/>
                <w:color w:val="auto"/>
              </w:rPr>
              <w:t>1,883,437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Slot machine win</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1,151,661</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753,167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Poker revenues</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62,118</w:t>
            </w:r>
          </w:p>
        </w:tc>
        <w:tc>
          <w:tcPr>
            <w:tcW w:w="20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3"/>
                <w:szCs w:val="23"/>
                <w:color w:val="auto"/>
              </w:rPr>
              <w:t>48,093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Commissions and discounts</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23"/>
                <w:szCs w:val="23"/>
                <w:b w:val="1"/>
                <w:bCs w:val="1"/>
                <w:color w:val="auto"/>
              </w:rPr>
              <w:t>(4,160,280)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auto"/>
              </w:rPr>
              <w:t>(2,845,470)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3"/>
                <w:szCs w:val="23"/>
                <w:color w:val="auto"/>
              </w:rPr>
              <w:t>Total casino revenues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b w:val="1"/>
                <w:bCs w:val="1"/>
                <w:color w:val="auto"/>
                <w:w w:val="99"/>
              </w:rPr>
              <w:t>13,510,030</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3"/>
                <w:szCs w:val="23"/>
                <w:color w:val="auto"/>
              </w:rPr>
              <w:t>9,510,861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80" w:right="40" w:hanging="474"/>
        <w:spacing w:after="0" w:line="265" w:lineRule="auto"/>
        <w:tabs>
          <w:tab w:leader="none" w:pos="480" w:val="left"/>
        </w:tabs>
        <w:numPr>
          <w:ilvl w:val="0"/>
          <w:numId w:val="17"/>
        </w:numPr>
        <w:rPr>
          <w:rFonts w:ascii="Arial" w:cs="Arial" w:eastAsia="Arial" w:hAnsi="Arial"/>
          <w:sz w:val="18"/>
          <w:szCs w:val="18"/>
          <w:color w:val="231E1F"/>
        </w:rPr>
      </w:pPr>
      <w:r>
        <w:rPr>
          <w:rFonts w:ascii="Arial" w:cs="Arial" w:eastAsia="Arial" w:hAnsi="Arial"/>
          <w:sz w:val="18"/>
          <w:szCs w:val="18"/>
          <w:color w:val="auto"/>
        </w:rPr>
        <w:t>Promotional allowances are excluded from revenues in the accompanying condensed consolidated statement of comprehensive income prepared in accordance with IFRS. Management also evaluates non-casino revenues on an adjusted basis.</w:t>
      </w:r>
    </w:p>
    <w:p>
      <w:pPr>
        <w:spacing w:after="0" w:line="179" w:lineRule="exact"/>
        <w:rPr>
          <w:rFonts w:ascii="Arial" w:cs="Arial" w:eastAsia="Arial" w:hAnsi="Arial"/>
          <w:sz w:val="18"/>
          <w:szCs w:val="18"/>
          <w:color w:val="231E1F"/>
        </w:rPr>
      </w:pPr>
    </w:p>
    <w:p>
      <w:pPr>
        <w:jc w:val="both"/>
        <w:ind w:left="480" w:right="40"/>
        <w:spacing w:after="0" w:line="255" w:lineRule="auto"/>
        <w:rPr>
          <w:rFonts w:ascii="Arial" w:cs="Arial" w:eastAsia="Arial" w:hAnsi="Arial"/>
          <w:sz w:val="18"/>
          <w:szCs w:val="18"/>
          <w:color w:val="231E1F"/>
        </w:rPr>
      </w:pPr>
      <w:r>
        <w:rPr>
          <w:rFonts w:ascii="Arial" w:cs="Arial" w:eastAsia="Arial" w:hAnsi="Arial"/>
          <w:sz w:val="18"/>
          <w:szCs w:val="18"/>
          <w:color w:val="auto"/>
        </w:rPr>
        <w:t>The following table presents a reconciliation of net non-casino revenues as reported in our condensed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2640" w:type="dxa"/>
            <w:vAlign w:val="bottom"/>
            <w:gridSpan w:val="5"/>
          </w:tcPr>
          <w:p>
            <w:pPr>
              <w:jc w:val="center"/>
              <w:ind w:right="6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720" w:type="dxa"/>
            <w:vAlign w:val="bottom"/>
            <w:tcBorders>
              <w:bottom w:val="single" w:sz="8" w:color="auto"/>
            </w:tcBorders>
            <w:gridSpan w:val="3"/>
          </w:tcPr>
          <w:p>
            <w:pPr>
              <w:jc w:val="center"/>
              <w:ind w:left="685"/>
              <w:spacing w:after="0"/>
              <w:rPr>
                <w:sz w:val="20"/>
                <w:szCs w:val="20"/>
                <w:color w:val="auto"/>
              </w:rPr>
            </w:pPr>
            <w:r>
              <w:rPr>
                <w:rFonts w:ascii="Arial" w:cs="Arial" w:eastAsia="Arial" w:hAnsi="Arial"/>
                <w:sz w:val="23"/>
                <w:szCs w:val="23"/>
                <w:b w:val="1"/>
                <w:bCs w:val="1"/>
                <w:color w:val="auto"/>
                <w:w w:val="88"/>
              </w:rPr>
              <w:t>30 June</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160" w:type="dxa"/>
            <w:vAlign w:val="bottom"/>
          </w:tcPr>
          <w:p>
            <w:pPr>
              <w:jc w:val="right"/>
              <w:spacing w:after="0" w:line="233" w:lineRule="exact"/>
              <w:rPr>
                <w:sz w:val="20"/>
                <w:szCs w:val="20"/>
                <w:color w:val="auto"/>
              </w:rPr>
            </w:pPr>
            <w:r>
              <w:rPr>
                <w:rFonts w:ascii="Arial" w:cs="Arial" w:eastAsia="Arial" w:hAnsi="Arial"/>
                <w:sz w:val="23"/>
                <w:szCs w:val="23"/>
                <w:b w:val="1"/>
                <w:bCs w:val="1"/>
                <w:color w:val="auto"/>
              </w:rPr>
              <w:t>2011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line="233"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i w:val="1"/>
                <w:iCs w:val="1"/>
                <w:color w:val="auto"/>
              </w:rPr>
              <w:t>HK$</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3"/>
                <w:szCs w:val="23"/>
                <w:i w:val="1"/>
                <w:iCs w:val="1"/>
                <w:color w:val="auto"/>
              </w:rPr>
              <w:t>HK$</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Arial" w:cs="Arial" w:eastAsia="Arial" w:hAnsi="Arial"/>
                <w:sz w:val="23"/>
                <w:szCs w:val="23"/>
                <w:color w:val="auto"/>
              </w:rPr>
              <w:t>(in</w:t>
            </w:r>
          </w:p>
        </w:tc>
        <w:tc>
          <w:tcPr>
            <w:tcW w:w="1380" w:type="dxa"/>
            <w:vAlign w:val="bottom"/>
            <w:gridSpan w:val="3"/>
          </w:tcPr>
          <w:p>
            <w:pPr>
              <w:jc w:val="right"/>
              <w:ind w:right="505"/>
              <w:spacing w:after="0"/>
              <w:rPr>
                <w:sz w:val="20"/>
                <w:szCs w:val="20"/>
                <w:color w:val="auto"/>
              </w:rPr>
            </w:pPr>
            <w:r>
              <w:rPr>
                <w:rFonts w:ascii="Arial" w:cs="Arial" w:eastAsia="Arial" w:hAnsi="Arial"/>
                <w:sz w:val="21"/>
                <w:szCs w:val="21"/>
                <w:color w:val="auto"/>
                <w:w w:val="71"/>
              </w:rPr>
              <w:t>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Room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65,865</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57,022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Promotional allowances</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372,842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3"/>
                <w:szCs w:val="23"/>
                <w:color w:val="auto"/>
                <w:w w:val="96"/>
              </w:rPr>
              <w:t>230,489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Adjusted room revenues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auto"/>
              </w:rPr>
              <w:t>438,707</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w w:val="96"/>
              </w:rPr>
              <w:t>287,511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Food and beverage revenues</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94,198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3"/>
                <w:szCs w:val="23"/>
                <w:color w:val="auto"/>
              </w:rPr>
              <w:t>76,033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Promotional allowances</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252,289</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w w:val="96"/>
              </w:rPr>
              <w:t>170,595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Adjusted food and beverage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346,487</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w w:val="96"/>
              </w:rPr>
              <w:t>246,628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Retail and other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667,690</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w w:val="96"/>
              </w:rPr>
              <w:t>496,037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Promotional allowances</w:t>
            </w:r>
          </w:p>
        </w:tc>
        <w:tc>
          <w:tcPr>
            <w:tcW w:w="1160" w:type="dxa"/>
            <w:vAlign w:val="bottom"/>
          </w:tcPr>
          <w:p>
            <w:pPr>
              <w:jc w:val="right"/>
              <w:spacing w:after="0"/>
              <w:rPr>
                <w:sz w:val="20"/>
                <w:szCs w:val="20"/>
                <w:color w:val="auto"/>
              </w:rPr>
            </w:pPr>
            <w:r>
              <w:rPr>
                <w:rFonts w:ascii="Arial" w:cs="Arial" w:eastAsia="Arial" w:hAnsi="Arial"/>
                <w:sz w:val="23"/>
                <w:szCs w:val="23"/>
                <w:b w:val="1"/>
                <w:bCs w:val="1"/>
                <w:color w:val="auto"/>
              </w:rPr>
              <w:t>16,404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3"/>
                <w:szCs w:val="23"/>
                <w:color w:val="auto"/>
              </w:rPr>
              <w:t>7,130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60" w:type="dxa"/>
            <w:vAlign w:val="bottom"/>
          </w:tcPr>
          <w:p>
            <w:pPr>
              <w:spacing w:after="0"/>
              <w:rPr>
                <w:sz w:val="20"/>
                <w:szCs w:val="20"/>
                <w:color w:val="auto"/>
              </w:rPr>
            </w:pPr>
            <w:r>
              <w:rPr>
                <w:rFonts w:ascii="Arial" w:cs="Arial" w:eastAsia="Arial" w:hAnsi="Arial"/>
                <w:sz w:val="23"/>
                <w:szCs w:val="23"/>
                <w:color w:val="auto"/>
              </w:rPr>
              <w:t>Adjusted retail and other revenues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auto"/>
              </w:rPr>
              <w:t>684,094</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w w:val="96"/>
              </w:rPr>
              <w:t>503,167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80" w:right="40" w:hanging="474"/>
        <w:spacing w:after="0" w:line="265" w:lineRule="auto"/>
        <w:tabs>
          <w:tab w:leader="none" w:pos="480" w:val="left"/>
        </w:tabs>
        <w:numPr>
          <w:ilvl w:val="0"/>
          <w:numId w:val="18"/>
        </w:numPr>
        <w:rPr>
          <w:rFonts w:ascii="Arial" w:cs="Arial" w:eastAsia="Arial" w:hAnsi="Arial"/>
          <w:sz w:val="18"/>
          <w:szCs w:val="18"/>
          <w:color w:val="231E1F"/>
        </w:rPr>
      </w:pPr>
      <w:r>
        <w:rPr>
          <w:rFonts w:ascii="Arial" w:cs="Arial" w:eastAsia="Arial" w:hAnsi="Arial"/>
          <w:sz w:val="18"/>
          <w:szCs w:val="18"/>
          <w:color w:val="auto"/>
        </w:rPr>
        <w:t>For purposes of this table, we calculate average number of gaming tables and average number of slots as the average numbers of gaming tables and slot machines in service on each day in the period.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6" w:name="page27"/>
    <w:bookmarkEnd w:id="26"/>
    <w:p>
      <w:pPr>
        <w:jc w:val="both"/>
        <w:ind w:left="480" w:right="40" w:hanging="474"/>
        <w:spacing w:after="0" w:line="318" w:lineRule="auto"/>
        <w:tabs>
          <w:tab w:leader="none" w:pos="480" w:val="left"/>
        </w:tabs>
        <w:numPr>
          <w:ilvl w:val="0"/>
          <w:numId w:val="19"/>
        </w:numPr>
        <w:rPr>
          <w:rFonts w:ascii="Arial" w:cs="Arial" w:eastAsia="Arial" w:hAnsi="Arial"/>
          <w:sz w:val="15"/>
          <w:szCs w:val="15"/>
          <w:color w:val="231E1F"/>
        </w:rPr>
      </w:pPr>
      <w:r>
        <w:rPr>
          <w:rFonts w:ascii="Arial" w:cs="Arial" w:eastAsia="Arial" w:hAnsi="Arial"/>
          <w:sz w:val="15"/>
          <w:szCs w:val="15"/>
          <w:color w:val="auto"/>
        </w:rPr>
        <w:t>Daily gross win per gaming table and daily win per slot are presented in this table on the basis of the average number of gaming tables and average number of slots, respectively, over the number of days Wynn Macau and Encore were open in the applicable period. In addition, the total table games win figures used herein do not correspond to casino revenues figures in our financial information, because figures in our financial information are calculated net of commissions and discounts and the total table games win herein is calculated before commissions and discounts.</w:t>
      </w:r>
    </w:p>
    <w:p>
      <w:pPr>
        <w:spacing w:after="0" w:line="154"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Discussion of Results of Operations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3"/>
          <w:szCs w:val="23"/>
          <w:b w:val="1"/>
          <w:bCs w:val="1"/>
          <w:i w:val="1"/>
          <w:iCs w:val="1"/>
          <w:color w:val="231E1F"/>
        </w:rPr>
        <w:t>Financial results for the six months ended 30 June 2011 compared to financial results for the six months ended 30 June 2010</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Our results of operations for the periods presented are not comparable as the six months ended 30 June 2011 include the operations of Encore for the full period whereas the six months ended 30 June 2010 only included the operations of Encore from its opening on 21 April 2010 through 30 June 2010.</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Operating Revenues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Total operating revenues increased by 41.4% from HK$10.1 billion in the six months ended 30 June 2010 to HK$14.3 billion in the six months ended 30 June 2011. We believe this increase was due to a combination of factors, including increased visitation and overall gaming volumes in Macau during the first half of 2011, as well as the opening of Encore on 21 April 2010.</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Casino Revenues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Casino revenues increased by 42.0%, from HK$9.5 billion (93.8% of total operating revenues) in the six months ended 30 June 2010 to HK$13.5 billion (94.2% of total operating revenues) in the six months ended 30 June 2011. The components and reasons are as follows: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20"/>
          <w:szCs w:val="20"/>
          <w:i w:val="1"/>
          <w:iCs w:val="1"/>
          <w:color w:val="231E1F"/>
        </w:rPr>
        <w:t xml:space="preserve">VIP casino gaming operations. </w:t>
      </w:r>
      <w:r>
        <w:rPr>
          <w:rFonts w:ascii="Arial" w:cs="Arial" w:eastAsia="Arial" w:hAnsi="Arial"/>
          <w:sz w:val="20"/>
          <w:szCs w:val="20"/>
          <w:color w:val="231E1F"/>
        </w:rPr>
        <w:t>VIP gross table games win increased by 39.4%, from HK$9.7 billion in the six months</w:t>
      </w:r>
      <w:r>
        <w:rPr>
          <w:rFonts w:ascii="Arial" w:cs="Arial" w:eastAsia="Arial" w:hAnsi="Arial"/>
          <w:sz w:val="20"/>
          <w:szCs w:val="20"/>
          <w:i w:val="1"/>
          <w:iCs w:val="1"/>
          <w:color w:val="231E1F"/>
        </w:rPr>
        <w:t xml:space="preserve"> </w:t>
      </w:r>
      <w:r>
        <w:rPr>
          <w:rFonts w:ascii="Arial" w:cs="Arial" w:eastAsia="Arial" w:hAnsi="Arial"/>
          <w:sz w:val="20"/>
          <w:szCs w:val="20"/>
          <w:color w:val="231E1F"/>
        </w:rPr>
        <w:t>ended 30 June 2010 to HK$13.5 billion in the six months ended 30 June 2011. VIP table games turnover increased by 48.1%, from HK$325.6 billion in the six months ended 30 June 2010 to HK$482.1 billion in the six months ended 30 June 2011. VIP gross table games win as a percentage of turnover (calculated before discounts and commissions) was 2.97% in the six months ended 30 June 2010 compared to 2.80% in the six months ended 30 June 2011 (win percentages are within the expected range of 2.7% to 3.0%). On 21 April 2010, we added 37 VIP tables with the opening of Encore which helped drive some of the growth in our VIP segment during the six months ended 30 June 2011 compared to the prior year.</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23"/>
          <w:szCs w:val="23"/>
          <w:i w:val="1"/>
          <w:iCs w:val="1"/>
          <w:color w:val="231E1F"/>
        </w:rPr>
        <w:t xml:space="preserve">Mass market casino gaming operations. </w:t>
      </w:r>
      <w:r>
        <w:rPr>
          <w:rFonts w:ascii="Arial" w:cs="Arial" w:eastAsia="Arial" w:hAnsi="Arial"/>
          <w:sz w:val="23"/>
          <w:szCs w:val="23"/>
          <w:color w:val="231E1F"/>
        </w:rPr>
        <w:t>Mass market gross table games win increased by 57.9%, from HK$1.9 billion in</w:t>
      </w:r>
      <w:r>
        <w:rPr>
          <w:rFonts w:ascii="Arial" w:cs="Arial" w:eastAsia="Arial" w:hAnsi="Arial"/>
          <w:sz w:val="23"/>
          <w:szCs w:val="23"/>
          <w:i w:val="1"/>
          <w:iCs w:val="1"/>
          <w:color w:val="231E1F"/>
        </w:rPr>
        <w:t xml:space="preserve"> </w:t>
      </w:r>
      <w:r>
        <w:rPr>
          <w:rFonts w:ascii="Arial" w:cs="Arial" w:eastAsia="Arial" w:hAnsi="Arial"/>
          <w:sz w:val="23"/>
          <w:szCs w:val="23"/>
          <w:color w:val="231E1F"/>
        </w:rPr>
        <w:t>the six months ended 30 June 2010 to HK $3.0 billion in the six months ended 30 June 2011. Mass market table games drop increased by 27.8%, from HK$8.4 billion in the six months ended 30 June 2010 to HK$10.7 billion in the six months ended 30 June 2011. The mass market gross table games win percentage (calculated before discounts) was 22.5% in the six months ended 30 June 2010 compared to 27.8% in the six months ended 30 June 2011, which was within the expected win percentage range of 26% to 28%. We have increased our expected mass market range to 26%–28% based on our experience since the opening of Encore.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22"/>
          <w:szCs w:val="22"/>
          <w:i w:val="1"/>
          <w:iCs w:val="1"/>
          <w:color w:val="231E1F"/>
        </w:rPr>
        <w:t xml:space="preserve">Slot machine gaming operations. </w:t>
      </w:r>
      <w:r>
        <w:rPr>
          <w:rFonts w:ascii="Arial" w:cs="Arial" w:eastAsia="Arial" w:hAnsi="Arial"/>
          <w:sz w:val="22"/>
          <w:szCs w:val="22"/>
          <w:color w:val="231E1F"/>
        </w:rPr>
        <w:t>Slot machine win increased by 52.9% from HK$753.2 million in the six months ended 30</w:t>
      </w:r>
      <w:r>
        <w:rPr>
          <w:rFonts w:ascii="Arial" w:cs="Arial" w:eastAsia="Arial" w:hAnsi="Arial"/>
          <w:sz w:val="22"/>
          <w:szCs w:val="22"/>
          <w:i w:val="1"/>
          <w:iCs w:val="1"/>
          <w:color w:val="231E1F"/>
        </w:rPr>
        <w:t xml:space="preserve"> </w:t>
      </w:r>
      <w:r>
        <w:rPr>
          <w:rFonts w:ascii="Arial" w:cs="Arial" w:eastAsia="Arial" w:hAnsi="Arial"/>
          <w:sz w:val="22"/>
          <w:szCs w:val="22"/>
          <w:color w:val="231E1F"/>
        </w:rPr>
        <w:t>June 2010 to HK$1.2 billion in the six months ended 30 June 2011. Slot machine handle increased by 49.5%, from HK$15.5 billion in the six months ended 30 June 2010 to HK$23.1 billion in the six months ended 30 June 2011. The increases resulted primarily from increased visitation to our resort and the opening of Encore in April 2010. Consequently, total gross slot win increased and slot machine win per unit per day increased by 75.9% from HK$3,526 in the six months ended 30 June 2010 to HK$6,202 in the six months ended 30 June 2011.</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Non-casino Revenues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231E1F"/>
        </w:rPr>
        <w:t>Net non-casino revenues, which include rooms, food and beverage and retail and other revenues, increased by 31.6%, from HK$629.1 million (6.2% of total operating revenues) in the six months ended 30 June 2010 to HK$827.8 million (5.8% of total operating revenues) in the six months ended 30 June 2011. The increase in revenues was largely due to stronger retail sales in the six months ended 30 June 2011 and the opening of Encore in April 2010.</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i w:val="1"/>
          <w:iCs w:val="1"/>
          <w:color w:val="231E1F"/>
        </w:rPr>
        <w:t xml:space="preserve">Room. </w:t>
      </w:r>
      <w:r>
        <w:rPr>
          <w:rFonts w:ascii="Arial" w:cs="Arial" w:eastAsia="Arial" w:hAnsi="Arial"/>
          <w:sz w:val="21"/>
          <w:szCs w:val="21"/>
          <w:color w:val="231E1F"/>
        </w:rPr>
        <w:t>Our room revenues, which exclude promotional allowances in our condensed consolidated statement of</w:t>
      </w:r>
      <w:r>
        <w:rPr>
          <w:rFonts w:ascii="Arial" w:cs="Arial" w:eastAsia="Arial" w:hAnsi="Arial"/>
          <w:sz w:val="21"/>
          <w:szCs w:val="21"/>
          <w:i w:val="1"/>
          <w:iCs w:val="1"/>
          <w:color w:val="231E1F"/>
        </w:rPr>
        <w:t xml:space="preserve"> </w:t>
      </w:r>
      <w:r>
        <w:rPr>
          <w:rFonts w:ascii="Arial" w:cs="Arial" w:eastAsia="Arial" w:hAnsi="Arial"/>
          <w:sz w:val="21"/>
          <w:szCs w:val="21"/>
          <w:color w:val="231E1F"/>
        </w:rPr>
        <w:t>comprehensive income, increased by 15.5% from HK$57.0 million in the six months ended 30 June 2010 to HK$65.9 million in the six months ended 30 June 2011. The increase is due to the 414 additional suites added with the addition of Encore in April 2010 and the increase in average daily room rate and occupancy rate compared to the prior year.</w:t>
      </w: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Management also evaluates room revenues on an adjusted basis which include promotional allowances. Adjusted room revenues including promotional allowances increased by 52.6% from HK$287.5 million in the six months ended 30 June 2010 to HK$438.7 million in the six months ended 30 June 2011.</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following table presents additional information about our adjusted room revenues (which include promotional allowances):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780" w:type="dxa"/>
            <w:vAlign w:val="bottom"/>
            <w:gridSpan w:val="2"/>
          </w:tcPr>
          <w:p>
            <w:pPr>
              <w:spacing w:after="0"/>
              <w:rPr>
                <w:sz w:val="20"/>
                <w:szCs w:val="20"/>
                <w:color w:val="auto"/>
              </w:rPr>
            </w:pPr>
            <w:r>
              <w:rPr>
                <w:rFonts w:ascii="Arial" w:cs="Arial" w:eastAsia="Arial" w:hAnsi="Arial"/>
                <w:sz w:val="23"/>
                <w:szCs w:val="23"/>
                <w:color w:val="231E1F"/>
              </w:rPr>
              <w:t>Adjusted room revenues information</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23"/>
                <w:szCs w:val="23"/>
                <w:b w:val="1"/>
                <w:bCs w:val="1"/>
                <w:color w:val="auto"/>
                <w:w w:val="88"/>
              </w:rPr>
              <w:t>30 June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1360" w:type="dxa"/>
            <w:vAlign w:val="bottom"/>
            <w:tcBorders>
              <w:top w:val="single" w:sz="8" w:color="auto"/>
            </w:tcBorders>
            <w:gridSpan w:val="2"/>
          </w:tcPr>
          <w:p>
            <w:pPr>
              <w:jc w:val="right"/>
              <w:ind w:right="200"/>
              <w:spacing w:after="0" w:line="258" w:lineRule="exact"/>
              <w:rPr>
                <w:sz w:val="20"/>
                <w:szCs w:val="20"/>
                <w:color w:val="auto"/>
              </w:rPr>
            </w:pPr>
            <w:r>
              <w:rPr>
                <w:rFonts w:ascii="Arial" w:cs="Arial" w:eastAsia="Arial" w:hAnsi="Arial"/>
                <w:sz w:val="23"/>
                <w:szCs w:val="23"/>
                <w:b w:val="1"/>
                <w:bCs w:val="1"/>
                <w:color w:val="auto"/>
              </w:rPr>
              <w:t>2011</w:t>
            </w:r>
          </w:p>
        </w:tc>
        <w:tc>
          <w:tcPr>
            <w:tcW w:w="1180" w:type="dxa"/>
            <w:vAlign w:val="bottom"/>
            <w:tcBorders>
              <w:top w:val="single" w:sz="8" w:color="auto"/>
            </w:tcBorders>
          </w:tcPr>
          <w:p>
            <w:pPr>
              <w:jc w:val="right"/>
              <w:spacing w:after="0" w:line="258"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8760" w:type="dxa"/>
            <w:vAlign w:val="bottom"/>
            <w:shd w:val="clear" w:color="auto" w:fill="CCEEFF"/>
          </w:tcPr>
          <w:p>
            <w:pPr>
              <w:spacing w:after="0" w:line="240" w:lineRule="exact"/>
              <w:rPr>
                <w:sz w:val="20"/>
                <w:szCs w:val="20"/>
                <w:color w:val="auto"/>
              </w:rPr>
            </w:pPr>
            <w:r>
              <w:rPr>
                <w:rFonts w:ascii="Arial" w:cs="Arial" w:eastAsia="Arial" w:hAnsi="Arial"/>
                <w:sz w:val="23"/>
                <w:szCs w:val="23"/>
                <w:color w:val="auto"/>
              </w:rPr>
              <w:t>Adjusted Average Daily Rate (includes promotional allowances of HK$2,063 in the six</w:t>
            </w:r>
          </w:p>
        </w:tc>
        <w:tc>
          <w:tcPr>
            <w:tcW w:w="1360" w:type="dxa"/>
            <w:vAlign w:val="bottom"/>
            <w:gridSpan w:val="2"/>
            <w:vMerge w:val="restart"/>
            <w:shd w:val="clear" w:color="auto" w:fill="CCEEFF"/>
          </w:tcPr>
          <w:p>
            <w:pPr>
              <w:ind w:left="160"/>
              <w:spacing w:after="0"/>
              <w:rPr>
                <w:sz w:val="20"/>
                <w:szCs w:val="20"/>
                <w:color w:val="auto"/>
              </w:rPr>
            </w:pPr>
            <w:r>
              <w:rPr>
                <w:rFonts w:ascii="Arial" w:cs="Arial" w:eastAsia="Arial" w:hAnsi="Arial"/>
                <w:sz w:val="23"/>
                <w:szCs w:val="23"/>
                <w:b w:val="1"/>
                <w:bCs w:val="1"/>
                <w:color w:val="auto"/>
              </w:rPr>
              <w:t>HK$2,418</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23"/>
                <w:szCs w:val="23"/>
                <w:color w:val="auto"/>
              </w:rPr>
              <w:t>months ended 30 June 2011 and HK$1,782 in the six months ended 30 June 2010)</w:t>
            </w:r>
          </w:p>
        </w:tc>
        <w:tc>
          <w:tcPr>
            <w:tcW w:w="1360" w:type="dxa"/>
            <w:vAlign w:val="bottom"/>
            <w:gridSpan w:val="2"/>
            <w:vMerge w:val="continue"/>
            <w:shd w:val="clear" w:color="auto" w:fill="CCEEFF"/>
          </w:tcPr>
          <w:p>
            <w:pPr>
              <w:spacing w:after="0"/>
              <w:rPr>
                <w:sz w:val="24"/>
                <w:szCs w:val="24"/>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23"/>
                <w:szCs w:val="23"/>
                <w:color w:val="auto"/>
              </w:rPr>
              <w:t>HK$2,216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23"/>
                <w:szCs w:val="23"/>
                <w:color w:val="auto"/>
              </w:rPr>
              <w:t>Occupancy</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23"/>
                <w:szCs w:val="23"/>
                <w:b w:val="1"/>
                <w:bCs w:val="1"/>
                <w:color w:val="auto"/>
              </w:rPr>
              <w:t>89.6%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85.0%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8760" w:type="dxa"/>
            <w:vAlign w:val="bottom"/>
            <w:shd w:val="clear" w:color="auto" w:fill="CCEEFF"/>
          </w:tcPr>
          <w:p>
            <w:pPr>
              <w:spacing w:after="0" w:line="240" w:lineRule="exact"/>
              <w:rPr>
                <w:sz w:val="20"/>
                <w:szCs w:val="20"/>
                <w:color w:val="auto"/>
              </w:rPr>
            </w:pPr>
            <w:r>
              <w:rPr>
                <w:rFonts w:ascii="Arial" w:cs="Arial" w:eastAsia="Arial" w:hAnsi="Arial"/>
                <w:sz w:val="23"/>
                <w:szCs w:val="23"/>
                <w:color w:val="auto"/>
                <w:w w:val="95"/>
              </w:rPr>
              <w:t>Adjusted REVPAR (includes promotional allowances of HK$1,848 in the six months ended</w:t>
            </w:r>
          </w:p>
        </w:tc>
        <w:tc>
          <w:tcPr>
            <w:tcW w:w="1360" w:type="dxa"/>
            <w:vAlign w:val="bottom"/>
            <w:gridSpan w:val="2"/>
            <w:vMerge w:val="restart"/>
            <w:shd w:val="clear" w:color="auto" w:fill="CCEEFF"/>
          </w:tcPr>
          <w:p>
            <w:pPr>
              <w:ind w:left="160"/>
              <w:spacing w:after="0"/>
              <w:rPr>
                <w:sz w:val="20"/>
                <w:szCs w:val="20"/>
                <w:color w:val="auto"/>
              </w:rPr>
            </w:pPr>
            <w:r>
              <w:rPr>
                <w:rFonts w:ascii="Arial" w:cs="Arial" w:eastAsia="Arial" w:hAnsi="Arial"/>
                <w:sz w:val="23"/>
                <w:szCs w:val="23"/>
                <w:b w:val="1"/>
                <w:bCs w:val="1"/>
                <w:color w:val="auto"/>
              </w:rPr>
              <w:t>HK$2,166</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23"/>
                <w:szCs w:val="23"/>
                <w:color w:val="auto"/>
              </w:rPr>
              <w:t>30 June 2011 and HK$1,514 in the six months ended 30 June 2010)</w:t>
            </w:r>
          </w:p>
        </w:tc>
        <w:tc>
          <w:tcPr>
            <w:tcW w:w="1360" w:type="dxa"/>
            <w:vAlign w:val="bottom"/>
            <w:gridSpan w:val="2"/>
            <w:vMerge w:val="continue"/>
            <w:shd w:val="clear" w:color="auto" w:fill="CCEEFF"/>
          </w:tcPr>
          <w:p>
            <w:pPr>
              <w:spacing w:after="0"/>
              <w:rPr>
                <w:sz w:val="24"/>
                <w:szCs w:val="24"/>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23"/>
                <w:szCs w:val="23"/>
                <w:color w:val="auto"/>
              </w:rPr>
              <w:t>HK$1,884</w:t>
            </w:r>
          </w:p>
        </w:tc>
        <w:tc>
          <w:tcPr>
            <w:tcW w:w="0" w:type="dxa"/>
            <w:vAlign w:val="bottom"/>
          </w:tcPr>
          <w:p>
            <w:pPr>
              <w:spacing w:after="0"/>
              <w:rPr>
                <w:sz w:val="1"/>
                <w:szCs w:val="1"/>
                <w:color w:val="auto"/>
              </w:rPr>
            </w:pPr>
          </w:p>
        </w:tc>
      </w:tr>
      <w:tr>
        <w:trPr>
          <w:trHeight w:val="596"/>
        </w:trPr>
        <w:tc>
          <w:tcPr>
            <w:tcW w:w="8780" w:type="dxa"/>
            <w:vAlign w:val="bottom"/>
            <w:gridSpan w:val="2"/>
          </w:tcPr>
          <w:p>
            <w:pPr>
              <w:jc w:val="right"/>
              <w:ind w:right="2865"/>
              <w:spacing w:after="0"/>
              <w:rPr>
                <w:sz w:val="20"/>
                <w:szCs w:val="20"/>
                <w:color w:val="auto"/>
              </w:rPr>
            </w:pPr>
            <w:r>
              <w:rPr>
                <w:rFonts w:ascii="Arial" w:cs="Arial" w:eastAsia="Arial" w:hAnsi="Arial"/>
                <w:sz w:val="18"/>
                <w:szCs w:val="18"/>
                <w:color w:val="auto"/>
              </w:rPr>
              <w:t>25</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7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23"/>
          <w:szCs w:val="23"/>
          <w:i w:val="1"/>
          <w:iCs w:val="1"/>
          <w:color w:val="231E1F"/>
        </w:rPr>
        <w:t xml:space="preserve">Food and beverage. </w:t>
      </w:r>
      <w:r>
        <w:rPr>
          <w:rFonts w:ascii="Arial" w:cs="Arial" w:eastAsia="Arial" w:hAnsi="Arial"/>
          <w:sz w:val="23"/>
          <w:szCs w:val="23"/>
          <w:color w:val="231E1F"/>
        </w:rPr>
        <w:t>Food and beverage revenues, which exclude promotional allowances in our condensed consolidated</w:t>
      </w:r>
      <w:r>
        <w:rPr>
          <w:rFonts w:ascii="Arial" w:cs="Arial" w:eastAsia="Arial" w:hAnsi="Arial"/>
          <w:sz w:val="23"/>
          <w:szCs w:val="23"/>
          <w:i w:val="1"/>
          <w:iCs w:val="1"/>
          <w:color w:val="231E1F"/>
        </w:rPr>
        <w:t xml:space="preserve"> </w:t>
      </w:r>
      <w:r>
        <w:rPr>
          <w:rFonts w:ascii="Arial" w:cs="Arial" w:eastAsia="Arial" w:hAnsi="Arial"/>
          <w:sz w:val="23"/>
          <w:szCs w:val="23"/>
          <w:color w:val="231E1F"/>
        </w:rPr>
        <w:t>statement of comprehensive income, totaled HK$94.2 million in the six months ended 30 June 2011, a 23.9% increase from the six months ended 30 June 2010 revenues of HK$76.0 million. The increase reflects higher business volumes and the opening of Encore in April 2010.</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231E1F"/>
        </w:rPr>
        <w:t>Management also evaluates food and beverage revenues on an adjusted basis including promotional allowances. Food and beverage revenues in the six months ended 30 June 2011, adjusted to include these promotional allowances were HK$346.5 million, a 40.5% increase from the six months ended 30 June 2010 adjusted revenues of HK$246.6 million reflecting the increase in business volumes and the opening of Encore in April 2010.</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3"/>
          <w:szCs w:val="23"/>
          <w:i w:val="1"/>
          <w:iCs w:val="1"/>
          <w:color w:val="231E1F"/>
        </w:rPr>
        <w:t xml:space="preserve">Retail and other. </w:t>
      </w:r>
      <w:r>
        <w:rPr>
          <w:rFonts w:ascii="Arial" w:cs="Arial" w:eastAsia="Arial" w:hAnsi="Arial"/>
          <w:sz w:val="23"/>
          <w:szCs w:val="23"/>
          <w:color w:val="231E1F"/>
        </w:rPr>
        <w:t>Our retail and other revenues, which exclude promotional allowances in our condensed consolidated</w:t>
      </w:r>
      <w:r>
        <w:rPr>
          <w:rFonts w:ascii="Arial" w:cs="Arial" w:eastAsia="Arial" w:hAnsi="Arial"/>
          <w:sz w:val="23"/>
          <w:szCs w:val="23"/>
          <w:i w:val="1"/>
          <w:iCs w:val="1"/>
          <w:color w:val="231E1F"/>
        </w:rPr>
        <w:t xml:space="preserve"> </w:t>
      </w:r>
      <w:r>
        <w:rPr>
          <w:rFonts w:ascii="Arial" w:cs="Arial" w:eastAsia="Arial" w:hAnsi="Arial"/>
          <w:sz w:val="23"/>
          <w:szCs w:val="23"/>
          <w:color w:val="231E1F"/>
        </w:rPr>
        <w:t>statement of comprehensive income, increased by 34.6%, from HK$496.0 million in the six months ended 30 June 2010 to HK$667.7 million in the six months ended 30 June 2011. The increase was due primarily to increased same-store sales and new outlets at Encore including Chanel, Piaget and Cartier.</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Management also evaluates retail and other revenues on an adjusted basis which includes promotional allowances. Adjusted retail and other revenues including promotional allowances increased by 36.0% from HK$503.2 million in the six months ended 30 June 2010 to HK$684.1 million in the six months ended 30 June 2011, reflecting the increased same-store sales and the new outlets at Encore.</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Operating Costs and Expenses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3"/>
          <w:szCs w:val="23"/>
          <w:i w:val="1"/>
          <w:iCs w:val="1"/>
          <w:color w:val="231E1F"/>
        </w:rPr>
        <w:t xml:space="preserve">Gaming taxes and premiums. </w:t>
      </w:r>
      <w:r>
        <w:rPr>
          <w:rFonts w:ascii="Arial" w:cs="Arial" w:eastAsia="Arial" w:hAnsi="Arial"/>
          <w:sz w:val="23"/>
          <w:szCs w:val="23"/>
          <w:color w:val="231E1F"/>
        </w:rPr>
        <w:t>Gaming taxes and premiums increased by 42.5%, from HK$4.9 billion in the six months</w:t>
      </w:r>
      <w:r>
        <w:rPr>
          <w:rFonts w:ascii="Arial" w:cs="Arial" w:eastAsia="Arial" w:hAnsi="Arial"/>
          <w:sz w:val="23"/>
          <w:szCs w:val="23"/>
          <w:i w:val="1"/>
          <w:iCs w:val="1"/>
          <w:color w:val="231E1F"/>
        </w:rPr>
        <w:t xml:space="preserve"> </w:t>
      </w:r>
      <w:r>
        <w:rPr>
          <w:rFonts w:ascii="Arial" w:cs="Arial" w:eastAsia="Arial" w:hAnsi="Arial"/>
          <w:sz w:val="23"/>
          <w:szCs w:val="23"/>
          <w:color w:val="231E1F"/>
        </w:rPr>
        <w:t>ended 30 June 2010 to HK$7.0 billion in the six months ended 30 June 2011. This increase was due to increased gross gaming win from the six months ended 30 June 2011 compared to the six months ended 30 June 2010. Wynn Macau is subject to a 35% gaming tax on gross gaming win. In addition, Wynn Macau is also required to pay 4% of its gross gaming win as contributions for public development and social facilities.</w:t>
      </w:r>
    </w:p>
    <w:p>
      <w:pPr>
        <w:spacing w:after="0" w:line="204" w:lineRule="exact"/>
        <w:rPr>
          <w:sz w:val="20"/>
          <w:szCs w:val="20"/>
          <w:color w:val="auto"/>
        </w:rPr>
      </w:pPr>
    </w:p>
    <w:p>
      <w:pPr>
        <w:jc w:val="both"/>
        <w:spacing w:after="0" w:line="314" w:lineRule="auto"/>
        <w:rPr>
          <w:sz w:val="20"/>
          <w:szCs w:val="20"/>
          <w:color w:val="auto"/>
        </w:rPr>
      </w:pPr>
      <w:r>
        <w:rPr>
          <w:rFonts w:ascii="Arial" w:cs="Arial" w:eastAsia="Arial" w:hAnsi="Arial"/>
          <w:sz w:val="21"/>
          <w:szCs w:val="21"/>
          <w:i w:val="1"/>
          <w:iCs w:val="1"/>
          <w:color w:val="231E1F"/>
        </w:rPr>
        <w:t xml:space="preserve">Staff costs. </w:t>
      </w:r>
      <w:r>
        <w:rPr>
          <w:rFonts w:ascii="Arial" w:cs="Arial" w:eastAsia="Arial" w:hAnsi="Arial"/>
          <w:sz w:val="21"/>
          <w:szCs w:val="21"/>
          <w:color w:val="231E1F"/>
        </w:rPr>
        <w:t>Staff costs increased by 16.7%, from HK$879.2 million in the six months ended 30 June 2010 to HK$1,026.1</w:t>
      </w:r>
      <w:r>
        <w:rPr>
          <w:rFonts w:ascii="Arial" w:cs="Arial" w:eastAsia="Arial" w:hAnsi="Arial"/>
          <w:sz w:val="21"/>
          <w:szCs w:val="21"/>
          <w:i w:val="1"/>
          <w:iCs w:val="1"/>
          <w:color w:val="231E1F"/>
        </w:rPr>
        <w:t xml:space="preserve"> </w:t>
      </w:r>
      <w:r>
        <w:rPr>
          <w:rFonts w:ascii="Arial" w:cs="Arial" w:eastAsia="Arial" w:hAnsi="Arial"/>
          <w:sz w:val="21"/>
          <w:szCs w:val="21"/>
          <w:color w:val="231E1F"/>
        </w:rPr>
        <w:t>million in the six months ended 30 June 2011. The increase was primarily due to the hiring of additional staff for Encore.</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23"/>
          <w:szCs w:val="23"/>
          <w:i w:val="1"/>
          <w:iCs w:val="1"/>
          <w:color w:val="231E1F"/>
        </w:rPr>
        <w:t xml:space="preserve">Other operating expenses. </w:t>
      </w:r>
      <w:r>
        <w:rPr>
          <w:rFonts w:ascii="Arial" w:cs="Arial" w:eastAsia="Arial" w:hAnsi="Arial"/>
          <w:sz w:val="23"/>
          <w:szCs w:val="23"/>
          <w:color w:val="231E1F"/>
        </w:rPr>
        <w:t>Other operating expenses increased by 34.0%, from HK$1.8 billion in the six months ended 30</w:t>
      </w:r>
      <w:r>
        <w:rPr>
          <w:rFonts w:ascii="Arial" w:cs="Arial" w:eastAsia="Arial" w:hAnsi="Arial"/>
          <w:sz w:val="23"/>
          <w:szCs w:val="23"/>
          <w:i w:val="1"/>
          <w:iCs w:val="1"/>
          <w:color w:val="231E1F"/>
        </w:rPr>
        <w:t xml:space="preserve"> </w:t>
      </w:r>
      <w:r>
        <w:rPr>
          <w:rFonts w:ascii="Arial" w:cs="Arial" w:eastAsia="Arial" w:hAnsi="Arial"/>
          <w:sz w:val="23"/>
          <w:szCs w:val="23"/>
          <w:color w:val="231E1F"/>
        </w:rPr>
        <w:t>June 2010 to HK $2.5 billion in the six months ended 30 June 2011. The increase in other operating costs was primarily due to the opening of Encore.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3"/>
          <w:szCs w:val="23"/>
          <w:i w:val="1"/>
          <w:iCs w:val="1"/>
          <w:color w:val="231E1F"/>
        </w:rPr>
        <w:t xml:space="preserve">Depreciation and amortization. </w:t>
      </w:r>
      <w:r>
        <w:rPr>
          <w:rFonts w:ascii="Arial" w:cs="Arial" w:eastAsia="Arial" w:hAnsi="Arial"/>
          <w:sz w:val="23"/>
          <w:szCs w:val="23"/>
          <w:color w:val="231E1F"/>
        </w:rPr>
        <w:t>Depreciation and amortization increased by 21.4% from HK$445.4 million in the six</w:t>
      </w:r>
      <w:r>
        <w:rPr>
          <w:rFonts w:ascii="Arial" w:cs="Arial" w:eastAsia="Arial" w:hAnsi="Arial"/>
          <w:sz w:val="23"/>
          <w:szCs w:val="23"/>
          <w:i w:val="1"/>
          <w:iCs w:val="1"/>
          <w:color w:val="231E1F"/>
        </w:rPr>
        <w:t xml:space="preserve"> </w:t>
      </w:r>
      <w:r>
        <w:rPr>
          <w:rFonts w:ascii="Arial" w:cs="Arial" w:eastAsia="Arial" w:hAnsi="Arial"/>
          <w:sz w:val="23"/>
          <w:szCs w:val="23"/>
          <w:color w:val="231E1F"/>
        </w:rPr>
        <w:t>months ended 30 June 2010 to HK$540.6 million in the six months ended 30 June 2011. This increase was primarily due to the impact of assets placed in service with the opening of Encore in April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22"/>
          <w:szCs w:val="22"/>
          <w:i w:val="1"/>
          <w:iCs w:val="1"/>
          <w:color w:val="231E1F"/>
        </w:rPr>
        <w:t xml:space="preserve">Property charges and other. </w:t>
      </w:r>
      <w:r>
        <w:rPr>
          <w:rFonts w:ascii="Arial" w:cs="Arial" w:eastAsia="Arial" w:hAnsi="Arial"/>
          <w:sz w:val="22"/>
          <w:szCs w:val="22"/>
          <w:color w:val="231E1F"/>
        </w:rPr>
        <w:t>Property charges and other increased from HK$22.9 million in the six months ended 30 June</w:t>
      </w:r>
      <w:r>
        <w:rPr>
          <w:rFonts w:ascii="Arial" w:cs="Arial" w:eastAsia="Arial" w:hAnsi="Arial"/>
          <w:sz w:val="22"/>
          <w:szCs w:val="22"/>
          <w:i w:val="1"/>
          <w:iCs w:val="1"/>
          <w:color w:val="231E1F"/>
        </w:rPr>
        <w:t xml:space="preserve"> </w:t>
      </w:r>
      <w:r>
        <w:rPr>
          <w:rFonts w:ascii="Arial" w:cs="Arial" w:eastAsia="Arial" w:hAnsi="Arial"/>
          <w:sz w:val="22"/>
          <w:szCs w:val="22"/>
          <w:color w:val="231E1F"/>
        </w:rPr>
        <w:t>2010 to HK$849.3 million in the six months ended 30 June 2011. Included in property charges and other for the six months ended 30 June 2011 is a charge of HK$831.1 million reflecting the present value of a charitable contribution made by WRM to the University of Macau Development Foundation. This contribution consists of a MOP200.0 million (approximately HK$194.2 million) payment made in May 2011, and a commitment for additional donations of MOP80.0 million (approximately HK$77.7 million) each year for the calendar years 2012 through 2022 inclusive, for a total of MOP1,080.0 million (approximately HK$1,048.5 million). The amount reflected in our accompanying condensed consolidated statement of comprehensive income has been discounted using our current estimated borrowing rate over the time period of the remaining committed payments. Other charges in each period represent gain/ loss on the sale of equipment as well as costs related to assets retired or abandoned as a result of renovating certain assets of Wynn Macau in response to customer preferences and changes in market demand.</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As a result of the foregoing, total operating costs and expenses increased by 46.7%, from HK$8.1 billion in the six months ended 30 June 2010 to HK$11.9 billion in the six months ended 30 June 2011.</w:t>
      </w: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Finance Revenues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3"/>
          <w:szCs w:val="23"/>
          <w:color w:val="231E1F"/>
        </w:rPr>
        <w:t>Finance revenues increased from HK$0.3 million in the six months ended 30 June 2010 to HK$9.9 million in the six months ended 30 June 2011. During 2011 and 2010, our short-term investment strategy has been to preserve capital while retaining sufficient liquidity. While we have recently invested in certain corporate debt securities which contributed to the increase in interest income, the majority of our short-term investments are primarily in time deposits with a maturity of three months or less.</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Finance Costs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3"/>
          <w:szCs w:val="23"/>
          <w:color w:val="231E1F"/>
        </w:rPr>
        <w:t>Finance costs increased by 26.9%, from HK$107.1 million in the six months ended 30 June 2010 to HK$135.9 million in the six months ended 30 June 2011. Finance costs increased in the six months ended 30 June 2011 primarily due to the reduction in capitalized interest for Encore which opened in April 2010, offset in part by the reduction in amounts outstanding under the revolver component of the Wynn Macau Credit Facility and lower interest rates in 2011 compared to 2010.</w:t>
      </w: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Interest Rate Swaps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231E1F"/>
        </w:rPr>
        <w:t>As required under the terms of our various credit facilities, we have entered into agreements which swap a portion of the interest on our loans from floating to fixed rates. These transactions do not qualify for hedge accounting.</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Changes in the fair value of our interest rate swaps are recorded as an increase or decrease in swap fair value during each period. We recorded a gain of HK$46.7 million for the six months ended 30 June 2011 resulting from the increase in the fair value of our interest rate swaps in the six months ended 30 June 2011. We recorded an expense of HK$5.6 million in the six months ended 30 June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0" w:name="page31"/>
    <w:bookmarkEnd w:id="30"/>
    <w:p>
      <w:pPr>
        <w:ind w:right="960"/>
        <w:spacing w:after="0" w:line="457" w:lineRule="auto"/>
        <w:rPr>
          <w:sz w:val="20"/>
          <w:szCs w:val="20"/>
          <w:color w:val="auto"/>
        </w:rPr>
      </w:pPr>
      <w:r>
        <w:rPr>
          <w:rFonts w:ascii="Arial" w:cs="Arial" w:eastAsia="Arial" w:hAnsi="Arial"/>
          <w:sz w:val="23"/>
          <w:szCs w:val="23"/>
          <w:color w:val="231E1F"/>
        </w:rPr>
        <w:t xml:space="preserve">2010 resulting from the decrease in the fair value of our interest rate swaps in the six months ended 30 June 2010. </w:t>
      </w:r>
      <w:r>
        <w:rPr>
          <w:rFonts w:ascii="Arial" w:cs="Arial" w:eastAsia="Arial" w:hAnsi="Arial"/>
          <w:sz w:val="23"/>
          <w:szCs w:val="23"/>
          <w:b w:val="1"/>
          <w:bCs w:val="1"/>
          <w:i w:val="1"/>
          <w:iCs w:val="1"/>
          <w:color w:val="231E1F"/>
        </w:rPr>
        <w:t>Income Tax Expense</w:t>
      </w:r>
    </w:p>
    <w:p>
      <w:pPr>
        <w:jc w:val="both"/>
        <w:spacing w:after="0" w:line="245" w:lineRule="auto"/>
        <w:rPr>
          <w:sz w:val="20"/>
          <w:szCs w:val="20"/>
          <w:color w:val="auto"/>
        </w:rPr>
      </w:pPr>
      <w:r>
        <w:rPr>
          <w:rFonts w:ascii="Arial" w:cs="Arial" w:eastAsia="Arial" w:hAnsi="Arial"/>
          <w:sz w:val="23"/>
          <w:szCs w:val="23"/>
          <w:color w:val="231E1F"/>
        </w:rPr>
        <w:t>For the six months ended 30 June 2011, our income tax expense was HK$3.5 million compared to an income tax expense of HK$36.1 million in the six months ended 30 June 2010. Our current tax expense for the six months ended 30 June 2011 primarily relates to the current tax expense of our subsidiaries owning WRM’s shares under the WRM Shareholder Dividend Tax Agreement. In the six months ended 30 June 2010, our income tax expense mainly related to the amount accrued for the WRM Shareholder Dividend Tax Agreement and a deferred tax expense recorded by WRM resulting from derecognizing certain deferred tax assets.</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Net Profit Attributable to Owners of the Company</w:t>
      </w:r>
    </w:p>
    <w:p>
      <w:pPr>
        <w:spacing w:after="0" w:line="239" w:lineRule="exact"/>
        <w:rPr>
          <w:sz w:val="20"/>
          <w:szCs w:val="20"/>
          <w:color w:val="auto"/>
        </w:rPr>
      </w:pPr>
    </w:p>
    <w:p>
      <w:pPr>
        <w:jc w:val="both"/>
        <w:ind w:right="20"/>
        <w:spacing w:after="0" w:line="266" w:lineRule="auto"/>
        <w:rPr>
          <w:sz w:val="20"/>
          <w:szCs w:val="20"/>
          <w:color w:val="auto"/>
        </w:rPr>
      </w:pPr>
      <w:r>
        <w:rPr>
          <w:rFonts w:ascii="Arial" w:cs="Arial" w:eastAsia="Arial" w:hAnsi="Arial"/>
          <w:sz w:val="23"/>
          <w:szCs w:val="23"/>
          <w:color w:val="231E1F"/>
        </w:rPr>
        <w:t>As a result of the foregoing, net profit attributable to owners of the Company increased by 26.5%, from HK$1.9 billion in the six months ended 30 June 2010 to HK$2.4 billion in the six months ended 30 June 2011.</w:t>
      </w:r>
    </w:p>
    <w:p>
      <w:pPr>
        <w:spacing w:after="0" w:line="177"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Capital Resources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Since Wynn Macau opened in 2006, we have generally funded our working capital and recurring expenses as well as capital expenditures from cash flow from operations and cash on hand.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Our cash balances as at 30 June 2011 were HK$7.5 billion. Such cash is available for operations, new development activities, enhancements to Wynn Macau and Encore and general corporate purposes. In addition, as at 30 June 2011, we had HK$7.7 billion available to draw under the Wynn Macau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Investments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As at 30 June 2011, the Group had net investments in Offshore RMB denominated debt securities with maturities of up to three years that amounted to Offshore RMB214.3 million (approximately HK$257.8 million) compared to nil as at 31 December 2010.</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Gearing Ratio</w:t>
      </w:r>
    </w:p>
    <w:p>
      <w:pPr>
        <w:spacing w:after="0" w:line="245" w:lineRule="exact"/>
        <w:rPr>
          <w:sz w:val="20"/>
          <w:szCs w:val="20"/>
          <w:color w:val="auto"/>
        </w:rPr>
      </w:pPr>
    </w:p>
    <w:p>
      <w:pPr>
        <w:jc w:val="both"/>
        <w:spacing w:after="0" w:line="314" w:lineRule="auto"/>
        <w:rPr>
          <w:sz w:val="20"/>
          <w:szCs w:val="20"/>
          <w:color w:val="auto"/>
        </w:rPr>
      </w:pPr>
      <w:r>
        <w:rPr>
          <w:rFonts w:ascii="Arial" w:cs="Arial" w:eastAsia="Arial" w:hAnsi="Arial"/>
          <w:sz w:val="21"/>
          <w:szCs w:val="21"/>
          <w:color w:val="231E1F"/>
        </w:rPr>
        <w:t>The gearing ratio is a key indicator of our Group’s capital structure. The gearing ratio is net debt divided by total capital plus net debt. The table below presents the calculation of our gearing ratio as at 30 June 2011 and 31 December 2010.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680" w:type="dxa"/>
            <w:vAlign w:val="bottom"/>
            <w:gridSpan w:val="5"/>
          </w:tcPr>
          <w:p>
            <w:pPr>
              <w:jc w:val="right"/>
              <w:ind w:right="1140"/>
              <w:spacing w:after="0"/>
              <w:rPr>
                <w:sz w:val="20"/>
                <w:szCs w:val="20"/>
                <w:color w:val="auto"/>
              </w:rPr>
            </w:pPr>
            <w:r>
              <w:rPr>
                <w:rFonts w:ascii="Arial" w:cs="Arial" w:eastAsia="Arial" w:hAnsi="Arial"/>
                <w:sz w:val="23"/>
                <w:szCs w:val="23"/>
                <w:b w:val="1"/>
                <w:bCs w:val="1"/>
                <w:color w:val="auto"/>
              </w:rPr>
              <w:t>As at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30"/>
              <w:spacing w:after="0" w:line="226" w:lineRule="exact"/>
              <w:rPr>
                <w:sz w:val="20"/>
                <w:szCs w:val="20"/>
                <w:color w:val="auto"/>
              </w:rPr>
            </w:pPr>
            <w:r>
              <w:rPr>
                <w:rFonts w:ascii="Arial" w:cs="Arial" w:eastAsia="Arial" w:hAnsi="Arial"/>
                <w:sz w:val="23"/>
                <w:szCs w:val="23"/>
                <w:b w:val="1"/>
                <w:bCs w:val="1"/>
                <w:color w:val="auto"/>
              </w:rPr>
              <w:t>30 June</w:t>
            </w:r>
          </w:p>
        </w:tc>
        <w:tc>
          <w:tcPr>
            <w:tcW w:w="1300" w:type="dxa"/>
            <w:vAlign w:val="bottom"/>
            <w:tcBorders>
              <w:top w:val="single" w:sz="8" w:color="auto"/>
            </w:tcBorders>
            <w:gridSpan w:val="2"/>
          </w:tcPr>
          <w:p>
            <w:pPr>
              <w:jc w:val="right"/>
              <w:spacing w:after="0" w:line="226" w:lineRule="exact"/>
              <w:rPr>
                <w:sz w:val="20"/>
                <w:szCs w:val="20"/>
                <w:color w:val="auto"/>
              </w:rPr>
            </w:pPr>
            <w:r>
              <w:rPr>
                <w:rFonts w:ascii="Arial" w:cs="Arial" w:eastAsia="Arial" w:hAnsi="Arial"/>
                <w:sz w:val="23"/>
                <w:szCs w:val="23"/>
                <w:color w:val="auto"/>
                <w:w w:val="92"/>
              </w:rPr>
              <w:t>31 December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7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2011</w:t>
            </w:r>
          </w:p>
        </w:tc>
        <w:tc>
          <w:tcPr>
            <w:tcW w:w="14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3"/>
                <w:szCs w:val="23"/>
                <w:color w:val="auto"/>
              </w:rPr>
              <w:t>2010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23"/>
                <w:szCs w:val="23"/>
                <w:b w:val="1"/>
                <w:bCs w:val="1"/>
                <w:i w:val="1"/>
                <w:iCs w:val="1"/>
                <w:color w:val="auto"/>
              </w:rPr>
              <w:t>HK$</w:t>
            </w:r>
          </w:p>
        </w:tc>
        <w:tc>
          <w:tcPr>
            <w:tcW w:w="8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3"/>
                <w:szCs w:val="23"/>
                <w:i w:val="1"/>
                <w:i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140" w:type="dxa"/>
            <w:vAlign w:val="bottom"/>
          </w:tcPr>
          <w:p>
            <w:pPr>
              <w:jc w:val="right"/>
              <w:ind w:right="125"/>
              <w:spacing w:after="0"/>
              <w:rPr>
                <w:sz w:val="20"/>
                <w:szCs w:val="20"/>
                <w:color w:val="auto"/>
              </w:rPr>
            </w:pPr>
            <w:r>
              <w:rPr>
                <w:rFonts w:ascii="Arial" w:cs="Arial" w:eastAsia="Arial" w:hAnsi="Arial"/>
                <w:sz w:val="23"/>
                <w:szCs w:val="23"/>
                <w:color w:val="auto"/>
              </w:rPr>
              <w:t>(in</w:t>
            </w:r>
          </w:p>
        </w:tc>
        <w:tc>
          <w:tcPr>
            <w:tcW w:w="1440" w:type="dxa"/>
            <w:vAlign w:val="bottom"/>
            <w:gridSpan w:val="3"/>
          </w:tcPr>
          <w:p>
            <w:pPr>
              <w:jc w:val="right"/>
              <w:ind w:right="525"/>
              <w:spacing w:after="0"/>
              <w:rPr>
                <w:sz w:val="20"/>
                <w:szCs w:val="20"/>
                <w:color w:val="auto"/>
              </w:rPr>
            </w:pPr>
            <w:r>
              <w:rPr>
                <w:rFonts w:ascii="Arial" w:cs="Arial" w:eastAsia="Arial" w:hAnsi="Arial"/>
                <w:sz w:val="22"/>
                <w:szCs w:val="22"/>
                <w:color w:val="auto"/>
                <w:w w:val="71"/>
              </w:rPr>
              <w:t>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23"/>
                <w:szCs w:val="23"/>
                <w:color w:val="auto"/>
              </w:rPr>
              <w:t>Interest bearing loans and borrowings, net</w:t>
            </w:r>
          </w:p>
        </w:tc>
        <w:tc>
          <w:tcPr>
            <w:tcW w:w="114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4,191,496</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4,949,703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Accounts payable</w:t>
            </w: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1,104,258</w:t>
            </w:r>
          </w:p>
        </w:tc>
        <w:tc>
          <w:tcPr>
            <w:tcW w:w="14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3"/>
                <w:szCs w:val="23"/>
                <w:color w:val="auto"/>
              </w:rPr>
              <w:t>1,018,016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23"/>
                <w:szCs w:val="23"/>
                <w:color w:val="auto"/>
              </w:rPr>
              <w:t>Other payables and accruals</w:t>
            </w:r>
          </w:p>
        </w:tc>
        <w:tc>
          <w:tcPr>
            <w:tcW w:w="114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5,118,307</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3,665,441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Amounts due to related companies</w:t>
            </w: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206,839</w:t>
            </w:r>
          </w:p>
        </w:tc>
        <w:tc>
          <w:tcPr>
            <w:tcW w:w="140" w:type="dxa"/>
            <w:vAlign w:val="bottom"/>
          </w:tcPr>
          <w:p>
            <w:pPr>
              <w:spacing w:after="0"/>
              <w:rPr>
                <w:sz w:val="23"/>
                <w:szCs w:val="23"/>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23"/>
                <w:szCs w:val="23"/>
                <w:color w:val="auto"/>
              </w:rPr>
              <w:t>235,922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23"/>
                <w:szCs w:val="23"/>
                <w:color w:val="auto"/>
              </w:rPr>
              <w:t>Other liabilities, net of uncertain tax position</w:t>
            </w:r>
          </w:p>
        </w:tc>
        <w:tc>
          <w:tcPr>
            <w:tcW w:w="114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146,556</w:t>
            </w:r>
          </w:p>
        </w:tc>
        <w:tc>
          <w:tcPr>
            <w:tcW w:w="14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23,794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Less: cash and cash equivalents</w:t>
            </w:r>
          </w:p>
        </w:tc>
        <w:tc>
          <w:tcPr>
            <w:tcW w:w="1280" w:type="dxa"/>
            <w:vAlign w:val="bottom"/>
            <w:gridSpan w:val="2"/>
          </w:tcPr>
          <w:p>
            <w:pPr>
              <w:jc w:val="right"/>
              <w:spacing w:after="0"/>
              <w:rPr>
                <w:sz w:val="20"/>
                <w:szCs w:val="20"/>
                <w:color w:val="auto"/>
              </w:rPr>
            </w:pPr>
            <w:r>
              <w:rPr>
                <w:rFonts w:ascii="Arial" w:cs="Arial" w:eastAsia="Arial" w:hAnsi="Arial"/>
                <w:sz w:val="23"/>
                <w:szCs w:val="23"/>
                <w:b w:val="1"/>
                <w:bCs w:val="1"/>
                <w:color w:val="auto"/>
              </w:rPr>
              <w:t>(7,483,917)</w:t>
            </w:r>
          </w:p>
        </w:tc>
        <w:tc>
          <w:tcPr>
            <w:tcW w:w="1400" w:type="dxa"/>
            <w:vAlign w:val="bottom"/>
            <w:gridSpan w:val="3"/>
          </w:tcPr>
          <w:p>
            <w:pPr>
              <w:jc w:val="right"/>
              <w:ind w:right="20"/>
              <w:spacing w:after="0"/>
              <w:rPr>
                <w:sz w:val="20"/>
                <w:szCs w:val="20"/>
                <w:color w:val="auto"/>
              </w:rPr>
            </w:pPr>
            <w:r>
              <w:rPr>
                <w:rFonts w:ascii="Arial" w:cs="Arial" w:eastAsia="Arial" w:hAnsi="Arial"/>
                <w:sz w:val="23"/>
                <w:szCs w:val="23"/>
                <w:color w:val="auto"/>
              </w:rPr>
              <w:t>(3,819,163)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Net debt</w:t>
            </w: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3,283,539</w:t>
            </w:r>
          </w:p>
        </w:tc>
        <w:tc>
          <w:tcPr>
            <w:tcW w:w="14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3"/>
                <w:szCs w:val="23"/>
                <w:color w:val="auto"/>
              </w:rPr>
              <w:t>6,073,713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23"/>
                <w:szCs w:val="23"/>
                <w:color w:val="auto"/>
              </w:rPr>
              <w:t>Equity</w:t>
            </w:r>
          </w:p>
        </w:tc>
        <w:tc>
          <w:tcPr>
            <w:tcW w:w="114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rPr>
              <w:t>6,735,039</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rPr>
              <w:t>4,297,089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Total capital</w:t>
            </w: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6,735,039</w:t>
            </w:r>
          </w:p>
        </w:tc>
        <w:tc>
          <w:tcPr>
            <w:tcW w:w="14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3"/>
                <w:szCs w:val="23"/>
                <w:color w:val="auto"/>
              </w:rPr>
              <w:t>4,297,089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23"/>
                <w:szCs w:val="23"/>
                <w:color w:val="auto"/>
              </w:rPr>
              <w:t>Capital and net debt</w:t>
            </w:r>
          </w:p>
        </w:tc>
        <w:tc>
          <w:tcPr>
            <w:tcW w:w="1140" w:type="dxa"/>
            <w:vAlign w:val="bottom"/>
            <w:shd w:val="clear" w:color="auto" w:fill="CCEEFF"/>
          </w:tcPr>
          <w:p>
            <w:pPr>
              <w:jc w:val="right"/>
              <w:spacing w:after="0"/>
              <w:rPr>
                <w:sz w:val="20"/>
                <w:szCs w:val="20"/>
                <w:color w:val="auto"/>
              </w:rPr>
            </w:pPr>
            <w:r>
              <w:rPr>
                <w:rFonts w:ascii="Arial" w:cs="Arial" w:eastAsia="Arial" w:hAnsi="Arial"/>
                <w:sz w:val="23"/>
                <w:szCs w:val="23"/>
                <w:b w:val="1"/>
                <w:bCs w:val="1"/>
                <w:color w:val="auto"/>
                <w:w w:val="97"/>
              </w:rPr>
              <w:t>10,018,578</w:t>
            </w:r>
          </w:p>
        </w:tc>
        <w:tc>
          <w:tcPr>
            <w:tcW w:w="14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23"/>
                <w:szCs w:val="23"/>
                <w:color w:val="auto"/>
              </w:rPr>
              <w:t>10,370,802</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23"/>
                <w:szCs w:val="23"/>
                <w:color w:val="auto"/>
              </w:rPr>
              <w:t>Gearing ratio</w:t>
            </w:r>
          </w:p>
        </w:tc>
        <w:tc>
          <w:tcPr>
            <w:tcW w:w="1140" w:type="dxa"/>
            <w:vAlign w:val="bottom"/>
          </w:tcPr>
          <w:p>
            <w:pPr>
              <w:jc w:val="right"/>
              <w:spacing w:after="0"/>
              <w:rPr>
                <w:sz w:val="20"/>
                <w:szCs w:val="20"/>
                <w:color w:val="auto"/>
              </w:rPr>
            </w:pPr>
            <w:r>
              <w:rPr>
                <w:rFonts w:ascii="Arial" w:cs="Arial" w:eastAsia="Arial" w:hAnsi="Arial"/>
                <w:sz w:val="23"/>
                <w:szCs w:val="23"/>
                <w:b w:val="1"/>
                <w:bCs w:val="1"/>
                <w:color w:val="auto"/>
              </w:rPr>
              <w:t>32.8%</w:t>
            </w:r>
          </w:p>
        </w:tc>
        <w:tc>
          <w:tcPr>
            <w:tcW w:w="14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23"/>
                <w:szCs w:val="23"/>
                <w:color w:val="auto"/>
              </w:rPr>
              <w:t>58.6%</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Cash Flows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231E1F"/>
        </w:rPr>
        <w:t>The following table presents a summary of the Group’s cash flows for the six months ended 30 June 2011 and 2010.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640" w:type="dxa"/>
            <w:vAlign w:val="bottom"/>
            <w:gridSpan w:val="5"/>
          </w:tcPr>
          <w:p>
            <w:pPr>
              <w:jc w:val="center"/>
              <w:ind w:right="60"/>
              <w:spacing w:after="0"/>
              <w:rPr>
                <w:sz w:val="20"/>
                <w:szCs w:val="20"/>
                <w:color w:val="auto"/>
              </w:rPr>
            </w:pPr>
            <w:r>
              <w:rPr>
                <w:rFonts w:ascii="Arial" w:cs="Arial" w:eastAsia="Arial" w:hAnsi="Arial"/>
                <w:sz w:val="23"/>
                <w:szCs w:val="23"/>
                <w:b w:val="1"/>
                <w:bCs w:val="1"/>
                <w:color w:val="auto"/>
                <w:w w:val="90"/>
              </w:rPr>
              <w:t>For the Six Months Ended</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00" w:type="dxa"/>
            <w:vAlign w:val="bottom"/>
            <w:tcBorders>
              <w:bottom w:val="single" w:sz="8" w:color="auto"/>
            </w:tcBorders>
            <w:gridSpan w:val="3"/>
          </w:tcPr>
          <w:p>
            <w:pPr>
              <w:jc w:val="center"/>
              <w:ind w:left="705"/>
              <w:spacing w:after="0"/>
              <w:rPr>
                <w:sz w:val="20"/>
                <w:szCs w:val="20"/>
                <w:color w:val="auto"/>
              </w:rPr>
            </w:pPr>
            <w:r>
              <w:rPr>
                <w:rFonts w:ascii="Arial" w:cs="Arial" w:eastAsia="Arial" w:hAnsi="Arial"/>
                <w:sz w:val="23"/>
                <w:szCs w:val="23"/>
                <w:b w:val="1"/>
                <w:bCs w:val="1"/>
                <w:color w:val="auto"/>
                <w:w w:val="88"/>
              </w:rPr>
              <w:t>30 June</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60" w:type="dxa"/>
            <w:vAlign w:val="bottom"/>
          </w:tcPr>
          <w:p>
            <w:pPr>
              <w:jc w:val="right"/>
              <w:spacing w:after="0" w:line="233" w:lineRule="exact"/>
              <w:rPr>
                <w:sz w:val="20"/>
                <w:szCs w:val="20"/>
                <w:color w:val="auto"/>
              </w:rPr>
            </w:pPr>
            <w:r>
              <w:rPr>
                <w:rFonts w:ascii="Arial" w:cs="Arial" w:eastAsia="Arial" w:hAnsi="Arial"/>
                <w:sz w:val="23"/>
                <w:szCs w:val="23"/>
                <w:b w:val="1"/>
                <w:bCs w:val="1"/>
                <w:color w:val="auto"/>
              </w:rPr>
              <w:t>2011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line="233" w:lineRule="exact"/>
              <w:rPr>
                <w:sz w:val="20"/>
                <w:szCs w:val="20"/>
                <w:color w:val="auto"/>
              </w:rPr>
            </w:pPr>
            <w:r>
              <w:rPr>
                <w:rFonts w:ascii="Arial" w:cs="Arial" w:eastAsia="Arial" w:hAnsi="Arial"/>
                <w:sz w:val="23"/>
                <w:szCs w:val="23"/>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i w:val="1"/>
                <w:iCs w:val="1"/>
                <w:color w:val="auto"/>
              </w:rPr>
              <w:t>HK$</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3"/>
                <w:szCs w:val="23"/>
                <w:i w:val="1"/>
                <w:iCs w:val="1"/>
                <w:color w:val="auto"/>
              </w:rPr>
              <w:t>HK$</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Arial" w:cs="Arial" w:eastAsia="Arial" w:hAnsi="Arial"/>
                <w:sz w:val="23"/>
                <w:szCs w:val="23"/>
                <w:color w:val="auto"/>
              </w:rPr>
              <w:t>(in</w:t>
            </w:r>
          </w:p>
        </w:tc>
        <w:tc>
          <w:tcPr>
            <w:tcW w:w="1380" w:type="dxa"/>
            <w:vAlign w:val="bottom"/>
            <w:gridSpan w:val="3"/>
          </w:tcPr>
          <w:p>
            <w:pPr>
              <w:jc w:val="right"/>
              <w:ind w:right="585"/>
              <w:spacing w:after="0"/>
              <w:rPr>
                <w:sz w:val="20"/>
                <w:szCs w:val="20"/>
                <w:color w:val="auto"/>
              </w:rPr>
            </w:pPr>
            <w:r>
              <w:rPr>
                <w:rFonts w:ascii="Arial" w:cs="Arial" w:eastAsia="Arial" w:hAnsi="Arial"/>
                <w:sz w:val="23"/>
                <w:szCs w:val="23"/>
                <w:color w:val="auto"/>
                <w:w w:val="78"/>
              </w:rPr>
              <w:t>millions)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23"/>
                <w:szCs w:val="23"/>
                <w:color w:val="auto"/>
              </w:rPr>
              <w:t>Net cash generated from operating activities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auto"/>
              </w:rPr>
              <w:t>4,948.1</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3"/>
                <w:szCs w:val="23"/>
                <w:color w:val="auto"/>
              </w:rPr>
              <w:t>2,789.1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23"/>
                <w:szCs w:val="23"/>
                <w:color w:val="auto"/>
              </w:rPr>
              <w:t>Net cash used in investing activities</w:t>
            </w:r>
          </w:p>
        </w:tc>
        <w:tc>
          <w:tcPr>
            <w:tcW w:w="4920" w:type="dxa"/>
            <w:vAlign w:val="bottom"/>
            <w:gridSpan w:val="3"/>
          </w:tcPr>
          <w:p>
            <w:pPr>
              <w:jc w:val="right"/>
              <w:ind w:right="5"/>
              <w:spacing w:after="0"/>
              <w:rPr>
                <w:sz w:val="20"/>
                <w:szCs w:val="20"/>
                <w:color w:val="auto"/>
              </w:rPr>
            </w:pPr>
            <w:r>
              <w:rPr>
                <w:rFonts w:ascii="Arial" w:cs="Arial" w:eastAsia="Arial" w:hAnsi="Arial"/>
                <w:sz w:val="23"/>
                <w:szCs w:val="23"/>
                <w:b w:val="1"/>
                <w:bCs w:val="1"/>
                <w:color w:val="auto"/>
              </w:rPr>
              <w:t>(393.0)</w:t>
            </w:r>
          </w:p>
        </w:tc>
        <w:tc>
          <w:tcPr>
            <w:tcW w:w="34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3"/>
                <w:szCs w:val="23"/>
                <w:color w:val="auto"/>
              </w:rPr>
              <w:t>(818.4)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23"/>
                <w:szCs w:val="23"/>
                <w:color w:val="auto"/>
              </w:rPr>
              <w:t>Net cash used in financing activities</w:t>
            </w:r>
          </w:p>
        </w:tc>
        <w:tc>
          <w:tcPr>
            <w:tcW w:w="4920" w:type="dxa"/>
            <w:vAlign w:val="bottom"/>
            <w:gridSpan w:val="3"/>
            <w:shd w:val="clear" w:color="auto" w:fill="CCEEFF"/>
          </w:tcPr>
          <w:p>
            <w:pPr>
              <w:jc w:val="right"/>
              <w:ind w:right="5"/>
              <w:spacing w:after="0"/>
              <w:rPr>
                <w:sz w:val="20"/>
                <w:szCs w:val="20"/>
                <w:color w:val="auto"/>
              </w:rPr>
            </w:pPr>
            <w:r>
              <w:rPr>
                <w:rFonts w:ascii="Arial" w:cs="Arial" w:eastAsia="Arial" w:hAnsi="Arial"/>
                <w:sz w:val="23"/>
                <w:szCs w:val="23"/>
                <w:b w:val="1"/>
                <w:bCs w:val="1"/>
                <w:color w:val="auto"/>
              </w:rPr>
              <w:t>(890.4)</w:t>
            </w: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auto"/>
                <w:w w:val="97"/>
              </w:rPr>
              <w:t>(2,968.8)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35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vMerge w:val="continue"/>
          </w:tcPr>
          <w:p>
            <w:pPr>
              <w:spacing w:after="0"/>
              <w:rPr>
                <w:sz w:val="23"/>
                <w:szCs w:val="2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23"/>
                <w:szCs w:val="23"/>
                <w:color w:val="auto"/>
                <w:w w:val="94"/>
              </w:rPr>
              <w:t>Net increase/(decrease) in cash and cash equivalents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23"/>
                <w:szCs w:val="23"/>
                <w:b w:val="1"/>
                <w:bCs w:val="1"/>
                <w:color w:val="auto"/>
              </w:rPr>
              <w:t>3,664.7</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23"/>
                <w:szCs w:val="23"/>
                <w:color w:val="auto"/>
              </w:rPr>
              <w:t>(998.1)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23"/>
                <w:szCs w:val="23"/>
                <w:color w:val="auto"/>
              </w:rPr>
              <w:t>Cash and cash equivalents at beginning of period</w:t>
            </w:r>
          </w:p>
        </w:tc>
        <w:tc>
          <w:tcPr>
            <w:tcW w:w="4720" w:type="dxa"/>
            <w:vAlign w:val="bottom"/>
            <w:gridSpan w:val="2"/>
          </w:tcPr>
          <w:p>
            <w:pPr>
              <w:jc w:val="right"/>
              <w:spacing w:after="0"/>
              <w:rPr>
                <w:sz w:val="20"/>
                <w:szCs w:val="20"/>
                <w:color w:val="auto"/>
              </w:rPr>
            </w:pPr>
            <w:r>
              <w:rPr>
                <w:rFonts w:ascii="Arial" w:cs="Arial" w:eastAsia="Arial" w:hAnsi="Arial"/>
                <w:sz w:val="23"/>
                <w:szCs w:val="23"/>
                <w:b w:val="1"/>
                <w:bCs w:val="1"/>
                <w:color w:val="auto"/>
              </w:rPr>
              <w:t>3,819.2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3"/>
                <w:szCs w:val="23"/>
                <w:color w:val="auto"/>
              </w:rPr>
              <w:t>5,229.0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23"/>
                <w:szCs w:val="23"/>
                <w:color w:val="auto"/>
              </w:rPr>
              <w:t>Cash and cash equivalents at end of period</w:t>
            </w:r>
          </w:p>
        </w:tc>
        <w:tc>
          <w:tcPr>
            <w:tcW w:w="4720" w:type="dxa"/>
            <w:vAlign w:val="bottom"/>
            <w:gridSpan w:val="2"/>
          </w:tcPr>
          <w:p>
            <w:pPr>
              <w:jc w:val="right"/>
              <w:spacing w:after="0"/>
              <w:rPr>
                <w:sz w:val="20"/>
                <w:szCs w:val="20"/>
                <w:color w:val="auto"/>
              </w:rPr>
            </w:pPr>
            <w:r>
              <w:rPr>
                <w:rFonts w:ascii="Arial" w:cs="Arial" w:eastAsia="Arial" w:hAnsi="Arial"/>
                <w:sz w:val="23"/>
                <w:szCs w:val="23"/>
                <w:b w:val="1"/>
                <w:bCs w:val="1"/>
                <w:color w:val="auto"/>
              </w:rPr>
              <w:t>7,483.9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3"/>
                <w:szCs w:val="23"/>
                <w:color w:val="auto"/>
              </w:rPr>
              <w:t>4,230.9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560" w:type="dxa"/>
            <w:vAlign w:val="bottom"/>
          </w:tcPr>
          <w:p>
            <w:pPr>
              <w:jc w:val="right"/>
              <w:ind w:right="2869"/>
              <w:spacing w:after="0"/>
              <w:rPr>
                <w:sz w:val="20"/>
                <w:szCs w:val="20"/>
                <w:color w:val="auto"/>
              </w:rPr>
            </w:pPr>
            <w:r>
              <w:rPr>
                <w:rFonts w:ascii="Arial" w:cs="Arial" w:eastAsia="Arial" w:hAnsi="Arial"/>
                <w:sz w:val="18"/>
                <w:szCs w:val="18"/>
                <w:color w:val="auto"/>
              </w:rPr>
              <w:t>29</w:t>
            </w: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32" w:name="page33"/>
    <w:bookmarkEnd w:id="32"/>
    <w:p>
      <w:pPr>
        <w:spacing w:after="0"/>
        <w:rPr>
          <w:sz w:val="20"/>
          <w:szCs w:val="20"/>
          <w:color w:val="auto"/>
        </w:rPr>
      </w:pPr>
      <w:r>
        <w:rPr>
          <w:rFonts w:ascii="Arial" w:cs="Arial" w:eastAsia="Arial" w:hAnsi="Arial"/>
          <w:sz w:val="23"/>
          <w:szCs w:val="23"/>
          <w:b w:val="1"/>
          <w:bCs w:val="1"/>
          <w:i w:val="1"/>
          <w:iCs w:val="1"/>
          <w:color w:val="231E1F"/>
        </w:rPr>
        <w:t>Net cash generated from operating activities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Our net cash generated from operating activities is primarily affected by operating profit generated by our Macau Operations as a result of increased casino revenues, continued costs control, and benefits from changes in working capital. Net cash from operating activities was HK$4.9 billion in the six months ended 30 June 2011 compared to HK$2.8 billion in the six months ended 30 June 2010.</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Operating profit was HK$2.5 billion for the six months ended 30 June 2011 compared to HK$2.1 billion for the six months ended 30 June 2010.</w:t>
      </w: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Net cash used in investing activities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Net cash used in investing activities was HK$393.0 million in the six months ended 30 June 2011, compared to net cash used in investing activities of HK$818.4 million in the six months ended 30 June 2010.</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Capital expenditures were HK$141.0 million for the six months ended 30 June 2011, and related primarily to renovation projects to enhance and refine the Macau Operations. Capital expenditures for the six months ended 30 June 2010 were HK$771.9 million and related primarily to the construction of Encore.</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Net cash used in financing activities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Net cash used in financing activities was HK$890.4 million during the six months ended 30 June 2011 compared to HK$3.0 billion during the six months ended 30 June 2010.</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The difference between net cash flow used in 2011 compared to 2010 is primarily due to a HK$2.9 billion repayment of the senior revolving credit facility under Wynn Macau Credit Facilities made in 2010 compared to a HK$779.5 million repayment of the facilities made in 2011.</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Indebtedness</w:t>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231E1F"/>
        </w:rPr>
        <w:t>The following table presents a summary of our indebtedness as at 30 June 2011 and 31 December 2010.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3" w:name="page34"/>
    <w:bookmarkEnd w:id="33"/>
    <w:p>
      <w:pPr>
        <w:spacing w:after="0"/>
        <w:rPr>
          <w:sz w:val="20"/>
          <w:szCs w:val="20"/>
          <w:color w:val="auto"/>
        </w:rPr>
      </w:pPr>
      <w:r>
        <w:rPr>
          <w:rFonts w:ascii="Arial" w:cs="Arial" w:eastAsia="Arial" w:hAnsi="Arial"/>
          <w:sz w:val="23"/>
          <w:szCs w:val="23"/>
          <w:b w:val="1"/>
          <w:bCs w:val="1"/>
          <w:i w:val="1"/>
          <w:iCs w:val="1"/>
          <w:color w:val="231E1F"/>
        </w:rPr>
        <w:t>Indebtedness information</w:t>
      </w:r>
    </w:p>
    <w:p>
      <w:pPr>
        <w:spacing w:after="0" w:line="233" w:lineRule="exact"/>
        <w:rPr>
          <w:sz w:val="20"/>
          <w:szCs w:val="20"/>
          <w:color w:val="auto"/>
        </w:rPr>
      </w:pPr>
    </w:p>
    <w:p>
      <w:pPr>
        <w:ind w:left="9780"/>
        <w:spacing w:after="0"/>
        <w:rPr>
          <w:sz w:val="20"/>
          <w:szCs w:val="20"/>
          <w:color w:val="auto"/>
        </w:rPr>
      </w:pPr>
      <w:r>
        <w:rPr>
          <w:rFonts w:ascii="Arial" w:cs="Arial" w:eastAsia="Arial" w:hAnsi="Arial"/>
          <w:sz w:val="23"/>
          <w:szCs w:val="23"/>
          <w:b w:val="1"/>
          <w:bCs w:val="1"/>
          <w:color w:val="auto"/>
        </w:rPr>
        <w:t>As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20955</wp:posOffset>
            </wp:positionV>
            <wp:extent cx="1624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4" w:lineRule="exact"/>
        <w:rPr>
          <w:sz w:val="20"/>
          <w:szCs w:val="20"/>
          <w:color w:val="auto"/>
        </w:rPr>
      </w:pPr>
    </w:p>
    <w:p>
      <w:pPr>
        <w:jc w:val="right"/>
        <w:ind w:right="100"/>
        <w:spacing w:after="0"/>
        <w:tabs>
          <w:tab w:leader="none" w:pos="1300" w:val="left"/>
        </w:tabs>
        <w:rPr>
          <w:sz w:val="20"/>
          <w:szCs w:val="20"/>
          <w:color w:val="auto"/>
        </w:rPr>
      </w:pPr>
      <w:r>
        <w:rPr>
          <w:rFonts w:ascii="Arial" w:cs="Arial" w:eastAsia="Arial" w:hAnsi="Arial"/>
          <w:sz w:val="23"/>
          <w:szCs w:val="23"/>
          <w:b w:val="1"/>
          <w:bCs w:val="1"/>
          <w:color w:val="auto"/>
        </w:rPr>
        <w:t>30 June</w:t>
      </w:r>
      <w:r>
        <w:rPr>
          <w:sz w:val="20"/>
          <w:szCs w:val="20"/>
          <w:color w:val="auto"/>
        </w:rPr>
        <w:tab/>
      </w:r>
      <w:r>
        <w:rPr>
          <w:rFonts w:ascii="Arial" w:cs="Arial" w:eastAsia="Arial" w:hAnsi="Arial"/>
          <w:sz w:val="20"/>
          <w:szCs w:val="20"/>
          <w:color w:val="auto"/>
        </w:rPr>
        <w:t>31 December</w:t>
      </w:r>
    </w:p>
    <w:p>
      <w:pPr>
        <w:spacing w:after="0" w:line="6" w:lineRule="exact"/>
        <w:rPr>
          <w:sz w:val="20"/>
          <w:szCs w:val="20"/>
          <w:color w:val="auto"/>
        </w:rPr>
      </w:pPr>
    </w:p>
    <w:p>
      <w:pPr>
        <w:jc w:val="both"/>
        <w:ind w:left="9440"/>
        <w:spacing w:after="0"/>
        <w:tabs>
          <w:tab w:leader="none" w:pos="10840" w:val="left"/>
        </w:tabs>
        <w:rPr>
          <w:sz w:val="20"/>
          <w:szCs w:val="20"/>
          <w:color w:val="auto"/>
        </w:rPr>
      </w:pPr>
      <w:r>
        <w:rPr>
          <w:rFonts w:ascii="Arial" w:cs="Arial" w:eastAsia="Arial" w:hAnsi="Arial"/>
          <w:sz w:val="23"/>
          <w:szCs w:val="23"/>
          <w:b w:val="1"/>
          <w:bCs w:val="1"/>
          <w:color w:val="auto"/>
        </w:rPr>
        <w:t>2011</w:t>
      </w:r>
      <w:r>
        <w:rPr>
          <w:sz w:val="20"/>
          <w:szCs w:val="20"/>
          <w:color w:val="auto"/>
        </w:rPr>
        <w:tab/>
      </w:r>
      <w:r>
        <w:rPr>
          <w:rFonts w:ascii="Arial" w:cs="Arial" w:eastAsia="Arial" w:hAnsi="Arial"/>
          <w:sz w:val="23"/>
          <w:szCs w:val="23"/>
          <w:color w:val="auto"/>
        </w:rPr>
        <w:t>2010</w:t>
      </w:r>
    </w:p>
    <w:p>
      <w:pPr>
        <w:spacing w:after="0" w:line="1" w:lineRule="exact"/>
        <w:rPr>
          <w:sz w:val="20"/>
          <w:szCs w:val="20"/>
          <w:color w:val="auto"/>
        </w:rPr>
      </w:pPr>
    </w:p>
    <w:p>
      <w:pPr>
        <w:ind w:left="9440"/>
        <w:spacing w:after="0"/>
        <w:tabs>
          <w:tab w:leader="none" w:pos="10860" w:val="left"/>
        </w:tabs>
        <w:rPr>
          <w:sz w:val="20"/>
          <w:szCs w:val="20"/>
          <w:color w:val="auto"/>
        </w:rPr>
      </w:pPr>
      <w:r>
        <w:rPr>
          <w:rFonts w:ascii="Arial" w:cs="Arial" w:eastAsia="Arial" w:hAnsi="Arial"/>
          <w:sz w:val="23"/>
          <w:szCs w:val="23"/>
          <w:b w:val="1"/>
          <w:bCs w:val="1"/>
          <w:i w:val="1"/>
          <w:iCs w:val="1"/>
          <w:color w:val="auto"/>
        </w:rPr>
        <w:t>HK$</w:t>
      </w:r>
      <w:r>
        <w:rPr>
          <w:sz w:val="20"/>
          <w:szCs w:val="20"/>
          <w:color w:val="auto"/>
        </w:rPr>
        <w:tab/>
      </w:r>
      <w:r>
        <w:rPr>
          <w:rFonts w:ascii="Arial" w:cs="Arial" w:eastAsia="Arial" w:hAnsi="Arial"/>
          <w:sz w:val="22"/>
          <w:szCs w:val="22"/>
          <w:i w:val="1"/>
          <w:iCs w:val="1"/>
          <w:color w:val="auto"/>
        </w:rPr>
        <w:t>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4445</wp:posOffset>
            </wp:positionV>
            <wp:extent cx="1624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ind w:left="9380"/>
        <w:spacing w:after="0"/>
        <w:rPr>
          <w:sz w:val="20"/>
          <w:szCs w:val="20"/>
          <w:color w:val="auto"/>
        </w:rPr>
      </w:pPr>
      <w:r>
        <w:rPr>
          <w:rFonts w:ascii="Arial" w:cs="Arial" w:eastAsia="Arial" w:hAnsi="Arial"/>
          <w:sz w:val="23"/>
          <w:szCs w:val="23"/>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23"/>
                <w:szCs w:val="23"/>
                <w:color w:val="auto"/>
              </w:rPr>
              <w:t>Senior revolving credit facility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23"/>
                <w:szCs w:val="23"/>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3"/>
                <w:szCs w:val="23"/>
                <w:color w:val="auto"/>
              </w:rPr>
              <w:t>779,521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3"/>
                <w:szCs w:val="23"/>
                <w:color w:val="auto"/>
              </w:rPr>
              <w:t>Senior term loan facility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auto"/>
              </w:rPr>
              <w:t>4,287,223</w:t>
            </w:r>
          </w:p>
        </w:tc>
        <w:tc>
          <w:tcPr>
            <w:tcW w:w="2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rPr>
              <w:t>4,287,283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vMerge w:val="continue"/>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23"/>
                <w:szCs w:val="23"/>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3"/>
                <w:szCs w:val="23"/>
                <w:b w:val="1"/>
                <w:bCs w:val="1"/>
                <w:color w:val="auto"/>
              </w:rPr>
              <w:t>4,287,223</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rPr>
              <w:t>5,066,804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231E1F"/>
        </w:rPr>
        <w:t>The Group had approximately HK$7.7 billion available to draw under the Wynn Macau Credit Facilities as at 30 June 2011.</w:t>
      </w:r>
    </w:p>
    <w:p>
      <w:pPr>
        <w:spacing w:after="0" w:line="289"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Wynn Macau Credit Facilities</w:t>
      </w: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Overview</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As at 30 June 2011, WRM’s credit facilities consisted of HK$12.0 billion in a combination of Hong Kong dollar and U.S. dollar facilities, including a HK$4.3 billion fully funded senior term loan facility and a HK$7.7 billion senior revolving credit facility. The facilities may be used for a variety of purposes, including further enhancements at our resort, investments in other projects in Macau and general corporate purposes.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We have the ability to increase secured debt under the Wynn Macau Credit Facilities by up to an additional US$50 million (approximately HK$389.3 million).</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21"/>
          <w:szCs w:val="21"/>
          <w:color w:val="231E1F"/>
        </w:rPr>
        <w:t>As at 30 June 2011, we had total bank and other borrowings under the Wynn Macau Credit Facilities of HK$4.3 billion, of which HK$1.2 billion was denominated in U.S. dollars and HK$3.1 billion was denominated in Hong Kong dollars.</w:t>
      </w:r>
    </w:p>
    <w:p>
      <w:pPr>
        <w:spacing w:after="0" w:line="137"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231E1F"/>
        </w:rPr>
        <w:t>In July 2009, as part of the Group Reorganization, WRM requested and obtained from its syndicate lenders under the Wynn Macau Credit Facilities certain consents necessary to permit the Group Reorganization. As a result, WM Cayman Holdings Limited II became the highest level obligor, guarantor and chargor under the Wynn Macau Credit Facilities and Wynn Group Asia, Inc. ceased to be an obligor, guarantor or chargor under the Wynn Macau Credit Facilities.</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color w:val="231E1F"/>
        </w:rPr>
        <w:t>The Company is not a party to the Wynn Macau Credit Facilities and has no rights or obligations thereunder.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i w:val="1"/>
          <w:iCs w:val="1"/>
          <w:color w:val="231E1F"/>
        </w:rPr>
        <w:t>Principal and Interest</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231E1F"/>
        </w:rPr>
        <w:t>The term loans under the Wynn Macau Credit Facilities mature in June 2014, and the revolving loans under the Wynn Macau Credit Facilities mature in June 2012. The principal amount of the term loans is required to be repaid in quarterly installments, commencing in September 2011. Borrowings under the Wynn Macau Credit Facilities bore interest at LIBOR or HIBOR plus a margin of 1.75%, through 30 September 2010. Commencing in the fourth quarter of 2010, the revolving loans, the hotel facility of the term loan and tranches A and B of the project facility of the term loan are subject to a margin of 1.25% to 2.00% depending on the Group’s leverage ratio at the end of each quarter. Tranche C of the project facility of the term loan remains subject to a margin of 1.75%. As at 30 June 2011, the weighted average margin is 1.29%.</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General Covenants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231E1F"/>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 sale and leaseback transactions, the ability to dispose of assets and the making of loans or certain other investments, entering into mergers, consolidations, liquidations or amalgamations, forming or acquiring subsidiaries, amending, modifying or terminating certain material contracts, permits and governing documents, entering into certain transactions with affiliates, changing fiscal periods, entering into business activities other than certain permitted activities, and selling or discounting receivables, in each case, subject to certain permitted exceptions.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Financial Covenants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231E1F"/>
        </w:rPr>
        <w:t>The Wynn Macau Credit Facilities financial covenants require WRM to maintain a Leverage Ratio, as defined in the Wynn Macau Credit Facilities, of not greater than 3.75 to 1 as at 30 June 2011, and an Interest Coverage Ratio, as defined in the Wynn Macau Credit Facilities, of not less than 2 to 1. Management believes that the Group was in compliance with all covenants as at 30 June 2011. Going forward, the Group is required to maintain a Leverage Ratio not greater than 3.75 to 1 for the quarterly reporting period ending 30 September 2011 and 3.50 to 1 for the quarterly reporting period ending 31 December 2011. The Interest Coverage Ratio requirement remains at not less than 2 to 1 for all 2011 reporting periods.</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Compliance with Covenants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Directors confirm that there is no material non-compliance with the financial covenants or general covenants contained in the Wynn Macau Credit Facilities.</w:t>
      </w: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Mandatory Prepayment</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231E1F"/>
        </w:rPr>
        <w:t>The Wynn Macau Credit Facilities contain mandatory prepayment provisions, which include, among other matters, prepayment of 50% of Excess Cash Flow, as defined in the Wynn Macau Credit Facilities, if WRM’s Leverage Ratio is greater than 4 to 1 for any reporting period. For the six months ended 30 June 2011 and 30 June 2010, the Excess Cash Flow prepayment did not apply as WRM’s Leverage Ratio was not in excess of 4 to 1 for either period.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i w:val="1"/>
          <w:iCs w:val="1"/>
          <w:color w:val="231E1F"/>
        </w:rPr>
        <w:t>Dividend Restrictions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WRM and certain of its affiliates are subject to restrictions on payment of dividends or distributions or other amounts to their shareholders or to other affiliates, unless certain financial and non- financial criteria have been satisfied. Provided certain conditions are met, WRM is permitted to pay dividends. The conditions to be satisfied for the payment of dividends include:</w:t>
      </w:r>
    </w:p>
    <w:p>
      <w:pPr>
        <w:spacing w:after="0" w:line="202" w:lineRule="exact"/>
        <w:rPr>
          <w:sz w:val="20"/>
          <w:szCs w:val="20"/>
          <w:color w:val="auto"/>
        </w:rPr>
      </w:pPr>
    </w:p>
    <w:p>
      <w:pPr>
        <w:ind w:left="480" w:hanging="474"/>
        <w:spacing w:after="0"/>
        <w:tabs>
          <w:tab w:leader="none" w:pos="480" w:val="left"/>
        </w:tabs>
        <w:numPr>
          <w:ilvl w:val="0"/>
          <w:numId w:val="20"/>
        </w:numPr>
        <w:rPr>
          <w:rFonts w:ascii="Arial" w:cs="Arial" w:eastAsia="Arial" w:hAnsi="Arial"/>
          <w:sz w:val="23"/>
          <w:szCs w:val="23"/>
          <w:color w:val="auto"/>
        </w:rPr>
      </w:pPr>
      <w:r>
        <w:rPr>
          <w:rFonts w:ascii="Arial" w:cs="Arial" w:eastAsia="Arial" w:hAnsi="Arial"/>
          <w:sz w:val="23"/>
          <w:szCs w:val="23"/>
          <w:color w:val="auto"/>
        </w:rPr>
        <w:t>Compliance with applicable legal requirements;</w:t>
      </w:r>
    </w:p>
    <w:p>
      <w:pPr>
        <w:spacing w:after="0" w:line="212" w:lineRule="exact"/>
        <w:rPr>
          <w:rFonts w:ascii="Arial" w:cs="Arial" w:eastAsia="Arial" w:hAnsi="Arial"/>
          <w:sz w:val="23"/>
          <w:szCs w:val="23"/>
          <w:color w:val="auto"/>
        </w:rPr>
      </w:pPr>
    </w:p>
    <w:p>
      <w:pPr>
        <w:ind w:left="480" w:hanging="474"/>
        <w:spacing w:after="0"/>
        <w:tabs>
          <w:tab w:leader="none" w:pos="480" w:val="left"/>
        </w:tabs>
        <w:numPr>
          <w:ilvl w:val="0"/>
          <w:numId w:val="20"/>
        </w:numPr>
        <w:rPr>
          <w:rFonts w:ascii="Arial" w:cs="Arial" w:eastAsia="Arial" w:hAnsi="Arial"/>
          <w:sz w:val="23"/>
          <w:szCs w:val="23"/>
          <w:color w:val="auto"/>
        </w:rPr>
      </w:pPr>
      <w:r>
        <w:rPr>
          <w:rFonts w:ascii="Arial" w:cs="Arial" w:eastAsia="Arial" w:hAnsi="Arial"/>
          <w:sz w:val="23"/>
          <w:szCs w:val="23"/>
          <w:color w:val="auto"/>
        </w:rPr>
        <w:t>No event of default occurring under the Wynn Macau Credit Facilities;</w:t>
      </w:r>
    </w:p>
    <w:p>
      <w:pPr>
        <w:spacing w:after="0" w:line="212" w:lineRule="exact"/>
        <w:rPr>
          <w:rFonts w:ascii="Arial" w:cs="Arial" w:eastAsia="Arial" w:hAnsi="Arial"/>
          <w:sz w:val="23"/>
          <w:szCs w:val="23"/>
          <w:color w:val="auto"/>
        </w:rPr>
      </w:pPr>
    </w:p>
    <w:p>
      <w:pPr>
        <w:ind w:left="480" w:hanging="474"/>
        <w:spacing w:after="0"/>
        <w:tabs>
          <w:tab w:leader="none" w:pos="480" w:val="left"/>
        </w:tabs>
        <w:numPr>
          <w:ilvl w:val="0"/>
          <w:numId w:val="20"/>
        </w:numPr>
        <w:rPr>
          <w:rFonts w:ascii="Arial" w:cs="Arial" w:eastAsia="Arial" w:hAnsi="Arial"/>
          <w:sz w:val="23"/>
          <w:szCs w:val="23"/>
          <w:color w:val="auto"/>
        </w:rPr>
      </w:pPr>
      <w:r>
        <w:rPr>
          <w:rFonts w:ascii="Arial" w:cs="Arial" w:eastAsia="Arial" w:hAnsi="Arial"/>
          <w:sz w:val="23"/>
          <w:szCs w:val="23"/>
          <w:color w:val="auto"/>
        </w:rPr>
        <w:t>Compliance with the applicable financial covenants; and</w:t>
      </w:r>
    </w:p>
    <w:p>
      <w:pPr>
        <w:spacing w:after="0" w:line="212" w:lineRule="exact"/>
        <w:rPr>
          <w:rFonts w:ascii="Arial" w:cs="Arial" w:eastAsia="Arial" w:hAnsi="Arial"/>
          <w:sz w:val="23"/>
          <w:szCs w:val="23"/>
          <w:color w:val="auto"/>
        </w:rPr>
      </w:pPr>
    </w:p>
    <w:p>
      <w:pPr>
        <w:jc w:val="both"/>
        <w:ind w:left="480" w:hanging="474"/>
        <w:spacing w:after="0" w:line="253" w:lineRule="auto"/>
        <w:tabs>
          <w:tab w:leader="none" w:pos="480" w:val="left"/>
        </w:tabs>
        <w:numPr>
          <w:ilvl w:val="0"/>
          <w:numId w:val="20"/>
        </w:numPr>
        <w:rPr>
          <w:rFonts w:ascii="Arial" w:cs="Arial" w:eastAsia="Arial" w:hAnsi="Arial"/>
          <w:sz w:val="23"/>
          <w:szCs w:val="23"/>
          <w:color w:val="auto"/>
        </w:rPr>
      </w:pPr>
      <w:r>
        <w:rPr>
          <w:rFonts w:ascii="Arial" w:cs="Arial" w:eastAsia="Arial" w:hAnsi="Arial"/>
          <w:sz w:val="23"/>
          <w:szCs w:val="23"/>
          <w:color w:val="auto"/>
        </w:rPr>
        <w:t>Such dividends may be made once in each fiscal quarter (and in respect of the first fiscal quarter in a fiscal year, only after borrowings under the Wynn Macau Credit Facilities have been prepaid to the extent required by the application of the excess cash flow mandatory prepayment provisions).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231E1F"/>
        </w:rPr>
        <w:t>WRM is currently in compliance with all requirements, namely satisfaction of its Leverage Ratio, which must be met in order to pay dividends and is presently able to pay dividends in accordance with the Wynn Macau 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Events of Default</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231E1F"/>
        </w:rPr>
        <w:t>The Wynn Macau Credit Facilities contain customary events of default, such as failure to pay, breach of covenants, initiation of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 The situations triggering an event of default related to WRL’s ownership and control of WRM under the Wynn Macau Credit Facilities have been amended and limited to the situation where Wynn Resorts, Limited ceases to own or control at least 51% of WRM (or ceases to have the ability to direct the management of WRM) pursuant to consent obtained from the relevant parties on 22 August 2011.</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Security and Guarantees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231E1F"/>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 Concession Agreement, the WRM lenders do have certain cure rights and consultation rights with the Macau government upon an enforcement by the lenders.</w:t>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231E1F"/>
        </w:rPr>
        <w:t>Second Ranking Lender</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WRM is also party to a bank guarantee reimbursement agreement with Banco National Ultramarino S.A. to secure a guarantee in favor of the Macau government as required under the Concession Agreement. The amount of this guarantee is MOP300 million (approximately HK$291.3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6" w:name="page37"/>
    <w:bookmarkEnd w:id="36"/>
    <w:p>
      <w:pPr>
        <w:jc w:val="both"/>
        <w:spacing w:after="0" w:line="249" w:lineRule="auto"/>
        <w:rPr>
          <w:sz w:val="20"/>
          <w:szCs w:val="20"/>
          <w:color w:val="auto"/>
        </w:rPr>
      </w:pPr>
      <w:r>
        <w:rPr>
          <w:rFonts w:ascii="Arial" w:cs="Arial" w:eastAsia="Arial" w:hAnsi="Arial"/>
          <w:sz w:val="23"/>
          <w:szCs w:val="23"/>
          <w:color w:val="231E1F"/>
        </w:rPr>
        <w:t>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Wynn Macau Credit Facilities.</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QUANTITATIVE AND QUALITATIVE DISCLOSURE ABOUT MARKET RISK</w:t>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Market risk is the risk of loss arising from adverse changes in market rates and conditions, such as inflation, interest rates, and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Foreign Exchange Risks</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231E1F"/>
        </w:rPr>
        <w:t>The financial statements of foreign operations are translated into Hong Kong dollars, the Group’s functional and presentation currency, for incorporation into the condensed consolidated financial information. The majority of our assets and liabilities are denominated in U.S. dollars, Hong Kong dollars, Macau patacas and Offshore RMB,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The Hong Kong dollar is linked to the U.S. dollar and the exchange rate between these two currencies has remained relatively stable over the past several years. The Macau pataca is pegged to the Hong Kong dollar, and in many cases the two currencies are used interchangeably in Macau. However, the exchange linkages of the Hong Kong dollar and the Macau pataca, and the Hong Kong dollar to the U.S. dollar, are subject to potential changes due to, among other things, changes in governmental policies and international economic and political developments. In particular, our Group is exposed to foreign exchange risk arising primarily with respect to the Offshore RMB, which does not have pegged exchange linkages to the U.S. dollar, Hong Kong dollar or Macau pataca.</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Interest Rate Risks</w:t>
      </w:r>
    </w:p>
    <w:p>
      <w:pPr>
        <w:spacing w:after="0" w:line="245" w:lineRule="exact"/>
        <w:rPr>
          <w:sz w:val="20"/>
          <w:szCs w:val="20"/>
          <w:color w:val="auto"/>
        </w:rPr>
      </w:pPr>
    </w:p>
    <w:p>
      <w:pPr>
        <w:jc w:val="both"/>
        <w:spacing w:after="0" w:line="247" w:lineRule="auto"/>
        <w:rPr>
          <w:sz w:val="20"/>
          <w:szCs w:val="20"/>
          <w:color w:val="auto"/>
        </w:rPr>
      </w:pPr>
      <w:r>
        <w:rPr>
          <w:rFonts w:ascii="Arial" w:cs="Arial" w:eastAsia="Arial" w:hAnsi="Arial"/>
          <w:sz w:val="23"/>
          <w:szCs w:val="23"/>
          <w:color w:val="231E1F"/>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231E1F"/>
        </w:rPr>
        <w:t>As at 30 June 2011, the Group had three interest rate swaps intended to manage a portion of the underlying interest rate risk on borrowings under the Wynn Macau Credit Facilities. Under the first swap agreement, the Group pays a fixed interest rate of 3.63% on U.S. dollar borrowings of approximately US$153.8 million (approximately HK$1.2 billion) incurred under the Wynn Macau Credit Facilities in exchange for receipts on the same amount at a variable interest rate based on the applicable LIBOR at the time of payment. Under the second swap agreement, the Group pays a fixed interest rate of 3.39% on Hong Kong dollar borrowings of approximately HK$991.6 million incurred under the Wynn Macau Credit Facilities in exchange for receipts on the same amount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7" w:name="page38"/>
    <w:bookmarkEnd w:id="37"/>
    <w:p>
      <w:pPr>
        <w:jc w:val="both"/>
        <w:spacing w:after="0" w:line="249" w:lineRule="auto"/>
        <w:rPr>
          <w:sz w:val="20"/>
          <w:szCs w:val="20"/>
          <w:color w:val="auto"/>
        </w:rPr>
      </w:pPr>
      <w:r>
        <w:rPr>
          <w:rFonts w:ascii="Arial" w:cs="Arial" w:eastAsia="Arial" w:hAnsi="Arial"/>
          <w:sz w:val="23"/>
          <w:szCs w:val="23"/>
          <w:color w:val="231E1F"/>
        </w:rPr>
        <w:t>at a variable interest rate based on the applicable HIBOR at the time of payment. Based on the applicable margin of the Wynn Macau Credit Facilities, as at 30 June 2010, these interest rate swaps fix the interest rates on the U.S. dollar and the Hong Kong dollar borrowings at approximately 4.88% to 5.38% and 4.64%, respectively. Both agreements terminate at the end of August 2011.</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3"/>
          <w:szCs w:val="23"/>
          <w:color w:val="231E1F"/>
        </w:rPr>
        <w:t>Under the third swap agreement, the Group pays a fixed interest rate of 2.15% on borrowings of approximately HK$2.3 billion incurred under the Wynn Macau Credit Facilities in exchange for receipts on the same amount at a variable interest rate based on the applicable HIBOR at the time of payment. As at 30 June 2011, this interest rate swap fixes the interest rate on HK$2.3 billion of borrowings under the Wynn Macau Credit Facilities at approximately 3.40%. This interest rate swap agreement will terminate in June 2012.</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231E1F"/>
        </w:rPr>
        <w:t>The carrying values of these interest rate swaps on the condensed consolidated statement of financial position approximates their fair values.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 These transactions do not qualify for hedge accounting. Accordingly, changes in the fair values during the six months ended 30 June 2011 and 2010, were charged to the condensed consolidated statement of comprehensive income.</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Our liabilities under the swap agreements are secured by the same collateral package securing the Wynn Macau Credit Facilities.</w:t>
      </w:r>
    </w:p>
    <w:p>
      <w:pPr>
        <w:spacing w:after="0" w:line="177"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OFF BALANCE SHEET ARRANGEMENTS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We have not entered into any transactions with special purpose entities nor do we engage in any transactions involving derivatives except for interest rate swaps. We do not have any retained or contingent interest in assets transferred to an unconsolidated entity.</w:t>
      </w:r>
    </w:p>
    <w:p>
      <w:pPr>
        <w:spacing w:after="0" w:line="192"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OTHER LIQUIDITY MATTERS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231E1F"/>
        </w:rPr>
        <w:t>We expect to fund our operations and capital expenditure requirements from operating cash flows, cash on hand and availability under the Wynn Macau Credit Facilities. However, we cannot be sure that operating cash flows will be sufficient for those purposes. We may refinance all or a portion of our indebtedness on or before maturity. We cannot be sure that we will be able to refinance any of the indebtedness on acceptable terms or at all.</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231E1F"/>
        </w:rPr>
        <w:t>New business developments (including our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8" w:name="page39"/>
    <w:bookmarkEnd w:id="38"/>
    <w:p>
      <w:pPr>
        <w:jc w:val="both"/>
        <w:spacing w:after="0" w:line="253" w:lineRule="auto"/>
        <w:rPr>
          <w:sz w:val="20"/>
          <w:szCs w:val="20"/>
          <w:color w:val="auto"/>
        </w:rPr>
      </w:pPr>
      <w:r>
        <w:rPr>
          <w:rFonts w:ascii="Arial" w:cs="Arial" w:eastAsia="Arial" w:hAnsi="Arial"/>
          <w:sz w:val="23"/>
          <w:szCs w:val="23"/>
          <w:color w:val="231E1F"/>
        </w:rPr>
        <w:t>In the ordinary course of business, in response to market demands and client preferences, and in order to increase revenues, we have made and will continue to make enhancements and refinements to our resort. We have incurred and will continue to incur capital expenditures related to these enhancements and refinements.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Taking into consideration our financial resources, including our cash and cash equivalents, internally generated funds and availability under the Wynn Macau Credit Facilities, we believe that we have sufficient liquid assets to meet our working capital and operating requirements for the following 12 months.</w:t>
      </w:r>
    </w:p>
    <w:p>
      <w:pPr>
        <w:spacing w:after="0" w:line="192"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RELATED PARTY TRANSACTIONS</w:t>
      </w:r>
    </w:p>
    <w:p>
      <w:pPr>
        <w:spacing w:after="0" w:line="254" w:lineRule="exact"/>
        <w:rPr>
          <w:sz w:val="20"/>
          <w:szCs w:val="20"/>
          <w:color w:val="auto"/>
        </w:rPr>
      </w:pPr>
    </w:p>
    <w:p>
      <w:pPr>
        <w:jc w:val="both"/>
        <w:spacing w:after="0" w:line="314" w:lineRule="auto"/>
        <w:rPr>
          <w:sz w:val="20"/>
          <w:szCs w:val="20"/>
          <w:color w:val="auto"/>
        </w:rPr>
      </w:pPr>
      <w:r>
        <w:rPr>
          <w:rFonts w:ascii="Arial" w:cs="Arial" w:eastAsia="Arial" w:hAnsi="Arial"/>
          <w:sz w:val="21"/>
          <w:szCs w:val="21"/>
          <w:color w:val="231E1F"/>
        </w:rPr>
        <w:t>For details of the related party transactions, see note 13 to the Interim Financial Information. Our Directors confirm that all related party transactions are conducted on normal commercial terms, and that their terms are fair and reasonable.</w:t>
      </w:r>
    </w:p>
    <w:p>
      <w:pPr>
        <w:spacing w:after="0" w:line="131"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PURCHASE, SALE OR REDEMPTION OF COMPANY’S LISTED SECURITIES</w:t>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Neither the Company, nor any of its subsidiaries purchased, sold or redeemed any of the Company’s shares during the six months ended 30 June 2011.</w:t>
      </w:r>
    </w:p>
    <w:p>
      <w:pPr>
        <w:spacing w:after="0" w:line="177"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CORPORATE GOVERNANCE REPORT</w:t>
      </w:r>
    </w:p>
    <w:p>
      <w:pPr>
        <w:spacing w:after="0" w:line="254"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231E1F"/>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 on Corporate Governance Practices contained in Appendix 14 of the Listing Rules.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Company has complied with the code provisions in the Code (to the extent that such provisions are applicable) since the Listing, except for the following deviations from code provision A.2.1 of the Code.</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The Board notes that on 24 February 2011, Dr. Allan Zeman disposed of 10,000 shares in the common stock of Wynn Resorts, Limited on the National Association of Securities Dealers Automated Quotation Global Select Market at US$120 per share. The relevant notice to the Company and the Securities and Futures Commission, which is available to the public, disclosing this event was filed on 28 February 2011.</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231E1F"/>
        </w:rPr>
        <w:t>Stephen A. Wynn as our Chairman and Chief Executive Officer</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Under code provision A.2.1 of the Code, the roles of chairman and chief executive officer should be separate and should not be performed by the same individual. The Company does not at present separate the roles of the chairman and chief executive officer.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22"/>
          <w:szCs w:val="22"/>
          <w:color w:val="231E1F"/>
        </w:rPr>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231E1F"/>
        </w:rPr>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non-executive Directors on the Board offering independent perspectives. This structure encourages independent and effective oversight of the Company’s operations and prudent management of risk.</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MODEL CODE FOR SECURITIES TRANSACTIONS BY DIRECTORS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Having made specific enquiry of the Directors, all Directors have confirmed that they have complied with the required standard of dealings and code of conduct regarding securities dealings by directors as set out in the Model Code for the six months ended 30 June 2011.</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The Board notes that on 24 February 2011, Dr. Allan Zeman disposed of 10,000 shares in the common stock of Wynn Resorts, Limited on the National Association of Securities Dealers Automated Quotation Global Select Market at US$120 per share. The relevant notice to the Company and the Securities and Futures Commission, which is available to the public, disclosing this event was filed on 28 February 2011.</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AUDIT COMMITTEE</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An Audit Committee has been established by the Company to review and supervise the financial reporting process and internal control procedures of the Group. The Audit Committee comprises one non-executive Director and two independent non-executive Directors of the Company. The Audit Committee members have reviewed the Group’s results for the six months ended 30 June 2011.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0" w:name="page41"/>
    <w:bookmarkEnd w:id="40"/>
    <w:p>
      <w:pPr>
        <w:spacing w:after="0"/>
        <w:rPr>
          <w:sz w:val="20"/>
          <w:szCs w:val="20"/>
          <w:color w:val="auto"/>
        </w:rPr>
      </w:pPr>
      <w:r>
        <w:rPr>
          <w:rFonts w:ascii="Arial" w:cs="Arial" w:eastAsia="Arial" w:hAnsi="Arial"/>
          <w:sz w:val="28"/>
          <w:szCs w:val="28"/>
          <w:b w:val="1"/>
          <w:bCs w:val="1"/>
          <w:color w:val="231E1F"/>
        </w:rPr>
        <w:t>INTERIM REPORT</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231E1F"/>
        </w:rPr>
        <w:t>The Group’s unaudited interim financial information for the reporting period has been reviewed by the Company’s Audit Committee members which comprises three non-executive Directors: Mr. Nicholas Sallnow-Smith, Dr. Allan Zeman and Mr. Bruce Rockowitz and by the Company’s auditors in accordance with Hong Kong Standards on Review Engagements 2410, “Review of Interim Financial Information Performed by the Independent Auditor of the Entity” issued by the Hong Kong Institute of Certified Public Accountants. The report on review of the interim financial information by the auditors will be included in the interim report to be sent to the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b w:val="1"/>
          <w:bCs w:val="1"/>
          <w:color w:val="231E1F"/>
        </w:rPr>
        <w:t>DEFINITIONS USED IN THIS ANNOUNCEMENT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940" w:type="dxa"/>
            <w:vAlign w:val="bottom"/>
          </w:tcPr>
          <w:p>
            <w:pPr>
              <w:spacing w:after="0"/>
              <w:rPr>
                <w:sz w:val="20"/>
                <w:szCs w:val="20"/>
                <w:color w:val="auto"/>
              </w:rPr>
            </w:pPr>
            <w:r>
              <w:rPr>
                <w:rFonts w:ascii="Arial" w:cs="Arial" w:eastAsia="Arial" w:hAnsi="Arial"/>
                <w:sz w:val="23"/>
                <w:szCs w:val="23"/>
                <w:color w:val="231E1F"/>
              </w:rPr>
              <w:t>“Board of Directors” or “Board”</w:t>
            </w:r>
          </w:p>
        </w:tc>
        <w:tc>
          <w:tcPr>
            <w:tcW w:w="7480" w:type="dxa"/>
            <w:vAlign w:val="bottom"/>
          </w:tcPr>
          <w:p>
            <w:pPr>
              <w:ind w:left="420"/>
              <w:spacing w:after="0"/>
              <w:rPr>
                <w:sz w:val="20"/>
                <w:szCs w:val="20"/>
                <w:color w:val="auto"/>
              </w:rPr>
            </w:pPr>
            <w:r>
              <w:rPr>
                <w:rFonts w:ascii="Arial" w:cs="Arial" w:eastAsia="Arial" w:hAnsi="Arial"/>
                <w:sz w:val="23"/>
                <w:szCs w:val="23"/>
                <w:color w:val="231E1F"/>
              </w:rPr>
              <w:t>the board of Directors of our Company</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“Code on Corporate Governance</w:t>
            </w:r>
          </w:p>
        </w:tc>
        <w:tc>
          <w:tcPr>
            <w:tcW w:w="7480" w:type="dxa"/>
            <w:vAlign w:val="bottom"/>
          </w:tcPr>
          <w:p>
            <w:pPr>
              <w:ind w:left="420"/>
              <w:spacing w:after="0"/>
              <w:rPr>
                <w:sz w:val="20"/>
                <w:szCs w:val="20"/>
                <w:color w:val="auto"/>
              </w:rPr>
            </w:pPr>
            <w:r>
              <w:rPr>
                <w:rFonts w:ascii="Arial" w:cs="Arial" w:eastAsia="Arial" w:hAnsi="Arial"/>
                <w:sz w:val="23"/>
                <w:szCs w:val="23"/>
                <w:color w:val="231E1F"/>
                <w:w w:val="92"/>
              </w:rPr>
              <w:t>the Code on Corporate Governance Practices set out in Appendix 14 of the</w:t>
            </w:r>
          </w:p>
        </w:tc>
      </w:tr>
      <w:tr>
        <w:trPr>
          <w:trHeight w:val="293"/>
        </w:trPr>
        <w:tc>
          <w:tcPr>
            <w:tcW w:w="3940" w:type="dxa"/>
            <w:vAlign w:val="bottom"/>
          </w:tcPr>
          <w:p>
            <w:pPr>
              <w:ind w:left="160"/>
              <w:spacing w:after="0"/>
              <w:rPr>
                <w:sz w:val="20"/>
                <w:szCs w:val="20"/>
                <w:color w:val="auto"/>
              </w:rPr>
            </w:pPr>
            <w:r>
              <w:rPr>
                <w:rFonts w:ascii="Arial" w:cs="Arial" w:eastAsia="Arial" w:hAnsi="Arial"/>
                <w:sz w:val="23"/>
                <w:szCs w:val="23"/>
                <w:color w:val="231E1F"/>
              </w:rPr>
              <w:t>Practices” or “Code”</w:t>
            </w:r>
          </w:p>
        </w:tc>
        <w:tc>
          <w:tcPr>
            <w:tcW w:w="7480" w:type="dxa"/>
            <w:vAlign w:val="bottom"/>
          </w:tcPr>
          <w:p>
            <w:pPr>
              <w:ind w:left="420"/>
              <w:spacing w:after="0"/>
              <w:rPr>
                <w:sz w:val="20"/>
                <w:szCs w:val="20"/>
                <w:color w:val="auto"/>
              </w:rPr>
            </w:pPr>
            <w:r>
              <w:rPr>
                <w:rFonts w:ascii="Arial" w:cs="Arial" w:eastAsia="Arial" w:hAnsi="Arial"/>
                <w:sz w:val="23"/>
                <w:szCs w:val="23"/>
                <w:color w:val="231E1F"/>
              </w:rPr>
              <w:t>Listing Rules</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“Company” or “our Company”</w:t>
            </w:r>
          </w:p>
        </w:tc>
        <w:tc>
          <w:tcPr>
            <w:tcW w:w="7480" w:type="dxa"/>
            <w:vAlign w:val="bottom"/>
          </w:tcPr>
          <w:p>
            <w:pPr>
              <w:ind w:left="420"/>
              <w:spacing w:after="0"/>
              <w:rPr>
                <w:sz w:val="20"/>
                <w:szCs w:val="20"/>
                <w:color w:val="auto"/>
              </w:rPr>
            </w:pPr>
            <w:r>
              <w:rPr>
                <w:rFonts w:ascii="Arial" w:cs="Arial" w:eastAsia="Arial" w:hAnsi="Arial"/>
                <w:sz w:val="23"/>
                <w:szCs w:val="23"/>
                <w:color w:val="231E1F"/>
                <w:w w:val="91"/>
              </w:rPr>
              <w:t>Wynn Macau, Limited, a company incorporated on 4 September 2009 as an</w:t>
            </w:r>
          </w:p>
        </w:tc>
      </w:tr>
      <w:tr>
        <w:trPr>
          <w:trHeight w:val="265"/>
        </w:trPr>
        <w:tc>
          <w:tcPr>
            <w:tcW w:w="3940" w:type="dxa"/>
            <w:vAlign w:val="bottom"/>
          </w:tcPr>
          <w:p>
            <w:pPr>
              <w:spacing w:after="0"/>
              <w:rPr>
                <w:sz w:val="23"/>
                <w:szCs w:val="23"/>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w w:val="99"/>
              </w:rPr>
              <w:t>exempted company with limited liability under the laws of the Cayman</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Islands and an indirect subsidiary of Wynn Resorts, Limited</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“Concession Agreement”</w:t>
            </w:r>
          </w:p>
        </w:tc>
        <w:tc>
          <w:tcPr>
            <w:tcW w:w="7480" w:type="dxa"/>
            <w:vAlign w:val="bottom"/>
          </w:tcPr>
          <w:p>
            <w:pPr>
              <w:ind w:left="420"/>
              <w:spacing w:after="0"/>
              <w:rPr>
                <w:sz w:val="20"/>
                <w:szCs w:val="20"/>
                <w:color w:val="auto"/>
              </w:rPr>
            </w:pPr>
            <w:r>
              <w:rPr>
                <w:rFonts w:ascii="Arial" w:cs="Arial" w:eastAsia="Arial" w:hAnsi="Arial"/>
                <w:sz w:val="23"/>
                <w:szCs w:val="23"/>
                <w:color w:val="231E1F"/>
                <w:w w:val="95"/>
              </w:rPr>
              <w:t>the Concession Contract for the Operation of Games of Chance or Other</w:t>
            </w:r>
          </w:p>
        </w:tc>
      </w:tr>
      <w:tr>
        <w:trPr>
          <w:trHeight w:val="265"/>
        </w:trPr>
        <w:tc>
          <w:tcPr>
            <w:tcW w:w="3940" w:type="dxa"/>
            <w:vAlign w:val="bottom"/>
          </w:tcPr>
          <w:p>
            <w:pPr>
              <w:spacing w:after="0"/>
              <w:rPr>
                <w:sz w:val="23"/>
                <w:szCs w:val="23"/>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w w:val="91"/>
              </w:rPr>
              <w:t>Games in Casinos in the Macau Special Administrative Region entered into</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between WRM and the Macau government on 24 June 2002</w:t>
            </w:r>
          </w:p>
        </w:tc>
      </w:tr>
      <w:tr>
        <w:trPr>
          <w:trHeight w:val="477"/>
        </w:trPr>
        <w:tc>
          <w:tcPr>
            <w:tcW w:w="3940" w:type="dxa"/>
            <w:vAlign w:val="bottom"/>
          </w:tcPr>
          <w:p>
            <w:pPr>
              <w:spacing w:after="0"/>
              <w:rPr>
                <w:sz w:val="20"/>
                <w:szCs w:val="20"/>
                <w:color w:val="auto"/>
              </w:rPr>
            </w:pPr>
            <w:r>
              <w:rPr>
                <w:rFonts w:ascii="Arial" w:cs="Arial" w:eastAsia="Arial" w:hAnsi="Arial"/>
                <w:sz w:val="23"/>
                <w:szCs w:val="23"/>
                <w:color w:val="231E1F"/>
              </w:rPr>
              <w:t>“Director(s)”</w:t>
            </w:r>
          </w:p>
        </w:tc>
        <w:tc>
          <w:tcPr>
            <w:tcW w:w="7480" w:type="dxa"/>
            <w:vAlign w:val="bottom"/>
          </w:tcPr>
          <w:p>
            <w:pPr>
              <w:ind w:left="420"/>
              <w:spacing w:after="0"/>
              <w:rPr>
                <w:sz w:val="20"/>
                <w:szCs w:val="20"/>
                <w:color w:val="auto"/>
              </w:rPr>
            </w:pPr>
            <w:r>
              <w:rPr>
                <w:rFonts w:ascii="Arial" w:cs="Arial" w:eastAsia="Arial" w:hAnsi="Arial"/>
                <w:sz w:val="23"/>
                <w:szCs w:val="23"/>
                <w:color w:val="231E1F"/>
              </w:rPr>
              <w:t>the director(s) of our Company</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“Encore” or “Encore at Wynn Macau”</w:t>
            </w:r>
          </w:p>
        </w:tc>
        <w:tc>
          <w:tcPr>
            <w:tcW w:w="7480" w:type="dxa"/>
            <w:vAlign w:val="bottom"/>
          </w:tcPr>
          <w:p>
            <w:pPr>
              <w:ind w:left="420"/>
              <w:spacing w:after="0"/>
              <w:rPr>
                <w:sz w:val="20"/>
                <w:szCs w:val="20"/>
                <w:color w:val="auto"/>
              </w:rPr>
            </w:pPr>
            <w:r>
              <w:rPr>
                <w:rFonts w:ascii="Arial" w:cs="Arial" w:eastAsia="Arial" w:hAnsi="Arial"/>
                <w:sz w:val="23"/>
                <w:szCs w:val="23"/>
                <w:color w:val="231E1F"/>
                <w:w w:val="97"/>
              </w:rPr>
              <w:t>a casino resort located in Macau, connected to and fully integrated with</w:t>
            </w:r>
          </w:p>
        </w:tc>
      </w:tr>
      <w:tr>
        <w:trPr>
          <w:trHeight w:val="265"/>
        </w:trPr>
        <w:tc>
          <w:tcPr>
            <w:tcW w:w="3940" w:type="dxa"/>
            <w:vAlign w:val="bottom"/>
          </w:tcPr>
          <w:p>
            <w:pPr>
              <w:spacing w:after="0"/>
              <w:rPr>
                <w:sz w:val="23"/>
                <w:szCs w:val="23"/>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w w:val="93"/>
              </w:rPr>
              <w:t>Wynn Macau, owned and operated directly by WRM, which opened on 21</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April 2010.</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“Galaxy”</w:t>
            </w:r>
          </w:p>
        </w:tc>
        <w:tc>
          <w:tcPr>
            <w:tcW w:w="7480" w:type="dxa"/>
            <w:vAlign w:val="bottom"/>
          </w:tcPr>
          <w:p>
            <w:pPr>
              <w:ind w:left="420"/>
              <w:spacing w:after="0"/>
              <w:rPr>
                <w:sz w:val="20"/>
                <w:szCs w:val="20"/>
                <w:color w:val="auto"/>
              </w:rPr>
            </w:pPr>
            <w:r>
              <w:rPr>
                <w:rFonts w:ascii="Arial" w:cs="Arial" w:eastAsia="Arial" w:hAnsi="Arial"/>
                <w:sz w:val="23"/>
                <w:szCs w:val="23"/>
                <w:color w:val="231E1F"/>
                <w:w w:val="93"/>
              </w:rPr>
              <w:t>Galaxy Casino, S.A., one of the six gaming operators in Macau and one of</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the three concessionaires</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“Group,” “we,” “us” or “our”</w:t>
            </w:r>
          </w:p>
        </w:tc>
        <w:tc>
          <w:tcPr>
            <w:tcW w:w="7480" w:type="dxa"/>
            <w:vAlign w:val="bottom"/>
          </w:tcPr>
          <w:p>
            <w:pPr>
              <w:ind w:left="420"/>
              <w:spacing w:after="0"/>
              <w:rPr>
                <w:sz w:val="20"/>
                <w:szCs w:val="20"/>
                <w:color w:val="auto"/>
              </w:rPr>
            </w:pPr>
            <w:r>
              <w:rPr>
                <w:rFonts w:ascii="Arial" w:cs="Arial" w:eastAsia="Arial" w:hAnsi="Arial"/>
                <w:sz w:val="23"/>
                <w:szCs w:val="23"/>
                <w:color w:val="231E1F"/>
                <w:w w:val="89"/>
              </w:rPr>
              <w:t>our Company and its subsidiaries, or any of them, and the businesses carried</w:t>
            </w:r>
          </w:p>
        </w:tc>
      </w:tr>
      <w:tr>
        <w:trPr>
          <w:trHeight w:val="265"/>
        </w:trPr>
        <w:tc>
          <w:tcPr>
            <w:tcW w:w="3940" w:type="dxa"/>
            <w:vAlign w:val="bottom"/>
          </w:tcPr>
          <w:p>
            <w:pPr>
              <w:spacing w:after="0"/>
              <w:rPr>
                <w:sz w:val="23"/>
                <w:szCs w:val="23"/>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w w:val="95"/>
              </w:rPr>
              <w:t>on by such subsidiaries, except where the context makes it clear that the</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reference is only to the Company itself and not to the Group</w:t>
            </w:r>
          </w:p>
        </w:tc>
      </w:tr>
      <w:tr>
        <w:trPr>
          <w:trHeight w:val="450"/>
        </w:trPr>
        <w:tc>
          <w:tcPr>
            <w:tcW w:w="3940" w:type="dxa"/>
            <w:vAlign w:val="bottom"/>
          </w:tcPr>
          <w:p>
            <w:pPr>
              <w:spacing w:after="0"/>
              <w:rPr>
                <w:sz w:val="20"/>
                <w:szCs w:val="20"/>
                <w:color w:val="auto"/>
              </w:rPr>
            </w:pPr>
            <w:r>
              <w:rPr>
                <w:rFonts w:ascii="Arial" w:cs="Arial" w:eastAsia="Arial" w:hAnsi="Arial"/>
                <w:sz w:val="23"/>
                <w:szCs w:val="23"/>
                <w:color w:val="231E1F"/>
              </w:rPr>
              <w:t>“Group Reorganization”</w:t>
            </w:r>
          </w:p>
        </w:tc>
        <w:tc>
          <w:tcPr>
            <w:tcW w:w="7480" w:type="dxa"/>
            <w:vAlign w:val="bottom"/>
          </w:tcPr>
          <w:p>
            <w:pPr>
              <w:ind w:left="420"/>
              <w:spacing w:after="0"/>
              <w:rPr>
                <w:sz w:val="20"/>
                <w:szCs w:val="20"/>
                <w:color w:val="auto"/>
              </w:rPr>
            </w:pPr>
            <w:r>
              <w:rPr>
                <w:rFonts w:ascii="Arial" w:cs="Arial" w:eastAsia="Arial" w:hAnsi="Arial"/>
                <w:sz w:val="23"/>
                <w:szCs w:val="23"/>
                <w:color w:val="231E1F"/>
                <w:w w:val="96"/>
              </w:rPr>
              <w:t>the reorganization undertaken by the Group, as described in the section</w:t>
            </w:r>
          </w:p>
        </w:tc>
      </w:tr>
      <w:tr>
        <w:trPr>
          <w:trHeight w:val="265"/>
        </w:trPr>
        <w:tc>
          <w:tcPr>
            <w:tcW w:w="3940" w:type="dxa"/>
            <w:vAlign w:val="bottom"/>
          </w:tcPr>
          <w:p>
            <w:pPr>
              <w:spacing w:after="0"/>
              <w:rPr>
                <w:sz w:val="23"/>
                <w:szCs w:val="23"/>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w w:val="91"/>
              </w:rPr>
              <w:t>headed “History and Corporate Structure — IPO Reorganization” of the IPO</w:t>
            </w:r>
          </w:p>
        </w:tc>
      </w:tr>
      <w:tr>
        <w:trPr>
          <w:trHeight w:val="293"/>
        </w:trPr>
        <w:tc>
          <w:tcPr>
            <w:tcW w:w="394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Arial" w:cs="Arial" w:eastAsia="Arial" w:hAnsi="Arial"/>
                <w:sz w:val="23"/>
                <w:szCs w:val="23"/>
                <w:color w:val="231E1F"/>
              </w:rPr>
              <w:t>Prospectus</w:t>
            </w:r>
          </w:p>
        </w:tc>
      </w:tr>
      <w:tr>
        <w:trPr>
          <w:trHeight w:val="477"/>
        </w:trPr>
        <w:tc>
          <w:tcPr>
            <w:tcW w:w="3940" w:type="dxa"/>
            <w:vAlign w:val="bottom"/>
          </w:tcPr>
          <w:p>
            <w:pPr>
              <w:spacing w:after="0"/>
              <w:rPr>
                <w:sz w:val="20"/>
                <w:szCs w:val="20"/>
                <w:color w:val="auto"/>
              </w:rPr>
            </w:pPr>
            <w:r>
              <w:rPr>
                <w:rFonts w:ascii="Arial" w:cs="Arial" w:eastAsia="Arial" w:hAnsi="Arial"/>
                <w:sz w:val="23"/>
                <w:szCs w:val="23"/>
                <w:color w:val="231E1F"/>
              </w:rPr>
              <w:t>“HIBOR”</w:t>
            </w:r>
          </w:p>
        </w:tc>
        <w:tc>
          <w:tcPr>
            <w:tcW w:w="7480" w:type="dxa"/>
            <w:vAlign w:val="bottom"/>
          </w:tcPr>
          <w:p>
            <w:pPr>
              <w:ind w:left="420"/>
              <w:spacing w:after="0"/>
              <w:rPr>
                <w:sz w:val="20"/>
                <w:szCs w:val="20"/>
                <w:color w:val="auto"/>
              </w:rPr>
            </w:pPr>
            <w:r>
              <w:rPr>
                <w:rFonts w:ascii="Arial" w:cs="Arial" w:eastAsia="Arial" w:hAnsi="Arial"/>
                <w:sz w:val="23"/>
                <w:szCs w:val="23"/>
                <w:color w:val="231E1F"/>
              </w:rPr>
              <w:t>Hong Kong Interbank Offered Rate</w:t>
            </w:r>
          </w:p>
        </w:tc>
      </w:tr>
      <w:tr>
        <w:trPr>
          <w:trHeight w:val="594"/>
        </w:trPr>
        <w:tc>
          <w:tcPr>
            <w:tcW w:w="3940" w:type="dxa"/>
            <w:vAlign w:val="bottom"/>
          </w:tcPr>
          <w:p>
            <w:pPr>
              <w:spacing w:after="0"/>
              <w:rPr>
                <w:sz w:val="24"/>
                <w:szCs w:val="24"/>
                <w:color w:val="auto"/>
              </w:rPr>
            </w:pPr>
          </w:p>
        </w:tc>
        <w:tc>
          <w:tcPr>
            <w:tcW w:w="7480" w:type="dxa"/>
            <w:vAlign w:val="bottom"/>
          </w:tcPr>
          <w:p>
            <w:pPr>
              <w:ind w:left="1680"/>
              <w:spacing w:after="0"/>
              <w:rPr>
                <w:sz w:val="20"/>
                <w:szCs w:val="20"/>
                <w:color w:val="auto"/>
              </w:rPr>
            </w:pPr>
            <w:r>
              <w:rPr>
                <w:rFonts w:ascii="Arial" w:cs="Arial" w:eastAsia="Arial" w:hAnsi="Arial"/>
                <w:sz w:val="18"/>
                <w:szCs w:val="18"/>
                <w:color w:val="auto"/>
              </w:rPr>
              <w:t>38</w:t>
            </w:r>
          </w:p>
        </w:tc>
      </w:tr>
      <w:tr>
        <w:trPr>
          <w:trHeight w:val="117"/>
        </w:trPr>
        <w:tc>
          <w:tcPr>
            <w:tcW w:w="394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93"/>
        </w:trPr>
        <w:tc>
          <w:tcPr>
            <w:tcW w:w="3900" w:type="dxa"/>
            <w:vAlign w:val="bottom"/>
          </w:tcPr>
          <w:p>
            <w:pPr>
              <w:spacing w:after="0"/>
              <w:rPr>
                <w:sz w:val="20"/>
                <w:szCs w:val="20"/>
                <w:color w:val="auto"/>
              </w:rPr>
            </w:pPr>
            <w:r>
              <w:rPr>
                <w:rFonts w:ascii="Arial" w:cs="Arial" w:eastAsia="Arial" w:hAnsi="Arial"/>
                <w:sz w:val="23"/>
                <w:szCs w:val="23"/>
                <w:color w:val="231E1F"/>
              </w:rPr>
              <w:t>“HK$”</w:t>
            </w:r>
          </w:p>
        </w:tc>
        <w:tc>
          <w:tcPr>
            <w:tcW w:w="7520" w:type="dxa"/>
            <w:vAlign w:val="bottom"/>
          </w:tcPr>
          <w:p>
            <w:pPr>
              <w:ind w:left="460"/>
              <w:spacing w:after="0"/>
              <w:rPr>
                <w:sz w:val="20"/>
                <w:szCs w:val="20"/>
                <w:color w:val="auto"/>
              </w:rPr>
            </w:pPr>
            <w:r>
              <w:rPr>
                <w:rFonts w:ascii="Arial" w:cs="Arial" w:eastAsia="Arial" w:hAnsi="Arial"/>
                <w:sz w:val="23"/>
                <w:szCs w:val="23"/>
                <w:color w:val="231E1F"/>
              </w:rPr>
              <w:t>Hong Kong dollars, the lawful currency of Hong Kong</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“Hong Kong”</w:t>
            </w:r>
          </w:p>
        </w:tc>
        <w:tc>
          <w:tcPr>
            <w:tcW w:w="7520" w:type="dxa"/>
            <w:vAlign w:val="bottom"/>
          </w:tcPr>
          <w:p>
            <w:pPr>
              <w:ind w:left="460"/>
              <w:spacing w:after="0"/>
              <w:rPr>
                <w:sz w:val="20"/>
                <w:szCs w:val="20"/>
                <w:color w:val="auto"/>
              </w:rPr>
            </w:pPr>
            <w:r>
              <w:rPr>
                <w:rFonts w:ascii="Arial" w:cs="Arial" w:eastAsia="Arial" w:hAnsi="Arial"/>
                <w:sz w:val="23"/>
                <w:szCs w:val="23"/>
                <w:color w:val="231E1F"/>
              </w:rPr>
              <w:t>the Hong Kong Special Administrative Region of the PRC</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“Hong Kong Stock Exchange”</w:t>
            </w:r>
          </w:p>
        </w:tc>
        <w:tc>
          <w:tcPr>
            <w:tcW w:w="7520" w:type="dxa"/>
            <w:vAlign w:val="bottom"/>
          </w:tcPr>
          <w:p>
            <w:pPr>
              <w:ind w:left="460"/>
              <w:spacing w:after="0"/>
              <w:rPr>
                <w:sz w:val="20"/>
                <w:szCs w:val="20"/>
                <w:color w:val="auto"/>
              </w:rPr>
            </w:pPr>
            <w:r>
              <w:rPr>
                <w:rFonts w:ascii="Arial" w:cs="Arial" w:eastAsia="Arial" w:hAnsi="Arial"/>
                <w:sz w:val="23"/>
                <w:szCs w:val="23"/>
                <w:color w:val="231E1F"/>
              </w:rPr>
              <w:t>The Stock Exchange of Hong Kong Limited</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“IFRS”</w:t>
            </w:r>
          </w:p>
        </w:tc>
        <w:tc>
          <w:tcPr>
            <w:tcW w:w="7520" w:type="dxa"/>
            <w:vAlign w:val="bottom"/>
          </w:tcPr>
          <w:p>
            <w:pPr>
              <w:ind w:left="460"/>
              <w:spacing w:after="0"/>
              <w:rPr>
                <w:sz w:val="20"/>
                <w:szCs w:val="20"/>
                <w:color w:val="auto"/>
              </w:rPr>
            </w:pPr>
            <w:r>
              <w:rPr>
                <w:rFonts w:ascii="Arial" w:cs="Arial" w:eastAsia="Arial" w:hAnsi="Arial"/>
                <w:sz w:val="23"/>
                <w:szCs w:val="23"/>
                <w:color w:val="231E1F"/>
              </w:rPr>
              <w:t>International Financial Reporting Standards</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“IPO Prospectus”</w:t>
            </w:r>
          </w:p>
        </w:tc>
        <w:tc>
          <w:tcPr>
            <w:tcW w:w="7520" w:type="dxa"/>
            <w:vAlign w:val="bottom"/>
          </w:tcPr>
          <w:p>
            <w:pPr>
              <w:ind w:left="460"/>
              <w:spacing w:after="0"/>
              <w:rPr>
                <w:sz w:val="20"/>
                <w:szCs w:val="20"/>
                <w:color w:val="auto"/>
              </w:rPr>
            </w:pPr>
            <w:r>
              <w:rPr>
                <w:rFonts w:ascii="Arial" w:cs="Arial" w:eastAsia="Arial" w:hAnsi="Arial"/>
                <w:sz w:val="23"/>
                <w:szCs w:val="23"/>
                <w:color w:val="231E1F"/>
                <w:w w:val="95"/>
              </w:rPr>
              <w:t>the IPO Prospectus of the Company published on 24 September 2009 in</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connection with the Listing</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“LIBOR”</w:t>
            </w:r>
          </w:p>
        </w:tc>
        <w:tc>
          <w:tcPr>
            <w:tcW w:w="7520" w:type="dxa"/>
            <w:vAlign w:val="bottom"/>
          </w:tcPr>
          <w:p>
            <w:pPr>
              <w:ind w:left="460"/>
              <w:spacing w:after="0"/>
              <w:rPr>
                <w:sz w:val="20"/>
                <w:szCs w:val="20"/>
                <w:color w:val="auto"/>
              </w:rPr>
            </w:pPr>
            <w:r>
              <w:rPr>
                <w:rFonts w:ascii="Arial" w:cs="Arial" w:eastAsia="Arial" w:hAnsi="Arial"/>
                <w:sz w:val="23"/>
                <w:szCs w:val="23"/>
                <w:color w:val="231E1F"/>
              </w:rPr>
              <w:t>London Interbank Offered Rate</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“Listing”</w:t>
            </w:r>
          </w:p>
        </w:tc>
        <w:tc>
          <w:tcPr>
            <w:tcW w:w="7520" w:type="dxa"/>
            <w:vAlign w:val="bottom"/>
          </w:tcPr>
          <w:p>
            <w:pPr>
              <w:ind w:left="460"/>
              <w:spacing w:after="0"/>
              <w:rPr>
                <w:sz w:val="20"/>
                <w:szCs w:val="20"/>
                <w:color w:val="auto"/>
              </w:rPr>
            </w:pPr>
            <w:r>
              <w:rPr>
                <w:rFonts w:ascii="Arial" w:cs="Arial" w:eastAsia="Arial" w:hAnsi="Arial"/>
                <w:sz w:val="23"/>
                <w:szCs w:val="23"/>
                <w:color w:val="231E1F"/>
                <w:w w:val="94"/>
              </w:rPr>
              <w:t>the initial listing of the Shares on the Main Board of the Hong Kong Stock</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Exchange on 9 October 2009</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“Listing Rules”</w:t>
            </w:r>
          </w:p>
        </w:tc>
        <w:tc>
          <w:tcPr>
            <w:tcW w:w="7520" w:type="dxa"/>
            <w:vAlign w:val="bottom"/>
          </w:tcPr>
          <w:p>
            <w:pPr>
              <w:ind w:left="460"/>
              <w:spacing w:after="0"/>
              <w:rPr>
                <w:sz w:val="20"/>
                <w:szCs w:val="20"/>
                <w:color w:val="auto"/>
              </w:rPr>
            </w:pPr>
            <w:r>
              <w:rPr>
                <w:rFonts w:ascii="Arial" w:cs="Arial" w:eastAsia="Arial" w:hAnsi="Arial"/>
                <w:sz w:val="23"/>
                <w:szCs w:val="23"/>
                <w:color w:val="231E1F"/>
                <w:w w:val="99"/>
              </w:rPr>
              <w:t>the Rules Governing the Listing of Securities on the Hong Kong Stock</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Exchange (as amended from time to time)</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“Macau Operations”</w:t>
            </w:r>
          </w:p>
        </w:tc>
        <w:tc>
          <w:tcPr>
            <w:tcW w:w="7520" w:type="dxa"/>
            <w:vAlign w:val="bottom"/>
          </w:tcPr>
          <w:p>
            <w:pPr>
              <w:ind w:left="460"/>
              <w:spacing w:after="0"/>
              <w:rPr>
                <w:sz w:val="20"/>
                <w:szCs w:val="20"/>
                <w:color w:val="auto"/>
              </w:rPr>
            </w:pPr>
            <w:r>
              <w:rPr>
                <w:rFonts w:ascii="Arial" w:cs="Arial" w:eastAsia="Arial" w:hAnsi="Arial"/>
                <w:sz w:val="23"/>
                <w:szCs w:val="23"/>
                <w:color w:val="231E1F"/>
              </w:rPr>
              <w:t>the fully integrated Wynn Macau and Encore at Wynn Macau resort</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“Macau” or “Macau Special</w:t>
            </w:r>
          </w:p>
        </w:tc>
        <w:tc>
          <w:tcPr>
            <w:tcW w:w="7520" w:type="dxa"/>
            <w:vAlign w:val="bottom"/>
          </w:tcPr>
          <w:p>
            <w:pPr>
              <w:ind w:left="460"/>
              <w:spacing w:after="0"/>
              <w:rPr>
                <w:sz w:val="20"/>
                <w:szCs w:val="20"/>
                <w:color w:val="auto"/>
              </w:rPr>
            </w:pPr>
            <w:r>
              <w:rPr>
                <w:rFonts w:ascii="Arial" w:cs="Arial" w:eastAsia="Arial" w:hAnsi="Arial"/>
                <w:sz w:val="23"/>
                <w:szCs w:val="23"/>
                <w:color w:val="231E1F"/>
              </w:rPr>
              <w:t>the Macau Special Administrative Region of the PRC</w:t>
            </w:r>
          </w:p>
        </w:tc>
      </w:tr>
      <w:tr>
        <w:trPr>
          <w:trHeight w:val="293"/>
        </w:trPr>
        <w:tc>
          <w:tcPr>
            <w:tcW w:w="3900" w:type="dxa"/>
            <w:vAlign w:val="bottom"/>
          </w:tcPr>
          <w:p>
            <w:pPr>
              <w:ind w:left="160"/>
              <w:spacing w:after="0"/>
              <w:rPr>
                <w:sz w:val="20"/>
                <w:szCs w:val="20"/>
                <w:color w:val="auto"/>
              </w:rPr>
            </w:pPr>
            <w:r>
              <w:rPr>
                <w:rFonts w:ascii="Arial" w:cs="Arial" w:eastAsia="Arial" w:hAnsi="Arial"/>
                <w:sz w:val="23"/>
                <w:szCs w:val="23"/>
                <w:color w:val="231E1F"/>
              </w:rPr>
              <w:t>Administrative Region”</w:t>
            </w:r>
          </w:p>
        </w:tc>
        <w:tc>
          <w:tcPr>
            <w:tcW w:w="7520" w:type="dxa"/>
            <w:vAlign w:val="bottom"/>
          </w:tcPr>
          <w:p>
            <w:pPr>
              <w:spacing w:after="0"/>
              <w:rPr>
                <w:sz w:val="24"/>
                <w:szCs w:val="24"/>
                <w:color w:val="auto"/>
              </w:rPr>
            </w:pP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“Melco Crown”</w:t>
            </w:r>
          </w:p>
        </w:tc>
        <w:tc>
          <w:tcPr>
            <w:tcW w:w="7520" w:type="dxa"/>
            <w:vAlign w:val="bottom"/>
          </w:tcPr>
          <w:p>
            <w:pPr>
              <w:ind w:left="460"/>
              <w:spacing w:after="0"/>
              <w:rPr>
                <w:sz w:val="20"/>
                <w:szCs w:val="20"/>
                <w:color w:val="auto"/>
              </w:rPr>
            </w:pPr>
            <w:r>
              <w:rPr>
                <w:rFonts w:ascii="Arial" w:cs="Arial" w:eastAsia="Arial" w:hAnsi="Arial"/>
                <w:sz w:val="23"/>
                <w:szCs w:val="23"/>
                <w:color w:val="231E1F"/>
                <w:w w:val="93"/>
              </w:rPr>
              <w:t>Melco Crown Gaming (Macau) Limited, one of the six gaming operators in</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Macau and one of the three sub-concessionaires</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“MGM Macau”</w:t>
            </w:r>
          </w:p>
        </w:tc>
        <w:tc>
          <w:tcPr>
            <w:tcW w:w="7520" w:type="dxa"/>
            <w:vAlign w:val="bottom"/>
          </w:tcPr>
          <w:p>
            <w:pPr>
              <w:ind w:left="460"/>
              <w:spacing w:after="0"/>
              <w:rPr>
                <w:sz w:val="20"/>
                <w:szCs w:val="20"/>
                <w:color w:val="auto"/>
              </w:rPr>
            </w:pPr>
            <w:r>
              <w:rPr>
                <w:rFonts w:ascii="Arial" w:cs="Arial" w:eastAsia="Arial" w:hAnsi="Arial"/>
                <w:sz w:val="23"/>
                <w:szCs w:val="23"/>
                <w:color w:val="231E1F"/>
                <w:w w:val="95"/>
              </w:rPr>
              <w:t>MGM Grand Paradise Limited, one of the six gaming operators in Macau</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and one of the three sub-concessionaires</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“Model Code”</w:t>
            </w:r>
          </w:p>
        </w:tc>
        <w:tc>
          <w:tcPr>
            <w:tcW w:w="7520" w:type="dxa"/>
            <w:vAlign w:val="bottom"/>
          </w:tcPr>
          <w:p>
            <w:pPr>
              <w:ind w:left="460"/>
              <w:spacing w:after="0"/>
              <w:rPr>
                <w:sz w:val="20"/>
                <w:szCs w:val="20"/>
                <w:color w:val="auto"/>
              </w:rPr>
            </w:pPr>
            <w:r>
              <w:rPr>
                <w:rFonts w:ascii="Arial" w:cs="Arial" w:eastAsia="Arial" w:hAnsi="Arial"/>
                <w:sz w:val="23"/>
                <w:szCs w:val="23"/>
                <w:color w:val="231E1F"/>
                <w:w w:val="94"/>
              </w:rPr>
              <w:t>the Model Code for Securities Transactions by Directors of Listed Issuers</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set out in Appendix 10 of the Listing Rules</w:t>
            </w:r>
          </w:p>
        </w:tc>
      </w:tr>
      <w:tr>
        <w:trPr>
          <w:trHeight w:val="477"/>
        </w:trPr>
        <w:tc>
          <w:tcPr>
            <w:tcW w:w="3900" w:type="dxa"/>
            <w:vAlign w:val="bottom"/>
          </w:tcPr>
          <w:p>
            <w:pPr>
              <w:spacing w:after="0"/>
              <w:rPr>
                <w:sz w:val="20"/>
                <w:szCs w:val="20"/>
                <w:color w:val="auto"/>
              </w:rPr>
            </w:pPr>
            <w:r>
              <w:rPr>
                <w:rFonts w:ascii="Arial" w:cs="Arial" w:eastAsia="Arial" w:hAnsi="Arial"/>
                <w:sz w:val="23"/>
                <w:szCs w:val="23"/>
                <w:color w:val="231E1F"/>
              </w:rPr>
              <w:t>“MOP” or “pataca”</w:t>
            </w:r>
          </w:p>
        </w:tc>
        <w:tc>
          <w:tcPr>
            <w:tcW w:w="7520" w:type="dxa"/>
            <w:vAlign w:val="bottom"/>
          </w:tcPr>
          <w:p>
            <w:pPr>
              <w:ind w:left="460"/>
              <w:spacing w:after="0"/>
              <w:rPr>
                <w:sz w:val="20"/>
                <w:szCs w:val="20"/>
                <w:color w:val="auto"/>
              </w:rPr>
            </w:pPr>
            <w:r>
              <w:rPr>
                <w:rFonts w:ascii="Arial" w:cs="Arial" w:eastAsia="Arial" w:hAnsi="Arial"/>
                <w:sz w:val="23"/>
                <w:szCs w:val="23"/>
                <w:color w:val="231E1F"/>
              </w:rPr>
              <w:t>Macau pataca, the lawful currency of Macau</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“Offshore RMB”</w:t>
            </w:r>
          </w:p>
        </w:tc>
        <w:tc>
          <w:tcPr>
            <w:tcW w:w="7520" w:type="dxa"/>
            <w:vAlign w:val="bottom"/>
          </w:tcPr>
          <w:p>
            <w:pPr>
              <w:ind w:left="460"/>
              <w:spacing w:after="0"/>
              <w:rPr>
                <w:sz w:val="20"/>
                <w:szCs w:val="20"/>
                <w:color w:val="auto"/>
              </w:rPr>
            </w:pPr>
            <w:r>
              <w:rPr>
                <w:rFonts w:ascii="Arial" w:cs="Arial" w:eastAsia="Arial" w:hAnsi="Arial"/>
                <w:sz w:val="23"/>
                <w:szCs w:val="23"/>
                <w:color w:val="231E1F"/>
                <w:w w:val="96"/>
              </w:rPr>
              <w:t>RMB maintained outside mainland China, primarily in Hong Kong where</w:t>
            </w:r>
          </w:p>
        </w:tc>
      </w:tr>
      <w:tr>
        <w:trPr>
          <w:trHeight w:val="265"/>
        </w:trPr>
        <w:tc>
          <w:tcPr>
            <w:tcW w:w="3900" w:type="dxa"/>
            <w:vAlign w:val="bottom"/>
          </w:tcPr>
          <w:p>
            <w:pPr>
              <w:spacing w:after="0"/>
              <w:rPr>
                <w:sz w:val="23"/>
                <w:szCs w:val="23"/>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w w:val="99"/>
              </w:rPr>
              <w:t>RMB  trading  is  officially  sanctioned  and  regulated,  that  is  largely</w:t>
            </w:r>
          </w:p>
        </w:tc>
      </w:tr>
      <w:tr>
        <w:trPr>
          <w:trHeight w:val="265"/>
        </w:trPr>
        <w:tc>
          <w:tcPr>
            <w:tcW w:w="3900" w:type="dxa"/>
            <w:vAlign w:val="bottom"/>
          </w:tcPr>
          <w:p>
            <w:pPr>
              <w:spacing w:after="0"/>
              <w:rPr>
                <w:sz w:val="23"/>
                <w:szCs w:val="23"/>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w w:val="97"/>
              </w:rPr>
              <w:t>“convertible and transferable”. It is also known as CNH, which refers to</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offshore RMB primarily traded in Hong Kong (hence the “H”)</w:t>
            </w:r>
          </w:p>
        </w:tc>
      </w:tr>
      <w:tr>
        <w:trPr>
          <w:trHeight w:val="450"/>
        </w:trPr>
        <w:tc>
          <w:tcPr>
            <w:tcW w:w="3900" w:type="dxa"/>
            <w:vAlign w:val="bottom"/>
          </w:tcPr>
          <w:p>
            <w:pPr>
              <w:spacing w:after="0"/>
              <w:rPr>
                <w:sz w:val="20"/>
                <w:szCs w:val="20"/>
                <w:color w:val="auto"/>
              </w:rPr>
            </w:pPr>
            <w:r>
              <w:rPr>
                <w:rFonts w:ascii="Arial" w:cs="Arial" w:eastAsia="Arial" w:hAnsi="Arial"/>
                <w:sz w:val="23"/>
                <w:szCs w:val="23"/>
                <w:color w:val="231E1F"/>
              </w:rPr>
              <w:t>“Palo Real Estate Company Limited”</w:t>
            </w:r>
          </w:p>
        </w:tc>
        <w:tc>
          <w:tcPr>
            <w:tcW w:w="7520" w:type="dxa"/>
            <w:vAlign w:val="bottom"/>
          </w:tcPr>
          <w:p>
            <w:pPr>
              <w:ind w:left="460"/>
              <w:spacing w:after="0"/>
              <w:rPr>
                <w:sz w:val="20"/>
                <w:szCs w:val="20"/>
                <w:color w:val="auto"/>
              </w:rPr>
            </w:pPr>
            <w:r>
              <w:rPr>
                <w:rFonts w:ascii="Arial" w:cs="Arial" w:eastAsia="Arial" w:hAnsi="Arial"/>
                <w:sz w:val="23"/>
                <w:szCs w:val="23"/>
                <w:color w:val="231E1F"/>
                <w:w w:val="92"/>
              </w:rPr>
              <w:t>Palo Real Estate Company Limited, a limited liability company incorporated</w:t>
            </w:r>
          </w:p>
        </w:tc>
      </w:tr>
      <w:tr>
        <w:trPr>
          <w:trHeight w:val="265"/>
        </w:trPr>
        <w:tc>
          <w:tcPr>
            <w:tcW w:w="3900" w:type="dxa"/>
            <w:vAlign w:val="bottom"/>
          </w:tcPr>
          <w:p>
            <w:pPr>
              <w:spacing w:after="0"/>
              <w:rPr>
                <w:sz w:val="23"/>
                <w:szCs w:val="23"/>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w w:val="96"/>
              </w:rPr>
              <w:t>under the laws of Macau and an indirect wholly owned subsidiary of the</w:t>
            </w:r>
          </w:p>
        </w:tc>
      </w:tr>
      <w:tr>
        <w:trPr>
          <w:trHeight w:val="265"/>
        </w:trPr>
        <w:tc>
          <w:tcPr>
            <w:tcW w:w="3900" w:type="dxa"/>
            <w:vAlign w:val="bottom"/>
          </w:tcPr>
          <w:p>
            <w:pPr>
              <w:spacing w:after="0"/>
              <w:rPr>
                <w:sz w:val="23"/>
                <w:szCs w:val="23"/>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rPr>
              <w:t>Company (subject to a 10% social and voting interest and MOP1.00</w:t>
            </w:r>
          </w:p>
        </w:tc>
      </w:tr>
      <w:tr>
        <w:trPr>
          <w:trHeight w:val="293"/>
        </w:trPr>
        <w:tc>
          <w:tcPr>
            <w:tcW w:w="390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Arial" w:cs="Arial" w:eastAsia="Arial" w:hAnsi="Arial"/>
                <w:sz w:val="23"/>
                <w:szCs w:val="23"/>
                <w:color w:val="231E1F"/>
                <w:w w:val="93"/>
              </w:rPr>
              <w:t>economic interest held by Mr. Wong Chi Seng (a Macau resident) in WRM</w:t>
            </w:r>
          </w:p>
        </w:tc>
      </w:tr>
      <w:tr>
        <w:trPr>
          <w:trHeight w:val="594"/>
        </w:trPr>
        <w:tc>
          <w:tcPr>
            <w:tcW w:w="3900" w:type="dxa"/>
            <w:vAlign w:val="bottom"/>
          </w:tcPr>
          <w:p>
            <w:pPr>
              <w:spacing w:after="0"/>
              <w:rPr>
                <w:sz w:val="24"/>
                <w:szCs w:val="24"/>
                <w:color w:val="auto"/>
              </w:rPr>
            </w:pPr>
          </w:p>
        </w:tc>
        <w:tc>
          <w:tcPr>
            <w:tcW w:w="7520" w:type="dxa"/>
            <w:vAlign w:val="bottom"/>
          </w:tcPr>
          <w:p>
            <w:pPr>
              <w:ind w:left="1720"/>
              <w:spacing w:after="0"/>
              <w:rPr>
                <w:sz w:val="20"/>
                <w:szCs w:val="20"/>
                <w:color w:val="auto"/>
              </w:rPr>
            </w:pPr>
            <w:r>
              <w:rPr>
                <w:rFonts w:ascii="Arial" w:cs="Arial" w:eastAsia="Arial" w:hAnsi="Arial"/>
                <w:sz w:val="18"/>
                <w:szCs w:val="18"/>
                <w:color w:val="auto"/>
              </w:rPr>
              <w:t>39</w:t>
            </w:r>
          </w:p>
        </w:tc>
      </w:tr>
      <w:tr>
        <w:trPr>
          <w:trHeight w:val="117"/>
        </w:trPr>
        <w:tc>
          <w:tcPr>
            <w:tcW w:w="3900" w:type="dxa"/>
            <w:vAlign w:val="bottom"/>
            <w:tcBorders>
              <w:bottom w:val="single" w:sz="8" w:color="808080"/>
            </w:tcBorders>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65"/>
        </w:trPr>
        <w:tc>
          <w:tcPr>
            <w:tcW w:w="3920" w:type="dxa"/>
            <w:vAlign w:val="bottom"/>
          </w:tcPr>
          <w:p>
            <w:pPr>
              <w:spacing w:after="0"/>
              <w:rPr>
                <w:sz w:val="20"/>
                <w:szCs w:val="20"/>
                <w:color w:val="auto"/>
              </w:rPr>
            </w:pPr>
            <w:r>
              <w:rPr>
                <w:rFonts w:ascii="Arial" w:cs="Arial" w:eastAsia="Arial" w:hAnsi="Arial"/>
                <w:sz w:val="23"/>
                <w:szCs w:val="23"/>
                <w:color w:val="231E1F"/>
              </w:rPr>
              <w:t>“PRC”, “China” or “mainland China”</w:t>
            </w:r>
          </w:p>
        </w:tc>
        <w:tc>
          <w:tcPr>
            <w:tcW w:w="7500" w:type="dxa"/>
            <w:vAlign w:val="bottom"/>
          </w:tcPr>
          <w:p>
            <w:pPr>
              <w:ind w:left="440"/>
              <w:spacing w:after="0"/>
              <w:rPr>
                <w:sz w:val="20"/>
                <w:szCs w:val="20"/>
                <w:color w:val="auto"/>
              </w:rPr>
            </w:pPr>
            <w:r>
              <w:rPr>
                <w:rFonts w:ascii="Arial" w:cs="Arial" w:eastAsia="Arial" w:hAnsi="Arial"/>
                <w:sz w:val="23"/>
                <w:szCs w:val="23"/>
                <w:color w:val="231E1F"/>
                <w:w w:val="92"/>
              </w:rPr>
              <w:t>the People’s Republic of China and, except where the context requires and</w:t>
            </w:r>
          </w:p>
        </w:tc>
      </w:tr>
      <w:tr>
        <w:trPr>
          <w:trHeight w:val="265"/>
        </w:trPr>
        <w:tc>
          <w:tcPr>
            <w:tcW w:w="3920" w:type="dxa"/>
            <w:vAlign w:val="bottom"/>
          </w:tcPr>
          <w:p>
            <w:pPr>
              <w:spacing w:after="0"/>
              <w:rPr>
                <w:sz w:val="23"/>
                <w:szCs w:val="23"/>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w w:val="91"/>
              </w:rPr>
              <w:t>only for the purpose of this interim announcement, references in this interim</w:t>
            </w:r>
          </w:p>
        </w:tc>
      </w:tr>
      <w:tr>
        <w:trPr>
          <w:trHeight w:val="265"/>
        </w:trPr>
        <w:tc>
          <w:tcPr>
            <w:tcW w:w="3920" w:type="dxa"/>
            <w:vAlign w:val="bottom"/>
          </w:tcPr>
          <w:p>
            <w:pPr>
              <w:spacing w:after="0"/>
              <w:rPr>
                <w:sz w:val="23"/>
                <w:szCs w:val="23"/>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w w:val="93"/>
              </w:rPr>
              <w:t>announcement to the PRC or China do not include Taiwan, Hong Kong or</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Macau; the term “Chinese” has a similar meaning</w:t>
            </w:r>
          </w:p>
        </w:tc>
      </w:tr>
      <w:tr>
        <w:trPr>
          <w:trHeight w:val="477"/>
        </w:trPr>
        <w:tc>
          <w:tcPr>
            <w:tcW w:w="3920" w:type="dxa"/>
            <w:vAlign w:val="bottom"/>
          </w:tcPr>
          <w:p>
            <w:pPr>
              <w:spacing w:after="0"/>
              <w:rPr>
                <w:sz w:val="20"/>
                <w:szCs w:val="20"/>
                <w:color w:val="auto"/>
              </w:rPr>
            </w:pPr>
            <w:r>
              <w:rPr>
                <w:rFonts w:ascii="Arial" w:cs="Arial" w:eastAsia="Arial" w:hAnsi="Arial"/>
                <w:sz w:val="23"/>
                <w:szCs w:val="23"/>
                <w:color w:val="231E1F"/>
              </w:rPr>
              <w:t>“RMB”</w:t>
            </w:r>
          </w:p>
        </w:tc>
        <w:tc>
          <w:tcPr>
            <w:tcW w:w="7500" w:type="dxa"/>
            <w:vAlign w:val="bottom"/>
          </w:tcPr>
          <w:p>
            <w:pPr>
              <w:ind w:left="440"/>
              <w:spacing w:after="0"/>
              <w:rPr>
                <w:sz w:val="20"/>
                <w:szCs w:val="20"/>
                <w:color w:val="auto"/>
              </w:rPr>
            </w:pPr>
            <w:r>
              <w:rPr>
                <w:rFonts w:ascii="Arial" w:cs="Arial" w:eastAsia="Arial" w:hAnsi="Arial"/>
                <w:sz w:val="23"/>
                <w:szCs w:val="23"/>
                <w:color w:val="231E1F"/>
              </w:rPr>
              <w:t>Renminbi, the lawful currency of PRC</w:t>
            </w:r>
          </w:p>
        </w:tc>
      </w:tr>
      <w:tr>
        <w:trPr>
          <w:trHeight w:val="477"/>
        </w:trPr>
        <w:tc>
          <w:tcPr>
            <w:tcW w:w="3920" w:type="dxa"/>
            <w:vAlign w:val="bottom"/>
          </w:tcPr>
          <w:p>
            <w:pPr>
              <w:spacing w:after="0"/>
              <w:rPr>
                <w:sz w:val="20"/>
                <w:szCs w:val="20"/>
                <w:color w:val="auto"/>
              </w:rPr>
            </w:pPr>
            <w:r>
              <w:rPr>
                <w:rFonts w:ascii="Arial" w:cs="Arial" w:eastAsia="Arial" w:hAnsi="Arial"/>
                <w:sz w:val="23"/>
                <w:szCs w:val="23"/>
                <w:color w:val="231E1F"/>
              </w:rPr>
              <w:t>“SEC”</w:t>
            </w:r>
          </w:p>
        </w:tc>
        <w:tc>
          <w:tcPr>
            <w:tcW w:w="7500" w:type="dxa"/>
            <w:vAlign w:val="bottom"/>
          </w:tcPr>
          <w:p>
            <w:pPr>
              <w:ind w:left="440"/>
              <w:spacing w:after="0"/>
              <w:rPr>
                <w:sz w:val="20"/>
                <w:szCs w:val="20"/>
                <w:color w:val="auto"/>
              </w:rPr>
            </w:pPr>
            <w:r>
              <w:rPr>
                <w:rFonts w:ascii="Arial" w:cs="Arial" w:eastAsia="Arial" w:hAnsi="Arial"/>
                <w:sz w:val="23"/>
                <w:szCs w:val="23"/>
                <w:color w:val="231E1F"/>
                <w:w w:val="93"/>
              </w:rPr>
              <w:t>the Securities and Exchange Commission in the United States of America.</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“Share(s)”</w:t>
            </w:r>
          </w:p>
        </w:tc>
        <w:tc>
          <w:tcPr>
            <w:tcW w:w="7500" w:type="dxa"/>
            <w:vAlign w:val="bottom"/>
          </w:tcPr>
          <w:p>
            <w:pPr>
              <w:ind w:left="440"/>
              <w:spacing w:after="0"/>
              <w:rPr>
                <w:sz w:val="20"/>
                <w:szCs w:val="20"/>
                <w:color w:val="auto"/>
              </w:rPr>
            </w:pPr>
            <w:r>
              <w:rPr>
                <w:rFonts w:ascii="Arial" w:cs="Arial" w:eastAsia="Arial" w:hAnsi="Arial"/>
                <w:sz w:val="23"/>
                <w:szCs w:val="23"/>
                <w:color w:val="231E1F"/>
                <w:w w:val="99"/>
              </w:rPr>
              <w:t>ordinary share(s) with a nominal value of HK$0.001 each in the share</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capital of our Company</w:t>
            </w:r>
          </w:p>
        </w:tc>
      </w:tr>
      <w:tr>
        <w:trPr>
          <w:trHeight w:val="477"/>
        </w:trPr>
        <w:tc>
          <w:tcPr>
            <w:tcW w:w="3920" w:type="dxa"/>
            <w:vAlign w:val="bottom"/>
          </w:tcPr>
          <w:p>
            <w:pPr>
              <w:spacing w:after="0"/>
              <w:rPr>
                <w:sz w:val="20"/>
                <w:szCs w:val="20"/>
                <w:color w:val="auto"/>
              </w:rPr>
            </w:pPr>
            <w:r>
              <w:rPr>
                <w:rFonts w:ascii="Arial" w:cs="Arial" w:eastAsia="Arial" w:hAnsi="Arial"/>
                <w:sz w:val="23"/>
                <w:szCs w:val="23"/>
                <w:color w:val="231E1F"/>
              </w:rPr>
              <w:t>“Shareholder(s)”</w:t>
            </w:r>
          </w:p>
        </w:tc>
        <w:tc>
          <w:tcPr>
            <w:tcW w:w="7500" w:type="dxa"/>
            <w:vAlign w:val="bottom"/>
          </w:tcPr>
          <w:p>
            <w:pPr>
              <w:ind w:left="440"/>
              <w:spacing w:after="0"/>
              <w:rPr>
                <w:sz w:val="20"/>
                <w:szCs w:val="20"/>
                <w:color w:val="auto"/>
              </w:rPr>
            </w:pPr>
            <w:r>
              <w:rPr>
                <w:rFonts w:ascii="Arial" w:cs="Arial" w:eastAsia="Arial" w:hAnsi="Arial"/>
                <w:sz w:val="23"/>
                <w:szCs w:val="23"/>
                <w:color w:val="231E1F"/>
              </w:rPr>
              <w:t>holder(s) of Share(s) of the Company from time to time</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“SJM”</w:t>
            </w:r>
          </w:p>
        </w:tc>
        <w:tc>
          <w:tcPr>
            <w:tcW w:w="7500" w:type="dxa"/>
            <w:vAlign w:val="bottom"/>
          </w:tcPr>
          <w:p>
            <w:pPr>
              <w:ind w:left="440"/>
              <w:spacing w:after="0"/>
              <w:rPr>
                <w:sz w:val="20"/>
                <w:szCs w:val="20"/>
                <w:color w:val="auto"/>
              </w:rPr>
            </w:pPr>
            <w:r>
              <w:rPr>
                <w:rFonts w:ascii="Arial" w:cs="Arial" w:eastAsia="Arial" w:hAnsi="Arial"/>
                <w:sz w:val="23"/>
                <w:szCs w:val="23"/>
                <w:color w:val="231E1F"/>
                <w:w w:val="97"/>
              </w:rPr>
              <w:t>Sociedade de Jogos de Macau S.A., one of the six gaming operators in</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Macau and one of the three concessionaires</w:t>
            </w:r>
          </w:p>
        </w:tc>
      </w:tr>
      <w:tr>
        <w:trPr>
          <w:trHeight w:val="477"/>
        </w:trPr>
        <w:tc>
          <w:tcPr>
            <w:tcW w:w="3920" w:type="dxa"/>
            <w:vAlign w:val="bottom"/>
          </w:tcPr>
          <w:p>
            <w:pPr>
              <w:spacing w:after="0"/>
              <w:rPr>
                <w:sz w:val="20"/>
                <w:szCs w:val="20"/>
                <w:color w:val="auto"/>
              </w:rPr>
            </w:pPr>
            <w:r>
              <w:rPr>
                <w:rFonts w:ascii="Arial" w:cs="Arial" w:eastAsia="Arial" w:hAnsi="Arial"/>
                <w:sz w:val="23"/>
                <w:szCs w:val="23"/>
                <w:color w:val="231E1F"/>
              </w:rPr>
              <w:t>“US$”</w:t>
            </w:r>
          </w:p>
        </w:tc>
        <w:tc>
          <w:tcPr>
            <w:tcW w:w="7500" w:type="dxa"/>
            <w:vAlign w:val="bottom"/>
          </w:tcPr>
          <w:p>
            <w:pPr>
              <w:ind w:left="440"/>
              <w:spacing w:after="0"/>
              <w:rPr>
                <w:sz w:val="20"/>
                <w:szCs w:val="20"/>
                <w:color w:val="auto"/>
              </w:rPr>
            </w:pPr>
            <w:r>
              <w:rPr>
                <w:rFonts w:ascii="Arial" w:cs="Arial" w:eastAsia="Arial" w:hAnsi="Arial"/>
                <w:sz w:val="23"/>
                <w:szCs w:val="23"/>
                <w:color w:val="231E1F"/>
              </w:rPr>
              <w:t>United States dollars, the lawful currency of the Untied States</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“Venetian Macau”</w:t>
            </w:r>
          </w:p>
        </w:tc>
        <w:tc>
          <w:tcPr>
            <w:tcW w:w="7500" w:type="dxa"/>
            <w:vAlign w:val="bottom"/>
          </w:tcPr>
          <w:p>
            <w:pPr>
              <w:ind w:left="440"/>
              <w:spacing w:after="0"/>
              <w:rPr>
                <w:sz w:val="20"/>
                <w:szCs w:val="20"/>
                <w:color w:val="auto"/>
              </w:rPr>
            </w:pPr>
            <w:r>
              <w:rPr>
                <w:rFonts w:ascii="Arial" w:cs="Arial" w:eastAsia="Arial" w:hAnsi="Arial"/>
                <w:sz w:val="23"/>
                <w:szCs w:val="23"/>
                <w:color w:val="231E1F"/>
                <w:w w:val="91"/>
              </w:rPr>
              <w:t>Venetian Macau S.A., one of the six gaming operators in Macau and one of</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the three sub-concessionaires</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“WIML”</w:t>
            </w:r>
          </w:p>
        </w:tc>
        <w:tc>
          <w:tcPr>
            <w:tcW w:w="7500" w:type="dxa"/>
            <w:vAlign w:val="bottom"/>
          </w:tcPr>
          <w:p>
            <w:pPr>
              <w:ind w:left="440"/>
              <w:spacing w:after="0"/>
              <w:rPr>
                <w:sz w:val="20"/>
                <w:szCs w:val="20"/>
                <w:color w:val="auto"/>
              </w:rPr>
            </w:pPr>
            <w:r>
              <w:rPr>
                <w:rFonts w:ascii="Arial" w:cs="Arial" w:eastAsia="Arial" w:hAnsi="Arial"/>
                <w:sz w:val="23"/>
                <w:szCs w:val="23"/>
                <w:color w:val="231E1F"/>
                <w:w w:val="91"/>
              </w:rPr>
              <w:t>Wynn International Marketing, Ltd., a company incorporated under the laws</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of Isle of Man and an affiliate of Wynn Resorts, Limited</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“WM Cayman Holdings Limited II”</w:t>
            </w:r>
          </w:p>
        </w:tc>
        <w:tc>
          <w:tcPr>
            <w:tcW w:w="7500" w:type="dxa"/>
            <w:vAlign w:val="bottom"/>
          </w:tcPr>
          <w:p>
            <w:pPr>
              <w:ind w:left="440"/>
              <w:spacing w:after="0"/>
              <w:rPr>
                <w:sz w:val="20"/>
                <w:szCs w:val="20"/>
                <w:color w:val="auto"/>
              </w:rPr>
            </w:pPr>
            <w:r>
              <w:rPr>
                <w:rFonts w:ascii="Arial" w:cs="Arial" w:eastAsia="Arial" w:hAnsi="Arial"/>
                <w:sz w:val="23"/>
                <w:szCs w:val="23"/>
                <w:color w:val="231E1F"/>
                <w:w w:val="92"/>
              </w:rPr>
              <w:t>WM Cayman Holdings Limited II, a company incorporated on 8 September</w:t>
            </w:r>
          </w:p>
        </w:tc>
      </w:tr>
      <w:tr>
        <w:trPr>
          <w:trHeight w:val="265"/>
        </w:trPr>
        <w:tc>
          <w:tcPr>
            <w:tcW w:w="3920" w:type="dxa"/>
            <w:vAlign w:val="bottom"/>
          </w:tcPr>
          <w:p>
            <w:pPr>
              <w:spacing w:after="0"/>
              <w:rPr>
                <w:sz w:val="23"/>
                <w:szCs w:val="23"/>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w w:val="95"/>
              </w:rPr>
              <w:t>2009 as an exempted company with limited liability under the laws of the</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Cayman Islands and a wholly owned subsidiary of the Company</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“Worldwide Wynn”</w:t>
            </w:r>
          </w:p>
        </w:tc>
        <w:tc>
          <w:tcPr>
            <w:tcW w:w="7500" w:type="dxa"/>
            <w:vAlign w:val="bottom"/>
          </w:tcPr>
          <w:p>
            <w:pPr>
              <w:ind w:left="440"/>
              <w:spacing w:after="0"/>
              <w:rPr>
                <w:sz w:val="20"/>
                <w:szCs w:val="20"/>
                <w:color w:val="auto"/>
              </w:rPr>
            </w:pPr>
            <w:r>
              <w:rPr>
                <w:rFonts w:ascii="Arial" w:cs="Arial" w:eastAsia="Arial" w:hAnsi="Arial"/>
                <w:sz w:val="23"/>
                <w:szCs w:val="23"/>
                <w:color w:val="231E1F"/>
                <w:w w:val="95"/>
              </w:rPr>
              <w:t>Worldwide Wynn, LLC, a company formed under the laws of the State of</w:t>
            </w:r>
          </w:p>
        </w:tc>
      </w:tr>
      <w:tr>
        <w:trPr>
          <w:trHeight w:val="265"/>
        </w:trPr>
        <w:tc>
          <w:tcPr>
            <w:tcW w:w="3920" w:type="dxa"/>
            <w:vAlign w:val="bottom"/>
          </w:tcPr>
          <w:p>
            <w:pPr>
              <w:spacing w:after="0"/>
              <w:rPr>
                <w:sz w:val="23"/>
                <w:szCs w:val="23"/>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w w:val="96"/>
              </w:rPr>
              <w:t>Nevada, United States and a wholly owned subsidiary of Wynn Resorts,</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Limited</w:t>
            </w:r>
          </w:p>
        </w:tc>
      </w:tr>
      <w:tr>
        <w:trPr>
          <w:trHeight w:val="477"/>
        </w:trPr>
        <w:tc>
          <w:tcPr>
            <w:tcW w:w="3920" w:type="dxa"/>
            <w:vAlign w:val="bottom"/>
          </w:tcPr>
          <w:p>
            <w:pPr>
              <w:spacing w:after="0"/>
              <w:rPr>
                <w:sz w:val="20"/>
                <w:szCs w:val="20"/>
                <w:color w:val="auto"/>
              </w:rPr>
            </w:pPr>
            <w:r>
              <w:rPr>
                <w:rFonts w:ascii="Arial" w:cs="Arial" w:eastAsia="Arial" w:hAnsi="Arial"/>
                <w:sz w:val="23"/>
                <w:szCs w:val="23"/>
                <w:color w:val="231E1F"/>
              </w:rPr>
              <w:t>“WRL Group”</w:t>
            </w:r>
          </w:p>
        </w:tc>
        <w:tc>
          <w:tcPr>
            <w:tcW w:w="7500" w:type="dxa"/>
            <w:vAlign w:val="bottom"/>
          </w:tcPr>
          <w:p>
            <w:pPr>
              <w:ind w:left="440"/>
              <w:spacing w:after="0"/>
              <w:rPr>
                <w:sz w:val="20"/>
                <w:szCs w:val="20"/>
                <w:color w:val="auto"/>
              </w:rPr>
            </w:pPr>
            <w:r>
              <w:rPr>
                <w:rFonts w:ascii="Arial" w:cs="Arial" w:eastAsia="Arial" w:hAnsi="Arial"/>
                <w:sz w:val="23"/>
                <w:szCs w:val="23"/>
                <w:color w:val="231E1F"/>
              </w:rPr>
              <w:t>Wynn Resorts, Limited and its subsidiaries (other than the Group)</w:t>
            </w:r>
          </w:p>
        </w:tc>
      </w:tr>
      <w:tr>
        <w:trPr>
          <w:trHeight w:val="450"/>
        </w:trPr>
        <w:tc>
          <w:tcPr>
            <w:tcW w:w="3920" w:type="dxa"/>
            <w:vAlign w:val="bottom"/>
          </w:tcPr>
          <w:p>
            <w:pPr>
              <w:spacing w:after="0"/>
              <w:rPr>
                <w:sz w:val="20"/>
                <w:szCs w:val="20"/>
                <w:color w:val="auto"/>
              </w:rPr>
            </w:pPr>
            <w:r>
              <w:rPr>
                <w:rFonts w:ascii="Arial" w:cs="Arial" w:eastAsia="Arial" w:hAnsi="Arial"/>
                <w:sz w:val="23"/>
                <w:szCs w:val="23"/>
                <w:color w:val="231E1F"/>
              </w:rPr>
              <w:t>“WRM”</w:t>
            </w:r>
          </w:p>
        </w:tc>
        <w:tc>
          <w:tcPr>
            <w:tcW w:w="7500" w:type="dxa"/>
            <w:vAlign w:val="bottom"/>
          </w:tcPr>
          <w:p>
            <w:pPr>
              <w:ind w:left="440"/>
              <w:spacing w:after="0"/>
              <w:rPr>
                <w:sz w:val="20"/>
                <w:szCs w:val="20"/>
                <w:color w:val="auto"/>
              </w:rPr>
            </w:pPr>
            <w:r>
              <w:rPr>
                <w:rFonts w:ascii="Arial" w:cs="Arial" w:eastAsia="Arial" w:hAnsi="Arial"/>
                <w:sz w:val="23"/>
                <w:szCs w:val="23"/>
                <w:color w:val="231E1F"/>
                <w:w w:val="96"/>
              </w:rPr>
              <w:t>Wynn Resorts (Macau) S.A., a company incorporated under the laws of</w:t>
            </w:r>
          </w:p>
        </w:tc>
      </w:tr>
      <w:tr>
        <w:trPr>
          <w:trHeight w:val="293"/>
        </w:trPr>
        <w:tc>
          <w:tcPr>
            <w:tcW w:w="392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Arial" w:cs="Arial" w:eastAsia="Arial" w:hAnsi="Arial"/>
                <w:sz w:val="23"/>
                <w:szCs w:val="23"/>
                <w:color w:val="231E1F"/>
              </w:rPr>
              <w:t>Macau and a wholly-owned subsidiary of the Company</w:t>
            </w:r>
          </w:p>
        </w:tc>
      </w:tr>
      <w:tr>
        <w:trPr>
          <w:trHeight w:val="594"/>
        </w:trPr>
        <w:tc>
          <w:tcPr>
            <w:tcW w:w="3920" w:type="dxa"/>
            <w:vAlign w:val="bottom"/>
          </w:tcPr>
          <w:p>
            <w:pPr>
              <w:spacing w:after="0"/>
              <w:rPr>
                <w:sz w:val="24"/>
                <w:szCs w:val="24"/>
                <w:color w:val="auto"/>
              </w:rPr>
            </w:pPr>
          </w:p>
        </w:tc>
        <w:tc>
          <w:tcPr>
            <w:tcW w:w="7500" w:type="dxa"/>
            <w:vAlign w:val="bottom"/>
          </w:tcPr>
          <w:p>
            <w:pPr>
              <w:ind w:left="1700"/>
              <w:spacing w:after="0"/>
              <w:rPr>
                <w:sz w:val="20"/>
                <w:szCs w:val="20"/>
                <w:color w:val="auto"/>
              </w:rPr>
            </w:pPr>
            <w:r>
              <w:rPr>
                <w:rFonts w:ascii="Arial" w:cs="Arial" w:eastAsia="Arial" w:hAnsi="Arial"/>
                <w:sz w:val="18"/>
                <w:szCs w:val="18"/>
                <w:color w:val="auto"/>
              </w:rPr>
              <w:t>40</w:t>
            </w:r>
          </w:p>
        </w:tc>
      </w:tr>
      <w:tr>
        <w:trPr>
          <w:trHeight w:val="117"/>
        </w:trPr>
        <w:tc>
          <w:tcPr>
            <w:tcW w:w="3920" w:type="dxa"/>
            <w:vAlign w:val="bottom"/>
            <w:tcBorders>
              <w:bottom w:val="single" w:sz="8" w:color="808080"/>
            </w:tcBorders>
          </w:tcPr>
          <w:p>
            <w:pPr>
              <w:spacing w:after="0"/>
              <w:rPr>
                <w:sz w:val="10"/>
                <w:szCs w:val="10"/>
                <w:color w:val="auto"/>
              </w:rPr>
            </w:pPr>
          </w:p>
        </w:tc>
        <w:tc>
          <w:tcPr>
            <w:tcW w:w="7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3" w:name="page44"/>
    <w:bookmarkEnd w:id="43"/>
    <w:p>
      <w:pPr>
        <w:ind w:left="160" w:right="480" w:hanging="158"/>
        <w:spacing w:after="0" w:line="266" w:lineRule="auto"/>
        <w:rPr>
          <w:sz w:val="20"/>
          <w:szCs w:val="20"/>
          <w:color w:val="auto"/>
        </w:rPr>
      </w:pPr>
      <w:r>
        <w:rPr>
          <w:rFonts w:ascii="Arial" w:cs="Arial" w:eastAsia="Arial" w:hAnsi="Arial"/>
          <w:sz w:val="23"/>
          <w:szCs w:val="23"/>
          <w:color w:val="231E1F"/>
        </w:rPr>
        <w:t>“WRM Shareholder Dividend Tax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color w:val="231E1F"/>
        </w:rPr>
        <w:t>“Wynn Design &amp; Development”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31E1F"/>
        </w:rPr>
        <w:t>“Wynn Group Asia,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31E1F"/>
        </w:rPr>
        <w:t>“Wynn Macau”</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31E1F"/>
        </w:rPr>
        <w:t>“Wynn Macau Credit Facilities”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31E1F"/>
        </w:rPr>
        <w:t>“Wynn Resorts Holdings, LLC”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231E1F"/>
        </w:rPr>
        <w:t>“Wynn Resorts, Limited” or “WRL”</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21"/>
          <w:szCs w:val="21"/>
          <w:color w:val="231E1F"/>
        </w:rPr>
        <w:t>the agreements, entered into during June 2009 and July 2011, each for a term of five years between WRM and the Macau Special Administrative Region, effective retroactively to 2006, that provide for an annual payment to the Macau Special Administrative Region of MOP7.2 million in years 2006 through 2010 and MOP15.5 million in years 2011 through 2015 in lieu of Complementary Tax otherwise due by WRM shareholders on dividend distributions to them from gaming profits earned in those years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Wynn Design &amp; Development, LLC, a company formed Under the laws of the State of Nevada, United States and a wholly owned subsidiary of Wynn Resorts, Limited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Wynn Group Asia, Inc, a company formed under the laws of the State of Nevada, United States and a wholly owned subsidiary of Wynn Resorts, Limited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a casino hotel resort located in Macau, owned and operated directly by WRM, which opened on 6 September 2006, and where appropriate, the term also includes Encore at Wynn Macau</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21"/>
          <w:szCs w:val="21"/>
          <w:color w:val="231E1F"/>
        </w:rPr>
        <w:t>together, the HK$4.3 billion (equivalent) fully-funded senior term loan facilities and the HK$7.7 billion (equivalent) senior revolving credit facilities extended to WRM and as subsequently amended from time to time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Wynn Resorts Holdings, LLC, a company formed under the laws of the State of Nevada, United States and a wholly owned subsidiary of Wynn Resorts, Limited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Wynn Resorts, Limited, a company formed under the laws of the State of Nevada, United States, our controlling shareholder (as defined in the Listing Rules)</w:t>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76200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640" w:space="720"/>
            <w:col w:w="7060"/>
          </w:cols>
          <w:pgMar w:left="240" w:top="498" w:right="239" w:bottom="1440" w:gutter="0" w:footer="0" w:header="0"/>
        </w:sectPr>
      </w:pPr>
    </w:p>
    <w:bookmarkStart w:id="44" w:name="page45"/>
    <w:bookmarkEnd w:id="44"/>
    <w:p>
      <w:pPr>
        <w:spacing w:after="0"/>
        <w:rPr>
          <w:sz w:val="20"/>
          <w:szCs w:val="20"/>
          <w:color w:val="auto"/>
        </w:rPr>
      </w:pPr>
      <w:r>
        <w:rPr>
          <w:rFonts w:ascii="Arial" w:cs="Arial" w:eastAsia="Arial" w:hAnsi="Arial"/>
          <w:sz w:val="28"/>
          <w:szCs w:val="28"/>
          <w:b w:val="1"/>
          <w:bCs w:val="1"/>
          <w:color w:val="231E1F"/>
        </w:rPr>
        <w:t>GLOSSARY OF TERMS USED IN THIS ANNOUNCEMENT</w:t>
      </w:r>
    </w:p>
    <w:p>
      <w:pPr>
        <w:sectPr>
          <w:pgSz w:w="11900" w:h="16838" w:orient="portrait"/>
          <w:cols w:equalWidth="0" w:num="1">
            <w:col w:w="11420"/>
          </w:cols>
          <w:pgMar w:left="240" w:top="492"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231E1F"/>
        </w:rPr>
        <w:t>“Adjusted Average Daily Rate”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231E1F"/>
        </w:rPr>
        <w:t>“Adjusted REVPAR”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231E1F"/>
        </w:rPr>
        <w:t>“average daily rate” or “ADR”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3"/>
          <w:szCs w:val="23"/>
          <w:color w:val="231E1F"/>
        </w:rPr>
        <w:t>“cage”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ADR calculated based on room revenues plus associated promotional allowances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REVPAR calculated based on room revenues plus associated promotional allowances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amount calculated by dividing total room revenues (less service charges, if any) by total rooms occupied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3"/>
          <w:szCs w:val="23"/>
          <w:color w:val="231E1F"/>
        </w:rPr>
        <w:t>a secure room within a casino with a facility that allows clients to exchange cash for chips used in the casino’s gaming activities, or to exchange redeemable chips for cash</w:t>
      </w:r>
    </w:p>
    <w:p>
      <w:pPr>
        <w:spacing w:after="0" w:line="171" w:lineRule="exact"/>
        <w:rPr>
          <w:sz w:val="20"/>
          <w:szCs w:val="20"/>
          <w:color w:val="auto"/>
        </w:rPr>
      </w:pPr>
    </w:p>
    <w:p>
      <w:pPr>
        <w:sectPr>
          <w:pgSz w:w="11900" w:h="16838" w:orient="portrait"/>
          <w:cols w:equalWidth="0" w:num="2">
            <w:col w:w="3640" w:space="720"/>
            <w:col w:w="7060"/>
          </w:cols>
          <w:pgMar w:left="240" w:top="492" w:right="239" w:bottom="1440" w:gutter="0" w:footer="0" w:header="0"/>
          <w:type w:val="continuous"/>
        </w:sectPr>
      </w:pPr>
    </w:p>
    <w:p>
      <w:pPr>
        <w:spacing w:after="0"/>
        <w:tabs>
          <w:tab w:leader="none" w:pos="4340" w:val="left"/>
        </w:tabs>
        <w:rPr>
          <w:sz w:val="20"/>
          <w:szCs w:val="20"/>
          <w:color w:val="auto"/>
        </w:rPr>
      </w:pPr>
      <w:r>
        <w:rPr>
          <w:rFonts w:ascii="Arial" w:cs="Arial" w:eastAsia="Arial" w:hAnsi="Arial"/>
          <w:sz w:val="23"/>
          <w:szCs w:val="23"/>
          <w:color w:val="231E1F"/>
        </w:rPr>
        <w:t>“casino revenue”</w:t>
      </w:r>
      <w:r>
        <w:rPr>
          <w:sz w:val="20"/>
          <w:szCs w:val="20"/>
          <w:color w:val="auto"/>
        </w:rPr>
        <w:tab/>
      </w:r>
      <w:r>
        <w:rPr>
          <w:rFonts w:ascii="Arial" w:cs="Arial" w:eastAsia="Arial" w:hAnsi="Arial"/>
          <w:sz w:val="20"/>
          <w:szCs w:val="20"/>
          <w:color w:val="231E1F"/>
        </w:rPr>
        <w:t>revenue from casino gaming activities (gross table games win and gross slot</w:t>
      </w:r>
    </w:p>
    <w:p>
      <w:pPr>
        <w:spacing w:after="0" w:line="21" w:lineRule="exact"/>
        <w:rPr>
          <w:sz w:val="20"/>
          <w:szCs w:val="20"/>
          <w:color w:val="auto"/>
        </w:rPr>
      </w:pPr>
    </w:p>
    <w:p>
      <w:pPr>
        <w:ind w:left="4360"/>
        <w:spacing w:after="0" w:line="248" w:lineRule="auto"/>
        <w:rPr>
          <w:sz w:val="20"/>
          <w:szCs w:val="20"/>
          <w:color w:val="auto"/>
        </w:rPr>
      </w:pPr>
      <w:r>
        <w:rPr>
          <w:rFonts w:ascii="Arial" w:cs="Arial" w:eastAsia="Arial" w:hAnsi="Arial"/>
          <w:sz w:val="23"/>
          <w:szCs w:val="23"/>
          <w:color w:val="231E1F"/>
        </w:rPr>
        <w:t>win), calculated net of a portion of commissions and discounts and in accordance with IFRS</w:t>
      </w:r>
    </w:p>
    <w:p>
      <w:pPr>
        <w:spacing w:after="0" w:line="176" w:lineRule="exact"/>
        <w:rPr>
          <w:sz w:val="20"/>
          <w:szCs w:val="20"/>
          <w:color w:val="auto"/>
        </w:rPr>
      </w:pPr>
    </w:p>
    <w:p>
      <w:pPr>
        <w:spacing w:after="0"/>
        <w:tabs>
          <w:tab w:leader="none" w:pos="4340" w:val="left"/>
        </w:tabs>
        <w:rPr>
          <w:sz w:val="20"/>
          <w:szCs w:val="20"/>
          <w:color w:val="auto"/>
        </w:rPr>
      </w:pPr>
      <w:r>
        <w:rPr>
          <w:rFonts w:ascii="Arial" w:cs="Arial" w:eastAsia="Arial" w:hAnsi="Arial"/>
          <w:sz w:val="21"/>
          <w:szCs w:val="21"/>
          <w:color w:val="231E1F"/>
        </w:rPr>
        <w:t>“chip(s)”</w:t>
      </w:r>
      <w:r>
        <w:rPr>
          <w:sz w:val="20"/>
          <w:szCs w:val="20"/>
          <w:color w:val="auto"/>
        </w:rPr>
        <w:tab/>
      </w:r>
      <w:r>
        <w:rPr>
          <w:rFonts w:ascii="Arial" w:cs="Arial" w:eastAsia="Arial" w:hAnsi="Arial"/>
          <w:sz w:val="21"/>
          <w:szCs w:val="21"/>
          <w:color w:val="231E1F"/>
        </w:rPr>
        <w:t>a token; usually in the form of plastic disc(s) or plaque(s) issued by a casino</w:t>
      </w:r>
    </w:p>
    <w:p>
      <w:pPr>
        <w:spacing w:after="0" w:line="44" w:lineRule="exact"/>
        <w:rPr>
          <w:sz w:val="20"/>
          <w:szCs w:val="20"/>
          <w:color w:val="auto"/>
        </w:rPr>
      </w:pPr>
    </w:p>
    <w:p>
      <w:pPr>
        <w:ind w:left="4360"/>
        <w:spacing w:after="0" w:line="248" w:lineRule="auto"/>
        <w:rPr>
          <w:sz w:val="20"/>
          <w:szCs w:val="20"/>
          <w:color w:val="auto"/>
        </w:rPr>
      </w:pPr>
      <w:r>
        <w:rPr>
          <w:rFonts w:ascii="Arial" w:cs="Arial" w:eastAsia="Arial" w:hAnsi="Arial"/>
          <w:sz w:val="23"/>
          <w:szCs w:val="23"/>
          <w:color w:val="231E1F"/>
        </w:rPr>
        <w:t>to customers in exchange for cash or credit, which must be used (in lieu of cash) to place bets on gaming tables</w:t>
      </w:r>
    </w:p>
    <w:p>
      <w:pPr>
        <w:spacing w:after="0" w:line="176" w:lineRule="exact"/>
        <w:rPr>
          <w:sz w:val="20"/>
          <w:szCs w:val="20"/>
          <w:color w:val="auto"/>
        </w:rPr>
      </w:pPr>
    </w:p>
    <w:p>
      <w:pPr>
        <w:spacing w:after="0"/>
        <w:tabs>
          <w:tab w:leader="none" w:pos="4340" w:val="left"/>
        </w:tabs>
        <w:rPr>
          <w:sz w:val="20"/>
          <w:szCs w:val="20"/>
          <w:color w:val="auto"/>
        </w:rPr>
      </w:pPr>
      <w:r>
        <w:rPr>
          <w:rFonts w:ascii="Arial" w:cs="Arial" w:eastAsia="Arial" w:hAnsi="Arial"/>
          <w:sz w:val="23"/>
          <w:szCs w:val="23"/>
          <w:color w:val="231E1F"/>
        </w:rPr>
        <w:t>“daily gross win per gaming table”</w:t>
      </w:r>
      <w:r>
        <w:rPr>
          <w:sz w:val="20"/>
          <w:szCs w:val="20"/>
          <w:color w:val="auto"/>
        </w:rPr>
        <w:tab/>
      </w:r>
      <w:r>
        <w:rPr>
          <w:rFonts w:ascii="Arial" w:cs="Arial" w:eastAsia="Arial" w:hAnsi="Arial"/>
          <w:sz w:val="21"/>
          <w:szCs w:val="21"/>
          <w:color w:val="231E1F"/>
        </w:rPr>
        <w:t>gross gaming win for table games divided by number of tables divided by</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23"/>
          <w:szCs w:val="23"/>
          <w:color w:val="231E1F"/>
        </w:rPr>
        <w:t>the number of days in the applicable period</w:t>
      </w:r>
    </w:p>
    <w:p>
      <w:pPr>
        <w:spacing w:after="0" w:line="193" w:lineRule="exact"/>
        <w:rPr>
          <w:sz w:val="20"/>
          <w:szCs w:val="20"/>
          <w:color w:val="auto"/>
        </w:rPr>
      </w:pPr>
    </w:p>
    <w:p>
      <w:pPr>
        <w:spacing w:after="0"/>
        <w:tabs>
          <w:tab w:leader="none" w:pos="4340" w:val="left"/>
        </w:tabs>
        <w:rPr>
          <w:sz w:val="20"/>
          <w:szCs w:val="20"/>
          <w:color w:val="auto"/>
        </w:rPr>
      </w:pPr>
      <w:r>
        <w:rPr>
          <w:rFonts w:ascii="Arial" w:cs="Arial" w:eastAsia="Arial" w:hAnsi="Arial"/>
          <w:sz w:val="21"/>
          <w:szCs w:val="21"/>
          <w:color w:val="231E1F"/>
        </w:rPr>
        <w:t>“dealer”</w:t>
      </w:r>
      <w:r>
        <w:rPr>
          <w:sz w:val="20"/>
          <w:szCs w:val="20"/>
          <w:color w:val="auto"/>
        </w:rPr>
        <w:tab/>
      </w:r>
      <w:r>
        <w:rPr>
          <w:rFonts w:ascii="Arial" w:cs="Arial" w:eastAsia="Arial" w:hAnsi="Arial"/>
          <w:sz w:val="21"/>
          <w:szCs w:val="21"/>
          <w:color w:val="231E1F"/>
        </w:rPr>
        <w:t>a casino employee who takes and pays out wagers or otherwise oversees a</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23"/>
          <w:szCs w:val="23"/>
          <w:color w:val="231E1F"/>
        </w:rPr>
        <w:t>gaming table</w:t>
      </w:r>
    </w:p>
    <w:p>
      <w:pPr>
        <w:spacing w:after="0" w:line="193" w:lineRule="exact"/>
        <w:rPr>
          <w:sz w:val="20"/>
          <w:szCs w:val="20"/>
          <w:color w:val="auto"/>
        </w:rPr>
      </w:pPr>
    </w:p>
    <w:p>
      <w:pPr>
        <w:spacing w:after="0"/>
        <w:tabs>
          <w:tab w:leader="none" w:pos="4340" w:val="left"/>
        </w:tabs>
        <w:rPr>
          <w:sz w:val="20"/>
          <w:szCs w:val="20"/>
          <w:color w:val="auto"/>
        </w:rPr>
      </w:pPr>
      <w:r>
        <w:rPr>
          <w:rFonts w:ascii="Arial" w:cs="Arial" w:eastAsia="Arial" w:hAnsi="Arial"/>
          <w:sz w:val="21"/>
          <w:szCs w:val="21"/>
          <w:color w:val="231E1F"/>
        </w:rPr>
        <w:t>“drop”</w:t>
      </w:r>
      <w:r>
        <w:rPr>
          <w:sz w:val="20"/>
          <w:szCs w:val="20"/>
          <w:color w:val="auto"/>
        </w:rPr>
        <w:tab/>
      </w:r>
      <w:r>
        <w:rPr>
          <w:rFonts w:ascii="Arial" w:cs="Arial" w:eastAsia="Arial" w:hAnsi="Arial"/>
          <w:sz w:val="21"/>
          <w:szCs w:val="21"/>
          <w:color w:val="231E1F"/>
        </w:rPr>
        <w:t>the amount of cash and promotional coupons deposited in a gaming table’s</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23"/>
          <w:szCs w:val="23"/>
          <w:color w:val="231E1F"/>
        </w:rPr>
        <w:t>drop box</w:t>
      </w:r>
    </w:p>
    <w:p>
      <w:pPr>
        <w:spacing w:after="0" w:line="193" w:lineRule="exact"/>
        <w:rPr>
          <w:sz w:val="20"/>
          <w:szCs w:val="20"/>
          <w:color w:val="auto"/>
        </w:rPr>
      </w:pPr>
    </w:p>
    <w:p>
      <w:pPr>
        <w:spacing w:after="0"/>
        <w:tabs>
          <w:tab w:leader="none" w:pos="4340" w:val="left"/>
        </w:tabs>
        <w:rPr>
          <w:sz w:val="20"/>
          <w:szCs w:val="20"/>
          <w:color w:val="auto"/>
        </w:rPr>
      </w:pPr>
      <w:r>
        <w:rPr>
          <w:rFonts w:ascii="Arial" w:cs="Arial" w:eastAsia="Arial" w:hAnsi="Arial"/>
          <w:sz w:val="23"/>
          <w:szCs w:val="23"/>
          <w:color w:val="231E1F"/>
        </w:rPr>
        <w:t>“drop box”</w:t>
      </w:r>
      <w:r>
        <w:rPr>
          <w:sz w:val="20"/>
          <w:szCs w:val="20"/>
          <w:color w:val="auto"/>
        </w:rPr>
        <w:tab/>
      </w:r>
      <w:r>
        <w:rPr>
          <w:rFonts w:ascii="Arial" w:cs="Arial" w:eastAsia="Arial" w:hAnsi="Arial"/>
          <w:sz w:val="22"/>
          <w:szCs w:val="22"/>
          <w:color w:val="231E1F"/>
        </w:rPr>
        <w:t>a box or container that serves as a repository for cash and promotional</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23"/>
          <w:szCs w:val="23"/>
          <w:color w:val="231E1F"/>
        </w:rPr>
        <w:t>coupons</w:t>
      </w:r>
    </w:p>
    <w:p>
      <w:pPr>
        <w:spacing w:after="0" w:line="193" w:lineRule="exact"/>
        <w:rPr>
          <w:sz w:val="20"/>
          <w:szCs w:val="20"/>
          <w:color w:val="auto"/>
        </w:rPr>
      </w:pPr>
    </w:p>
    <w:p>
      <w:pPr>
        <w:spacing w:after="0"/>
        <w:tabs>
          <w:tab w:leader="none" w:pos="4340" w:val="left"/>
        </w:tabs>
        <w:rPr>
          <w:sz w:val="20"/>
          <w:szCs w:val="20"/>
          <w:color w:val="auto"/>
        </w:rPr>
      </w:pPr>
      <w:r>
        <w:rPr>
          <w:rFonts w:ascii="Arial" w:cs="Arial" w:eastAsia="Arial" w:hAnsi="Arial"/>
          <w:sz w:val="23"/>
          <w:szCs w:val="23"/>
          <w:color w:val="231E1F"/>
        </w:rPr>
        <w:t>“gaming promoters”</w:t>
      </w:r>
      <w:r>
        <w:rPr>
          <w:sz w:val="20"/>
          <w:szCs w:val="20"/>
          <w:color w:val="auto"/>
        </w:rPr>
        <w:tab/>
      </w:r>
      <w:r>
        <w:rPr>
          <w:rFonts w:ascii="Arial" w:cs="Arial" w:eastAsia="Arial" w:hAnsi="Arial"/>
          <w:sz w:val="23"/>
          <w:szCs w:val="23"/>
          <w:color w:val="231E1F"/>
        </w:rPr>
        <w:t>individuals or corporations licensed by and registered with the Macau</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20"/>
          <w:szCs w:val="20"/>
          <w:color w:val="231E1F"/>
        </w:rPr>
        <w:t>government to promote games of fortune and chance or other casino games</w:t>
      </w:r>
    </w:p>
    <w:p>
      <w:pPr>
        <w:spacing w:after="0" w:line="35" w:lineRule="exact"/>
        <w:rPr>
          <w:sz w:val="20"/>
          <w:szCs w:val="20"/>
          <w:color w:val="auto"/>
        </w:rPr>
      </w:pPr>
    </w:p>
    <w:p>
      <w:pPr>
        <w:ind w:left="4360"/>
        <w:spacing w:after="0"/>
        <w:tabs>
          <w:tab w:leader="none" w:pos="4700" w:val="left"/>
          <w:tab w:leader="none" w:pos="5620" w:val="left"/>
          <w:tab w:leader="none" w:pos="6540" w:val="left"/>
          <w:tab w:leader="none" w:pos="7000" w:val="left"/>
          <w:tab w:leader="none" w:pos="8340" w:val="left"/>
          <w:tab w:leader="none" w:pos="8720" w:val="left"/>
          <w:tab w:leader="none" w:pos="9540" w:val="left"/>
          <w:tab w:leader="none" w:pos="10520" w:val="left"/>
        </w:tabs>
        <w:rPr>
          <w:sz w:val="20"/>
          <w:szCs w:val="20"/>
          <w:color w:val="auto"/>
        </w:rPr>
      </w:pPr>
      <w:r>
        <w:rPr>
          <w:rFonts w:ascii="Arial" w:cs="Arial" w:eastAsia="Arial" w:hAnsi="Arial"/>
          <w:sz w:val="23"/>
          <w:szCs w:val="23"/>
          <w:color w:val="231E1F"/>
        </w:rPr>
        <w:t>to</w:t>
        <w:tab/>
        <w:t>patrons,</w:t>
        <w:tab/>
        <w:t>through</w:t>
        <w:tab/>
        <w:t>the</w:t>
        <w:tab/>
        <w:t>arrangement</w:t>
        <w:tab/>
        <w:t>of</w:t>
        <w:tab/>
        <w:t>certain</w:t>
        <w:tab/>
        <w:t>services,</w:t>
      </w:r>
      <w:r>
        <w:rPr>
          <w:sz w:val="20"/>
          <w:szCs w:val="20"/>
          <w:color w:val="auto"/>
        </w:rPr>
        <w:tab/>
      </w:r>
      <w:r>
        <w:rPr>
          <w:rFonts w:ascii="Arial" w:cs="Arial" w:eastAsia="Arial" w:hAnsi="Arial"/>
          <w:sz w:val="22"/>
          <w:szCs w:val="22"/>
          <w:color w:val="231E1F"/>
        </w:rPr>
        <w:t>including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1"/>
          <w:szCs w:val="21"/>
          <w:color w:val="231E1F"/>
        </w:rPr>
        <w:t>transportation, accommodation, dining and entertainment, whose activity is</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23"/>
          <w:szCs w:val="23"/>
          <w:color w:val="231E1F"/>
        </w:rPr>
        <w:t>regulated by Macau Administrative Regulation no. 6/2002</w:t>
      </w:r>
    </w:p>
    <w:p>
      <w:pPr>
        <w:sectPr>
          <w:pgSz w:w="11900" w:h="16838" w:orient="portrait"/>
          <w:cols w:equalWidth="0" w:num="1">
            <w:col w:w="11420"/>
          </w:cols>
          <w:pgMar w:left="240" w:top="492" w:right="239" w:bottom="1440" w:gutter="0" w:footer="0" w:header="0"/>
          <w:type w:val="continuous"/>
        </w:sectPr>
      </w:pPr>
    </w:p>
    <w:p>
      <w:pPr>
        <w:spacing w:after="0" w:line="193" w:lineRule="exact"/>
        <w:rPr>
          <w:sz w:val="20"/>
          <w:szCs w:val="20"/>
          <w:color w:val="auto"/>
        </w:rPr>
      </w:pPr>
    </w:p>
    <w:p>
      <w:pPr>
        <w:ind w:left="160" w:hanging="158"/>
        <w:spacing w:after="0" w:line="266" w:lineRule="auto"/>
        <w:rPr>
          <w:sz w:val="20"/>
          <w:szCs w:val="20"/>
          <w:color w:val="auto"/>
        </w:rPr>
      </w:pPr>
      <w:r>
        <w:rPr>
          <w:rFonts w:ascii="Arial" w:cs="Arial" w:eastAsia="Arial" w:hAnsi="Arial"/>
          <w:sz w:val="23"/>
          <w:szCs w:val="23"/>
          <w:color w:val="231E1F"/>
        </w:rPr>
        <w:t>“gross gaming revenue” or “gross gaming win”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23"/>
          <w:szCs w:val="23"/>
          <w:color w:val="231E1F"/>
        </w:rPr>
        <w:t>the total win generated by all casino gaming activities combined, calculated before deduction of commissions and discounts</w:t>
      </w:r>
    </w:p>
    <w:p>
      <w:pPr>
        <w:spacing w:after="0" w:line="200" w:lineRule="exact"/>
        <w:rPr>
          <w:sz w:val="20"/>
          <w:szCs w:val="20"/>
          <w:color w:val="auto"/>
        </w:rPr>
      </w:pPr>
    </w:p>
    <w:p>
      <w:pPr>
        <w:sectPr>
          <w:pgSz w:w="11900" w:h="16838" w:orient="portrait"/>
          <w:cols w:equalWidth="0" w:num="2">
            <w:col w:w="3860" w:space="500"/>
            <w:col w:w="7060"/>
          </w:cols>
          <w:pgMar w:left="240" w:top="492" w:right="239" w:bottom="1440" w:gutter="0" w:footer="0" w:header="0"/>
          <w:type w:val="continuous"/>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3"/>
          <w:szCs w:val="23"/>
          <w:color w:val="231E1F"/>
        </w:rPr>
        <w:t>“gross slot win”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231E1F"/>
        </w:rPr>
        <w:t>“gross table games win”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231E1F"/>
        </w:rPr>
        <w:t>“In-house VIP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color w:val="231E1F"/>
        </w:rPr>
        <w:t>“promotional allowance”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231E1F"/>
        </w:rPr>
        <w:t>“REVPAR”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231E1F"/>
        </w:rPr>
        <w:t>“Rolling Chip”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31E1F"/>
        </w:rPr>
        <w:t>“turnover”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231E1F"/>
        </w:rPr>
        <w:t>“VIP client” or “VIP player”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231E1F"/>
        </w:rPr>
        <w:t>“VIP table games turnover”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231E1F"/>
        </w:rPr>
        <w:t>Hong Kong, 23 August 2011</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23"/>
          <w:szCs w:val="23"/>
          <w:color w:val="231E1F"/>
        </w:rPr>
        <w:t>the amount of handle (representing the total amount wagered) that is retained as winnings. We record this amount and gross table games win as casino revenue after deduction of progressive jackpot liabilities and a portion of commissions and discounts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3"/>
          <w:szCs w:val="23"/>
          <w:color w:val="231E1F"/>
        </w:rPr>
        <w:t>the amount of drop (in our general casino segment) or turnover (in our VIP casino segment) that is retained as winnings. We record this amount and gross slot win as casino revenue after deduction of a portion of commissions and discounts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231E1F"/>
        </w:rPr>
        <w:t>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retail value of rooms, food and beverage and retail and other services furnished to guests (typically VIP clients) without charge</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the amount calculated by dividing total room revenues (less service charges, if any) by total rooms available</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231E1F"/>
        </w:rPr>
        <w:t>physically identifiable chip that is used to track VIP wagering volume for purposes of calculating commissions and other allowances payable to gaming promoters and Wynn Macau’s individual VIP players</w:t>
      </w:r>
    </w:p>
    <w:p>
      <w:pPr>
        <w:spacing w:after="0" w:line="154" w:lineRule="exact"/>
        <w:rPr>
          <w:sz w:val="20"/>
          <w:szCs w:val="20"/>
          <w:color w:val="auto"/>
        </w:rPr>
      </w:pPr>
    </w:p>
    <w:p>
      <w:pPr>
        <w:spacing w:after="0"/>
        <w:rPr>
          <w:sz w:val="20"/>
          <w:szCs w:val="20"/>
          <w:color w:val="auto"/>
        </w:rPr>
      </w:pPr>
      <w:r>
        <w:rPr>
          <w:rFonts w:ascii="Arial" w:cs="Arial" w:eastAsia="Arial" w:hAnsi="Arial"/>
          <w:sz w:val="23"/>
          <w:szCs w:val="23"/>
          <w:color w:val="231E1F"/>
        </w:rPr>
        <w:t>the sum of all losing Rolling Chip wagers within the VIP program</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23"/>
          <w:szCs w:val="23"/>
          <w:color w:val="231E1F"/>
        </w:rPr>
        <w:t>client, patron or players who participates in Wynn Macau’s In-house VIP Program or in the VIP program of any of our gaming promoters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231E1F"/>
        </w:rPr>
        <w:t>turnover resulting from VIP table games only</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23"/>
          <w:szCs w:val="23"/>
          <w:color w:val="231E1F"/>
        </w:rPr>
        <w:t>By order of the Board</w:t>
      </w:r>
    </w:p>
    <w:p>
      <w:pPr>
        <w:spacing w:after="0" w:line="21" w:lineRule="exact"/>
        <w:rPr>
          <w:sz w:val="20"/>
          <w:szCs w:val="20"/>
          <w:color w:val="auto"/>
        </w:rPr>
      </w:pPr>
    </w:p>
    <w:p>
      <w:pPr>
        <w:jc w:val="center"/>
        <w:ind w:left="-2899"/>
        <w:spacing w:after="0"/>
        <w:rPr>
          <w:sz w:val="20"/>
          <w:szCs w:val="20"/>
          <w:color w:val="auto"/>
        </w:rPr>
      </w:pPr>
      <w:r>
        <w:rPr>
          <w:rFonts w:ascii="Arial" w:cs="Arial" w:eastAsia="Arial" w:hAnsi="Arial"/>
          <w:sz w:val="23"/>
          <w:szCs w:val="23"/>
          <w:b w:val="1"/>
          <w:bCs w:val="1"/>
          <w:color w:val="231E1F"/>
        </w:rPr>
        <w:t>Wynn Macau, Limited</w:t>
      </w:r>
    </w:p>
    <w:p>
      <w:pPr>
        <w:spacing w:after="0" w:line="1" w:lineRule="exact"/>
        <w:rPr>
          <w:sz w:val="20"/>
          <w:szCs w:val="20"/>
          <w:color w:val="auto"/>
        </w:rPr>
      </w:pPr>
    </w:p>
    <w:p>
      <w:pPr>
        <w:jc w:val="center"/>
        <w:ind w:left="-2899"/>
        <w:spacing w:after="0"/>
        <w:rPr>
          <w:sz w:val="20"/>
          <w:szCs w:val="20"/>
          <w:color w:val="auto"/>
        </w:rPr>
      </w:pPr>
      <w:r>
        <w:rPr>
          <w:rFonts w:ascii="Arial" w:cs="Arial" w:eastAsia="Arial" w:hAnsi="Arial"/>
          <w:sz w:val="23"/>
          <w:szCs w:val="23"/>
          <w:b w:val="1"/>
          <w:bCs w:val="1"/>
          <w:color w:val="231E1F"/>
        </w:rPr>
        <w:t>Stephen A. Wynn</w:t>
      </w:r>
    </w:p>
    <w:p>
      <w:pPr>
        <w:spacing w:after="0" w:line="1" w:lineRule="exact"/>
        <w:rPr>
          <w:sz w:val="20"/>
          <w:szCs w:val="20"/>
          <w:color w:val="auto"/>
        </w:rPr>
      </w:pPr>
    </w:p>
    <w:p>
      <w:pPr>
        <w:jc w:val="center"/>
        <w:ind w:left="-2899"/>
        <w:spacing w:after="0"/>
        <w:rPr>
          <w:sz w:val="20"/>
          <w:szCs w:val="20"/>
          <w:color w:val="auto"/>
        </w:rPr>
      </w:pPr>
      <w:r>
        <w:rPr>
          <w:rFonts w:ascii="Arial" w:cs="Arial" w:eastAsia="Arial" w:hAnsi="Arial"/>
          <w:sz w:val="23"/>
          <w:szCs w:val="23"/>
          <w:i w:val="1"/>
          <w:iCs w:val="1"/>
          <w:color w:val="231E1F"/>
        </w:rPr>
        <w:t>Chairman</w:t>
      </w:r>
    </w:p>
    <w:p>
      <w:pPr>
        <w:spacing w:after="0" w:line="660" w:lineRule="exact"/>
        <w:rPr>
          <w:sz w:val="20"/>
          <w:szCs w:val="20"/>
          <w:color w:val="auto"/>
        </w:rPr>
      </w:pPr>
    </w:p>
    <w:p>
      <w:pPr>
        <w:sectPr>
          <w:pgSz w:w="11900" w:h="16838" w:orient="portrait"/>
          <w:cols w:equalWidth="0" w:num="2">
            <w:col w:w="3640" w:space="720"/>
            <w:col w:w="7060"/>
          </w:cols>
          <w:pgMar w:left="240" w:top="498" w:right="239" w:bottom="1440" w:gutter="0" w:footer="0" w:header="0"/>
        </w:sectPr>
      </w:pPr>
    </w:p>
    <w:p>
      <w:pPr>
        <w:spacing w:after="0" w:line="7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231E1F"/>
        </w:rPr>
        <w:t>As of the date of this announcement, the Board comprises Stephen A. Wynn, Ian Michael Coughlan and Linda Chen (as executive Directors); Kazuo Okada, Allan Zeman and Marc D. Schorr (as non-executive directors); and Nicholas Sallnow-Smith, Bruce Rockowitz and Jeffrey Kim-fung Lam (as independent non-executive Directors).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4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decimal"/>
      <w:start w:val="13"/>
    </w:lvl>
  </w:abstractNum>
  <w:abstractNum w:abstractNumId="9">
    <w:nsid w:val="1BEFD79F"/>
    <w:multiLevelType w:val="hybridMultilevel"/>
    <w:lvl w:ilvl="0">
      <w:lvlJc w:val="left"/>
      <w:lvlText w:val="(%1)"/>
      <w:numFmt w:val="lowerRoman"/>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Roman"/>
      <w:start w:val="3"/>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emdash "/>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2019-12-10T22:30:08Z</dcterms:created>
  <dcterms:modified xsi:type="dcterms:W3CDTF">2019-12-10T22:30:08Z</dcterms:modified>
</cp:coreProperties>
</file>