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JOHNSON JAY L</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05/06/2019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05/06/2019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1,768</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97"/>
              <w:spacing w:after="0"/>
              <w:rPr>
                <w:sz w:val="20"/>
                <w:szCs w:val="20"/>
                <w:color w:val="auto"/>
              </w:rPr>
            </w:pPr>
            <w:r>
              <w:rPr>
                <w:rFonts w:ascii="Arial" w:cs="Arial" w:eastAsia="Arial" w:hAnsi="Arial"/>
                <w:sz w:val="18"/>
                <w:szCs w:val="18"/>
                <w:color w:val="0000FF"/>
                <w:w w:val="88"/>
              </w:rPr>
              <w:t>4,153</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317"/>
              <w:spacing w:after="0"/>
              <w:rPr>
                <w:sz w:val="20"/>
                <w:szCs w:val="20"/>
                <w:color w:val="auto"/>
              </w:rPr>
            </w:pPr>
            <w:r>
              <w:rPr>
                <w:rFonts w:ascii="Arial" w:cs="Arial" w:eastAsia="Arial" w:hAnsi="Arial"/>
                <w:sz w:val="18"/>
                <w:szCs w:val="18"/>
                <w:color w:val="0000FF"/>
              </w:rPr>
              <w:t>1,076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Previous Form 4 filings classified all shares beneficially owned by the Reporting Person as held directly. This Form 4 filing clarifies that a portion of such shares are held by the Reporting Person indirectly through a revocable trust.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Nick Pannucci, attorney-in-  </w:t>
      </w:r>
      <w:r>
        <w:rPr>
          <w:rFonts w:ascii="Arial" w:cs="Arial" w:eastAsia="Arial" w:hAnsi="Arial"/>
          <w:sz w:val="34"/>
          <w:szCs w:val="34"/>
          <w:color w:val="0000FF"/>
          <w:vertAlign w:val="subscript"/>
        </w:rPr>
        <w:t>05/08/2019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Ellen Whittemore, Craig Billings, Nick Pannucci, and Roxane Peper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WITNESS WHEREOF, the undersigned has executed this instrument effective as of the 21st day of February,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Jay L. Johnson</w:t>
      </w:r>
    </w:p>
    <w:sectPr>
      <w:pgSz w:w="11900" w:h="16838" w:orient="portrait"/>
      <w:cols w:equalWidth="0" w:num="1">
        <w:col w:w="11420"/>
      </w:cols>
      <w:pgMar w:left="240" w:top="8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705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2019-12-23T22:15:07Z</dcterms:created>
  <dcterms:modified xsi:type="dcterms:W3CDTF">2019-12-23T22:15:07Z</dcterms:modified>
</cp:coreProperties>
</file>