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14"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quarterly period ended March 31, 2006</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4" w:lineRule="exact"/>
        <w:rPr>
          <w:sz w:val="24"/>
          <w:szCs w:val="24"/>
          <w:color w:val="auto"/>
        </w:rPr>
      </w:pPr>
    </w:p>
    <w:p>
      <w:pPr>
        <w:ind w:left="580"/>
        <w:spacing w:after="0"/>
        <w:tabs>
          <w:tab w:leader="none" w:pos="2880" w:val="left"/>
        </w:tabs>
        <w:rPr>
          <w:sz w:val="20"/>
          <w:szCs w:val="20"/>
          <w:color w:val="auto"/>
        </w:rPr>
      </w:pPr>
      <w:r>
        <w:rPr>
          <w:rFonts w:ascii="Arial" w:cs="Arial" w:eastAsia="Arial" w:hAnsi="Arial"/>
          <w:sz w:val="18"/>
          <w:szCs w:val="18"/>
          <w:color w:val="auto"/>
        </w:rPr>
        <w:t>For the transition period</w:t>
      </w:r>
      <w:r>
        <w:rPr>
          <w:sz w:val="20"/>
          <w:szCs w:val="20"/>
          <w:color w:val="auto"/>
        </w:rPr>
        <w:tab/>
      </w:r>
      <w:r>
        <w:rPr>
          <w:rFonts w:ascii="Arial" w:cs="Arial" w:eastAsia="Arial" w:hAnsi="Arial"/>
          <w:sz w:val="16"/>
          <w:szCs w:val="16"/>
          <w:color w:val="auto"/>
        </w:rPr>
        <w:t>to</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1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0"/>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00" w:type="dxa"/>
            <w:vAlign w:val="bottom"/>
            <w:gridSpan w:val="3"/>
          </w:tcPr>
          <w:p>
            <w:pPr>
              <w:jc w:val="center"/>
              <w:ind w:right="4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00" w:type="dxa"/>
            <w:vAlign w:val="bottom"/>
            <w:gridSpan w:val="3"/>
          </w:tcPr>
          <w:p>
            <w:pPr>
              <w:jc w:val="center"/>
              <w:ind w:right="4320"/>
              <w:spacing w:after="0"/>
              <w:rPr>
                <w:sz w:val="20"/>
                <w:szCs w:val="20"/>
                <w:color w:val="auto"/>
              </w:rPr>
            </w:pPr>
            <w:r>
              <w:rPr>
                <w:rFonts w:ascii="Arial" w:cs="Arial" w:eastAsia="Arial" w:hAnsi="Arial"/>
                <w:sz w:val="14"/>
                <w:szCs w:val="14"/>
                <w:b w:val="1"/>
                <w:bCs w:val="1"/>
                <w:color w:val="auto"/>
                <w:w w:val="89"/>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52"/>
        </w:trPr>
        <w:tc>
          <w:tcPr>
            <w:tcW w:w="6100" w:type="dxa"/>
            <w:vAlign w:val="bottom"/>
            <w:gridSpan w:val="3"/>
          </w:tcPr>
          <w:p>
            <w:pPr>
              <w:jc w:val="center"/>
              <w:ind w:left="1424"/>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380" w:type="dxa"/>
            <w:vAlign w:val="bottom"/>
          </w:tcPr>
          <w:p>
            <w:pPr>
              <w:spacing w:after="0"/>
              <w:rPr>
                <w:sz w:val="15"/>
                <w:szCs w:val="15"/>
                <w:color w:val="auto"/>
              </w:rPr>
            </w:pPr>
          </w:p>
        </w:tc>
      </w:tr>
      <w:tr>
        <w:trPr>
          <w:trHeight w:val="339"/>
        </w:trPr>
        <w:tc>
          <w:tcPr>
            <w:tcW w:w="5000" w:type="dxa"/>
            <w:vAlign w:val="bottom"/>
            <w:gridSpan w:val="2"/>
          </w:tcPr>
          <w:p>
            <w:pPr>
              <w:jc w:val="center"/>
              <w:ind w:left="2504"/>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8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83"/>
        </w:trPr>
        <w:tc>
          <w:tcPr>
            <w:tcW w:w="2580" w:type="dxa"/>
            <w:vAlign w:val="bottom"/>
          </w:tcPr>
          <w:p>
            <w:pPr>
              <w:spacing w:after="0"/>
              <w:rPr>
                <w:sz w:val="24"/>
                <w:szCs w:val="24"/>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6"/>
              </w:rPr>
              <w:t>N/A</w:t>
            </w:r>
          </w:p>
        </w:tc>
        <w:tc>
          <w:tcPr>
            <w:tcW w:w="13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30" w:right="239" w:bottom="1440" w:gutter="0" w:footer="0" w:header="0"/>
        </w:sectPr>
      </w:pPr>
    </w:p>
    <w:p>
      <w:pPr>
        <w:spacing w:after="0" w:line="118"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6">
            <w:col w:w="2160" w:space="180"/>
            <w:col w:w="2220" w:space="720"/>
            <w:col w:w="1180" w:space="180"/>
            <w:col w:w="1660" w:space="720"/>
            <w:col w:w="1480" w:space="180"/>
            <w:col w:w="74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6" w:lineRule="exact"/>
        <w:rPr>
          <w:sz w:val="24"/>
          <w:szCs w:val="24"/>
          <w:color w:val="auto"/>
        </w:rPr>
      </w:pPr>
    </w:p>
    <w:p>
      <w:pPr>
        <w:sectPr>
          <w:pgSz w:w="11900" w:h="16838" w:orient="portrait"/>
          <w:cols w:equalWidth="0" w:num="5">
            <w:col w:w="8400" w:space="160"/>
            <w:col w:w="260" w:space="180"/>
            <w:col w:w="160" w:space="180"/>
            <w:col w:w="200" w:space="180"/>
            <w:col w:w="170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5100" w:type="dxa"/>
            <w:vAlign w:val="bottom"/>
            <w:gridSpan w:val="2"/>
          </w:tcPr>
          <w:p>
            <w:pPr>
              <w:jc w:val="center"/>
              <w:ind w:right="4720"/>
              <w:spacing w:after="0"/>
              <w:rPr>
                <w:sz w:val="20"/>
                <w:szCs w:val="20"/>
                <w:color w:val="auto"/>
              </w:rPr>
            </w:pPr>
            <w:r>
              <w:rPr>
                <w:rFonts w:ascii="Arial" w:cs="Arial" w:eastAsia="Arial" w:hAnsi="Arial"/>
                <w:sz w:val="14"/>
                <w:szCs w:val="14"/>
                <w:b w:val="1"/>
                <w:bCs w:val="1"/>
                <w:color w:val="auto"/>
                <w:w w:val="80"/>
              </w:rPr>
              <w:t>Class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May 1, 2006</w:t>
            </w:r>
          </w:p>
        </w:tc>
        <w:tc>
          <w:tcPr>
            <w:tcW w:w="1640" w:type="dxa"/>
            <w:vAlign w:val="bottom"/>
          </w:tcPr>
          <w:p>
            <w:pPr>
              <w:spacing w:after="0"/>
              <w:rPr>
                <w:sz w:val="15"/>
                <w:szCs w:val="15"/>
                <w:color w:val="auto"/>
              </w:rPr>
            </w:pPr>
          </w:p>
        </w:tc>
      </w:tr>
      <w:tr>
        <w:trPr>
          <w:trHeight w:val="95"/>
        </w:trPr>
        <w:tc>
          <w:tcPr>
            <w:tcW w:w="26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r>
      <w:tr>
        <w:trPr>
          <w:trHeight w:val="316"/>
        </w:trPr>
        <w:tc>
          <w:tcPr>
            <w:tcW w:w="7720" w:type="dxa"/>
            <w:vAlign w:val="bottom"/>
            <w:gridSpan w:val="3"/>
          </w:tcPr>
          <w:p>
            <w:pPr>
              <w:jc w:val="center"/>
              <w:ind w:right="2100"/>
              <w:spacing w:after="0"/>
              <w:rPr>
                <w:sz w:val="20"/>
                <w:szCs w:val="20"/>
                <w:color w:val="auto"/>
              </w:rPr>
            </w:pPr>
            <w:r>
              <w:rPr>
                <w:rFonts w:ascii="Arial" w:cs="Arial" w:eastAsia="Arial" w:hAnsi="Arial"/>
                <w:sz w:val="18"/>
                <w:szCs w:val="18"/>
                <w:color w:val="auto"/>
                <w:w w:val="88"/>
              </w:rPr>
              <w:t>Common stock, $0.01 par value</w:t>
            </w:r>
          </w:p>
        </w:tc>
        <w:tc>
          <w:tcPr>
            <w:tcW w:w="2060" w:type="dxa"/>
            <w:vAlign w:val="bottom"/>
          </w:tcPr>
          <w:p>
            <w:pPr>
              <w:jc w:val="right"/>
              <w:ind w:right="522"/>
              <w:spacing w:after="0"/>
              <w:rPr>
                <w:sz w:val="20"/>
                <w:szCs w:val="20"/>
                <w:color w:val="auto"/>
              </w:rPr>
            </w:pPr>
            <w:r>
              <w:rPr>
                <w:rFonts w:ascii="Arial" w:cs="Arial" w:eastAsia="Arial" w:hAnsi="Arial"/>
                <w:sz w:val="18"/>
                <w:szCs w:val="18"/>
                <w:color w:val="auto"/>
              </w:rPr>
              <w:t>100,582,299</w:t>
            </w:r>
          </w:p>
        </w:tc>
        <w:tc>
          <w:tcPr>
            <w:tcW w:w="1640" w:type="dxa"/>
            <w:vAlign w:val="bottom"/>
          </w:tcPr>
          <w:p>
            <w:pPr>
              <w:spacing w:after="0"/>
              <w:rPr>
                <w:sz w:val="24"/>
                <w:szCs w:val="24"/>
                <w:color w:val="auto"/>
              </w:rPr>
            </w:pPr>
          </w:p>
        </w:tc>
      </w:tr>
      <w:tr>
        <w:trPr>
          <w:trHeight w:val="282"/>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58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820" w:type="dxa"/>
            <w:vAlign w:val="bottom"/>
          </w:tcPr>
          <w:p>
            <w:pPr>
              <w:spacing w:after="0"/>
              <w:rPr>
                <w:sz w:val="17"/>
                <w:szCs w:val="17"/>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720" w:type="dxa"/>
            <w:vAlign w:val="bottom"/>
            <w:tcBorders>
              <w:top w:val="single" w:sz="8" w:color="0000EE"/>
            </w:tcBorders>
            <w:gridSpan w:val="4"/>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6860" w:type="dxa"/>
            <w:vAlign w:val="bottom"/>
            <w:gridSpan w:val="7"/>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7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March 31, 2006 and December 31, 2005</w:t>
              </w:r>
            </w:hyperlink>
          </w:p>
        </w:tc>
        <w:tc>
          <w:tcPr>
            <w:tcW w:w="16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months ended</w:t>
              </w:r>
            </w:hyperlink>
          </w:p>
        </w:tc>
        <w:tc>
          <w:tcPr>
            <w:tcW w:w="2360" w:type="dxa"/>
            <w:vAlign w:val="bottom"/>
            <w:gridSpan w:val="3"/>
          </w:tcPr>
          <w:p>
            <w:pPr>
              <w:spacing w:after="0"/>
              <w:rPr>
                <w:sz w:val="22"/>
                <w:szCs w:val="22"/>
                <w:color w:val="auto"/>
              </w:rPr>
            </w:pPr>
          </w:p>
        </w:tc>
        <w:tc>
          <w:tcPr>
            <w:tcW w:w="1820" w:type="dxa"/>
            <w:vAlign w:val="bottom"/>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March 31, 2006 and 2005 (as restated)</w:t>
              </w:r>
            </w:hyperlink>
          </w:p>
        </w:tc>
        <w:tc>
          <w:tcPr>
            <w:tcW w:w="544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Three Months ended</w:t>
              </w:r>
            </w:hyperlink>
          </w:p>
        </w:tc>
        <w:tc>
          <w:tcPr>
            <w:tcW w:w="2280" w:type="dxa"/>
            <w:vAlign w:val="bottom"/>
            <w:gridSpan w:val="2"/>
          </w:tcPr>
          <w:p>
            <w:pPr>
              <w:spacing w:after="0"/>
              <w:rPr>
                <w:sz w:val="22"/>
                <w:szCs w:val="22"/>
                <w:color w:val="auto"/>
              </w:rPr>
            </w:pPr>
          </w:p>
        </w:tc>
        <w:tc>
          <w:tcPr>
            <w:tcW w:w="1820" w:type="dxa"/>
            <w:vAlign w:val="bottom"/>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March 31, 2006 and 2005 (as restated)</w:t>
              </w:r>
            </w:hyperlink>
          </w:p>
        </w:tc>
        <w:tc>
          <w:tcPr>
            <w:tcW w:w="544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36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58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2"/>
                <w:szCs w:val="22"/>
                <w:color w:val="auto"/>
              </w:rPr>
            </w:pPr>
          </w:p>
        </w:tc>
        <w:tc>
          <w:tcPr>
            <w:tcW w:w="2280" w:type="dxa"/>
            <w:vAlign w:val="bottom"/>
            <w:gridSpan w:val="2"/>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8580" w:type="dxa"/>
            <w:vAlign w:val="bottom"/>
            <w:gridSpan w:val="1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0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46">
              <w:r>
                <w:rPr>
                  <w:rFonts w:ascii="Arial" w:cs="Arial" w:eastAsia="Arial" w:hAnsi="Arial"/>
                  <w:sz w:val="18"/>
                  <w:szCs w:val="18"/>
                  <w:b w:val="1"/>
                  <w:bCs w:val="1"/>
                  <w:color w:val="0000EE"/>
                  <w:w w:val="92"/>
                </w:rPr>
                <w:t>Other Information</w:t>
              </w:r>
            </w:hyperlink>
          </w:p>
        </w:tc>
        <w:tc>
          <w:tcPr>
            <w:tcW w:w="3020" w:type="dxa"/>
            <w:vAlign w:val="bottom"/>
            <w:gridSpan w:val="2"/>
          </w:tcPr>
          <w:p>
            <w:pPr>
              <w:spacing w:after="0"/>
              <w:rPr>
                <w:sz w:val="17"/>
                <w:szCs w:val="17"/>
                <w:color w:val="auto"/>
              </w:rPr>
            </w:pPr>
          </w:p>
        </w:tc>
        <w:tc>
          <w:tcPr>
            <w:tcW w:w="5960" w:type="dxa"/>
            <w:vAlign w:val="bottom"/>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4"/>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1020" w:type="dxa"/>
            <w:vAlign w:val="bottom"/>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330,511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344,331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2,727,008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103,881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4,009,387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16,774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2,180,146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2,090,846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2,437,357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2,382,388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7"/>
              </w:rPr>
              <w:t>Common stock, par value $0.01; authorized 400,000,000 shares; 100,069,095 and 99,331,294 shares issued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1,977,624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1,972,847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(406,595)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(395,161)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1,572,030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1,562,895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4,009,387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-4557395</wp:posOffset>
            </wp:positionV>
            <wp:extent cx="56134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-4557395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-4557395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-4557395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5702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1"/>
              </w:rPr>
              <w:t>(As Restated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see Note 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8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318,282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(41,057)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277,225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32,514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268,068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(35,943)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(21,166)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(11,434)</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98,736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-1056005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-1056005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-1056005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-1056005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-1056005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1"/>
              </w:rPr>
              <w:t>(As Restated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see Note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(11,434)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41,785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 received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Increase in the fair value of interest rate swaps</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(6,345)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64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(8,351)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6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(16,633)</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w w:val="88"/>
              </w:rPr>
              <w:t>(115,413)</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(291,969)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(11,056)</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(92,022)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(327,116)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114,926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Principal payments of long-term debt</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(11,417)</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(4,446)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101,428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42,738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434,289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477,027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(the “Desert Inn”) for the site of the Company’s first casino resort in Las Vegas, Nevada, hereinafter referred to as “Wynn Las Vegas.”</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9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commenced operations with the opening of Wynn Las Vegas on April 28, 2005. The construction and development of Wynn Macau and the development of the Company’s expansion of Wynn Las Vegas, known as “Encore at Wynn Las Vegas” or “Encore,” are ongoing. For the periods presented prior to April 28, 2005, the Company was solely a development stage company.</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2005.</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amounts in the quarter ended March 31, 2005 condensed consolidated financial statements have been reclassified to conform to the quarter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2006 presentation as follows:</w:t>
      </w:r>
    </w:p>
    <w:p>
      <w:pPr>
        <w:spacing w:after="0" w:line="70" w:lineRule="exact"/>
        <w:rPr>
          <w:sz w:val="20"/>
          <w:szCs w:val="20"/>
          <w:color w:val="auto"/>
        </w:rPr>
      </w:pPr>
    </w:p>
    <w:p>
      <w:pPr>
        <w:ind w:lef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classified as “cost of water” for the quarter ended March 31, 2005 have been reclassified as “entertainment, retail and other expenses” for the quarter ended March 31, 2006; and</w:t>
      </w:r>
    </w:p>
    <w:p>
      <w:pPr>
        <w:spacing w:after="0" w:line="37" w:lineRule="exact"/>
        <w:rPr>
          <w:rFonts w:ascii="Arial" w:cs="Arial" w:eastAsia="Arial" w:hAnsi="Arial"/>
          <w:sz w:val="18"/>
          <w:szCs w:val="18"/>
          <w:color w:val="auto"/>
        </w:rPr>
      </w:pPr>
    </w:p>
    <w:p>
      <w:pPr>
        <w:ind w:left="780" w:right="7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classified as “(Gain)/Loss on sale of assets” and “loss from incidental operations” for the quarter ended March 31, 2005 have been reclassified as “property charges and other” for the quarter ended March 31,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7920" w:hanging="232"/>
        <w:spacing w:after="0" w:line="373" w:lineRule="auto"/>
        <w:tabs>
          <w:tab w:leader="none" w:pos="18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2006, approximately 60% of the Company’s receivables were due from customers residing in foreign countries. Business or economic conditions or other significant events in these countries could affect the collectibility of such receivables.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Cost is determined by the first-in, first-out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months ended March 31, 2006 is primarily included in casino expenses as follows (amounts in thousands):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Food &amp; Beverage</w:t>
            </w: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24,605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220" w:type="dxa"/>
            <w:vAlign w:val="bottom"/>
            <w:vMerge w:val="restart"/>
          </w:tcPr>
          <w:p>
            <w:pPr>
              <w:jc w:val="right"/>
              <w:ind w:right="385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jc w:val="both"/>
        <w:ind w:right="220" w:firstLine="456"/>
        <w:spacing w:after="0" w:line="318" w:lineRule="auto"/>
        <w:rPr>
          <w:sz w:val="20"/>
          <w:szCs w:val="20"/>
          <w:color w:val="auto"/>
        </w:rPr>
      </w:pPr>
      <w:r>
        <w:rPr>
          <w:rFonts w:ascii="Arial" w:cs="Arial" w:eastAsia="Arial" w:hAnsi="Arial"/>
          <w:sz w:val="15"/>
          <w:szCs w:val="15"/>
          <w:color w:val="auto"/>
        </w:rPr>
        <w:t>The Company expenses advertising costs the first time the advertising runs. Advertising expenses incurred in development periods are included in pre-opening expenses. Since the opening of Wynn Las Vegas on April 28, 2005, advertising costs relating to Wynn Las Vegas have been included in general and administrative expenses, while any advertising expenses relating to Wynn Macau or, when it becomes applicable, Encore, will continue to be included in pre-opening expenses. Total advertising expenses included in general and administrative expenses for the three months ended March 31, 2006 were approximately $5.5 million. Total advertising expenses included in pre-opening expenses during the three months ended March 31, 2005 were approximately $2.5 million.</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The Company adopted this statement on January 1, 2006 under the modified prospective method and using the Black-Scholes valuation model to value the equity instruments issued. In applying the modified prospective method, financial statements of prior periods presented do not reflect any adjusted amounts (i.e. prior periods do not include compensation cost calculated under the fair value method).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adoption of SFAS No. 123(R) and the related interpretations resulted in the Company’s elimination of approximately $15.8 million of deferred compensation against additional paid-in capital and the recognition of approximately $3.0 million ($0.03 per share) of compensation cost related to stock options in the following divisions for the three months ended March 31, 2006 (amounts in thousands):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Rooms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1,382</w:t>
            </w: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Pre-opening expenses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2,993</w:t>
            </w: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-27305</wp:posOffset>
            </wp:positionV>
            <wp:extent cx="32131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permitted by SFAS No. 148, “Accounting for Stock-Based Compensation - Transition and Disclosure, an amendment of SFAS No. 123,” the Company continued to apply the provisions of Accounting Principles Board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(“APB”) Opinion No. 25, “Accounting for Stock Issued to Employees,” and related interpretations in accounting for its employee stock-based compensation for the three months ended March 31, 2005. Accordingly, compensation expense was recognized only to the extent that the market value at the date of grant exceeds the exercise price. The following table illustrates the effect on the net loss that would have resulted had the Company applied the fair value recognition provisions of SFAS No. 123, “Accounting for Stock-Based Compensation” to stock-based employee compensation during the three months ended March 31, 2005 (amounts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Add: employee stock-based compensation recorded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Less: total stock-based employee compensation expenses determined under the fair-value based method for all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(31,744)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-766445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-766445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-766445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-329565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share-based compensation arrangements is included in Note 11. Share-based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For the three months ended March 31, 2006 and 2005, the Company has recorded net losses causing potentially dilutive securities to be anti-dilutive. As a result, basic EPS is equal to diluted EPS for all periods presented. The calculation of diluted EPS at March 31, 2006 excludes the following anti-dilutive securities: 3,471,000 shares issuable upon exercise of stock options, 789,169 shares under restricted stock grants that had not yet vested and 10,255,260 shares issuable upon conversion of the 6% Convertible Subordinated Debentures due 2015 (the “Debentures”). The calculation of diluted EPS at March 31, 2005 excludes the following anti-dilutive securities: 2,505,550 shares issuable upon exercise of stock options, 1,413,338 shares under restricted stock grants that had not yet vested and 10,869,550 shares issuable upon conversion of the Debentures.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Disclosure of Cash Flow Information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paid for the three months ended March 31, 2006 and 2005 totaled approximately $24.8 million and $12.6 million, respectively. Interest capitalized for the three months ended March 31, 2006 and 2005 totaled approximately $6.4 million and $30.8 million, respectively.</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Wynn Macau that was capitalized into construction in progress for the three months ended March 31, 2006 and 2005 totaled approximately $539,000 and $539,000, respectively.</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three months ended March 31, 2006, approximately $14.1 million principal amount of the Debentures were converted by those holders into 614,301 shares of the common stock of Wynn Resorts, Limited.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Accordingly, long-term debt was reduced by approximately $14.1 million, equity was increased by approximately $13.7 million and deferred financing costs were reduced by approximately $384,000.</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the three months ended March 31, 2006 approximately $12.0 million of capital expenditures were made to reduce construction payables and retention. During the three months ended March 31, 2005 capital expenditures excludes an approximately $33.4 million increase to construction payables and retention.</w:t>
      </w:r>
    </w:p>
    <w:p>
      <w:pPr>
        <w:spacing w:after="0" w:line="121" w:lineRule="exact"/>
        <w:rPr>
          <w:sz w:val="20"/>
          <w:szCs w:val="20"/>
          <w:color w:val="auto"/>
        </w:rPr>
      </w:pPr>
    </w:p>
    <w:p>
      <w:pPr>
        <w:ind w:left="240" w:right="9200" w:hanging="232"/>
        <w:spacing w:after="0" w:line="398"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the personal use of corporate aircraft and household employees, construction work and other personal services. Mr. Wynn and other officers have deposits with the Company to prepay any such items, which are replenished on an ongoing basis as needed. At March 31, 2006 and December 31, 2005, the Company owed Mr. Wynn and the other officers approximately $325,000 and $412,000,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At the opening of the Wynn Las Vegas, the resort included an art gallery that displayed rare paintings from The Wynn Collection, a private collection of fine art owned by Mr. and Mrs. Wynn. Prior to June 30, 2005, the Company leased The Wynn Collection from Mr. and Mrs. Wynn for an annual fee of one dollar ($1), and the Company 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 On June 30, 2005, this lease arrangement was restructured at the request of the Company. However, the material economic terms of the leasing relationship applicable to Mr. and Mrs. Wynn remained unchanged. In February 2006, the Company closed the art gallery and is converting the gallery location into additional retail stores. The artwork in the gallery has been relocated to different venues within Wynn Las Vegas. The Company continues to be responsible for all expenses in exhibiting and safeguarding The Wynn Collection.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July 1, 2005, Mr. and Mrs. Wynn lease from year to year a villa suite in the Wynn Las Vegas resort as their personal residence. Rent is determined each year by the Audit Committee of the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Macau, S.A. rents two apartments from a Wynn Macau, S.A. shareholder for an aggregate of approximately $3,600 per month.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for the three months ended March 31, 2006 and 2005, consist of the following (amounts in thousands):</w:t>
      </w:r>
    </w:p>
    <w:p>
      <w:pPr>
        <w:spacing w:after="0" w:line="15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60325</wp:posOffset>
            </wp:positionV>
            <wp:extent cx="1355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140" w:type="dxa"/>
            <w:vAlign w:val="bottom"/>
            <w:gridSpan w:val="4"/>
          </w:tcPr>
          <w:p>
            <w:pPr>
              <w:jc w:val="center"/>
              <w:ind w:left="1475"/>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retired for remodels</w:t>
            </w:r>
          </w:p>
        </w:tc>
        <w:tc>
          <w:tcPr>
            <w:tcW w:w="2140" w:type="dxa"/>
            <w:vAlign w:val="bottom"/>
            <w:gridSpan w:val="4"/>
            <w:shd w:val="clear" w:color="auto" w:fill="CCEEFF"/>
          </w:tcPr>
          <w:p>
            <w:pPr>
              <w:jc w:val="center"/>
              <w:ind w:left="1475"/>
              <w:spacing w:after="0"/>
              <w:rPr>
                <w:sz w:val="20"/>
                <w:szCs w:val="20"/>
                <w:color w:val="auto"/>
              </w:rPr>
            </w:pPr>
            <w:r>
              <w:rPr>
                <w:rFonts w:ascii="Arial" w:cs="Arial" w:eastAsia="Arial" w:hAnsi="Arial"/>
                <w:sz w:val="18"/>
                <w:szCs w:val="18"/>
                <w:color w:val="auto"/>
                <w:w w:val="96"/>
              </w:rPr>
              <w:t>$ 4,949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from incidental operations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charges</w:t>
            </w:r>
          </w:p>
        </w:tc>
        <w:tc>
          <w:tcPr>
            <w:tcW w:w="2140" w:type="dxa"/>
            <w:vAlign w:val="bottom"/>
            <w:gridSpan w:val="4"/>
            <w:shd w:val="clear" w:color="auto" w:fill="CCEEFF"/>
          </w:tcPr>
          <w:p>
            <w:pPr>
              <w:jc w:val="center"/>
              <w:ind w:left="1475"/>
              <w:spacing w:after="0"/>
              <w:rPr>
                <w:sz w:val="20"/>
                <w:szCs w:val="20"/>
                <w:color w:val="auto"/>
              </w:rPr>
            </w:pPr>
            <w:r>
              <w:rPr>
                <w:rFonts w:ascii="Arial" w:cs="Arial" w:eastAsia="Arial" w:hAnsi="Arial"/>
                <w:sz w:val="18"/>
                <w:szCs w:val="18"/>
                <w:color w:val="auto"/>
                <w:w w:val="96"/>
              </w:rPr>
              <w:t>$ 4,949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Receivables, net</w:t>
            </w: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70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80" w:type="dxa"/>
            <w:vAlign w:val="bottom"/>
            <w:gridSpan w:val="2"/>
          </w:tcPr>
          <w:p>
            <w:pPr>
              <w:ind w:left="460"/>
              <w:spacing w:after="0"/>
              <w:rPr>
                <w:sz w:val="20"/>
                <w:szCs w:val="20"/>
                <w:color w:val="auto"/>
              </w:rPr>
            </w:pPr>
            <w:r>
              <w:rPr>
                <w:rFonts w:ascii="Arial" w:cs="Arial" w:eastAsia="Arial" w:hAnsi="Arial"/>
                <w:sz w:val="18"/>
                <w:szCs w:val="18"/>
                <w:color w:val="auto"/>
              </w:rPr>
              <w:t>Receivables, net consist of the following (amounts in thousands):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1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7"/>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Borders>
              <w:bottom w:val="single" w:sz="8" w:color="auto"/>
            </w:tcBorders>
            <w:gridSpan w:val="4"/>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$ 67,748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Hotel</w:t>
            </w:r>
          </w:p>
        </w:tc>
        <w:tc>
          <w:tcPr>
            <w:tcW w:w="2160" w:type="dxa"/>
            <w:vAlign w:val="bottom"/>
            <w:gridSpan w:val="5"/>
          </w:tcPr>
          <w:p>
            <w:pPr>
              <w:jc w:val="right"/>
              <w:ind w:right="20"/>
              <w:spacing w:after="0"/>
              <w:rPr>
                <w:sz w:val="20"/>
                <w:szCs w:val="20"/>
                <w:color w:val="auto"/>
              </w:rPr>
            </w:pPr>
            <w:r>
              <w:rPr>
                <w:rFonts w:ascii="Arial" w:cs="Arial" w:eastAsia="Arial" w:hAnsi="Arial"/>
                <w:sz w:val="18"/>
                <w:szCs w:val="18"/>
                <w:color w:val="auto"/>
              </w:rPr>
              <w:t>10,697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6,446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60" w:type="dxa"/>
            <w:vAlign w:val="bottom"/>
            <w:tcBorders>
              <w:bottom w:val="single" w:sz="8" w:color="auto"/>
            </w:tcBorders>
            <w:gridSpan w:val="4"/>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84,891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104,280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360" w:type="dxa"/>
            <w:vAlign w:val="bottom"/>
            <w:gridSpan w:val="6"/>
          </w:tcPr>
          <w:p>
            <w:pPr>
              <w:jc w:val="right"/>
              <w:ind w:right="160"/>
              <w:spacing w:after="0"/>
              <w:rPr>
                <w:sz w:val="20"/>
                <w:szCs w:val="20"/>
                <w:color w:val="auto"/>
              </w:rPr>
            </w:pPr>
            <w:r>
              <w:rPr>
                <w:rFonts w:ascii="Arial" w:cs="Arial" w:eastAsia="Arial" w:hAnsi="Arial"/>
                <w:sz w:val="18"/>
                <w:szCs w:val="18"/>
                <w:color w:val="auto"/>
              </w:rPr>
              <w:t>(18,358)</w:t>
            </w:r>
          </w:p>
        </w:tc>
        <w:tc>
          <w:tcPr>
            <w:tcW w:w="260" w:type="dxa"/>
            <w:vAlign w:val="bottom"/>
          </w:tcPr>
          <w:p>
            <w:pPr>
              <w:spacing w:after="0"/>
              <w:rPr>
                <w:sz w:val="19"/>
                <w:szCs w:val="19"/>
                <w:color w:val="auto"/>
              </w:rPr>
            </w:pPr>
          </w:p>
        </w:tc>
        <w:tc>
          <w:tcPr>
            <w:tcW w:w="1160" w:type="dxa"/>
            <w:vAlign w:val="bottom"/>
            <w:gridSpan w:val="8"/>
          </w:tcPr>
          <w:p>
            <w:pPr>
              <w:jc w:val="right"/>
              <w:ind w:right="2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Borders>
              <w:bottom w:val="single" w:sz="8" w:color="auto"/>
            </w:tcBorders>
            <w:gridSpan w:val="4"/>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1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$ 66,533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Property and Equipment</w:t>
            </w:r>
          </w:p>
        </w:tc>
        <w:tc>
          <w:tcPr>
            <w:tcW w:w="1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0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 of the following (amounts in thousands):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96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7"/>
          </w:tcPr>
          <w:p>
            <w:pPr>
              <w:ind w:left="50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360" w:type="dxa"/>
            <w:vAlign w:val="bottom"/>
            <w:gridSpan w:val="6"/>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78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3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599,376</w:t>
            </w:r>
          </w:p>
        </w:tc>
        <w:tc>
          <w:tcPr>
            <w:tcW w:w="26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599,278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360" w:type="dxa"/>
            <w:vAlign w:val="bottom"/>
            <w:gridSpan w:val="6"/>
          </w:tcPr>
          <w:p>
            <w:pPr>
              <w:jc w:val="right"/>
              <w:ind w:right="20"/>
              <w:spacing w:after="0"/>
              <w:rPr>
                <w:sz w:val="20"/>
                <w:szCs w:val="20"/>
                <w:color w:val="auto"/>
              </w:rPr>
            </w:pPr>
            <w:r>
              <w:rPr>
                <w:rFonts w:ascii="Arial" w:cs="Arial" w:eastAsia="Arial" w:hAnsi="Arial"/>
                <w:sz w:val="18"/>
                <w:szCs w:val="18"/>
                <w:color w:val="auto"/>
              </w:rPr>
              <w:t>1,166,499</w:t>
            </w:r>
          </w:p>
        </w:tc>
        <w:tc>
          <w:tcPr>
            <w:tcW w:w="260" w:type="dxa"/>
            <w:vAlign w:val="bottom"/>
          </w:tcPr>
          <w:p>
            <w:pPr>
              <w:spacing w:after="0"/>
              <w:rPr>
                <w:sz w:val="18"/>
                <w:szCs w:val="18"/>
                <w:color w:val="auto"/>
              </w:rPr>
            </w:pPr>
          </w:p>
        </w:tc>
        <w:tc>
          <w:tcPr>
            <w:tcW w:w="1080" w:type="dxa"/>
            <w:vAlign w:val="bottom"/>
            <w:gridSpan w:val="7"/>
          </w:tcPr>
          <w:p>
            <w:pPr>
              <w:jc w:val="right"/>
              <w:spacing w:after="0"/>
              <w:rPr>
                <w:sz w:val="20"/>
                <w:szCs w:val="20"/>
                <w:color w:val="auto"/>
              </w:rPr>
            </w:pPr>
            <w:r>
              <w:rPr>
                <w:rFonts w:ascii="Arial" w:cs="Arial" w:eastAsia="Arial" w:hAnsi="Arial"/>
                <w:sz w:val="18"/>
                <w:szCs w:val="18"/>
                <w:color w:val="auto"/>
              </w:rPr>
              <w:t>1,159,364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3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57,582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57,582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360" w:type="dxa"/>
            <w:vAlign w:val="bottom"/>
            <w:gridSpan w:val="6"/>
          </w:tcPr>
          <w:p>
            <w:pPr>
              <w:jc w:val="right"/>
              <w:ind w:right="20"/>
              <w:spacing w:after="0"/>
              <w:rPr>
                <w:sz w:val="20"/>
                <w:szCs w:val="20"/>
                <w:color w:val="auto"/>
              </w:rPr>
            </w:pPr>
            <w:r>
              <w:rPr>
                <w:rFonts w:ascii="Arial" w:cs="Arial" w:eastAsia="Arial" w:hAnsi="Arial"/>
                <w:sz w:val="18"/>
                <w:szCs w:val="18"/>
                <w:color w:val="auto"/>
              </w:rPr>
              <w:t>608,084</w:t>
            </w:r>
          </w:p>
        </w:tc>
        <w:tc>
          <w:tcPr>
            <w:tcW w:w="260" w:type="dxa"/>
            <w:vAlign w:val="bottom"/>
          </w:tcPr>
          <w:p>
            <w:pPr>
              <w:spacing w:after="0"/>
              <w:rPr>
                <w:sz w:val="18"/>
                <w:szCs w:val="18"/>
                <w:color w:val="auto"/>
              </w:rPr>
            </w:pPr>
          </w:p>
        </w:tc>
        <w:tc>
          <w:tcPr>
            <w:tcW w:w="1080" w:type="dxa"/>
            <w:vAlign w:val="bottom"/>
            <w:gridSpan w:val="7"/>
          </w:tcPr>
          <w:p>
            <w:pPr>
              <w:jc w:val="right"/>
              <w:spacing w:after="0"/>
              <w:rPr>
                <w:sz w:val="20"/>
                <w:szCs w:val="20"/>
                <w:color w:val="auto"/>
              </w:rPr>
            </w:pPr>
            <w:r>
              <w:rPr>
                <w:rFonts w:ascii="Arial" w:cs="Arial" w:eastAsia="Arial" w:hAnsi="Arial"/>
                <w:sz w:val="18"/>
                <w:szCs w:val="18"/>
                <w:color w:val="auto"/>
              </w:rPr>
              <w:t>594,474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23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67,118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67,118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360" w:type="dxa"/>
            <w:vAlign w:val="bottom"/>
            <w:gridSpan w:val="6"/>
          </w:tcPr>
          <w:p>
            <w:pPr>
              <w:jc w:val="right"/>
              <w:ind w:right="20"/>
              <w:spacing w:after="0"/>
              <w:rPr>
                <w:sz w:val="20"/>
                <w:szCs w:val="20"/>
                <w:color w:val="auto"/>
              </w:rPr>
            </w:pPr>
            <w:r>
              <w:rPr>
                <w:rFonts w:ascii="Arial" w:cs="Arial" w:eastAsia="Arial" w:hAnsi="Arial"/>
                <w:sz w:val="18"/>
                <w:szCs w:val="18"/>
                <w:color w:val="auto"/>
              </w:rPr>
              <w:t>364,449</w:t>
            </w:r>
          </w:p>
        </w:tc>
        <w:tc>
          <w:tcPr>
            <w:tcW w:w="260" w:type="dxa"/>
            <w:vAlign w:val="bottom"/>
          </w:tcPr>
          <w:p>
            <w:pPr>
              <w:spacing w:after="0"/>
              <w:rPr>
                <w:sz w:val="19"/>
                <w:szCs w:val="19"/>
                <w:color w:val="auto"/>
              </w:rPr>
            </w:pPr>
          </w:p>
        </w:tc>
        <w:tc>
          <w:tcPr>
            <w:tcW w:w="1080" w:type="dxa"/>
            <w:vAlign w:val="bottom"/>
            <w:gridSpan w:val="7"/>
          </w:tcPr>
          <w:p>
            <w:pPr>
              <w:jc w:val="right"/>
              <w:spacing w:after="0"/>
              <w:rPr>
                <w:sz w:val="20"/>
                <w:szCs w:val="20"/>
                <w:color w:val="auto"/>
              </w:rPr>
            </w:pPr>
            <w:r>
              <w:rPr>
                <w:rFonts w:ascii="Arial" w:cs="Arial" w:eastAsia="Arial" w:hAnsi="Arial"/>
                <w:sz w:val="18"/>
                <w:szCs w:val="18"/>
                <w:color w:val="auto"/>
              </w:rPr>
              <w:t>286,570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360" w:type="dxa"/>
            <w:vAlign w:val="bottom"/>
            <w:gridSpan w:val="6"/>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78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3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2,863,108</w:t>
            </w:r>
          </w:p>
        </w:tc>
        <w:tc>
          <w:tcPr>
            <w:tcW w:w="26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2,764,386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20" w:type="dxa"/>
            <w:vAlign w:val="bottom"/>
            <w:gridSpan w:val="7"/>
          </w:tcPr>
          <w:p>
            <w:pPr>
              <w:jc w:val="right"/>
              <w:ind w:right="220"/>
              <w:spacing w:after="0"/>
              <w:rPr>
                <w:sz w:val="20"/>
                <w:szCs w:val="20"/>
                <w:color w:val="auto"/>
              </w:rPr>
            </w:pPr>
            <w:r>
              <w:rPr>
                <w:rFonts w:ascii="Arial" w:cs="Arial" w:eastAsia="Arial" w:hAnsi="Arial"/>
                <w:sz w:val="18"/>
                <w:szCs w:val="18"/>
                <w:color w:val="auto"/>
              </w:rPr>
              <w:t>(136,100)</w:t>
            </w:r>
          </w:p>
        </w:tc>
        <w:tc>
          <w:tcPr>
            <w:tcW w:w="1160" w:type="dxa"/>
            <w:vAlign w:val="bottom"/>
            <w:gridSpan w:val="8"/>
          </w:tcPr>
          <w:p>
            <w:pPr>
              <w:jc w:val="right"/>
              <w:ind w:right="40"/>
              <w:spacing w:after="0"/>
              <w:rPr>
                <w:sz w:val="20"/>
                <w:szCs w:val="20"/>
                <w:color w:val="auto"/>
              </w:rPr>
            </w:pPr>
            <w:r>
              <w:rPr>
                <w:rFonts w:ascii="Arial" w:cs="Arial" w:eastAsia="Arial" w:hAnsi="Arial"/>
                <w:sz w:val="18"/>
                <w:szCs w:val="18"/>
                <w:color w:val="auto"/>
              </w:rPr>
              <w:t>(100,516)</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360" w:type="dxa"/>
            <w:vAlign w:val="bottom"/>
            <w:gridSpan w:val="6"/>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78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3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$ 2,727,008</w:t>
            </w:r>
          </w:p>
        </w:tc>
        <w:tc>
          <w:tcPr>
            <w:tcW w:w="26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-4677410</wp:posOffset>
            </wp:positionV>
            <wp:extent cx="3644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-4677410</wp:posOffset>
            </wp:positionV>
            <wp:extent cx="4070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-2559050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-2559050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-2559050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-2559050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-2559050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-2559050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57848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60"/>
          </w:cols>
          <w:pgMar w:left="240" w:top="459" w:right="2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March 31, 2006 and December 31, 2005, construction in progress includes interest and other costs capitalized in conjunction with the Wynn Macau and Encore projects.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840" w:type="dxa"/>
            <w:vAlign w:val="bottom"/>
          </w:tcPr>
          <w:p>
            <w:pPr>
              <w:jc w:val="right"/>
              <w:spacing w:after="0"/>
              <w:rPr>
                <w:sz w:val="20"/>
                <w:szCs w:val="20"/>
                <w:color w:val="auto"/>
              </w:rPr>
            </w:pPr>
            <w:r>
              <w:rPr>
                <w:rFonts w:ascii="Arial" w:cs="Arial" w:eastAsia="Arial" w:hAnsi="Arial"/>
                <w:sz w:val="18"/>
                <w:szCs w:val="18"/>
                <w:color w:val="auto"/>
              </w:rPr>
              <w:t>235,871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5"/>
              </w:rPr>
              <w:t>$600.0 million Revolving Credit Facility; due December 14, 2009; interest at LIBOR plus 2.25% (approximately 7.1% and</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6.67%)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$400.0 million Delay Draw Term Loan Facility; due December 14, 2011 interest at LIBOR plus 2.125% (approximately</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6.975% and 6.525%)</w:t>
            </w:r>
          </w:p>
        </w:tc>
        <w:tc>
          <w:tcPr>
            <w:tcW w:w="840" w:type="dxa"/>
            <w:vAlign w:val="bottom"/>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7"/>
              </w:rPr>
              <w:t>Senior Term Loan Facilities; due September 14, 2011; interest at LIBOR or HIBOR plus 3.0%, decreasing to LIBOR or</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HIBOR plus 2.75% upon opening of Wynn Macau (approximately 7.82% and 7.345%)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193,869</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$44.75 million note payable; due March 31, 2010; interest at LIBOR plus 2.375% (approximately 7.225% and 6.902%)</w:t>
            </w:r>
          </w:p>
        </w:tc>
        <w:tc>
          <w:tcPr>
            <w:tcW w:w="840" w:type="dxa"/>
            <w:vAlign w:val="bottom"/>
          </w:tcPr>
          <w:p>
            <w:pPr>
              <w:jc w:val="right"/>
              <w:spacing w:after="0"/>
              <w:rPr>
                <w:sz w:val="20"/>
                <w:szCs w:val="20"/>
                <w:color w:val="auto"/>
              </w:rPr>
            </w:pPr>
            <w:r>
              <w:rPr>
                <w:rFonts w:ascii="Arial" w:cs="Arial" w:eastAsia="Arial" w:hAnsi="Arial"/>
                <w:sz w:val="18"/>
                <w:szCs w:val="18"/>
                <w:color w:val="auto"/>
              </w:rPr>
              <w:t>42,305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Note payable - Aircraft; interest at 5.67%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7"/>
              </w:rPr>
              <w:t>12% Second Mortgage Notes, net of original issue discount of approximately $417,000 and $440,000, respectively due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840" w:type="dxa"/>
            <w:vAlign w:val="bottom"/>
          </w:tcPr>
          <w:p>
            <w:pPr>
              <w:jc w:val="right"/>
              <w:spacing w:after="0"/>
              <w:rPr>
                <w:sz w:val="20"/>
                <w:szCs w:val="20"/>
                <w:color w:val="auto"/>
              </w:rPr>
            </w:pPr>
            <w:r>
              <w:rPr>
                <w:rFonts w:ascii="Arial" w:cs="Arial" w:eastAsia="Arial" w:hAnsi="Arial"/>
                <w:sz w:val="18"/>
                <w:szCs w:val="18"/>
                <w:color w:val="auto"/>
              </w:rPr>
              <w:t>9,725</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2,195,738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(15,592)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$ 2,180,146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$ 2,090,846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Subordinated Debentures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Each $1,000 principal amount of the Debentures is convertible at the holder’s option into 43.4782 shares of the Company’s common stock (subject to adjustment as provided in the indenture governing the Debentures), a conversion rate equivalent to a conversion price of $23.00 per share. The Company may redeem some or all of the debentures for cash on or after July 20, 2007, at prices specified in the indenture governing the Debentures. In addition, the holders may require the Company to repurchase all or a portion of their Debentures, subject to certain exceptions, following a change of control of the Company.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160" w:firstLine="456"/>
        <w:spacing w:after="0" w:line="267" w:lineRule="auto"/>
        <w:rPr>
          <w:sz w:val="20"/>
          <w:szCs w:val="20"/>
          <w:color w:val="auto"/>
        </w:rPr>
      </w:pPr>
      <w:r>
        <w:rPr>
          <w:rFonts w:ascii="Arial" w:cs="Arial" w:eastAsia="Arial" w:hAnsi="Arial"/>
          <w:sz w:val="16"/>
          <w:szCs w:val="16"/>
          <w:color w:val="auto"/>
        </w:rPr>
        <w:t xml:space="preserve">On March 15, 2006, the Company amended its $600 million Revolving Credit Facility and its $400 million Delay Draw Term Loan Facility (together, the “Wynn Las Vegas Credit Facilities,” or the “Credit Facilities”) to (a) allow Wynn Las Vegas, LLC to issue up to $100.0 million of additional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December 1, 2014 (the “First Mortgage Notes”); (b) simplify draw procedures under the Disbursement Agreement; (c) consolidate certain accounts under the Disbursement Agreement; (d) amend and clarify certain of the conditions for the approval of the budget, plans and specifications of Encore;</w:t>
      </w:r>
    </w:p>
    <w:p>
      <w:pPr>
        <w:spacing w:after="0" w:line="1" w:lineRule="exact"/>
        <w:rPr>
          <w:sz w:val="20"/>
          <w:szCs w:val="20"/>
          <w:color w:val="auto"/>
        </w:rPr>
      </w:pPr>
    </w:p>
    <w:p>
      <w:pPr>
        <w:ind w:right="140" w:firstLine="8"/>
        <w:spacing w:after="0" w:line="261"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the Company was in compliance with all covenants governing the Company’s debt facilities.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entered into interest rate swap arrangements to effectively fix the interest on floating-rate debt borrowings. The following table presents the historical asset or (liability) fair values (reflected in deposits and other assets or in other long-term liabilities as appropriate) as of March 31, 2006 and 2005 and as of December 31, 2005 and 2004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2"/>
              </w:rPr>
              <w:t>Wynn Las Vegas</w:t>
            </w:r>
          </w:p>
        </w:tc>
        <w:tc>
          <w:tcPr>
            <w:tcW w:w="8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Total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8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4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Rate Swap Asset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199"/>
              <w:spacing w:after="0"/>
              <w:rPr>
                <w:sz w:val="20"/>
                <w:szCs w:val="20"/>
                <w:color w:val="auto"/>
              </w:rPr>
            </w:pPr>
            <w:r>
              <w:rPr>
                <w:rFonts w:ascii="Arial" w:cs="Arial" w:eastAsia="Arial" w:hAnsi="Arial"/>
                <w:sz w:val="14"/>
                <w:szCs w:val="14"/>
                <w:b w:val="1"/>
                <w:bCs w:val="1"/>
                <w:color w:val="auto"/>
              </w:rPr>
              <w:t>Swaps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4"/>
              </w:rPr>
              <w:t>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 / (liability) fair value at March 31, 2006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13,878</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Asset / (liability) fair value at December 31, 2005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10,523</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(1,788)</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 / (liability) fair value at March 31, 2005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Asset / (liability) fair value at December 31, 2004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 xml:space="preserve">The Company accounts for these interest rate swaps in accordance with Statement of Financial Accounting Standards No. 133, </w:t>
      </w:r>
      <w:r>
        <w:rPr>
          <w:rFonts w:ascii="Arial" w:cs="Arial" w:eastAsia="Arial" w:hAnsi="Arial"/>
          <w:sz w:val="15"/>
          <w:szCs w:val="15"/>
          <w:i w:val="1"/>
          <w:iCs w:val="1"/>
          <w:color w:val="auto"/>
        </w:rPr>
        <w:t>Accounting for Derivative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and Hedging Activities </w:t>
      </w:r>
      <w:r>
        <w:rPr>
          <w:rFonts w:ascii="Arial" w:cs="Arial" w:eastAsia="Arial" w:hAnsi="Arial"/>
          <w:sz w:val="15"/>
          <w:szCs w:val="15"/>
          <w:color w:val="auto"/>
        </w:rPr>
        <w:t>(“SFAS No. 133”), and its related interpretations. Accordingly, during the three months ended March 31, 2006 and 2005,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recorded approximately $6.3 million and $7.7 million, respectively, as increase to swap fair value, a component of other income (expense), net.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has adopted the 2002 Stock Incentive Plan (the “Stock Plan”) to provide stock compensation arrangements for directors, officers and key employees, and others. The Stock Plan includes provisions for the grant of (i) Incentive Stock Options (“ISO”), (ii) compensatory (i.e. nonqualified) stock options (“NQSO”) and (iii) nonvested shares of the common stock of Wynn Resorts, Limited (“Common Stock”). Officers, key employees, directors (whether employee or nonemployee) and independent contractors or consultants of the Company and its subsidiaries are eligible to participate in the Stock Plan. However, only employees of the Company and its subsidiaries are eligible to receive incentive stock options.</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maximum of 9,750,000 shares of Common Stock were reserved for issuance under the Stock Plan. As of March 31, 2006, 4,616,712 shares remain available for the grant of stock options or restricted shares of Common Stock.</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Options are generally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Black-Scholes option-pricing method using the following weighted-average assumptions: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88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20" w:type="dxa"/>
            <w:vAlign w:val="bottom"/>
            <w:gridSpan w:val="2"/>
          </w:tcPr>
          <w:p>
            <w:pPr>
              <w:jc w:val="right"/>
              <w:ind w:right="672"/>
              <w:spacing w:after="0"/>
              <w:rPr>
                <w:sz w:val="20"/>
                <w:szCs w:val="20"/>
                <w:color w:val="auto"/>
              </w:rPr>
            </w:pPr>
            <w:r>
              <w:rPr>
                <w:rFonts w:ascii="Arial" w:cs="Arial" w:eastAsia="Arial" w:hAnsi="Arial"/>
                <w:sz w:val="18"/>
                <w:szCs w:val="18"/>
                <w:color w:val="auto"/>
              </w:rPr>
              <w:t>32.5%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March 31, 2006, and the changes during the three months then ended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Contractual Term</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3,484,800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$ 36.62</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168,500</w:t>
            </w:r>
          </w:p>
        </w:tc>
        <w:tc>
          <w:tcPr>
            <w:tcW w:w="6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$ 68.24</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(123,500)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$ 21.49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(58,800)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$ 37.23</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3,471,000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$ 38.68</w:t>
            </w:r>
          </w:p>
        </w:tc>
        <w:tc>
          <w:tcPr>
            <w:tcW w:w="2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132,478,775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1,109,375</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$ 22.56</w:t>
            </w:r>
          </w:p>
        </w:tc>
        <w:tc>
          <w:tcPr>
            <w:tcW w:w="2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60,230,544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-329565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-329565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three months ended March 31, 2006 and 2005 was $30.65 and $27.03, respectively. The total intrinsic value of the options exercised for the three months ended March 31, 2006 and 2005 was $5.8 million and $1.8 million, respectively. Since all deferred tax assets are fully reserved, these amounts did not create any tax benefit.</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summary of the status of the Stock Plan’s non-vested options as of March 31, 2006 and changes during the three months ended March 31, 2006, is presented below:</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2,495,750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Granted</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168,500</w:t>
            </w:r>
          </w:p>
        </w:tc>
        <w:tc>
          <w:tcPr>
            <w:tcW w:w="30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4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(243,825)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Canceled</w:t>
            </w:r>
          </w:p>
        </w:tc>
        <w:tc>
          <w:tcPr>
            <w:tcW w:w="4120" w:type="dxa"/>
            <w:vAlign w:val="bottom"/>
            <w:gridSpan w:val="3"/>
          </w:tcPr>
          <w:p>
            <w:pPr>
              <w:jc w:val="right"/>
              <w:ind w:right="260"/>
              <w:spacing w:after="0"/>
              <w:rPr>
                <w:sz w:val="20"/>
                <w:szCs w:val="20"/>
                <w:color w:val="auto"/>
              </w:rPr>
            </w:pPr>
            <w:r>
              <w:rPr>
                <w:rFonts w:ascii="Arial" w:cs="Arial" w:eastAsia="Arial" w:hAnsi="Arial"/>
                <w:sz w:val="18"/>
                <w:szCs w:val="18"/>
                <w:color w:val="auto"/>
              </w:rPr>
              <w:t>(58,800)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2006</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2,361,625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580" w:firstLine="456"/>
        <w:spacing w:after="0" w:line="268" w:lineRule="auto"/>
        <w:rPr>
          <w:sz w:val="20"/>
          <w:szCs w:val="20"/>
          <w:color w:val="auto"/>
        </w:rPr>
      </w:pPr>
      <w:r>
        <w:rPr>
          <w:rFonts w:ascii="Arial" w:cs="Arial" w:eastAsia="Arial" w:hAnsi="Arial"/>
          <w:sz w:val="18"/>
          <w:szCs w:val="18"/>
          <w:color w:val="auto"/>
        </w:rPr>
        <w:t>As of March 31, 2006, there was $38.4 million of total unrecognized compensation cost related to stock options granted under the plan. That cost is expected to be recognized on a straight-line basis over a weighted average of 3.62 years.</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stock options, a total of 1,603,061 nonvested shares of Common Stock have been granted under the Stock Plan from inception through March 31, 2006. Of these shares 624,169 have vested, 189,723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shares have been canceled and 789,169 shares will vest through December 2009. During the three months ended March 31, 2006 and 2005, the Company recognized compensation cost of approximately $1.5 million and $1.8 million, respectively. Of these amounts, approximately $539,000 was capitalized to construction in progress for each of the three months ended March 31, 2006 and 2005. Approximately $14.3 million of unamortized compensation cost relating to nonvested shares of Common Stock at March 31, 2006, will be recognized as compensation over the vesting period of the related grants through December 2009.</w:t>
      </w:r>
    </w:p>
    <w:p>
      <w:pPr>
        <w:spacing w:after="0" w:line="78" w:lineRule="exact"/>
        <w:rPr>
          <w:sz w:val="20"/>
          <w:szCs w:val="20"/>
          <w:color w:val="auto"/>
        </w:rPr>
      </w:pPr>
    </w:p>
    <w:p>
      <w:pPr>
        <w:ind w:left="240" w:right="8660" w:hanging="232"/>
        <w:spacing w:after="0" w:line="373" w:lineRule="auto"/>
        <w:tabs>
          <w:tab w:leader="none" w:pos="27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Construction and Remodeling. </w:t>
      </w:r>
      <w:r>
        <w:rPr>
          <w:rFonts w:ascii="Arial" w:cs="Arial" w:eastAsia="Arial" w:hAnsi="Arial"/>
          <w:sz w:val="18"/>
          <w:szCs w:val="18"/>
          <w:color w:val="auto"/>
        </w:rPr>
        <w:t>As of March 31, 2006, approximately $15.5 million of budgeted project costs and retention amounts remained to be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close out the project. The Company expects these final costs to be paid in the second quarter of 2006.</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Beginning in the third quarter of 2005, the Company began to make certain enhancements and refinements to Wynn Las Vegas. As a result, the Company has incurred and will continue to incur capital expenditures relating to these enhancements and refinements. Under the terms of the Wynn Las Vegas, LLC credit facilities, the Company is permitted up to $80.0 million of capital expenditures in 2006, of which approximately $6.3 million was spent during the first quarter of 2006. These spending limits do not apply to any funds that may be contributed to Wynn Las Vegas, LLC by Wynn Resorts.</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Encore Development</w:t>
      </w:r>
      <w:r>
        <w:rPr>
          <w:rFonts w:ascii="Arial" w:cs="Arial" w:eastAsia="Arial" w:hAnsi="Arial"/>
          <w:sz w:val="16"/>
          <w:szCs w:val="16"/>
          <w:color w:val="auto"/>
        </w:rPr>
        <w:t>. As a result of the strong demand for the amenities and services offered by Wynn Las Vegas, the continued strength of the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and the Company’s desire to maximize the potential of its substantial real estate assets, the Company is developing Encore on approximately 20 acres on Las Vegas Boulevard (the “Las Vegas Strip,” or the “Strip”), immediately adjacent to Wynn Las Vegas. On March 31, 2006, the Company’s lenders approved the $1.74 billion project budget and the related plans and specifications for Encore. Encore’s design features a 2,054-room hotel tower fully integrated with Wynn Las Vegas, consisting of 144 suites and 1,910 guest rooms, as well as an approximately 54,000 square foot casino, additional convention and meeting space, as well as restaurants, nightclubs, swimming pools, a spa and salon and retail outlets. The Company commenced construction of Encore on April 28, 2006 and expects to open Encore to the public by the end of 2008.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Through March 31, 2006, the Company has spent approximately $76.2 million on Encore. These costs have been funded from the Credit Facilities and the First Mortgage Notes. The Company expects that the available remaining proceeds from the First Mortgage Notes, together with availability under the credit facilities, and cash flow from operations, will be sufficient to pay for expenditures of up to $1.52 billion on the Encore project without incurring additional debt or receiving additional capital contributions from Wynn Resorts. Project costs exceeding $1.52 billion are expected to be funded by the issuance of up to $100.0 million of additional First Mortgage Notes and/or contributions from Wynn Resorts.</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Entertainment Productions</w:t>
      </w:r>
      <w:r>
        <w:rPr>
          <w:rFonts w:ascii="Arial" w:cs="Arial" w:eastAsia="Arial" w:hAnsi="Arial"/>
          <w:sz w:val="16"/>
          <w:szCs w:val="16"/>
          <w:color w:val="auto"/>
        </w:rPr>
        <w:t>. The Company entered into long-term agreements for the licensing, creation, development and production of “Le Rêve, A Small</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of Imperfect Dreams,” the water-based production show, which opened concurrently with Wynn Las Vegas on April 28, 2005.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color w:val="auto"/>
        </w:rPr>
        <w:t>The Company also purchased the rights to stage “Avenue Q,” the Tony Award-winning musical production and entered into a production services agreement for all production services related to the show. In August 2005, “Avenue Q” opened to the public in Wynn Las Vegas’ second showroom, the Broadway Theater.</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is required to make payments to the creators and producers of each show based upon certain criteria including net ticket sales or profits.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February 2006, the Company agreed with the producers of “Avenue Q” to end Avenue Q’s exclusive run at Wynn Las Vegas at the end of May 2006. To terminate the contract, the Company will pay a contract termination fee of $5.0 million. This fee has been recorded in the current quarter in accordance with the liability recognition provisions of Statement of Financial Accounting Standards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(“SFAS 146”). The Company intends to remodel the Broadway Theater, which currently presents “Avenue Q,” and adjacent areas to accommodate “Monty Python’s Spamalot.”</w:t>
      </w:r>
    </w:p>
    <w:p>
      <w:pPr>
        <w:spacing w:after="0" w:line="12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July 20, 2005, the Company entered into an agreement with Spamalot, LLC to produce and present “Monty Python’s Spamalot” at Wynn Las Vegas. The production is expected to be accompanied by a retail store, food and beverage facilities and a themed “Spamalot Environment.” The production costs, showroom renovation costs, production completion date, and opening date have not yet been determined.</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Completion Guarantee and Liquidity Reserve</w:t>
      </w:r>
      <w:r>
        <w:rPr>
          <w:rFonts w:ascii="Arial" w:cs="Arial" w:eastAsia="Arial" w:hAnsi="Arial"/>
          <w:sz w:val="18"/>
          <w:szCs w:val="18"/>
          <w:color w:val="auto"/>
        </w:rPr>
        <w:t>. As part of the original Wynn Las Vegas financing, the Company contributed $50.0 million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initial public offering of Wynn Resorts’ common stock to Wynn Completion Guarantor, LLC, a special purpose subsidiary of Wynn Las Vegas, LLC formed in October 2002 to secure completion of Wynn Las Vegas.</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the Company deposited $30.0 million from the net proceeds of the initial public offering of Wynn Resorts’ common stock into a liquidity reserve account to secure the completion and opening of Wynn Las Vegas.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refinancing of Wynn Las Vegas, LLC’s indebtedness retained both the completion guarantee deposit and the liquidity reserve. The liquidity reserve is solely for use of the Wynn Las Vegas project, which will be finally closed out in the second quarter of 2006. $30.0 million of the $50.0 million completion guarantee will be retained in connection with the construction of Encore.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Construction and Development</w:t>
      </w:r>
      <w:r>
        <w:rPr>
          <w:rFonts w:ascii="Arial" w:cs="Arial" w:eastAsia="Arial" w:hAnsi="Arial"/>
          <w:sz w:val="16"/>
          <w:szCs w:val="16"/>
          <w:color w:val="auto"/>
        </w:rPr>
        <w:t>. Under its casino concession agreement with Macau, Wynn Macau, S.A. is constructing and will own and operate Wynn</w:t>
      </w:r>
      <w:r>
        <w:rPr>
          <w:rFonts w:ascii="Arial" w:cs="Arial" w:eastAsia="Arial" w:hAnsi="Arial"/>
          <w:sz w:val="16"/>
          <w:szCs w:val="16"/>
          <w:i w:val="1"/>
          <w:iCs w:val="1"/>
          <w:color w:val="auto"/>
        </w:rPr>
        <w:t xml:space="preserve"> </w:t>
      </w:r>
      <w:r>
        <w:rPr>
          <w:rFonts w:ascii="Arial" w:cs="Arial" w:eastAsia="Arial" w:hAnsi="Arial"/>
          <w:sz w:val="16"/>
          <w:szCs w:val="16"/>
          <w:color w:val="auto"/>
        </w:rPr>
        <w:t>Macau, a casino resort facility in Macau’s inner harbor area. Wynn Macau is being constructed, and will open, in two phases. The first phase of Wynn Macau is expected to open in the third quarter of 2006. The second phase is expected to open in stages and be fully open by the fourth quarter of 2007.</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Construction of Wynn Macau’s first phase commenced in June 2004 under a guaranteed maximum price construction contract between Wynn Macau, S.A. and Leighton Contractors (Asia) Limited, China State Construction Engineering (Hong Kong) Limited and China Construction Engineering (Macau) Company Limited, acting together as general contractor. In September 2005, the construction contract was amended and restated to include the second phase of Wynn Macau. Under the amended and restated construction contract, the general contractor is responsible for both the construction and design of the project (other than certain limited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portions to be designed by an affiliate of Wynn Macau, S.A.) based on an existing scope of work and design specifications provided by Wynn Macau, S.A., for a guaranteed maximum price of approximately $457.2 million (including the contractors’ fee and contingencies). The performance of the contractors is backed by a full completion guarantee given jointly and severally by Leighton Holdings Limited and China Overseas Holdings Limited, the parent companies of the general contractor. Upon acceptance by the Wynn Macau project lenders, the Company expects to increase the guaranteed maximum price amount by approximately $23.0 million to reflect the additional gaming space and suite enhancements announced on February 23, 2006.</w:t>
      </w:r>
    </w:p>
    <w:p>
      <w:pPr>
        <w:spacing w:after="0" w:line="10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Through March 31, 2006, the Company had incurred approximately $554.5 million of the total $1.2 billion of budgeted project costs, leaving approximately $622.4 million still to be incurred. Total budgeted project costs include construction and design costs (including construction contingencies) of approximately $688.0 million, land acquisition costs of approximately $49.0 million, the additional casino expansion and suite enhancements of approximately $70.0 million and capitalized interest, pre-opening expenses, financing fees and other costs totaling in the aggregate approximately $368.6 million. These costs have been, and will continue to be, paid from the previously funded $230.0 million base equity loans from Wynn Resorts, $80.0 million borrowed under Wynn Las Vegas, LLC’s revolving credit agreement and loaned to Wynn Macau, S.A. as subordinated debt, Wynn Macau, S.A.’s $764.0 million senior secured credit facility and cash flows from operations once Wynn Macau opens.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Land Concession Contract</w:t>
      </w:r>
      <w:r>
        <w:rPr>
          <w:rFonts w:ascii="Arial" w:cs="Arial" w:eastAsia="Arial" w:hAnsi="Arial"/>
          <w:sz w:val="18"/>
          <w:szCs w:val="18"/>
          <w:color w:val="auto"/>
        </w:rPr>
        <w:t>. Wynn Macau, S.A. has entered into a land concession contract for the Wynn Macau project site. Under the land concession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Wynn Macau, S.A. leases a parcel of approximately 16 acres from the government for an initial term of 25 years, with a right to renew for additional periods. Wynn Macau, S.A. has made four payments to the Macau government under the land concession contract and is required to make eight additional semi-annual payments (including interest)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13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Macau Subconcession Sale</w:t>
      </w:r>
      <w:r>
        <w:rPr>
          <w:rFonts w:ascii="Arial" w:cs="Arial" w:eastAsia="Arial" w:hAnsi="Arial"/>
          <w:sz w:val="18"/>
          <w:szCs w:val="18"/>
          <w:color w:val="auto"/>
        </w:rPr>
        <w:t>. On March 4, 2006, Wynn Macau, S.A. entered into an agreement with Publishing &amp; Broadcasting, Ltd. (“PBL”)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Wynn Macau, S.A. agreed to sell to PBL a subconcession to operate casino games in Macau for a purchase price of $900.0 million. The transaction is subject to the approval of the Macau government.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submitted an application for a land concession for an additional 54 acres of land on the Cotai Strip in Macau for future development.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Lessor </w:t>
      </w:r>
      <w:r>
        <w:rPr>
          <w:rFonts w:ascii="Arial" w:cs="Arial" w:eastAsia="Arial" w:hAnsi="Arial"/>
          <w:sz w:val="16"/>
          <w:szCs w:val="16"/>
          <w:color w:val="auto"/>
        </w:rPr>
        <w:t>- The Company is the lessor under six leases for retail operations at Wynn Las Vegas and has entered into license and distribution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five additional retail outlets in Wynn Las Vegas. The Company also is a party to joint venture agreements for the operation of one other retail outlet and the Ferrari and Maserati automobile dealership at Wynn Las Vegas. Each of these retail outlets opened concurrently with the opening of Wynn Las Vegas. The Company has also entered into nine lease arrangements for the future retail operations of Wynn Macau.</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 In addition, the Company is the lessee under several leases for office space in Las Vegas, Macau and certain other locations, warehouse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land underlying the Company’s aircraft hangar and certain office equipment. The Company also leases land from the government of Macau for the site of Wynn Macau.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$200,000 per year for each insured person. Amounts in excess of this threshold are covered by the Company’s insurance programs, subject to customary policy limits. The Company’s foreign subsidiaries are fully-insured.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indicate a base salary. Certain agreements also contain provisions for guaranteed bonuses. A limited number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8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Company monitors its operations and evaluates earnings by reviewing the assets and operations of Wynn Las Vegas and Wynn Macau. Wynn Las Vegas opened on April 28, 2005. Wynn Macau is currently in the development and construction phase and is expected to open in the third quarter of 2006.</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total assets by segment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5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3,077,184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3,115,814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359,269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5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4,009,387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3,945,283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940" w:type="dxa"/>
            <w:vAlign w:val="bottom"/>
            <w:vMerge w:val="restart"/>
          </w:tcPr>
          <w:p>
            <w:pPr>
              <w:jc w:val="right"/>
              <w:ind w:right="335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-325755</wp:posOffset>
            </wp:positionV>
            <wp:extent cx="13849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Company’s segment information on its results of operations for the three months ended March 31, 2006 and 2005, are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221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88"/>
              </w:rPr>
              <w:t>March 31, 2006</w:t>
            </w:r>
          </w:p>
        </w:tc>
        <w:tc>
          <w:tcPr>
            <w:tcW w:w="140" w:type="dxa"/>
            <w:vAlign w:val="bottom"/>
          </w:tcPr>
          <w:p>
            <w:pPr>
              <w:spacing w:after="0"/>
              <w:rPr>
                <w:sz w:val="15"/>
                <w:szCs w:val="15"/>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Casino</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126,514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Food and beverage</w:t>
            </w:r>
          </w:p>
        </w:tc>
        <w:tc>
          <w:tcPr>
            <w:tcW w:w="15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74,634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318,282</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150" w:type="dxa"/>
            <w:vAlign w:val="bottom"/>
          </w:tcPr>
          <w:p>
            <w:pPr>
              <w:spacing w:after="0"/>
              <w:rPr>
                <w:sz w:val="19"/>
                <w:szCs w:val="19"/>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(41,057)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277,225</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5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(1, 2)</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81,123</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5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Preopening expenses:</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860"/>
              <w:spacing w:after="0"/>
              <w:rPr>
                <w:sz w:val="20"/>
                <w:szCs w:val="20"/>
                <w:color w:val="auto"/>
              </w:rPr>
            </w:pPr>
            <w:r>
              <w:rPr>
                <w:rFonts w:ascii="Arial" w:cs="Arial" w:eastAsia="Arial" w:hAnsi="Arial"/>
                <w:sz w:val="18"/>
                <w:szCs w:val="18"/>
                <w:color w:val="auto"/>
              </w:rPr>
              <w:t>Wynn Las Vegas (including Encore)</w:t>
            </w: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(8,928)</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50" w:type="dxa"/>
            <w:vAlign w:val="bottom"/>
          </w:tcPr>
          <w:p>
            <w:pPr>
              <w:spacing w:after="0"/>
              <w:rPr>
                <w:sz w:val="18"/>
                <w:szCs w:val="18"/>
                <w:color w:val="auto"/>
              </w:rPr>
            </w:pPr>
          </w:p>
        </w:tc>
        <w:tc>
          <w:tcPr>
            <w:tcW w:w="2210" w:type="dxa"/>
            <w:vAlign w:val="bottom"/>
            <w:gridSpan w:val="3"/>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860"/>
              <w:spacing w:after="0"/>
              <w:rPr>
                <w:sz w:val="20"/>
                <w:szCs w:val="20"/>
                <w:color w:val="auto"/>
              </w:rPr>
            </w:pPr>
            <w:r>
              <w:rPr>
                <w:rFonts w:ascii="Arial" w:cs="Arial" w:eastAsia="Arial" w:hAnsi="Arial"/>
                <w:sz w:val="18"/>
                <w:szCs w:val="18"/>
                <w:color w:val="auto"/>
              </w:rPr>
              <w:t>Wynn Las Vegas (including Encore)</w:t>
            </w: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(38,949)</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860"/>
              <w:spacing w:after="0"/>
              <w:rPr>
                <w:sz w:val="20"/>
                <w:szCs w:val="20"/>
                <w:color w:val="auto"/>
              </w:rPr>
            </w:pPr>
            <w:r>
              <w:rPr>
                <w:rFonts w:ascii="Arial" w:cs="Arial" w:eastAsia="Arial" w:hAnsi="Arial"/>
                <w:sz w:val="18"/>
                <w:szCs w:val="18"/>
                <w:color w:val="auto"/>
              </w:rPr>
              <w:t>Wynn Las Vegas (including Encore)</w:t>
            </w: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(4,949)</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860"/>
              <w:spacing w:after="0"/>
              <w:rPr>
                <w:sz w:val="20"/>
                <w:szCs w:val="20"/>
                <w:color w:val="auto"/>
              </w:rPr>
            </w:pPr>
            <w:r>
              <w:rPr>
                <w:rFonts w:ascii="Arial" w:cs="Arial" w:eastAsia="Arial" w:hAnsi="Arial"/>
                <w:sz w:val="18"/>
                <w:szCs w:val="18"/>
                <w:color w:val="auto"/>
              </w:rPr>
              <w:t>Corporate and other</w:t>
            </w:r>
          </w:p>
        </w:tc>
        <w:tc>
          <w:tcPr>
            <w:tcW w:w="150" w:type="dxa"/>
            <w:vAlign w:val="bottom"/>
          </w:tcPr>
          <w:p>
            <w:pPr>
              <w:spacing w:after="0"/>
              <w:rPr>
                <w:sz w:val="18"/>
                <w:szCs w:val="18"/>
                <w:color w:val="auto"/>
              </w:rPr>
            </w:pPr>
          </w:p>
        </w:tc>
        <w:tc>
          <w:tcPr>
            <w:tcW w:w="2210" w:type="dxa"/>
            <w:vAlign w:val="bottom"/>
            <w:gridSpan w:val="3"/>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Avenue Q contract termination fee</w:t>
            </w: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Corporate expenses and other</w:t>
            </w:r>
          </w:p>
        </w:tc>
        <w:tc>
          <w:tcPr>
            <w:tcW w:w="150" w:type="dxa"/>
            <w:vAlign w:val="bottom"/>
          </w:tcPr>
          <w:p>
            <w:pPr>
              <w:spacing w:after="0"/>
              <w:rPr>
                <w:sz w:val="19"/>
                <w:szCs w:val="19"/>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(10,711)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(71,391)</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5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(35,943)</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(21,166)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(11,434)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58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-4211955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-4211955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-4211955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-4211955</wp:posOffset>
            </wp:positionV>
            <wp:extent cx="81026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26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-172720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-172720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-172720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Wynn Macau is currently in the development stage and therefore has no revenues or adjusted EBITDA.</w:t>
      </w:r>
    </w:p>
    <w:p>
      <w:pPr>
        <w:spacing w:after="0" w:line="15" w:lineRule="exact"/>
        <w:rPr>
          <w:rFonts w:ascii="Arial" w:cs="Arial" w:eastAsia="Arial" w:hAnsi="Arial"/>
          <w:sz w:val="18"/>
          <w:szCs w:val="18"/>
          <w:color w:val="auto"/>
        </w:rPr>
      </w:pPr>
    </w:p>
    <w:p>
      <w:pPr>
        <w:ind w:left="460" w:right="40" w:hanging="452"/>
        <w:spacing w:after="0" w:line="31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is earnings before interest, taxes, depreciation, amortization, pre-opening expenses, property charges, corporate expenses, stock-based compensation, Avenue Q contract termination fee, earnings or losses from unconsolidated affiliates, and other non-operating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 operating performance of its segments — Wynn Las Vegas and Wynn Macau — and to compare the operating performance of its properties with those of its competitors.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Restatement</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Subsequent to the issuance of the Company’s condensed consolidated financial statements for the three months ended March 31, 2005, the Company determined that its interest rate swap arrangements relating to certain of its floating-rate debt facilities did not qualify for hedge accounting under Statement of Financial Accounting Standards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recently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restated its condensed consolidated financial statements for the three months ended March 31, 2005 to eliminate the application of hedge accounting. Eliminating the application of hedge accounting resulted in recording the mark to market adjustments for the interest rate swaps as increase in swap fair value, a component of other income (expense), net and not in comprehensive income, as was previously reported.</w:t>
      </w:r>
    </w:p>
    <w:p>
      <w:pPr>
        <w:spacing w:after="0" w:line="10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summary of the significant effects of the restatement on the March 31, 2005 condensed consolidated financial statements is as follows (amounts in thousands except per share data):</w:t>
      </w:r>
    </w:p>
    <w:p>
      <w:pPr>
        <w:spacing w:after="0" w:line="114"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auto"/>
        </w:rPr>
        <w:t>For the Three Months</w:t>
      </w:r>
    </w:p>
    <w:p>
      <w:pPr>
        <w:spacing w:after="0" w:line="1"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auto"/>
        </w:rPr>
        <w:t>Ended March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60325</wp:posOffset>
            </wp:positionV>
            <wp:extent cx="12433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Reported</w:t>
            </w: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(37,627)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(29,927)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Increase in the fair value of interest rate swaps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During April 2006, approximately $11.1 million of additional Debentures were converted into 481,954 shares of the common stock of Wynn Resorts, Limited.</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April 2006, the Company entered into an agreement to acquire all of the land and improvements currently occupied by the Las Vegas Chamber of Commerce, at the intersection of Sands Avenue and Paradise Road, adjacent to Wynn Las Vegas’ golf course. This purchase of approximately 4.65 acres of land and all improvements is expected to close in the second quarter of 2007.</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2006, a restricted stock agreement relating to a grant of 189,723 shares of the Company’s common stock was terminated.</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May 3, 2006, the Audit Committee confirmed the rent to be paid by Mr. and Mrs. Wynn for their villa at Wynn Las Vegas at $580,000 per year and provided that the next rent adjustment would be July 1,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Consolidating Financial Information of Guarantors and Issuers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condensed consolidating financial statement information related to Wynn Resorts (the “Parent”), which is the issuer of the Debentures, Wynn Resorts Funding, LLC, a subsidiary of the Parent that guarantees the Debentures (the “Convertible Debentures Guarantor”); and non-guarantor subsidiaries as of March 31, 2006 and December 31, 2005, and for the three months ended March 31, 2006 and 2005.</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condensed consolidating financial statement information is presented in the form provided because: (i) the Convertible Debentures Guarantor is a wholly-owned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2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162,348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68,888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66,530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47,317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24,750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369,833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330,488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2,726,472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2,727,008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57,634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85,052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100,424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1,283,791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(1,283,791)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204,345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(241,845)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1,814,650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3,433,453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(1,283,791)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4,009,387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66,072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30,301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27,498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31,066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38,348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16,774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234,857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1,944,275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2,180,146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14,550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2,194,737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2,437,357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1,977,624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1,624,385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(1,668,413)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1,977,624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(406,595)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(385,669)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384,622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(406,595)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1,572,030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1,238,716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(1,283,791)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1,572,030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1,814,650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3,433,453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(1,283,791)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4,009,387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-4076700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-4076700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-4076700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-4076700</wp:posOffset>
            </wp:positionV>
            <wp:extent cx="44132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-4076700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-4076700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-4076700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-4076700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-4076700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-4076700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-4076700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-4076700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-4076700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5873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126,276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82,206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88,437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39,884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309,432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344,308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2,663,340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2,663,870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60,480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88,685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87,917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1,295,256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216,454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30,000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(246,454)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1,832,083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3,363,455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8,984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6,591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27,419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18,539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250,591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1,840,846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2,090,846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19,218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2,113,200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2,382,388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1,972,847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44,028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1,623,218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(1,667,246)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1,972,847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6"/>
              </w:rPr>
              <w:t>957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(395,161)</w:t>
            </w: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973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(372,006)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371,033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(395,161)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1,562,895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1,250,255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1,562,895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1,832,083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45,001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3,363,455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(1,295,256)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-4214495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-4214495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-4214495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-4214495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-4214495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-4214495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-4214495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-4214495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-4214495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-4214495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-4214495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-4214495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-4214495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-4214495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-4214495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5"/>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126,514</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$126,514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(41,057)</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(41,057)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16,985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41,765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10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w w:val="86"/>
              </w:rPr>
              <w:t>(14,317)</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14,317</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(14,138)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7,954</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(6,143)</w:t>
            </w:r>
          </w:p>
        </w:tc>
        <w:tc>
          <w:tcPr>
            <w:tcW w:w="680" w:type="dxa"/>
            <w:vAlign w:val="bottom"/>
          </w:tcPr>
          <w:p>
            <w:pPr>
              <w:jc w:val="right"/>
              <w:spacing w:after="0"/>
              <w:rPr>
                <w:sz w:val="20"/>
                <w:szCs w:val="20"/>
                <w:color w:val="auto"/>
              </w:rPr>
            </w:pPr>
            <w:r>
              <w:rPr>
                <w:rFonts w:ascii="Arial" w:cs="Arial" w:eastAsia="Arial" w:hAnsi="Arial"/>
                <w:sz w:val="18"/>
                <w:szCs w:val="18"/>
                <w:color w:val="auto"/>
              </w:rPr>
              <w:t>8,432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(36,836)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(23,944)</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(11,434)</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(11,434)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40" w:type="dxa"/>
            <w:vAlign w:val="bottom"/>
            <w:gridSpan w:val="2"/>
          </w:tcPr>
          <w:p>
            <w:pPr>
              <w:jc w:val="right"/>
              <w:ind w:right="313"/>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-325755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-325755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THREE MONTHS ENDED MARCH 31, 2005 (As Restated - 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5"/>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6,910</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Equity in income/(loss) from unconsolidated affiliates</w:t>
            </w:r>
          </w:p>
        </w:tc>
        <w:tc>
          <w:tcPr>
            <w:tcW w:w="10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w w:val="86"/>
              </w:rPr>
              <w:t>(28,692)</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28,692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(34,102)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(36,250)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(41,660)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4,175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7,700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(29,927)</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(28,774)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(29,927)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40" w:type="dxa"/>
            <w:vAlign w:val="bottom"/>
            <w:gridSpan w:val="2"/>
          </w:tcPr>
          <w:p>
            <w:pPr>
              <w:jc w:val="right"/>
              <w:ind w:right="313"/>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-325755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-325755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income/(loss)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 (11,434)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(14,391)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14,317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income/(loss) to net cash provided by /</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41,765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w:t>
            </w: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3,656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4,949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from unconsolidated affiliates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(14,317)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Increase in fair value of interest rate swaps</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(6,345)</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18,961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(8,413)</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(12,439)</w:t>
            </w:r>
          </w:p>
        </w:tc>
        <w:tc>
          <w:tcPr>
            <w:tcW w:w="16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19"/>
                <w:szCs w:val="19"/>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(7,663)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(115,387)</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27,138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(11,054)</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(4,609)</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(103,912)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2,365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114,926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(11,417)</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land concession</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6,666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36,072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126,276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$314,679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477,027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-325755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-325755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-325755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THREE MONTHS ENDED MARCH 31, 2005 (As Restated - 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1"/>
              </w:rPr>
              <w:t>Subsidiaries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income/(loss)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 (29,927)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(28,774)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28,692</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(29,927)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income/(loss) to net cash provided by /</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3,474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w:t>
            </w: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Equity in loss from unconsolidated affiliates</w:t>
            </w:r>
          </w:p>
        </w:tc>
        <w:tc>
          <w:tcPr>
            <w:tcW w:w="680" w:type="dxa"/>
            <w:vAlign w:val="bottom"/>
          </w:tcPr>
          <w:p>
            <w:pPr>
              <w:jc w:val="right"/>
              <w:spacing w:after="0"/>
              <w:rPr>
                <w:sz w:val="20"/>
                <w:szCs w:val="20"/>
                <w:color w:val="auto"/>
              </w:rPr>
            </w:pPr>
            <w:r>
              <w:rPr>
                <w:rFonts w:ascii="Arial" w:cs="Arial" w:eastAsia="Arial" w:hAnsi="Arial"/>
                <w:sz w:val="18"/>
                <w:szCs w:val="18"/>
                <w:color w:val="auto"/>
              </w:rPr>
              <w:t>28,692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(28,692)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fair value of interest rate swaps</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Inventories and prepaid expenses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(5,731)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(7,947)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39,277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(7,806)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(291,969)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(291,969)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(21,323)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(339,392)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(327,116)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373,436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land concession</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368,501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5,086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30,941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27,999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$307,348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58,940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9075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907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condensed consolidated financial statements and the notes thereto included elsewhere in this Quarterly Report on Form 10-Q. This discussion gives effect to the restatement described in Note 14 to these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and equity offerings and borrowings under our credit facilities; competition in the casino/hotel and resort industries; completion of our Wynn Macau casino resort on time and within budget; our intention to fund a substantial portion of the development and construction costs of Encore with anticipated cash flows generated at Wynn Las Vegas; doing business in foreign locations such as Macau (including the risks associated with Macau’s developing gaming regulatory framework); new development and construction activities of competitors; our limited operating history; our dependence on Stephen A. Wynn and existing management; our dependence on one property and, later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developer, owner and operator of destination casino resorts. We own and operate Wynn Las Vegas, a destination casino resort in Las Vegas, Nevada, which opened on April 28, 2005. We are also constructing a destination casino resort in the Macau Special Administrative Region of the People’s Republic of China (“Macau”), named “Wynn Macau,” which will open in September 2006. In addition, on April 28, 2006, we commenced construction on “Encore at Wynn Las Vegas” (“Encore”), a hotel and casino resort fully integrated with Wynn Las Vegas. Until the opening of Wynn Las Vegas, we were solely a development stage company.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Casual and fine dining in 18 outlets featuring signature chefs, including the Five Diamond award-winning restaurant, Alex;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76,000 square feet of high-end, brand-name retail shopping, including stores and boutiques featuring Brioni, Chanel, Dior, Graff, Louis Vuitton, Jean-Paul Gaultier and Manolo Blahnik;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its opening, we have enhanced and refined Wynn Las Vegas in response to market demands and customer preferences. We expect to continue these efforts, in each case, investing in projects designed to maximize the performance of Wynn Las Vegas. In the first quarter of 2006, we began remodeling the six North Fairway Villas (the six South Fairway Villas were remodeled in 2005), closed the Wynn art gallery to begin remodeling that area to accommodate high-end retail outlets, and began certain enhancements to our spa and salon. In February, we also agreed with the producers of “Avenue Q” to end Avenue Q’s exclusive run at Wynn Las Vegas at the end of May 2006. We intend to remodel the Broadway Theater and adjacent areas to accommodate “Monty Python’s Spamalot,” winner of the 2005 Tony Award for best musical. We have not yet determined the total costs of remodeling the theater and adjacent areas, nor have we determined the opening date for “Monty Python’s Spamalot.”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result of the strong demand for the amenities and services offered by Wynn Las Vegas, the continued strength of the Las Vegas market, and our desire to maximize the potential of our substantial real estate assets, we are constructing Encore on approximately 20 acres on the Strip, immediately adjacent to Wynn Las Vegas. On March 31, 2006, our lenders approved the $1.74 billion project budget and the related plans and specifications for Encore (the “Encore Budget, Plans and Specs”). Encore currently includes a 2,054-room hotel tower fully integrated with Wynn Las Vegas, consisting of 144 suites and 1,910 guest rooms, as well as an approximately 54,000 square foot casino, additional convention and meeting space, as well as restaurants, nightclubs, swimming pools, a spa and salon and retail outlets. We commenced construction of Encore on April 28, 2006, and expect to open it to the public by the end of 2008.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constructing and will own and operate Wynn Macau, our first destination casino resort in Macau, under a 20-year casino concession agreement granted by the Macau government in June 2002. We are one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only three concessionaires and two sub-concessionaires currently permitted by the government to operate a casino gaming business in Macau. The government of Macau has expressed its desire to transform Macau into the tourist destination of choice in Asia. The Chinese government has also gradually relaxed its travel and currency restrictions, allowing mainland Chinese from certain urban centers and economically developed areas to visit Macau without joining a tour group. The Chinese government also has increased the amount of renminbi that Chinese citizens are permitted to bring into Macau. With approximately 100.0 million people within a three-hour drive and nearly 1.0 billion people within a three-hour flight from Macau, Wynn Macau is located in what we believe will be one of the largest and fastest-growing gaming markets in the world.</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Wynn Macau is being constructed, and will open, in phases. The total budget of Wynn Macau’s two phases is approximately $1.2 billion. The first phase of the project will utilize approximately 11 acres of a total site area of 16 acres of land and includes 600 hotel rooms and suites, 200 table games and 380 slot machines in approximately 100,000 square feet of casino gaming space, seven restaurants, approximately 26,000 square feet of retail space, a spa, a salon, entertainment lounges and meeting facilities. The first phase will open in September 2006. The second phase will include up to an additional 300 table games in approximately 136,000 square feet of additional casino space, two restaurants, retail space, a theater, and a dramatic front feature attraction. The second phase will be built on the remaining five acres of the Wynn Macau site and will be integrated into the first phase of Wynn Macau. The second phase is expected to be completed and opened in stages and to be fully open to the public in the fourth quarter of 2007.</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Growth</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submitted an application for a land concession for an additional 54 acres of land on the Cotai Strip in Macau for future development. We also continue to evaluate additional domestic and international opportunities as they arise.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Subconcession Sale</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4, 2006, Wynn Macau, S.A. entered into an agreement with Publishing &amp; Broadcasting, Ltd. (“PBL”) pursuant to which Wynn Macau, S.A. agreed to sell to PBL a subconcession to operate casino games in Macau for a purchase price of $900.0 million. The transaction is subject to the approval of the Macau government.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In the first quarter of 2006, Wynn Las Vegas generated net revenues of $277.2 million and Adjusted EBITDA of $81.1 million. Net revenues are comprised of $126.5 million in net gaming revenues (45.6% of total net revenues) and $150.7 million of net non-gaming revenues (54.4% of total net revenues). The quality of the resort’s non-gaming amenities, combined with providing guests with an unparalleled total resort experience, has driven a premium in Wynn Las Vegas’ average daily room rates and other non-gaming revenues. Consequently, we believe that revenues from Wynn Las Vegas’ non-gaming activities comprise a higher percentage of total revenues than that of many of its competitors.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currently reliant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incurred a net loss for the three months ended March 31, 2006 of $11.4 million, which represents a $18.5 million or 62% decrease from the net loss of $29.9 million for the three months ended March 31,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first quarter of 2005, we were solely a development stage enterprise and pre-opening expenses increased significantly as Wynn Las Vegas approached opening. In contrast, we operated Wynn Las Vegas during the entire quarter ended March 31, 2006. As Wynn Macau nears its scheduled opening in the third quarter of 2006 and since construction of Encore is accelerating, we expect that our pre-opening expenses in future periods will exceed those in the three months ended March 31, 2006. However, we no longer incur pre-opening expenses related to Wynn Las Vegas, which were a significant contributor to the net loss incurred for the three months ended March 31, 2005. We expect that pre-opening expenses in future periods will be less than those incurred during the first quarter of 2005, before the opening of Wynn Las Vegas.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monitor our operations and evaluate our earnings by reviewing the assets and operations of Wynn Las Vegas (including Encore) and Wynn Macau. The following table sets forth our financial results for the three months ended March 31, 2006 and 2005, by segment and reconciles Adjusted EBITDA to net loss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221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88"/>
              </w:rPr>
              <w:t>March 31, 2006</w:t>
            </w: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Casino</w:t>
            </w:r>
          </w:p>
        </w:tc>
        <w:tc>
          <w:tcPr>
            <w:tcW w:w="339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126,514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74,634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318,282</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32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(41,057)</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339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277,225</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(1, 2)</w:t>
            </w:r>
          </w:p>
        </w:tc>
        <w:tc>
          <w:tcPr>
            <w:tcW w:w="339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81,123</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324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expenses:</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Wynn Las Vegas (including Encore)</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(8,928)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Corporate and other</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210" w:type="dxa"/>
            <w:vAlign w:val="bottom"/>
            <w:gridSpan w:val="3"/>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Wynn Las Vegas (including Encore)</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(38,949)</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Corporate and other</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Wynn Las Vegas (including Encore)</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(4,949)</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Wynn Macau</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Corporate and other</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210" w:type="dxa"/>
            <w:vAlign w:val="bottom"/>
            <w:gridSpan w:val="3"/>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Avenue Q contract termination fee</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32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(10,711)</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(71,391)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210" w:type="dxa"/>
            <w:vAlign w:val="bottom"/>
            <w:gridSpan w:val="3"/>
          </w:tcPr>
          <w:p>
            <w:pPr>
              <w:jc w:val="right"/>
              <w:ind w:right="1080"/>
              <w:spacing w:after="0"/>
              <w:rPr>
                <w:sz w:val="20"/>
                <w:szCs w:val="20"/>
                <w:color w:val="auto"/>
              </w:rPr>
            </w:pPr>
            <w:r>
              <w:rPr>
                <w:rFonts w:ascii="Arial" w:cs="Arial" w:eastAsia="Arial" w:hAnsi="Arial"/>
                <w:sz w:val="18"/>
                <w:szCs w:val="18"/>
                <w:color w:val="auto"/>
              </w:rPr>
              <w:t>(35,943)</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32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(21,166)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39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221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(11,434)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240" w:type="dxa"/>
            <w:vAlign w:val="bottom"/>
            <w:vMerge w:val="restart"/>
          </w:tcPr>
          <w:p>
            <w:pPr>
              <w:ind w:left="1100"/>
              <w:spacing w:after="0"/>
              <w:rPr>
                <w:sz w:val="20"/>
                <w:szCs w:val="20"/>
                <w:color w:val="auto"/>
              </w:rPr>
            </w:pPr>
            <w:r>
              <w:rPr>
                <w:rFonts w:ascii="Arial" w:cs="Arial" w:eastAsia="Arial" w:hAnsi="Arial"/>
                <w:sz w:val="18"/>
                <w:szCs w:val="18"/>
                <w:color w:val="auto"/>
              </w:rPr>
              <w:t>31</w:t>
            </w:r>
          </w:p>
        </w:tc>
        <w:tc>
          <w:tcPr>
            <w:tcW w:w="15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-4476750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-4476750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-4476750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-4476750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-4476750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-4476750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Wynn Macau is currently in the development stage and therefore has no revenues or adjusted EBITDA.</w:t>
      </w:r>
    </w:p>
    <w:p>
      <w:pPr>
        <w:spacing w:after="0" w:line="15" w:lineRule="exact"/>
        <w:rPr>
          <w:rFonts w:ascii="Arial" w:cs="Arial" w:eastAsia="Arial" w:hAnsi="Arial"/>
          <w:sz w:val="18"/>
          <w:szCs w:val="18"/>
          <w:color w:val="auto"/>
        </w:rPr>
      </w:pPr>
    </w:p>
    <w:p>
      <w:pPr>
        <w:ind w:left="460" w:hanging="452"/>
        <w:spacing w:after="0" w:line="28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is earnings before interest, taxes, depreciation, amortization, pre-opening expenses, property charges, corporate expenses, stock-based compensation, Avenue Q contract termination fee, earnings or losses from unconsolidated affiliates and other non-operating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 operating performance of its segments — Wynn Las Vegas and Wynn Macau — 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three months ended March 31, 2006 compared to the three months ended March 31, 2005.</w:t>
      </w:r>
    </w:p>
    <w:p>
      <w:pPr>
        <w:spacing w:after="0" w:line="158"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We opened Wynn Las Vegas on April 28, 2005. Prior to opening Wynn Las Vegas, we had not commenced operations, nor generated any significant revenues. Because Wynn Las Vegas was not open during the quarter ended March 31, 2005, there is no adequate comparison between the quarters ended March 31, 2006 and March 31, 2005.</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Wynn Las Vegas’ net gaming revenues were $126.5 million for the three months ended March 31, 2006. During that period, the average table games win percentage (before discounts) was within the expected range of 19% to 22%, and the slot win percentage was within the expected range of 5% to 6% of handle.</w:t>
      </w:r>
    </w:p>
    <w:p>
      <w:pPr>
        <w:spacing w:after="0" w:line="4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For the three months ended March 31, 2006, Wynn Las Vegas’ gross room revenues were approximately $68.2 million. Average daily rate (“ADR”) and occupancy for that period were $293 and 95.5%, respectively, generating revenues per available room (“REVPAR”) of $279. Other non-gaming revenues included food and beverage revenues of approximately $74.6 million, retail revenues of approximately $17.2 million, entertainment revenues of approximately $20.3 million, and other revenues from outlets, including the spa and salon, of approximately $11.5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Adjusted EBITDA</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Las Vegas’ Adjusted EBITDA was approximately $81.1 million for the three months ended March 31, 2006. Included in Adjusted EBITDA are direct departmental expenses not present in the corresponding 2005 quarter. During 2006, these departmental expenses included casino expenses of $62.6 million, rooms expenses of $16.8 million, food and beverage expenses of $44.5 million, and entertainment, retail and other expenses of $32.5 million. Also included are general and administrative expenses of approximately $36.8 million and approximately $2.9 million charged as a provision for doubtful accounts receivable. At opening, Wynn Las Vegas employed approximately 9,200 persons to accommodate increased opening needs. Natural staffing attrition has reduced the number of current employees to approximately 8,900 persons, reflecting a more normalized staffing level of approximately 7,900 full-time equivalents.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expenses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pre-opening expenses decreased by $29.1 million for the first three months of 2006 compared to the same period in 2005. Once it opened for business in April 2005, Wynn Las Vegas no longer incurred pre-opening expenses; however, $18,000 of pre-opening expenses relating to Encore are included in the Wynn Las Vegas segment. There also was a substantial increase in staffing immediately preceding the opening of Wynn Las Vegas, which contributed to the increased level of pre-opening expenses in the first quarter of 2005. As the Encore development progresses in 2006, we expect associated pre-opening expenses to increase, but not to the same level as we experienced with Wynn Las Vegas.</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Wynn Macau’s pre-opening expenses increased by $5.0 million or 125% from the first quarter of 2005 to the first quarter of 2006, due primarily to the increased pre-opening activity commensurate with the progress of the resort’s construction. We expect that Wynn Macau’s pre-opening expenses will continue to increase in the second and third quarters of 2006 as construction and development continue toward opening, similar to the trend experienced with Wynn Las Vegas in 2005, prior to its opening.</w:t>
      </w:r>
    </w:p>
    <w:p>
      <w:pPr>
        <w:spacing w:after="0" w:line="130" w:lineRule="exact"/>
        <w:rPr>
          <w:sz w:val="20"/>
          <w:szCs w:val="20"/>
          <w:color w:val="auto"/>
        </w:rPr>
      </w:pPr>
    </w:p>
    <w:p>
      <w:pPr>
        <w:ind w:left="240" w:right="20" w:firstLine="228"/>
        <w:spacing w:after="0" w:line="375" w:lineRule="auto"/>
        <w:rPr>
          <w:sz w:val="20"/>
          <w:szCs w:val="20"/>
          <w:color w:val="auto"/>
        </w:rPr>
      </w:pPr>
      <w:r>
        <w:rPr>
          <w:rFonts w:ascii="Arial" w:cs="Arial" w:eastAsia="Arial" w:hAnsi="Arial"/>
          <w:sz w:val="18"/>
          <w:szCs w:val="18"/>
          <w:color w:val="auto"/>
        </w:rPr>
        <w:t xml:space="preserve">After Wynn Las Vegas opened on April 28, 2005, corporate expenses were charged to general and administrative expense instead of pre-opening expenses. </w:t>
      </w:r>
      <w:r>
        <w:rPr>
          <w:rFonts w:ascii="Arial" w:cs="Arial" w:eastAsia="Arial" w:hAnsi="Arial"/>
          <w:sz w:val="18"/>
          <w:szCs w:val="18"/>
          <w:i w:val="1"/>
          <w:iCs w:val="1"/>
          <w:color w:val="auto"/>
        </w:rPr>
        <w:t>Depreciation and amortization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depreciation and amortization expense increased by $37.4 million for the first quarter of 2006 compared to the first quarter of 2005, as a result of the opening of Wynn Las Vegas. During the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3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Wynn Macau’s depreciation and amortization expenses remained relatively consistent between the first quarter of 2006 compared to the first quarter of 2005. Other than charges to depreciation for certain office equipment and amortization for the Macau gaming and land concessions, Wynn Macau’s depreciation expenses will remain relatively insignificant until the resort opens and its assets are placed into service.</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Certain assets, primarily a corporate aircraft and certain furniture, fixtures and equipment of Wynn Resorts and its subsidiaries included in corporate and other, are also depreciated. In addition, when we opened Wynn Las Vegas, we began recognizing the depreciation of the furniture, fixtures and equipment in our corporate offices, which are located at Wynn Las Vegas.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response to our evaluation of the finished product and in response to the reactions of our guests, we began to make enhancements and refinements to Wynn Las Vegas in the third quarter of 2005 and continued enhancing Wynn Las Vegas in the first quarter of 2006. The $4.9 million of costs relating to assets retired as a result of these enhancement and remodel efforts for the first quarter of 2006 have been expensed as property charges. In the first quarter of 2006, we began remodeling the six North Fairway Villas (the six South Fairway Villas were remodeled in 2005), closed the Wynn art gallery to begin remodeling that area to accommodate high-end retail outlets, and began certain enhancements to our spa and salon. There were no comparable Wynn Las Vegas property charges incurred during the first quarter of 2005. Property charges in the first quarter of 2005 instead reflect losses on the incidental operations of approximately $65,000, net of a gain on ordinary asset sales of approximately $12,000.</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Avenue Q Contract Termination</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2006, we agreed with the producers of “Avenue Q” to end Avenue Q’s exclusive run at Wynn Las Vegas at the end of May 2006. To terminate the contract, we will pay a contract termination fee of $5.0 million. This fee has been recorded in the current quarter in accordance with the liability recognition provisions of Statement of Financial Accounting Standards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146”). We intend to remodel the Broadway Theater, which presents “Avenue Q,” and adjacent areas to accommodate “Monty Python’s Spamalot.” We have not yet determined the total costs of remodeling the theater and adjacent areas, nor have we determined the opening date for “Monty Python’s Spamalot.”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expenses and other</w:t>
      </w:r>
    </w:p>
    <w:p>
      <w:pPr>
        <w:spacing w:after="0" w:line="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Corporate expenses reflect costs such as salaries and other general and administrative expenses that are not allocated to Wynn Las Vegas or Wynn Macau. Prior to opening Wynn Las Vegas, corporate expenses were reported as pre-opening expenses. Consequently, the corporate expenses of approximately $10.7 million in the first quarter of 2006 represent such unallocated expenses and have no comparative amount for the first quarter of 2005. Total stock option expense of $3.0 million for the first quarter of 2006 resulting from the adoption of SFAS No. 123R is also included in corporate expenses and other.</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Interest and other income increased by $2.2 million for the first quarter of 2006 compared to the first quarter of 2005. This increase is due primarily to higher interest rates earned on cash balances.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Interest expense, net of capitalized interest increased by $33.8 million for the first quarter of 2006 compared to the first quarter of 2005, due primarily to the significant decrease in the amount of interest capitalized once Wynn Las Vegas opened.</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seek to manage the interest rate risk associated with our variable rate borrowings through balancing fixed-rate and variable-rate borrowings supplemented by the use of derivative financial instruments as required or considered necessary. We were required to, and did obtain through interest rate swap arrangements, interest rate protection for portions of our borrowings under our credit facilities. These interest rate swaps are accounted for in accordance with Statement of Financial Accounting Standards No. 133, Accounting for Derivative Instruments and Hedging Activities, as amended (“SFAS 133”). The fair value of the interest rate swaps are recorded as either assets or liabilities. Changes in the fair value of these interest rate swaps are recorded as non-operating income or expense in each period. The financial information shown above reflects approximately $6.3 million of income for the first quarter of 2006 resulting from the increase in the fair value of our interest rate swaps from December 31, 2005 to March 31, 2006. The first quarter of 2005 includes income of $7.7 million resulting from the increase in the fair value of interest rate swaps between December 31, 2004 and March 31, 2005.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operating cash flows are primarily affected by our operating income, interest paid, and non-cash charges included in operating income. During the first quarter of 2005, we were solely a development stage company without material operations. During this period, net cash used in operations was $5.9 million. On April 28, 2005, we opened Wynn Las Vegas and began generating cash from operations. Net cash from operations in the first quarter of 2006 was $33.3 million.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March 31, 2006, we had approximately $477.0 million of cash and cash equivalents available for use without restriction, including for new development activities, general corporate purposes, enhancements to Wynn Las Vegas, and to support the development and construction of Wynn Macau and Encore. Of this, approximately $314.7 million is held by Wynn Resorts, Limited, which is not a guarantor the debt of its subsidiaries, including Wynn Las Vegas, LLC and Wynn Macau, S.A. However, Wynn Resorts, Limited has provided an equity commitment agreement to Wynn Las Vegas, LLC’s secured lenders, which obligates Wynn Resorts, Limited to contribute up to $215.3 million for Encore project costs if Wynn Las Vegas, LLC is unable to pay such costs.</w:t>
      </w:r>
    </w:p>
    <w:p>
      <w:pPr>
        <w:spacing w:after="0" w:line="10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Otherwise we attempt to minimize the amount of cash held in banks. Accordingly, excess funds are swept from accounts into overnight investments or to repay borrowings under our credit facilities.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At March 31, 2006, we had approximately $408.2 million in restricted cash and investments from the proceeds of our debt and equity financings. Of this amount, approximately $364.4 million is restricted for the remaining costs of Wynn Las Vegas and the construction, development and pre-opening expenses of Encore, including $80.0 million restricted for the Wynn Las Vegas liquidity reserve and completion guarantee ($30.0 million of which must be retained for Encore as a completion guarantee); approximately $35.0 million is restricted for the ongoing development, construction and pre-opening expenses of Wynn Macau; and approximately $7.5 million is restricted for the semi-annual interest payment on our 6% Convertible Subordinated Debentures due 2015 (the “Convertible Debentures”), due and payable on July 15, 2006. In addition, there is approximately $1.3 million restricted for certain sales tax and other payments. Cash equivalents include investments in overnight money market funds. Restricted investments are kept in money market funds or relatively short-term, government-backed, marketable debt securities, as required by agreements governing the Company’s debt facilities.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Debentures Conversions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Through May 1, 2006, approximately $25.2 million principal amount of the Debentures were converted by those holders into 1,096,255 shares of the common stock of Wynn Resorts, Limited. This has reduced our long-term debt accordingly and will decrease our interest expense by approximately $1.5 million annually.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2006, approximately $15.5 million of budgeted project costs and retention amounts remained to be paid in order to close out the project.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these final costs to be paid in the second quarter of 2006.</w:t>
      </w:r>
    </w:p>
    <w:p>
      <w:pPr>
        <w:spacing w:after="0" w:line="1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Beginning in the third quarter of 2005, we made and continue to make certain enhancements and refinements to Wynn Las Vegas. As a result, we have incurred and will continue to incur capital expenditures relating to these enhancements and refinements. Under the terms of the Wynn Las Vegas credit facilities, we are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permitted to make up to $80.0 million of capital expenditures in 2006, of which we have expended approximately $6.3 million in the first quarter of 2006. The spending limit will be increased to the extent funds are contributed to Wynn Las Vegas by Wynn Resorts, Limited.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lenders approved the Encore budget, plans and specifications on March 31, 2006. On April 28, 2006, one year after opening Wynn Las Vegas, we broke ground and commenced construction on Encore. We expect to open Encore to the public by the end of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June 2004, we began construction of Wynn Macau. Design and construction is progressing on schedule and within budget. Many areas in the first phase of the project, including the information technology data center, several floors of guestrooms and suites in the hotel tower, the loading dock and main kitchen storage area, have been handed over to operations. Final finish work is in progress on several restaurants, in the casino and other areas.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milestones since groundbreaking include the following:</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Phase I</w:t>
      </w:r>
    </w:p>
    <w:p>
      <w:pPr>
        <w:spacing w:after="0" w:line="77" w:lineRule="exact"/>
        <w:rPr>
          <w:sz w:val="20"/>
          <w:szCs w:val="20"/>
          <w:color w:val="auto"/>
        </w:rPr>
      </w:pPr>
    </w:p>
    <w:p>
      <w:pPr>
        <w:ind w:left="1580" w:right="260" w:hanging="329"/>
        <w:spacing w:after="0" w:line="254"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parking garage, information technology data center, loading dock, main kitchen storage area and lowrise podium superstructure are complete;</w:t>
      </w:r>
    </w:p>
    <w:p>
      <w:pPr>
        <w:ind w:left="1580" w:right="120" w:hanging="329"/>
        <w:spacing w:after="0" w:line="250"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Fit-out work in the main and VIP casinos, the hotel retail promenade, the spa and salon, several restaurants, the business center, the lobby lounge, the Café and other areas is progressing significantly;</w:t>
      </w:r>
    </w:p>
    <w:p>
      <w:pPr>
        <w:ind w:left="1580" w:hanging="329"/>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Stone installation is complete in the highrise hotel tower and the wall cover installation has commenced on the 14</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through the 22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floors;</w:t>
      </w:r>
    </w:p>
    <w:p>
      <w:pPr>
        <w:spacing w:after="0" w:line="32" w:lineRule="exact"/>
        <w:rPr>
          <w:rFonts w:ascii="Arial" w:cs="Arial" w:eastAsia="Arial" w:hAnsi="Arial"/>
          <w:sz w:val="15"/>
          <w:szCs w:val="15"/>
          <w:color w:val="auto"/>
        </w:rPr>
      </w:pPr>
    </w:p>
    <w:p>
      <w:pPr>
        <w:ind w:left="1580" w:hanging="329"/>
        <w:spacing w:after="0" w:line="230"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Furniture installation has begun and is in progress in the rooms on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through 12 floors;</w:t>
      </w: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Interior millwork is progressing in many areas of the casino and hotel areas;</w:t>
      </w:r>
    </w:p>
    <w:p>
      <w:pPr>
        <w:spacing w:after="0" w:line="22" w:lineRule="exact"/>
        <w:rPr>
          <w:rFonts w:ascii="Arial" w:cs="Arial" w:eastAsia="Arial" w:hAnsi="Arial"/>
          <w:sz w:val="18"/>
          <w:szCs w:val="18"/>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Tiling, awning installation, tree planting and other activities are ongoing in the swimming pool area; and</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Waterproofing is complete on the front fountain feature and equipment installation is in progress.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Phase II (expansion)</w:t>
      </w:r>
    </w:p>
    <w:p>
      <w:pPr>
        <w:spacing w:after="0" w:line="77" w:lineRule="exact"/>
        <w:rPr>
          <w:sz w:val="20"/>
          <w:szCs w:val="20"/>
          <w:color w:val="auto"/>
        </w:rPr>
      </w:pPr>
    </w:p>
    <w:p>
      <w:pPr>
        <w:ind w:left="1580" w:hanging="329"/>
        <w:spacing w:after="0"/>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is largely complete;</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Piling and pile cap activities are largely complete;</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Basement retaining walls for the moving front feature attraction have been completed; and</w:t>
      </w:r>
    </w:p>
    <w:p>
      <w:pPr>
        <w:spacing w:after="0" w:line="36" w:lineRule="exact"/>
        <w:rPr>
          <w:rFonts w:ascii="Arial" w:cs="Arial" w:eastAsia="Arial" w:hAnsi="Arial"/>
          <w:sz w:val="18"/>
          <w:szCs w:val="18"/>
          <w:color w:val="auto"/>
        </w:rPr>
      </w:pPr>
    </w:p>
    <w:p>
      <w:pPr>
        <w:ind w:left="1580" w:hanging="329"/>
        <w:spacing w:after="0"/>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ground floor slab is complete and first floor slab is in progress.</w:t>
      </w:r>
    </w:p>
    <w:p>
      <w:pPr>
        <w:spacing w:after="0" w:line="1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current total project budget for Wynn Macau is approximately $1.2 billion, including contingencies, but excluding up to $20.5 million of post-opening land concession payments anticipated to be funded from operating cash flows. Under the amended and restated construction contract, the general contractor is responsible for both the construction and design of the project (other than certain limited portions to be designed by one of our subsidiaries) based on an existing scope of work and design specifications for both the first phase and the expansion as provided by us, for a guaranteed maximum price of approximately $457.2 million (including the contractors’ fee and contingency). We expect that upon receipt of required lender consent, the guaranteed maximum price will be increased by approximately $23.0 million to reflect addition of the previously announced casino expansion and certain suite enhancements to the second phase of Wynn Macau.</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March 31, 2006, the Company has incurred approximately $554.5 million of a total $1.2 billion project budget. Approximately $622.4 million remains to be spent to complete Wynn Macau.</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7"/>
          <w:szCs w:val="17"/>
          <w:color w:val="auto"/>
        </w:rPr>
        <w:t xml:space="preserve">A final accounting for Wynn Las Vegas is expected in the second quarter of 2006. Wynn Las Vegas’ estimated $2.74 billion total project cost has been, and will be, funded from a combination of contributed capital from the original shareholders of Valvino Lamore, LLC (the predecessor of Wynn Resorts, Limited), proceeds from sales of our common stock, proceeds from the issuance of the 12% Second Mortgage Notes due 2010 (the “Second Mortgage Notes”) (which were discharged in connection with the December 2004 refinancing), proceeds from the issuance of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2014 (the “First Mortgage Notes”), and a portion of Wynn Las Vegas, LLC’s $1.0 billion credit facilities (the “Wynn Las Vegas Credit Facilities”), which consist of a $400 million term loan facility (the “Term Loan”) and a $600 million revolving facility (the “Revolver”).</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Revolver is available for Wynn Las Vegas’ general corporate purposes and for Encore, and any amounts repaid may be re-borrowed. In the second quarter of 2005, we borrowed $80.0 million under the Revolver and loaned it to Wynn Macau, S.A. as subordinated debt. This borrowing was repaid by Wynn Las Vegas, LLC in the third quarter of 2005; consequently, as of March 31, 2006, the entire $600.0 million Revolver was available for future borrowings for the construction of Encore or for other uses as necessary.</w:t>
      </w:r>
    </w:p>
    <w:p>
      <w:pPr>
        <w:spacing w:after="0" w:line="13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have designated, and expect to continue to designate, borrowings under the Wynn Las Vegas Credit Facilities as Eurodollar Loans. These Eurodollar Loans bear interest at the London Interbank Offered Rate (“LIBOR”) plus 2.25% for the Revolver loans and LIBOR plus 2.125% for the Term Loan. Interest on Eurodollar Loans is payable at the end of the applicable interest period in the case of interest periods of one, two or three months, and every three months in the case of interest periods of six months. After the opening of Encore, the applicable borrowing margins for Eurodollar revolving loans will range from 1.25% to 2.5% per annum depending on Wynn Las Vegas, LLC’s leverage ratio. In addition to interest, we also pay quarterly in arrears, 0.75% per annum on the daily average of unborrowed availability under the Revolver. After the opening of Encore, the annual fee that we will be required to pay for unborrowed availability under the Revolver will be based on Wynn Las Vegas, LLC’s leverage ratio and will range from 0.25% to 0.50% per annum.</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Wynn Las Vegas Credit Facilities are obligations of Wynn Las Vegas, LLC and are guaranteed by each of its subsidiaries (other than Wynn Completion Guarantor, LLC). The obligations and guarantees are secured by: (1) a first priority security interest on a $30.0 million liquidity reserve account; (2) a $50.0 million completion guarantee deposit account held by Wynn Completion Guarantor, LLC; (3) the remaining previously funded proceeds of the Wynn Las Vegas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 corporate aircraft owned by World Travel, LLC, a subsidiary of Wynn Las Vegas, LLC.</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Revolver will terminate and be payable in full on December 14, 2009, and the Term Loan will mature on December 14, 2011.</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spent approximately $76.2 million on Encore through March 31, 2006. These costs have been funded from the Wynn Las Vegas Credit Facilities and the First Mortgage Notes. We expect that the available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remaining proceeds from the First Mortgage Notes, together with availability under the credit facilities, and cash flow from operations, will be sufficient to pay for expenditures of up to $1.52 billion on the Encore project without incurring additional debt or receiving additional capital contributions from Wynn Resorts. Project costs exceeding $1.52 billion are expected to be funded by the issuance of up to $100.0 million of additional First Mortgage Notes and/or contributions from Wynn Resorts, Limited. On March 31, 2006, Wynn Resorts, Limited delivered an equity commitment agreement to the lenders under the Wynn Las Vegas Credit Facilities. Under this agreement, Wynn Resorts has committed to pay up to $215.3 million of Encore project costs if Wynn Las Vegas, LLC is unable to do so.</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15, 2006, we amended our Wynn Las Vegas credit facilities to (a) allow us to issue up to $100.0 million of additional First Mortgage Notes;</w:t>
      </w:r>
    </w:p>
    <w:p>
      <w:pPr>
        <w:spacing w:after="0" w:line="38" w:lineRule="exact"/>
        <w:rPr>
          <w:sz w:val="20"/>
          <w:szCs w:val="20"/>
          <w:color w:val="auto"/>
        </w:rPr>
      </w:pPr>
    </w:p>
    <w:p>
      <w:pPr>
        <w:ind w:right="80" w:firstLine="8"/>
        <w:spacing w:after="0" w:line="295"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simplify draw procedures under the agreement governing our access to proceeds from our borrowings (the “Disbursement Agreement”); (c) consolidate certain accounts under the Disbursement Agreement; (d) amend and clarify certain of the conditions for the approval of the Encore budget, plans and specifications;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0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final costs of Wynn Las Vegas will be paid from previously funded amounts under the First Mortgage Notes and the Term Loan and the ongoing costs of Encore will be paid with funds from the following sources and in the following order of priority:</w:t>
      </w:r>
    </w:p>
    <w:p>
      <w:pPr>
        <w:spacing w:after="0" w:line="3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by using agreed excess cash flow from the operations of Wynn Las Vegas and any equity contributions from Wynn Resorts;</w:t>
      </w:r>
    </w:p>
    <w:p>
      <w:pPr>
        <w:spacing w:after="0" w:line="103"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Wynn Las Vegas Credit Facilities, until exhaustion of the First Mortgage Notes proceeds, with amounts funded 66.67% from notes proceeds and 33.33% from the Wynn Las Vegas Credit Facilities;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Wynn Las Vegas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1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two interest rate swap agreements to hedge a portion of the underlying interest rate risk on borrowings under the Wynn Las Vegas Credit Facilities. See Item 3. “Quantitative and Qualitative Disclosures About Market Risk.”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Financing for Wynn Macau’s design, development, construction and pre-opening expenses is provided by a combination of cash on hand in the form of base equity loans totaling $230 million, subordinated loan financing (provided from funds borrowed under the Wynn Las Vegas, LLC revolving credit facility) totaling $80 million, and a senior secured credit facility. Wynn Macau, S.A.’s senior secured credit facility of $764 million includes $729 million of senior term loan facilities, a HK$117 million revolving credit facility (approximately US$15 million), and an additional term loan facility of HK$156 million (approximately US$20 million). As of March 31, 2006, we had borrowed approximately $193.9 million under the Wynn Macau, S.A. senior secured credit facility.</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term loan facilities mature in September 2011, and the revolving credit facility matures in September 2007. The principal amount of the term loans is required to be repaid in quarterly installments, commencing on March 14, 2008. The term loans will bear interest at LIBOR or the Hong Kong Interbank Offered Rate (“HIBOR”) plus a margin of 3.0% until the opening of Wynn Macau (expected in the third quarter of 2006), at which time the interest rate will reduce to LIBOR or HIBOR plus a margin of 2.75%. The senior bank facility also provides for further reductions in the margin on the term loans if Wynn Macau, S.A. satisfies certain prescribed leverage ratio tests. Loans under the revolving credit facility will bear interest at HIBOR plus 2.5%.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Collateral for the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2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began to draw under the senior bank facility in October 2005, after expenditure of the base equity and subordinated funding. Through March 31, 2006, we incurred approximately $554.5 million of the total $1.2 billion of budgeted project costs. Total budgeted project costs include construction and design costs (including construction contingencies) of approximately $688.0 million, land acquisition costs of approximately $49.0 million, costs related to the additional casino expansion of approximately $70.0 million and capitalized interest, pre-opening expenses, financing fees and other costs totaling in the aggregate approximately $368.6 million. These costs have been, and will continue to be, paid from the previously funded $230.0 million base equity loans from Wynn Resorts and $80.0 million borrowed under Wynn Las Vegas, LLC’s revolving credit agreement and loaned as subordinated debt, as well as Wynn Macau, S.A.’s $764.0 million senior secured credit facilities and cash flows from operations once Wynn Macau opens. As of March 31, 2006, project costs still to be incurred totaled approximately $622.4 million.</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addition to the above financing sources, we have $30.0 million (plus $2.1 million of accumulated interest earnings) of long-term restricted cash reserved as contingent equity. We have entered into interest rate swap agreements to hedge a portion of the underlying interest rate risk on borrowings under the Wynn Macau, S.A. credit facilities. See Item 3. “Quantitative and Qualitative Disclosures About Market Risk.”</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also have outstanding at March 31, 2006 approximately $42.3 million of an original $44.75 million borrowing secured by one of our corporate aircraft. This loan matures on May 24,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$10.0 million.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provided that the Wynn Macau, S.A. loan agreements permit distribution of the net proceeds of subconcession sales.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completion of the Encore or Wynn Macau projects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upon opening, will fund Wynn Macau, S.A.’s debt service obligations with operating cash flow and remaining availability under its senior secured bank facility. However, we cannot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Limited or through subsidiaries separate from the Wynn Las Vegas and Wynn Macau-related entities.</w:t>
      </w:r>
    </w:p>
    <w:p>
      <w:pPr>
        <w:spacing w:after="0" w:line="9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Resorts, Limited’s articles of incorporation provide that Wynn Resorts, Limited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as anticipated. Once Wynn Las Vegas opened to the public, expenses associated with the opening of the resort were no longer charged as pre-opening expenses. However, start-up costs relating to the Encore and Wynn Macau projects will continue to be charged to pre-opening expenses.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construction and development stage, direct costs such as those incurred for the design and construction of Wynn Las Vegas and Wynn Macau, including applicable portions of interest, are capitalized. Accordingly, the recorded amounts of property and equipment increase significantly during construction periods. Depreciation expense related to capitalized construction costs is recognized when the related assets are put in service. Accordingly, upon opening of Wynn Las Vegas, we began recognizing depreciation expense on the resort’s fixed assets. Depreciation expense is recognized in our financial statements based on the straight-line method over the estimated useful lives of the corresponding assets as follows: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Land improvements</w:t>
            </w:r>
          </w:p>
        </w:tc>
        <w:tc>
          <w:tcPr>
            <w:tcW w:w="5720" w:type="dxa"/>
            <w:vAlign w:val="bottom"/>
          </w:tcPr>
          <w:p>
            <w:pPr>
              <w:jc w:val="right"/>
              <w:ind w:right="292"/>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57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 to 20 years</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720" w:type="dxa"/>
            <w:vAlign w:val="bottom"/>
          </w:tcPr>
          <w:p>
            <w:pPr>
              <w:jc w:val="right"/>
              <w:ind w:right="292"/>
              <w:spacing w:after="0"/>
              <w:rPr>
                <w:sz w:val="20"/>
                <w:szCs w:val="20"/>
                <w:color w:val="auto"/>
              </w:rPr>
            </w:pPr>
            <w:r>
              <w:rPr>
                <w:rFonts w:ascii="Arial" w:cs="Arial" w:eastAsia="Arial" w:hAnsi="Arial"/>
                <w:sz w:val="18"/>
                <w:szCs w:val="18"/>
                <w:color w:val="auto"/>
              </w:rPr>
              <w:t>5 to 20 years</w:t>
            </w:r>
          </w:p>
        </w:tc>
      </w:tr>
      <w:tr>
        <w:trPr>
          <w:trHeight w:val="35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720" w:type="dxa"/>
            <w:vAlign w:val="bottom"/>
          </w:tcPr>
          <w:p>
            <w:pPr>
              <w:jc w:val="right"/>
              <w:ind w:right="4392"/>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for continued applicability.</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leasehold interest in the land leased in Macau under the land concession contract entered into in June 2004 is being amortized over 25 years, to reflect the initial term of the concession contract, which currently terminates in June 2029. Depreciation on the majority of the assets comprising Wynn Macau, however, will commence in the third quarter of 2006, when Wynn Macau opens. The maximum useful life of certain gaming-related assets at Wynn Macau will be the remaining life of the gaming concession, which currently expires in June 2022. Consequently, depreciation related to certain gaming assets of Wynn Macau will generally be charged on an accelerated basis when compared to Wynn Las Vegas.</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Statement of Financial Accounting Standards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are subject to income taxes in the United States and Macau. We account for income taxes according to Statement of Financial Accounting Standards No. 109, “Accounting for Income Taxes” (“SFAS 109”). SFAS 109 requires the recognition of deferred tax assets, net of applicable reserves, related to net operating loss carry-forwards and certain temporary differences. The standard requires recognition of a future tax benefit to the extent that realization of such benefit is more likely than not. Otherwise, a valuation allowance is applied.</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our development stage, we accumulated significant net operating losses which, among other things, generated significant deferred tax assets. At March 31, 2006, we had net deferred tax assets of $112.4 million. At this time, because of our limited operating history, we have fully reserved these net deferred tax assets. If these net deferred tax assets become more likely than not realizable as defined by SFAS No. 109, we intend to appropriately reduce the deferred tax asset reserves.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Black-Scholes stock option valuation</w:t>
      </w:r>
    </w:p>
    <w:p>
      <w:pPr>
        <w:spacing w:after="0" w:line="7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December 2004, the Financial Accounting Standards Board (“FASB”) issued Statement of Financial Accounting Standards (“SFAS”) No. 123(R), “Share Based Payment.” See further discussion below under “Recently Issued Accounting Standards.” We adopted this statement on January 1, 2006, under the modified prospective method and use the Black-Scholes valuation model to measure the fair value of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evaluate our reserve for bad debts based on a specific review of customer accounts as well as management’s prior experience with collection trends in the casino industry and current economic and business conditions.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March 31, 2006, approximately 60%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supercedes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In applying the modified prospective method, financial statements of prior periods presented do not reflect any adjusted amounts (i.e. prior periods do not include compensation cost calculated under the fair value method).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will therefore impact our departmental expenses (and related operating margins), pre-opening costs and construction in progress for our development projects, and our general and administrative expenses (including corporate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adoption of SFAS No. 123(R) and the related interpretations resulted in the Company’s elimination of approximately $15.8 million of deferred compensation against additional paid-in capital and the recognition of approximately $3.0 million ($0.03 per share) of compensation cost related to stock options in the following divisions (amounts in thousands):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Rooms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1,382</w:t>
            </w: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Pre-opening expenses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2,993</w:t>
            </w: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-27305</wp:posOffset>
            </wp:positionV>
            <wp:extent cx="32131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See Note 2. Summary of Significant Accounting Policies in the notes to the condensed consolidated financial statements, for a description of other recently issued accounting pronouncements which are relevant to the Company but which we believe will not have a material impact on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2003, 2004 and 2005, we entered into interest rate swap arrangements relating to certain of our floating-rate debt facilities. We account for these swaps under Statement of Financial Accounting Standards No. 133, Accounting for Derivative Instruments and Hedging Activities (“SFAS No. 133”), and its related interpretations.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2003, we entered into two interest rate swap arrangements to hedge the underlying interest rate risk on a total of $825.0 million of borrowings under our previous Wynn Las Vegas, LLC credit facilities. On December 14, 2004, concurrent with the refinancing of Wynn Las Vegas, LLC’s debt structure, we terminated these two interest rate swaps. As a result of the termination, we received a cash payment of approximately $9.6 million in settlement of the related asset.</w:t>
      </w:r>
    </w:p>
    <w:p>
      <w:pPr>
        <w:spacing w:after="0" w:line="13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Concurrent with the refinancing, we entered into two new interest rate swap arrangements to hedge the underlying interest rate risk on a total of $400.0 million of borrowings under the current Wynn Las Vegas, LLC term loan facility, which bears interest at LIBOR plus 2.125%. Under each of these two interest rate swap arrangements, we receive payments at a variable rate of LIBOR and pay a fixed rate of 3.793% on the $200.0 million notional amount set forth in each of the swap instruments from February and March 2005, respectively, through December 2008. Although these interest rate swaps are highly effective economically in fixing the interest rate on these borrowings under the new term loan facility at approximately 5.9%, changes in fair value of these interest rate swaps for each reporting period are, and will continue to be, recorded as a component of other income (expense), net as the swaps do not qualify for hedge accounting.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October 14, 2005, we entered into two interest rate swaps to hedge a portion of the underlying interest rate risk on future borrowings under Wynn Macau S.A.’s $749 million senior term loan facility. Under the first swap 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 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The term of both swap agreements is from November 28, 2005 through November 28, 2008.</w:t>
      </w:r>
    </w:p>
    <w:p>
      <w:pPr>
        <w:spacing w:after="0" w:line="13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50% of the U.S. dollar and 50% of the Hong Kong dollar borrowings under the senior bank facility at approximately 7.84% and 7.77%, respectively. However, changes in the fair values of these interest rate swaps for each reporting period recorded are, and will continue to be, recognized as a component of other income (expense), net as the swaps do not qualify for hedge accounting.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presents the historical asset or (liability) fair values of our interest rate swap arrangements (reflected in deposits and other assets or in other long-term liabilities as appropriate) as of March 31, 2006 and 2005 and as of December 31, 2005 and 2004 (amounts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Total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1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4"/>
              </w:rPr>
              <w:t>Rate Swap Asset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Swaps</w:t>
            </w: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Swaps</w:t>
            </w:r>
          </w:p>
        </w:tc>
        <w:tc>
          <w:tcPr>
            <w:tcW w:w="10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Asset / (liability) fair value at March 31, 2006</w:t>
            </w:r>
          </w:p>
        </w:tc>
        <w:tc>
          <w:tcPr>
            <w:tcW w:w="1840" w:type="dxa"/>
            <w:vAlign w:val="bottom"/>
            <w:gridSpan w:val="2"/>
            <w:shd w:val="clear" w:color="auto" w:fill="CCEEFF"/>
          </w:tcPr>
          <w:p>
            <w:pPr>
              <w:ind w:left="1760"/>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13,878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Asset / (liability) fair value at December 31, 2005</w:t>
            </w:r>
          </w:p>
        </w:tc>
        <w:tc>
          <w:tcPr>
            <w:tcW w:w="1840" w:type="dxa"/>
            <w:vAlign w:val="bottom"/>
            <w:gridSpan w:val="2"/>
          </w:tcPr>
          <w:p>
            <w:pPr>
              <w:ind w:left="1760"/>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10,523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(1,788)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Asset / (liability) fair value at March 31, 2005</w:t>
            </w:r>
          </w:p>
        </w:tc>
        <w:tc>
          <w:tcPr>
            <w:tcW w:w="1840" w:type="dxa"/>
            <w:vAlign w:val="bottom"/>
            <w:gridSpan w:val="2"/>
            <w:shd w:val="clear" w:color="auto" w:fill="CCEEFF"/>
          </w:tcPr>
          <w:p>
            <w:pPr>
              <w:ind w:left="1760"/>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8,283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Asset / (liability) fair value at December 31, 2004</w:t>
            </w:r>
          </w:p>
        </w:tc>
        <w:tc>
          <w:tcPr>
            <w:tcW w:w="1840" w:type="dxa"/>
            <w:vAlign w:val="bottom"/>
            <w:gridSpan w:val="2"/>
          </w:tcPr>
          <w:p>
            <w:pPr>
              <w:ind w:left="1760"/>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March 31, 2006, we incurred approximately $42.3 million in interest. Certain amounts of our outstanding indebtedness for the period was based upon a variable, LIBOR or HIBOR rates plus a premium. A 1% increase in the variable rates would have increased our interest cost for the three months ended March 31, 2006 by approximately $165,000.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Certain Asian countries have publicly asserted their desire to eliminate the linkage of the Hong Kong dollar to the U.S. dollar. As a result, the Hong Kong dollar and the Macau pataca may not be linked to the U.S. dollar in the future, which may result in severe fluctuations in the exchange rate for these currencies. We also cannot assure you that the current rate of exchange fixed by the applicable monetary authorities for these currencies will remain at the same level.</w:t>
      </w:r>
    </w:p>
    <w:p>
      <w:pPr>
        <w:spacing w:after="0" w:line="93"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20" w:firstLine="464"/>
        <w:spacing w:after="0" w:line="289"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firstLine="464"/>
        <w:spacing w:after="0" w:line="289"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At December 31, 2005, the Company’s controls over the formal designation, documentation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continual evaluation and assessment of its derivative instruments were not adequately designed to determine that derivative instruments were not appropriately documented or accounted for in accordance with Statement of Financial Accounting Standards No.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(“SFAS 133”) in order to have hedge accounting treatment. Consequently, during the quarter ended March 31, 2006, the Company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additional consultation and review policies and procedures intended to ensure that derivative instruments, when entered into, are properly documented and accounted for in accordance with SFAS 133. Other than to address this issue,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Debentures Conversions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Debentures are currently convertible at each holder’s option into shares of the Company’s common stock at a conversion price of $23.00 per share (equivalent to 43.4782 shares per $1,000 principal amount). During the first quarter of 2006, we issued shares of common stock upon conversion of Debentures, as set forth below:</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 Amount of</w:t>
            </w:r>
          </w:p>
        </w:tc>
        <w:tc>
          <w:tcPr>
            <w:tcW w:w="32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 Issued</w:t>
            </w:r>
          </w:p>
        </w:tc>
      </w:tr>
      <w:tr>
        <w:trPr>
          <w:trHeight w:val="174"/>
        </w:trPr>
        <w:tc>
          <w:tcPr>
            <w:tcW w:w="1780" w:type="dxa"/>
            <w:vAlign w:val="bottom"/>
          </w:tcPr>
          <w:p>
            <w:pPr>
              <w:spacing w:after="0"/>
              <w:rPr>
                <w:sz w:val="15"/>
                <w:szCs w:val="15"/>
                <w:color w:val="auto"/>
              </w:rPr>
            </w:pPr>
          </w:p>
        </w:tc>
        <w:tc>
          <w:tcPr>
            <w:tcW w:w="2560" w:type="dxa"/>
            <w:vAlign w:val="bottom"/>
            <w:gridSpan w:val="2"/>
          </w:tcPr>
          <w:p>
            <w:pPr>
              <w:jc w:val="center"/>
              <w:ind w:right="2160"/>
              <w:spacing w:after="0"/>
              <w:rPr>
                <w:sz w:val="20"/>
                <w:szCs w:val="20"/>
                <w:color w:val="auto"/>
              </w:rPr>
            </w:pPr>
            <w:r>
              <w:rPr>
                <w:rFonts w:ascii="Arial" w:cs="Arial" w:eastAsia="Arial" w:hAnsi="Arial"/>
                <w:sz w:val="14"/>
                <w:szCs w:val="14"/>
                <w:b w:val="1"/>
                <w:bCs w:val="1"/>
                <w:color w:val="auto"/>
                <w:w w:val="92"/>
              </w:rPr>
              <w:t>Date</w:t>
            </w:r>
          </w:p>
        </w:tc>
        <w:tc>
          <w:tcPr>
            <w:tcW w:w="2700" w:type="dxa"/>
            <w:vAlign w:val="bottom"/>
            <w:gridSpan w:val="3"/>
          </w:tcPr>
          <w:p>
            <w:pPr>
              <w:ind w:left="1400"/>
              <w:spacing w:after="0"/>
              <w:rPr>
                <w:sz w:val="20"/>
                <w:szCs w:val="20"/>
                <w:color w:val="auto"/>
              </w:rPr>
            </w:pPr>
            <w:r>
              <w:rPr>
                <w:rFonts w:ascii="Arial" w:cs="Arial" w:eastAsia="Arial" w:hAnsi="Arial"/>
                <w:sz w:val="14"/>
                <w:szCs w:val="14"/>
                <w:b w:val="1"/>
                <w:bCs w:val="1"/>
                <w:color w:val="auto"/>
                <w:w w:val="85"/>
              </w:rPr>
              <w:t>Debentures Converted</w:t>
            </w:r>
          </w:p>
        </w:tc>
        <w:tc>
          <w:tcPr>
            <w:tcW w:w="1780" w:type="dxa"/>
            <w:vAlign w:val="bottom"/>
          </w:tcPr>
          <w:p>
            <w:pPr>
              <w:spacing w:after="0"/>
              <w:rPr>
                <w:sz w:val="15"/>
                <w:szCs w:val="15"/>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rPr>
              <w:t>Upon Conversion</w:t>
            </w:r>
          </w:p>
        </w:tc>
      </w:tr>
      <w:tr>
        <w:trPr>
          <w:trHeight w:val="95"/>
        </w:trPr>
        <w:tc>
          <w:tcPr>
            <w:tcW w:w="1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102"/>
        </w:trPr>
        <w:tc>
          <w:tcPr>
            <w:tcW w:w="1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6"/>
        </w:trPr>
        <w:tc>
          <w:tcPr>
            <w:tcW w:w="434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6"/>
              </w:rPr>
              <w:t>February 17, 2006</w:t>
            </w: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64,347</w:t>
            </w:r>
          </w:p>
        </w:tc>
      </w:tr>
      <w:tr>
        <w:trPr>
          <w:trHeight w:val="216"/>
        </w:trPr>
        <w:tc>
          <w:tcPr>
            <w:tcW w:w="434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February 23, 2006</w:t>
            </w:r>
          </w:p>
        </w:tc>
        <w:tc>
          <w:tcPr>
            <w:tcW w:w="17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43,478</w:t>
            </w:r>
          </w:p>
        </w:tc>
      </w:tr>
      <w:tr>
        <w:trPr>
          <w:trHeight w:val="216"/>
        </w:trPr>
        <w:tc>
          <w:tcPr>
            <w:tcW w:w="434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6"/>
              </w:rPr>
              <w:t>February 24, 2006</w:t>
            </w: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56,347</w:t>
            </w:r>
          </w:p>
        </w:tc>
      </w:tr>
      <w:tr>
        <w:trPr>
          <w:trHeight w:val="216"/>
        </w:trPr>
        <w:tc>
          <w:tcPr>
            <w:tcW w:w="43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March 10, 2006</w:t>
            </w:r>
          </w:p>
        </w:tc>
        <w:tc>
          <w:tcPr>
            <w:tcW w:w="17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549,000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23,869</w:t>
            </w:r>
          </w:p>
        </w:tc>
      </w:tr>
      <w:tr>
        <w:trPr>
          <w:trHeight w:val="216"/>
        </w:trPr>
        <w:tc>
          <w:tcPr>
            <w:tcW w:w="434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9"/>
              </w:rPr>
              <w:t>March 16, 2006</w:t>
            </w: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9,804,000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426,260</w:t>
            </w:r>
          </w:p>
        </w:tc>
      </w:tr>
      <w:tr>
        <w:trPr>
          <w:trHeight w:val="202"/>
        </w:trPr>
        <w:tc>
          <w:tcPr>
            <w:tcW w:w="4340" w:type="dxa"/>
            <w:vAlign w:val="bottom"/>
            <w:gridSpan w:val="3"/>
          </w:tcPr>
          <w:p>
            <w:pPr>
              <w:jc w:val="center"/>
              <w:ind w:right="380"/>
              <w:spacing w:after="0" w:line="201" w:lineRule="exact"/>
              <w:rPr>
                <w:sz w:val="20"/>
                <w:szCs w:val="20"/>
                <w:color w:val="auto"/>
              </w:rPr>
            </w:pPr>
            <w:r>
              <w:rPr>
                <w:rFonts w:ascii="Arial" w:cs="Arial" w:eastAsia="Arial" w:hAnsi="Arial"/>
                <w:sz w:val="18"/>
                <w:szCs w:val="18"/>
                <w:b w:val="1"/>
                <w:bCs w:val="1"/>
                <w:color w:val="auto"/>
                <w:w w:val="86"/>
              </w:rPr>
              <w:t>Total conversions through</w:t>
            </w: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42"/>
        </w:trPr>
        <w:tc>
          <w:tcPr>
            <w:tcW w:w="4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March 31, 2006</w:t>
            </w:r>
          </w:p>
        </w:tc>
        <w:tc>
          <w:tcPr>
            <w:tcW w:w="1700" w:type="dxa"/>
            <w:vAlign w:val="bottom"/>
            <w:gridSpan w:val="2"/>
          </w:tcPr>
          <w:p>
            <w:pPr>
              <w:ind w:left="13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14,129,000</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614,301</w:t>
            </w:r>
          </w:p>
        </w:tc>
      </w:tr>
    </w:tbl>
    <w:p>
      <w:pPr>
        <w:spacing w:after="0" w:line="14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shares of Common Stock were issued in reliance upon the exemption from registration provided in Section 3(a)(9) of the Securities Act of 1933, as amended. No commission or other remuneration was paid or given directly or indirectly for soliciting these transactions.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7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Wynn Resorts, Limited subsidiaries’ debt instruments significantly restrict certain key subsidiaries holding a majority of our assets, including Wynn Las Vegas, LLC and Wynn Macau, S.A. from making dividends or distributions to Wynn Resorts, Limited.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provided that the Wynn Macau, S.A. loan documents permit distribution of the proceeds of subconcession sales.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3"/>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24"/>
                <w:szCs w:val="24"/>
                <w:color w:val="auto"/>
              </w:rPr>
            </w:pPr>
          </w:p>
        </w:tc>
        <w:tc>
          <w:tcPr>
            <w:tcW w:w="52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r>
      <w:tr>
        <w:trPr>
          <w:trHeight w:val="4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1"/>
              </w:rPr>
              <w:t>First Amendment to Employment Agreement, dated as of February 3, 2006, between Wynn Las Vegas, LLC and Andrew Pascal. (3)</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4"/>
              </w:rPr>
              <w:t>Subconcession Sale Agreement, dated as of March 4, 2006, between Wynn Resorts, Limited, Wynn Resorts (Macau), S.A. and</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Publishing and Broadcasting, Ltd.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89"/>
              </w:rPr>
              <w:t>Third Amendment to Credit Agreement, dated as of March 15, 2006, among Wynn Las Vegas, LLC, the Wynn Amendment Parties (as</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89"/>
              </w:rPr>
              <w:t>defined therein) and Deutsche Bank Trust Company Americas, as administrative agent on behalf of the lenders (as defined therein.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91"/>
              </w:rPr>
              <w:t>Third Amendment to Master Disbursement Agreement, dated as of March 13, 2006, between Wynn Las Vegas, LLC and Deutsche</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Bank Trust Company Americas. (4)</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10.5</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Description of Performance Based Incentive Plan Bonus Criteria for Calendar Year 2006. (5)</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*10.6</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w w:val="88"/>
              </w:rPr>
              <w:t>Commitment to Pay Project Costs, dated as of March 31, 2006, by and between Wynn Resorts, Limited in favor of Deutsche Bank Trust</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Company Americas, as administrative agent, and US Bank National Association, as Trustee.</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*10.7</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Employment Agreement, dated as of October 1, 2005, between Wynn Las Vegas, LLC and Matt Maddox.</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10000" w:type="dxa"/>
            <w:vAlign w:val="bottom"/>
            <w:gridSpan w:val="3"/>
          </w:tcPr>
          <w:p>
            <w:pPr>
              <w:ind w:left="42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5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December 9, 2002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February 9,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Annual Report on Form 10-K filed by the Registrant on March 16,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29, 2006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10, 2006</w:t>
      </w:r>
    </w:p>
    <w:p>
      <w:pPr>
        <w:spacing w:after="0" w:line="15" w:lineRule="exact"/>
        <w:rPr>
          <w:sz w:val="20"/>
          <w:szCs w:val="20"/>
          <w:color w:val="auto"/>
        </w:rPr>
      </w:pPr>
    </w:p>
    <w:p>
      <w:pPr>
        <w:ind w:left="6860"/>
        <w:spacing w:after="0"/>
        <w:tabs>
          <w:tab w:leader="none" w:pos="844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6985</wp:posOffset>
            </wp:positionV>
            <wp:extent cx="26930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722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40"/>
          </w:cols>
          <w:pgMar w:left="240" w:top="459" w:right="8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COMMITMENT TO PAY PROJECT COSTS</w:t>
      </w:r>
    </w:p>
    <w:p>
      <w:pPr>
        <w:spacing w:after="0" w:line="17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THIS COMMITMENT TO PAY PROJECT COSTS, dated as of March 31, 2006 (this “</w:t>
      </w:r>
      <w:r>
        <w:rPr>
          <w:rFonts w:ascii="Arial" w:cs="Arial" w:eastAsia="Arial" w:hAnsi="Arial"/>
          <w:sz w:val="16"/>
          <w:szCs w:val="16"/>
          <w:u w:val="single" w:color="auto"/>
          <w:color w:val="auto"/>
        </w:rPr>
        <w:t>Commitment</w:t>
      </w:r>
      <w:r>
        <w:rPr>
          <w:rFonts w:ascii="Arial" w:cs="Arial" w:eastAsia="Arial" w:hAnsi="Arial"/>
          <w:sz w:val="16"/>
          <w:szCs w:val="16"/>
          <w:color w:val="auto"/>
        </w:rPr>
        <w:t>”), is made by WYNN RESORTS, LIMITED, a Nevada corporation (“</w:t>
      </w:r>
      <w:r>
        <w:rPr>
          <w:rFonts w:ascii="Arial" w:cs="Arial" w:eastAsia="Arial" w:hAnsi="Arial"/>
          <w:sz w:val="16"/>
          <w:szCs w:val="16"/>
          <w:u w:val="single" w:color="auto"/>
          <w:color w:val="auto"/>
        </w:rPr>
        <w:t>WRL</w:t>
      </w:r>
      <w:r>
        <w:rPr>
          <w:rFonts w:ascii="Arial" w:cs="Arial" w:eastAsia="Arial" w:hAnsi="Arial"/>
          <w:sz w:val="16"/>
          <w:szCs w:val="16"/>
          <w:color w:val="auto"/>
        </w:rPr>
        <w:t>”), in favor of DEUTSCHE BANK TRUST COMPANY AMERICAS, as the administrative agent acting on behalf of itself and the Bank Lenders pursuant to the Bank Credit Agreement (together with its successors and assigns in such capacity, the “</w:t>
      </w:r>
      <w:r>
        <w:rPr>
          <w:rFonts w:ascii="Arial" w:cs="Arial" w:eastAsia="Arial" w:hAnsi="Arial"/>
          <w:sz w:val="16"/>
          <w:szCs w:val="16"/>
          <w:u w:val="single" w:color="auto"/>
          <w:color w:val="auto"/>
        </w:rPr>
        <w:t>Bank Agent</w:t>
      </w:r>
      <w:r>
        <w:rPr>
          <w:rFonts w:ascii="Arial" w:cs="Arial" w:eastAsia="Arial" w:hAnsi="Arial"/>
          <w:sz w:val="16"/>
          <w:szCs w:val="16"/>
          <w:color w:val="auto"/>
        </w:rPr>
        <w:t>”), U.S. BANK NATIONAL ASSOCIATION, in its capacity as trustee under the 2014 Notes Indenture (together with its successors and assigns in such capacity, the “</w:t>
      </w:r>
      <w:r>
        <w:rPr>
          <w:rFonts w:ascii="Arial" w:cs="Arial" w:eastAsia="Arial" w:hAnsi="Arial"/>
          <w:sz w:val="16"/>
          <w:szCs w:val="16"/>
          <w:u w:val="single" w:color="auto"/>
          <w:color w:val="auto"/>
        </w:rPr>
        <w:t>2014 Notes Indenture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Trustee</w:t>
      </w:r>
      <w:r>
        <w:rPr>
          <w:rFonts w:ascii="Arial" w:cs="Arial" w:eastAsia="Arial" w:hAnsi="Arial"/>
          <w:sz w:val="16"/>
          <w:szCs w:val="16"/>
          <w:color w:val="auto"/>
        </w:rPr>
        <w:t>”), each other Agent Beneficiary (as defined below) from time to time party to the Intercreditor Agreement. This Commitment is made and delivered pursuant to the Master Disbursement Agreement (as amended, modified, supplemented or amended and restated from time to time, the “</w:t>
      </w:r>
      <w:r>
        <w:rPr>
          <w:rFonts w:ascii="Arial" w:cs="Arial" w:eastAsia="Arial" w:hAnsi="Arial"/>
          <w:sz w:val="16"/>
          <w:szCs w:val="16"/>
          <w:u w:val="single" w:color="auto"/>
          <w:color w:val="auto"/>
        </w:rPr>
        <w:t>Disbursement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14, 2004 among Wynn Las Vegas, LLC, a Nevada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 Agent, the 2014 Notes Indenture Trustee and Deutsche Bank Trust Company Americas, as the disbursement agent (together with its successors and assigns in such capacity, the “</w:t>
      </w:r>
      <w:r>
        <w:rPr>
          <w:rFonts w:ascii="Arial" w:cs="Arial" w:eastAsia="Arial" w:hAnsi="Arial"/>
          <w:sz w:val="16"/>
          <w:szCs w:val="16"/>
          <w:u w:val="single" w:color="auto"/>
          <w:color w:val="auto"/>
        </w:rPr>
        <w:t>Disbursement Agent</w:t>
      </w:r>
      <w:r>
        <w:rPr>
          <w:rFonts w:ascii="Arial" w:cs="Arial" w:eastAsia="Arial" w:hAnsi="Arial"/>
          <w:sz w:val="16"/>
          <w:szCs w:val="16"/>
          <w:color w:val="auto"/>
        </w:rPr>
        <w:t>”). The Bank Agent, the 2014 Notes Indenture Trustee, the Bank Lenders, and the 2014 Noteholders under their respective “Facility Agreements” (such term as used in this Commitment having the meaning given in the Intercreditor Agreement), together with any “Project Credit Parties” that are from time to time parties to the Intercreditor Agreement pursuant to Section 10.15 thereof and any “First Lien Secured Party” or “Second Lien Secured Party” represented by any such “Project Credit Party” (each such term as used in this Commitment having the meaning given in the Intercreditor Agreement), are hereinafter referred to as the “</w:t>
      </w:r>
      <w:r>
        <w:rPr>
          <w:rFonts w:ascii="Arial" w:cs="Arial" w:eastAsia="Arial" w:hAnsi="Arial"/>
          <w:sz w:val="16"/>
          <w:szCs w:val="16"/>
          <w:u w:val="single" w:color="auto"/>
          <w:color w:val="auto"/>
        </w:rPr>
        <w:t>Lender Beneficiaries</w:t>
      </w:r>
      <w:r>
        <w:rPr>
          <w:rFonts w:ascii="Arial" w:cs="Arial" w:eastAsia="Arial" w:hAnsi="Arial"/>
          <w:sz w:val="16"/>
          <w:szCs w:val="16"/>
          <w:color w:val="auto"/>
        </w:rPr>
        <w:t>”. The Bank Agent, the 2014 Notes Indenture Trustee and any other “Project Credit Parties” as provided in the foregoing sentence are hereinafter referred to as the “</w:t>
      </w:r>
      <w:r>
        <w:rPr>
          <w:rFonts w:ascii="Arial" w:cs="Arial" w:eastAsia="Arial" w:hAnsi="Arial"/>
          <w:sz w:val="16"/>
          <w:szCs w:val="16"/>
          <w:u w:val="single" w:color="auto"/>
          <w:color w:val="auto"/>
        </w:rPr>
        <w:t>Agent Beneficiaries</w:t>
      </w:r>
      <w:r>
        <w:rPr>
          <w:rFonts w:ascii="Arial" w:cs="Arial" w:eastAsia="Arial" w:hAnsi="Arial"/>
          <w:sz w:val="16"/>
          <w:szCs w:val="16"/>
          <w:color w:val="auto"/>
        </w:rPr>
        <w:t>”. Except as otherwise specified in this Commitment, capitalized terms used but not defined herein shall have the respective meanings given them in Exhibit A to the Disbursement Agreement, and the Rules of Interpretation contained in said Exhibit A shall apply hereto.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Phase I Project</w:t>
      </w:r>
      <w:r>
        <w:rPr>
          <w:rFonts w:ascii="Arial" w:cs="Arial" w:eastAsia="Arial" w:hAnsi="Arial"/>
          <w:sz w:val="16"/>
          <w:szCs w:val="16"/>
          <w:color w:val="auto"/>
        </w:rPr>
        <w:t>. The Company has constructed and now owns and operates Wynn Las Vegas, an approximately 2,700-room hotel, casino, golf course and entertainment complex with related ancillary facilities, located on the site of the former Desert Inn Resort &amp; Casino (the “</w:t>
      </w:r>
      <w:r>
        <w:rPr>
          <w:rFonts w:ascii="Arial" w:cs="Arial" w:eastAsia="Arial" w:hAnsi="Arial"/>
          <w:sz w:val="16"/>
          <w:szCs w:val="16"/>
          <w:u w:val="single" w:color="auto"/>
          <w:color w:val="auto"/>
        </w:rPr>
        <w:t>Phase I Project</w:t>
      </w:r>
      <w:r>
        <w:rPr>
          <w:rFonts w:ascii="Arial" w:cs="Arial" w:eastAsia="Arial" w:hAnsi="Arial"/>
          <w:sz w:val="16"/>
          <w:szCs w:val="16"/>
          <w:color w:val="auto"/>
        </w:rPr>
        <w:t>”).</w:t>
      </w:r>
    </w:p>
    <w:p>
      <w:pPr>
        <w:spacing w:after="0" w:line="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Phase II Project</w:t>
      </w:r>
      <w:r>
        <w:rPr>
          <w:rFonts w:ascii="Arial" w:cs="Arial" w:eastAsia="Arial" w:hAnsi="Arial"/>
          <w:sz w:val="18"/>
          <w:szCs w:val="18"/>
          <w:color w:val="auto"/>
        </w:rPr>
        <w:t>. The Company intends to develop, construct, own and operate an expansion of the Phase I Project, consisting of a 2,054-suite hotel tower, additional casino space and additional restaurants, a spa, swimming pools, and retail and convention space with related ancillary facilities, located on approximately 20 acres of land adjacent to the Phase I Project, tentatively named “Encore at Wynn Las Vegas” (the “</w:t>
      </w:r>
      <w:r>
        <w:rPr>
          <w:rFonts w:ascii="Arial" w:cs="Arial" w:eastAsia="Arial" w:hAnsi="Arial"/>
          <w:sz w:val="18"/>
          <w:szCs w:val="18"/>
          <w:u w:val="single" w:color="auto"/>
          <w:color w:val="auto"/>
        </w:rPr>
        <w:t>Phase II Project</w:t>
      </w:r>
      <w:r>
        <w:rPr>
          <w:rFonts w:ascii="Arial" w:cs="Arial" w:eastAsia="Arial" w:hAnsi="Arial"/>
          <w:sz w:val="18"/>
          <w:szCs w:val="18"/>
          <w:color w:val="auto"/>
        </w:rPr>
        <w:t>” and, collectively with the Phase I Project, the “</w:t>
      </w:r>
      <w:r>
        <w:rPr>
          <w:rFonts w:ascii="Arial" w:cs="Arial" w:eastAsia="Arial" w:hAnsi="Arial"/>
          <w:sz w:val="18"/>
          <w:szCs w:val="18"/>
          <w:u w:val="single" w:color="auto"/>
          <w:color w:val="auto"/>
        </w:rPr>
        <w:t>Projects</w:t>
      </w:r>
      <w:r>
        <w:rPr>
          <w:rFonts w:ascii="Arial" w:cs="Arial" w:eastAsia="Arial" w:hAnsi="Arial"/>
          <w:sz w:val="18"/>
          <w:szCs w:val="18"/>
          <w:color w:val="auto"/>
        </w:rPr>
        <w:t>”).</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2014 Notes Indenture</w:t>
      </w:r>
      <w:r>
        <w:rPr>
          <w:rFonts w:ascii="Arial" w:cs="Arial" w:eastAsia="Arial" w:hAnsi="Arial"/>
          <w:sz w:val="16"/>
          <w:szCs w:val="16"/>
          <w:color w:val="auto"/>
        </w:rPr>
        <w:t>. The Company, Wynn Las Vegas Capital Corp., a Nevada corporation (“</w:t>
      </w:r>
      <w:r>
        <w:rPr>
          <w:rFonts w:ascii="Arial" w:cs="Arial" w:eastAsia="Arial" w:hAnsi="Arial"/>
          <w:sz w:val="16"/>
          <w:szCs w:val="16"/>
          <w:u w:val="single" w:color="auto"/>
          <w:color w:val="auto"/>
        </w:rPr>
        <w:t>Capital Corp</w:t>
      </w:r>
      <w:r>
        <w:rPr>
          <w:rFonts w:ascii="Arial" w:cs="Arial" w:eastAsia="Arial" w:hAnsi="Arial"/>
          <w:sz w:val="16"/>
          <w:szCs w:val="16"/>
          <w:color w:val="auto"/>
        </w:rPr>
        <w:t>.”), certain guarantors party thereto and the 2014 Notes Indenture Trustee have entered into the First Mortgage Notes Indenture (as amended, amended and restated, supplemented or otherwise modified from time to time, including any permitted refinancings thereof, the “</w:t>
      </w:r>
      <w:r>
        <w:rPr>
          <w:rFonts w:ascii="Arial" w:cs="Arial" w:eastAsia="Arial" w:hAnsi="Arial"/>
          <w:sz w:val="16"/>
          <w:szCs w:val="16"/>
          <w:u w:val="single" w:color="auto"/>
          <w:color w:val="auto"/>
        </w:rPr>
        <w:t>2014 Notes Indenture</w:t>
      </w:r>
      <w:r>
        <w:rPr>
          <w:rFonts w:ascii="Arial" w:cs="Arial" w:eastAsia="Arial" w:hAnsi="Arial"/>
          <w:sz w:val="16"/>
          <w:szCs w:val="16"/>
          <w:color w:val="auto"/>
        </w:rPr>
        <w:t>”), pursuant to which the Company and Capital Corp. have issued the 2014 Notes and may issue Additional Notes, as more particularly described therein.</w:t>
      </w:r>
    </w:p>
    <w:p>
      <w:pPr>
        <w:spacing w:after="0" w:line="113"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Bank Credit Facility</w:t>
      </w:r>
      <w:r>
        <w:rPr>
          <w:rFonts w:ascii="Arial" w:cs="Arial" w:eastAsia="Arial" w:hAnsi="Arial"/>
          <w:sz w:val="16"/>
          <w:szCs w:val="16"/>
          <w:color w:val="auto"/>
        </w:rPr>
        <w:t>. The Company, the Bank Agent, the Bank Lenders and the other parties thereto have entered into the Credit Agreement (as amended, amended and restated, supplemented or otherwise modified from time to time, including any permitted refinancings thereof, the “</w:t>
      </w:r>
      <w:r>
        <w:rPr>
          <w:rFonts w:ascii="Arial" w:cs="Arial" w:eastAsia="Arial" w:hAnsi="Arial"/>
          <w:sz w:val="16"/>
          <w:szCs w:val="16"/>
          <w:u w:val="single" w:color="auto"/>
          <w:color w:val="auto"/>
        </w:rPr>
        <w:t>Bank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pursuant to which the Bank Lenders have agreed, subject to the terms thereof, to provide</w:t>
      </w:r>
    </w:p>
    <w:p>
      <w:pPr>
        <w:sectPr>
          <w:pgSz w:w="11900" w:h="16838" w:orient="portrait"/>
          <w:cols w:equalWidth="0" w:num="1">
            <w:col w:w="11420"/>
          </w:cols>
          <w:pgMar w:left="240" w:top="125" w:right="239" w:bottom="1440" w:gutter="0" w:footer="0" w:header="0"/>
        </w:sectPr>
      </w:pPr>
    </w:p>
    <w:bookmarkStart w:id="49" w:name="page50"/>
    <w:bookmarkEnd w:id="4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Credit Facility to the Company to finance a portion of the costs related to the Projects and for working capital and general corporate purposes, as more particularly described therein.</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Disbursement Agreement</w:t>
      </w:r>
      <w:r>
        <w:rPr>
          <w:rFonts w:ascii="Arial" w:cs="Arial" w:eastAsia="Arial" w:hAnsi="Arial"/>
          <w:sz w:val="18"/>
          <w:szCs w:val="18"/>
          <w:color w:val="auto"/>
        </w:rPr>
        <w:t>. The Company, the Bank Agent, the 2014 Notes Indenture Trustee and the Disbursement Agent have entered into the Disbursement Agreement in order to set forth, among other things, (a) the mechanics for and allocation of the Company’s request for advances under the various Facilities and from the Company’s Funds Account and (b) the conditions precedent to the Closing Date, to the initial advance and to subsequent advances. This Commitment is being entered into to document WRL’s commitment to contribute funds to the Company as contemplated in the definition of the term “Available Funds” under the Disbursement Agreement.</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Benefit to WRL</w:t>
      </w:r>
      <w:r>
        <w:rPr>
          <w:rFonts w:ascii="Arial" w:cs="Arial" w:eastAsia="Arial" w:hAnsi="Arial"/>
          <w:sz w:val="18"/>
          <w:szCs w:val="18"/>
          <w:color w:val="auto"/>
        </w:rPr>
        <w:t>. The Company is a wholly owned subsidiary of WRL and acknowledges that it will benefit, directly and indirectly by the increase in the Available Funds that will occur under the Disbursement Agreement by reason of this Commitment.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COMMITMENT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WRL hereby consents and agrees (and each of the other parties hereto agrees and accepts) as follows:</w:t>
      </w:r>
    </w:p>
    <w:p>
      <w:pPr>
        <w:spacing w:after="0" w:line="51" w:lineRule="exact"/>
        <w:rPr>
          <w:sz w:val="20"/>
          <w:szCs w:val="20"/>
          <w:color w:val="auto"/>
        </w:rPr>
      </w:pPr>
    </w:p>
    <w:p>
      <w:pPr>
        <w:ind w:left="1100" w:hanging="179"/>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5" w:lineRule="auto"/>
        <w:tabs>
          <w:tab w:leader="none" w:pos="1722"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undersigned WRL, as primary obligor and not merely as surety, unconditionally and irrevocably guarantees to each of the Bank Agent, the 2014 Notes Indenture Trustee and any other Agent Beneficiary the performance by the Company of its obligation under the Disbursement Agreement to pay Project Costs as the same become due and payable together with all reasonable expenses incurred by the Disbursement Agent or the Lender Beneficiaries in enforcing such obligations or the terms hereof, including, without limitation, reasonable fees and expenses of legal counsel (collectively, the “</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and agrees that if for any reason the Company shall at any time, not have sufficient funds to pay Project Costs as and when they are due, WRL will pay the same forthwith. Notwithstanding any other provision hereof, WRL’s aggregate liability under this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excluding any amounts payable under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below shall in no event exceed the “Liability Cap.” As used herein, the term “Liability Cap” shall mean Two Hundred Fifteen Million Three Hundred Thousand Dollars ($215,300,000);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any time and from time to time, if any category of Available Funds has increased from the amount set forth on Appendix VIII to the Company’s Phase II Approval Date Request dated March 14, 2006, then WRL shall be entitled to submit to the Disbursement Agent a certificate evidencing such increase, and upon written confirmation by the Disbursement Agent of the same (not to be unreasonably withheld), the Liability Cap shall be reduced by the amount of such increase in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Liability Cap be reduced if as a result of such reduction the Company shall cease to be In Balance under the Disbursement Agreement. At such time as the Liability Cap equals zero (0), then this Commitment shall terminate and be of no further force or effect. WRL waives notice of acceptance of this Commitment and of any obligation to which it applies or may apply under the terms hereof, and waives diligence, presentment, demand of payment, notice of dishonor or non-payment, protest, notice of protest, of any such obligations, suit or taking other action by the Disbursement Agent or any Lender Beneficiary against, and giving any notice of default or other notice to, or making any demand on, any party liable thereon (including WRL).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0" w:name="page51"/>
    <w:bookmarkEnd w:id="50"/>
    <w:p>
      <w:pPr>
        <w:ind w:left="-8" w:right="160" w:firstLine="1492"/>
        <w:spacing w:after="0" w:line="294" w:lineRule="auto"/>
        <w:tabs>
          <w:tab w:leader="none" w:pos="1724" w:val="left"/>
        </w:tabs>
        <w:numPr>
          <w:ilvl w:val="1"/>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Commitment is an absolute, unconditional, continuing and irrevocable guaranty of payment and not of collectibility and is in no way conditioned on or contingent upon any attempt to enforce in whole or in part the Company’s obligations to the Lender Beneficiaries and the Disbursement Agent. Subject to the Liability Cap set forth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above, if the Company shall at any time, not have sufficient funds to pay Project Costs, as and when they are due, WRL shall forthwith pay such Obligations in immediately available funds. Each failure by the Company to pay any Obligations shall give rise to a separate cause of action herewith, and separate suits may be brought hereunder as each cause of action arises.</w:t>
      </w:r>
    </w:p>
    <w:p>
      <w:pPr>
        <w:spacing w:after="0" w:line="115" w:lineRule="exact"/>
        <w:rPr>
          <w:rFonts w:ascii="Arial" w:cs="Arial" w:eastAsia="Arial" w:hAnsi="Arial"/>
          <w:sz w:val="16"/>
          <w:szCs w:val="16"/>
          <w:color w:val="auto"/>
        </w:rPr>
      </w:pPr>
    </w:p>
    <w:p>
      <w:pPr>
        <w:ind w:left="-8" w:firstLine="1492"/>
        <w:spacing w:after="0" w:line="282" w:lineRule="auto"/>
        <w:tabs>
          <w:tab w:leader="none" w:pos="171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Lender Beneficiary may, in accordance with the Financing Agreements or any other Facility Agreement, at any time and from time to time (whether or not after revocation or termination of this Commitment) without the consent of or notice to WRL, except such notice as may be required by the Financing Agreements or any other Facility Agreement or applicable law which cannot be waived, without incurring responsibility to WRL, without impairing or releasing the obligations of WRL hereunder, upon or without any terms or conditions and in whole or in part, (i) change the manner, place and terms of payment or change or extend the time of payment of, renew, or alter any Obligation, or any obligations and liabilities (including any of those hereunder) incurred directly or indirectly in respect thereof or hereof or in any manner modify, amend or supplement the terms of any Facility Agreement or any other Facility Agreement, the Disbursement Agreement or any documents, instruments or agreements executed in connection therewith (in each case, with the consent of the Company if required by such documents) and the guaranty herein made shall apply to the Obligations as so changed, extended, renewed, modified, amended, supplemented or altered in any manner; (ii) exercise or refrain from exercising any rights against the Company or others (including WRL) or otherwise act or refrain from acting; (iii) add or release any other guarantor from its obligations without affecting or impairing the obligations of WRL hereunder; (iv) settle or compromise any Obligations and/or any obligations and liabilities (including any of those hereunder) incurred directly or indirectly in respect thereof or hereof, and may subordinate the payment of all or any part hereof to the payment of any obligations and liabilities which may be due to any Lender Beneficiary or others;</w:t>
      </w:r>
    </w:p>
    <w:p>
      <w:pPr>
        <w:spacing w:after="0" w:line="5" w:lineRule="exact"/>
        <w:rPr>
          <w:rFonts w:ascii="Arial" w:cs="Arial" w:eastAsia="Arial" w:hAnsi="Arial"/>
          <w:sz w:val="16"/>
          <w:szCs w:val="16"/>
          <w:color w:val="auto"/>
        </w:rPr>
      </w:pPr>
    </w:p>
    <w:p>
      <w:pPr>
        <w:ind w:left="-8" w:right="40" w:firstLine="8"/>
        <w:spacing w:after="0" w:line="286" w:lineRule="auto"/>
        <w:tabs>
          <w:tab w:leader="none" w:pos="2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sell, exchange, release, surrender, realize upon or otherwise deal with in any manner or in any order any property by whomsoever pledged or mortgaged to secure or howsoever securing the Obligations or any liabilities or obligations (including any of those hereunder) incurred directly or indirectly in respect thereof or hereof and/or any offset thereagainst; (vi) apply any sums by whomsoever paid or howsoever realized to any obligations and liabilities of the Company and the other Loan Parties to the Lender Beneficiaries under any of the Financing Agreements or any other Facility Agreement in the manner provided therein regardless of what obligations and liabilities remain unpaid; (vii) consent to or waive any breach of, or any act, omission or default under, any Financing Agreement or any other Facility Agreement (including the obligation to achieve Final Completion with respect to either Project) or otherwise amend, modify or supplement (with the consent of the Company or other Loan Parties, if required by such documents) any Financing Agreement or any other Facility Agreement (including the obligation to achieve Final Completion with respect to either Project) or any of such other instruments or agreements; and/or (viii) act or fail to act in any manner referred to in this Commitment which may deprive WRL of any right to subrogation which WRL may, notwithstanding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have against the Company or the other Loan Parties to recover full indemnity for any payments made pursuant to this Commitment or of any right of contribution which WRL may have against any other party.</w:t>
      </w:r>
    </w:p>
    <w:p>
      <w:pPr>
        <w:spacing w:after="0" w:line="120" w:lineRule="exact"/>
        <w:rPr>
          <w:rFonts w:ascii="Arial" w:cs="Arial" w:eastAsia="Arial" w:hAnsi="Arial"/>
          <w:sz w:val="16"/>
          <w:szCs w:val="16"/>
          <w:color w:val="auto"/>
        </w:rPr>
      </w:pPr>
    </w:p>
    <w:p>
      <w:pPr>
        <w:ind w:left="-8" w:right="440" w:firstLine="1492"/>
        <w:spacing w:after="0" w:line="268" w:lineRule="auto"/>
        <w:tabs>
          <w:tab w:leader="none" w:pos="17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 invalidity, irregularity or unenforceability of the Obligations shall affect, impair, or be a defense to the guaranty set forth herein, which is a primary obligation of WRL.</w:t>
      </w:r>
    </w:p>
    <w:p>
      <w:pPr>
        <w:spacing w:after="0" w:line="131" w:lineRule="exact"/>
        <w:rPr>
          <w:rFonts w:ascii="Arial" w:cs="Arial" w:eastAsia="Arial" w:hAnsi="Arial"/>
          <w:sz w:val="18"/>
          <w:szCs w:val="18"/>
          <w:color w:val="auto"/>
        </w:rPr>
      </w:pPr>
    </w:p>
    <w:p>
      <w:pPr>
        <w:ind w:left="-8" w:right="120" w:firstLine="1492"/>
        <w:spacing w:after="0" w:line="268" w:lineRule="auto"/>
        <w:tabs>
          <w:tab w:leader="none" w:pos="171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is a continuing guaranty and all obligations to which it applies or may apply under the terms hereof shall be conclusively presumed to have been created in reliance hereon.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51" w:name="page52"/>
    <w:bookmarkEnd w:id="5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event that, notwithstanding the provisions of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hereof, the guaranty set forth herein shall be deemed revocable in accordance with applicable law, then any such revocation shall become effective only upon receipt by each Agent Beneficiary and the Disbursement Agent of written notice of revocation signed by WRL. No revocation or termination hereof shall affect in any manner rights arising under this Commitment with respect to Obligations (i) arising prior to receipt by each Agent Beneficiary and the Disbursement Agent of written notice of such revocation or termination and the sole effect of revocation and termination hereof shall be to exclude from this Commitment any Obligations thereafter arising which are unconnected with Obligations theretofore arising or transactions theretofore entered into or (ii) arising as a result of an Event of Default under the Disbursement Agreement occurring by reason of the revocation or termination of this Commitment.</w:t>
      </w:r>
    </w:p>
    <w:p>
      <w:pPr>
        <w:spacing w:after="0" w:line="147" w:lineRule="exact"/>
        <w:rPr>
          <w:sz w:val="20"/>
          <w:szCs w:val="20"/>
          <w:color w:val="auto"/>
        </w:rPr>
      </w:pPr>
    </w:p>
    <w:p>
      <w:pPr>
        <w:ind w:right="400" w:firstLine="921"/>
        <w:spacing w:after="0" w:line="268" w:lineRule="auto"/>
        <w:tabs>
          <w:tab w:leader="none" w:pos="1088"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WRL makes the representations and warranties set forth below to the Funding Agents and the Disbursement Agent as of the date hereof:</w:t>
      </w:r>
    </w:p>
    <w:p>
      <w:pPr>
        <w:spacing w:after="0" w:line="50" w:lineRule="exact"/>
        <w:rPr>
          <w:rFonts w:ascii="Arial" w:cs="Arial" w:eastAsia="Arial" w:hAnsi="Arial"/>
          <w:sz w:val="18"/>
          <w:szCs w:val="18"/>
          <w:color w:val="auto"/>
        </w:rPr>
      </w:pPr>
    </w:p>
    <w:p>
      <w:pPr>
        <w:ind w:right="300" w:firstLine="1492"/>
        <w:spacing w:after="0" w:line="305" w:lineRule="auto"/>
        <w:tabs>
          <w:tab w:leader="none" w:pos="1722" w:val="left"/>
        </w:tabs>
        <w:numPr>
          <w:ilvl w:val="2"/>
          <w:numId w:val="21"/>
        </w:numPr>
        <w:rPr>
          <w:rFonts w:ascii="Arial" w:cs="Arial" w:eastAsia="Arial" w:hAnsi="Arial"/>
          <w:sz w:val="15"/>
          <w:szCs w:val="15"/>
          <w:color w:val="auto"/>
        </w:rPr>
      </w:pPr>
      <w:r>
        <w:rPr>
          <w:rFonts w:ascii="Arial" w:cs="Arial" w:eastAsia="Arial" w:hAnsi="Arial"/>
          <w:sz w:val="15"/>
          <w:szCs w:val="15"/>
          <w:color w:val="auto"/>
        </w:rPr>
        <w:t>WRL is duly organized, validly existing and in good standing under the laws of the jurisdiction of its organization, has all requisite corporate power and authority to (i) carry on its business as now conducted, (ii) own and operate the properties it purports to own, (iii) incur indebtedness and</w:t>
      </w: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 deliver and perform under this Commitment.</w:t>
      </w:r>
    </w:p>
    <w:p>
      <w:pPr>
        <w:spacing w:after="0" w:line="164" w:lineRule="exact"/>
        <w:rPr>
          <w:rFonts w:ascii="Arial" w:cs="Arial" w:eastAsia="Arial" w:hAnsi="Arial"/>
          <w:sz w:val="18"/>
          <w:szCs w:val="18"/>
          <w:color w:val="auto"/>
        </w:rPr>
      </w:pPr>
    </w:p>
    <w:p>
      <w:pPr>
        <w:ind w:right="40" w:firstLine="1492"/>
        <w:spacing w:after="0" w:line="294" w:lineRule="auto"/>
        <w:tabs>
          <w:tab w:leader="none" w:pos="1732" w:val="left"/>
        </w:tabs>
        <w:numPr>
          <w:ilvl w:val="2"/>
          <w:numId w:val="22"/>
        </w:numPr>
        <w:rPr>
          <w:rFonts w:ascii="Arial" w:cs="Arial" w:eastAsia="Arial" w:hAnsi="Arial"/>
          <w:sz w:val="16"/>
          <w:szCs w:val="16"/>
          <w:color w:val="auto"/>
        </w:rPr>
      </w:pPr>
      <w:r>
        <w:rPr>
          <w:rFonts w:ascii="Arial" w:cs="Arial" w:eastAsia="Arial" w:hAnsi="Arial"/>
          <w:sz w:val="16"/>
          <w:szCs w:val="16"/>
          <w:color w:val="auto"/>
        </w:rPr>
        <w:t>WRL has duly authorized, executed and delivered this Commitment and neither the execution and delivery hereof nor the consummation of the transactions contemplated hereby nor the compliance with the terms hereof (i) contravenes the formation documents or any other Legal Requirement applicable to or binding on WRL, (ii) contravenes or results in any breach or constitutes any default under, or results in or requires the creation of any Lien upon any of WRL’s properties or under any agreement or instrument to which WRL is a party or by which it or any of its properties may be bound, or (c) does or will require the consent or approval of any Person which has not previously been obtained.</w:t>
      </w:r>
    </w:p>
    <w:p>
      <w:pPr>
        <w:spacing w:after="0" w:line="115" w:lineRule="exact"/>
        <w:rPr>
          <w:rFonts w:ascii="Arial" w:cs="Arial" w:eastAsia="Arial" w:hAnsi="Arial"/>
          <w:sz w:val="16"/>
          <w:szCs w:val="16"/>
          <w:color w:val="auto"/>
        </w:rPr>
      </w:pPr>
    </w:p>
    <w:p>
      <w:pPr>
        <w:jc w:val="both"/>
        <w:ind w:right="420" w:firstLine="1492"/>
        <w:spacing w:after="0" w:line="259" w:lineRule="auto"/>
        <w:tabs>
          <w:tab w:leader="none" w:pos="1722" w:val="left"/>
        </w:tabs>
        <w:numPr>
          <w:ilvl w:val="2"/>
          <w:numId w:val="22"/>
        </w:numPr>
        <w:rPr>
          <w:rFonts w:ascii="Arial" w:cs="Arial" w:eastAsia="Arial" w:hAnsi="Arial"/>
          <w:sz w:val="18"/>
          <w:szCs w:val="18"/>
          <w:color w:val="auto"/>
        </w:rPr>
      </w:pPr>
      <w:r>
        <w:rPr>
          <w:rFonts w:ascii="Arial" w:cs="Arial" w:eastAsia="Arial" w:hAnsi="Arial"/>
          <w:sz w:val="18"/>
          <w:szCs w:val="18"/>
          <w:color w:val="auto"/>
        </w:rPr>
        <w:t>All governmental authorizations and actions necessary to be obtained, made or taken by WRL in connection with the execution and delivery by WRL of this Commitment and the performance of its Obligations hereunder have been obtained or performed and are valid and in full force and effect.</w:t>
      </w:r>
    </w:p>
    <w:p>
      <w:pPr>
        <w:spacing w:after="0" w:line="140" w:lineRule="exact"/>
        <w:rPr>
          <w:rFonts w:ascii="Arial" w:cs="Arial" w:eastAsia="Arial" w:hAnsi="Arial"/>
          <w:sz w:val="18"/>
          <w:szCs w:val="18"/>
          <w:color w:val="auto"/>
        </w:rPr>
      </w:pPr>
    </w:p>
    <w:p>
      <w:pPr>
        <w:ind w:right="100" w:firstLine="1492"/>
        <w:spacing w:after="0" w:line="259" w:lineRule="auto"/>
        <w:tabs>
          <w:tab w:leader="none" w:pos="1732"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This Commitment constitutes the legal, valid and binding obligation of WRL, enforceable against WRL in accordance with the terms of this Commitment, subject to applicable bankruptcy, insolvency, moratorium and other similar laws affecting the enforcement of creditors’ rights generally and general principles of equity (whether enforcement is sought by proceedings in equity or law).</w:t>
      </w:r>
    </w:p>
    <w:p>
      <w:pPr>
        <w:spacing w:after="0" w:line="140" w:lineRule="exact"/>
        <w:rPr>
          <w:rFonts w:ascii="Arial" w:cs="Arial" w:eastAsia="Arial" w:hAnsi="Arial"/>
          <w:sz w:val="18"/>
          <w:szCs w:val="18"/>
          <w:color w:val="auto"/>
        </w:rPr>
      </w:pPr>
    </w:p>
    <w:p>
      <w:pPr>
        <w:jc w:val="both"/>
        <w:ind w:right="60" w:firstLine="1492"/>
        <w:spacing w:after="0" w:line="259" w:lineRule="auto"/>
        <w:tabs>
          <w:tab w:leader="none" w:pos="1722"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There is no pending or, to the best of WRL’s knowledge, threatened action or proceeding affecting WRL before any court, governmental agency or arbitrator, which might reasonably be expected to materially and adversely affect the financial condition, results of operations, business or prospects of WRL or the ability of WRL to perform its obligations under this Commitment.</w:t>
      </w:r>
    </w:p>
    <w:p>
      <w:pPr>
        <w:spacing w:after="0" w:line="140" w:lineRule="exact"/>
        <w:rPr>
          <w:rFonts w:ascii="Arial" w:cs="Arial" w:eastAsia="Arial" w:hAnsi="Arial"/>
          <w:sz w:val="18"/>
          <w:szCs w:val="18"/>
          <w:color w:val="auto"/>
        </w:rPr>
      </w:pPr>
    </w:p>
    <w:p>
      <w:pPr>
        <w:ind w:right="420" w:firstLine="1492"/>
        <w:spacing w:after="0" w:line="268" w:lineRule="auto"/>
        <w:tabs>
          <w:tab w:leader="none" w:pos="1703" w:val="left"/>
        </w:tabs>
        <w:numPr>
          <w:ilvl w:val="2"/>
          <w:numId w:val="22"/>
        </w:numPr>
        <w:rPr>
          <w:rFonts w:ascii="Arial" w:cs="Arial" w:eastAsia="Arial" w:hAnsi="Arial"/>
          <w:sz w:val="18"/>
          <w:szCs w:val="18"/>
          <w:color w:val="auto"/>
        </w:rPr>
      </w:pPr>
      <w:r>
        <w:rPr>
          <w:rFonts w:ascii="Arial" w:cs="Arial" w:eastAsia="Arial" w:hAnsi="Arial"/>
          <w:sz w:val="18"/>
          <w:szCs w:val="18"/>
          <w:color w:val="auto"/>
        </w:rPr>
        <w:t>WRL possesses all franchises, certificates, licenses, permits and other governmental authorizations and approvals necessary for it to perform its obligations under this Commitment.</w:t>
      </w:r>
    </w:p>
    <w:p>
      <w:pPr>
        <w:spacing w:after="0" w:line="131" w:lineRule="exact"/>
        <w:rPr>
          <w:rFonts w:ascii="Arial" w:cs="Arial" w:eastAsia="Arial" w:hAnsi="Arial"/>
          <w:sz w:val="18"/>
          <w:szCs w:val="18"/>
          <w:color w:val="auto"/>
        </w:rPr>
      </w:pPr>
    </w:p>
    <w:p>
      <w:pPr>
        <w:jc w:val="both"/>
        <w:ind w:right="80" w:firstLine="1492"/>
        <w:spacing w:after="0" w:line="259" w:lineRule="auto"/>
        <w:tabs>
          <w:tab w:leader="none" w:pos="1732" w:val="left"/>
        </w:tabs>
        <w:numPr>
          <w:ilvl w:val="2"/>
          <w:numId w:val="22"/>
        </w:numPr>
        <w:rPr>
          <w:rFonts w:ascii="Arial" w:cs="Arial" w:eastAsia="Arial" w:hAnsi="Arial"/>
          <w:sz w:val="18"/>
          <w:szCs w:val="18"/>
          <w:color w:val="auto"/>
        </w:rPr>
      </w:pPr>
      <w:r>
        <w:rPr>
          <w:rFonts w:ascii="Arial" w:cs="Arial" w:eastAsia="Arial" w:hAnsi="Arial"/>
          <w:sz w:val="18"/>
          <w:szCs w:val="18"/>
          <w:color w:val="auto"/>
        </w:rPr>
        <w:t>WRL has established adequate means of obtaining financial and other information pertaining to the businesses, operations and condition (financial and otherwise) of the Company, and WRL now is and hereafter will be familiar with the businesses, operations and condition (financial and otherwise)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2" w:name="page53"/>
    <w:bookmarkEnd w:id="52"/>
    <w:p>
      <w:pPr>
        <w:ind w:left="1740" w:hanging="248"/>
        <w:spacing w:after="0"/>
        <w:tabs>
          <w:tab w:leader="none" w:pos="1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WRL is not an investment company within the meaning of the Investment Company Act of 1940.</w:t>
      </w:r>
    </w:p>
    <w:p>
      <w:pPr>
        <w:spacing w:after="0" w:line="171" w:lineRule="exact"/>
        <w:rPr>
          <w:rFonts w:ascii="Arial" w:cs="Arial" w:eastAsia="Arial" w:hAnsi="Arial"/>
          <w:sz w:val="18"/>
          <w:szCs w:val="18"/>
          <w:color w:val="auto"/>
        </w:rPr>
      </w:pPr>
    </w:p>
    <w:p>
      <w:pPr>
        <w:ind w:right="20" w:firstLine="1492"/>
        <w:spacing w:after="0" w:line="268" w:lineRule="auto"/>
        <w:tabs>
          <w:tab w:leader="none" w:pos="1693" w:val="left"/>
        </w:tabs>
        <w:numPr>
          <w:ilvl w:val="1"/>
          <w:numId w:val="23"/>
        </w:numPr>
        <w:rPr>
          <w:rFonts w:ascii="Arial" w:cs="Arial" w:eastAsia="Arial" w:hAnsi="Arial"/>
          <w:sz w:val="18"/>
          <w:szCs w:val="18"/>
          <w:color w:val="auto"/>
        </w:rPr>
      </w:pPr>
      <w:r>
        <w:rPr>
          <w:rFonts w:ascii="Arial" w:cs="Arial" w:eastAsia="Arial" w:hAnsi="Arial"/>
          <w:sz w:val="18"/>
          <w:szCs w:val="18"/>
          <w:color w:val="auto"/>
        </w:rPr>
        <w:t>WRL is, and immediately after giving effect to the incurrence of its obligations under this Commitment will be, Solvent (as defined in the Credit Agreement in effect on the date hereof).</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So long as this Commitment is in effect, WRL agrees that:</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it will preserve, renew and keep in full force and effect its corporate existence and it will not amend, revise or modify its organizational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164" w:lineRule="exact"/>
        <w:rPr>
          <w:rFonts w:ascii="Arial" w:cs="Arial" w:eastAsia="Arial" w:hAnsi="Arial"/>
          <w:sz w:val="16"/>
          <w:szCs w:val="16"/>
          <w:color w:val="auto"/>
        </w:rPr>
      </w:pPr>
    </w:p>
    <w:p>
      <w:pPr>
        <w:ind w:right="180" w:firstLine="1492"/>
        <w:spacing w:after="0" w:line="332" w:lineRule="auto"/>
        <w:tabs>
          <w:tab w:leader="none" w:pos="1732" w:val="left"/>
        </w:tabs>
        <w:numPr>
          <w:ilvl w:val="1"/>
          <w:numId w:val="24"/>
        </w:numPr>
        <w:rPr>
          <w:rFonts w:ascii="Arial" w:cs="Arial" w:eastAsia="Arial" w:hAnsi="Arial"/>
          <w:sz w:val="16"/>
          <w:szCs w:val="16"/>
          <w:color w:val="auto"/>
        </w:rPr>
      </w:pPr>
      <w:r>
        <w:rPr>
          <w:rFonts w:ascii="Arial" w:cs="Arial" w:eastAsia="Arial" w:hAnsi="Arial"/>
          <w:sz w:val="16"/>
          <w:szCs w:val="16"/>
          <w:color w:val="auto"/>
        </w:rPr>
        <w:t>it will maintain in full force and effect all consents of any governmental or other authority that are required to be obtained by it for it to perform its obligations under this Commitment and will obtain any such consent that may become necessary in the future;</w:t>
      </w:r>
    </w:p>
    <w:p>
      <w:pPr>
        <w:spacing w:after="0" w:line="85" w:lineRule="exact"/>
        <w:rPr>
          <w:rFonts w:ascii="Arial" w:cs="Arial" w:eastAsia="Arial" w:hAnsi="Arial"/>
          <w:sz w:val="16"/>
          <w:szCs w:val="16"/>
          <w:color w:val="auto"/>
        </w:rPr>
      </w:pPr>
    </w:p>
    <w:p>
      <w:pPr>
        <w:ind w:right="580" w:firstLine="1492"/>
        <w:spacing w:after="0" w:line="268" w:lineRule="auto"/>
        <w:tabs>
          <w:tab w:leader="none" w:pos="17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it will comply in all material respects with all applicable laws and orders to which it may be subject if failure so to comply would materially impair its ability to perform its obligations under this Commitment;</w:t>
      </w:r>
    </w:p>
    <w:p>
      <w:pPr>
        <w:spacing w:after="0" w:line="131" w:lineRule="exact"/>
        <w:rPr>
          <w:rFonts w:ascii="Arial" w:cs="Arial" w:eastAsia="Arial" w:hAnsi="Arial"/>
          <w:sz w:val="18"/>
          <w:szCs w:val="18"/>
          <w:color w:val="auto"/>
        </w:rPr>
      </w:pPr>
    </w:p>
    <w:p>
      <w:pPr>
        <w:jc w:val="both"/>
        <w:ind w:firstLine="1492"/>
        <w:spacing w:after="0" w:line="306" w:lineRule="auto"/>
        <w:tabs>
          <w:tab w:leader="none" w:pos="1732"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promptly, and in any event within thirty (30) Banking Days after obtaining knowledge thereof, WRL will give to each Agent Beneficiary and the Disbursement Agent notice of the occurrence of any litigation or governmental proceeding (i) pending against WRL which, if adversely determined, has a reasonable possibility of adversely affecting WRL’s ability to comply with this Commitment or (ii) which relates to this Commitment; and</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it will deliver such other documents and other information reasonably requested by any Agent Beneficiary or the Disbursement Agent.</w:t>
      </w:r>
    </w:p>
    <w:p>
      <w:pPr>
        <w:spacing w:after="0" w:line="194" w:lineRule="exact"/>
        <w:rPr>
          <w:rFonts w:ascii="Arial" w:cs="Arial" w:eastAsia="Arial" w:hAnsi="Arial"/>
          <w:sz w:val="16"/>
          <w:szCs w:val="16"/>
          <w:color w:val="auto"/>
        </w:rPr>
      </w:pPr>
    </w:p>
    <w:p>
      <w:pPr>
        <w:ind w:firstLine="921"/>
        <w:spacing w:after="0" w:line="286" w:lineRule="auto"/>
        <w:tabs>
          <w:tab w:leader="none" w:pos="108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To the fullest extent permitted by law, WRL hereby waives and relinquishes all rights and remedies accorded by applicable law to sureties or WRLs and agrees not to assert or take advantage of any such rights or remedies, including without limitation (a) any right to require any Lender Beneficiary or the Disbursement Agent to proceed against the Company or any other person or to proceed against or exhaust any security held by any Lender Beneficiary or the Disbursement Agent at any time or to pursue any other remedy in the power of any Lender Beneficiary or the Disbursement Agent before proceeding against WRL (including any right or claim of right to cause a marshalling of a debtor’s assets or to proceed against WRL, any debtor or any other WRL of any debtor’s obligations in any particular order, including, without limitation, any right arising under Nevada Revised Statutes Section 40.430 to the fullest extent permitted by Nevada Revised Statutes 40.495(2)), (b) any defense that may arise by reason of the incapacity, lack of power or authority, death, dissolution, merger, termination or disability of the Company or any other Person or the failure of any Lender Beneficiary or the Disbursement Agent to file or enforce a claim against the estate (in administration, bankruptcy or any other proceeding) of the Company or any other Person, (c) demand, presentment, protest and notice of any kind, including without limitation notice of the existence, creation or incurring of any new or additional indebtedness or obligation or of any action or non-action on the part of the Company, any Lender Beneficiary, the Disbursement Agent, any endorser or creditor of the Company or WRL or on the part of any other person under this or any other instrument in connection with any obligation or evidence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3" w:name="page54"/>
    <w:bookmarkEnd w:id="5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indebtedness held by any Lender Beneficiary, or the Disbursement Agent as collateral or in connection with any Obligations, (d) any defense based upon an election of remedies by any Lender Beneficiary, the Collateral Agent or any collateral agent on their behalf, or the Disbursement Agent, including without limitation an election to proceed by non-judicial rather than judicial foreclosure, which destroys or otherwise impairs any subrogation rights which WRL may, notwithstanding the provisions of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have against the Company, any right which WRL may, notwithstanding the provisions of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have to proceed against the Company for reimbursement, or both, (e) any defense based on any offset against any amounts which may be owed by any Person to WRL for any reason whatsoever, (f) any defense based on any act, failure to act, delay or omission whatsoever on the part of the Company or the failure by the Company to do any act or thing or to observe or perform any covenant, condition or agreement to be observed or performed by it under the Financing Agreements or any other Facility Agreement, (g) any defense based upon any statute or rule of law which provides that the obligation of a surety must be neither larger in amount nor in other respects more burdensome than that of the principal provided, that, upon payment in full of the Obligations, this Commitment shall no longer be of any force or effect, (h) any defense, setoff or counterclaim which may at any time be available to or asserted by the Company against any Lender Beneficiary, the Disbursement Agent, the Construction Consultant or any other Person under any of the Financing Agreements or any other Facility Agreement, including in connection with the exercise of any judgment by the Disbursement Agent, the Construction Consultant or any other Person under the Disbursement Agreement or by reason of the delay or failure by the Disbursement Agent or the Construction Consultant or any other Person to perform their duties thereunder,</w:t>
      </w:r>
    </w:p>
    <w:p>
      <w:pPr>
        <w:spacing w:after="0" w:line="5" w:lineRule="exact"/>
        <w:rPr>
          <w:sz w:val="20"/>
          <w:szCs w:val="20"/>
          <w:color w:val="auto"/>
        </w:rPr>
      </w:pPr>
    </w:p>
    <w:p>
      <w:pPr>
        <w:ind w:right="20" w:firstLine="8"/>
        <w:spacing w:after="0" w:line="300" w:lineRule="auto"/>
        <w:tabs>
          <w:tab w:leader="none" w:pos="2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any duty on the part of any Lender Beneficiary or the Disbursement Agent to disclose to WRL any facts any such Person may now or hereafter know about the Company, regardless of whether such person has reason to believe that any such facts materially increase the risk beyond that which WRL intends to assume, or have reason to believe that such facts are unknown to WRL, or have a reasonable opportunity to communicate such facts to WRL, and WRL acknowledges that it is fully responsible for being and keeping informed of the financial condition of the Company and the other Loan Parties and of all circumstances bearing on the risk of non-payment of any obligations and liabilities hereby guaranteed, (j) the fact that WRL may at any time in the future no longer be a parent company of the Company, (k) any defense based on any change in the time, manner or place of any payment under, or in any other term of, the Disbursement Agreement, any other Facility Agreement or any other amendment, renewal, extension, acceleration, compromise or waiver of or any consent or departure from the terms of the Disbursement Agreement, any other Financing Agreement or any other Facility Agreement, (l) any defense arising because of any Lender Beneficiary’s or the Disbursement Agent’s election, in any proceeding instituted under the Bankruptcy Code, of the application of Section 1111(b)(2) of the Bankruptcy Code, and</w:t>
      </w:r>
    </w:p>
    <w:p>
      <w:pPr>
        <w:spacing w:after="0" w:line="4" w:lineRule="exact"/>
        <w:rPr>
          <w:rFonts w:ascii="Arial" w:cs="Arial" w:eastAsia="Arial" w:hAnsi="Arial"/>
          <w:sz w:val="15"/>
          <w:szCs w:val="15"/>
          <w:color w:val="auto"/>
        </w:rPr>
      </w:pPr>
    </w:p>
    <w:p>
      <w:pPr>
        <w:ind w:left="300" w:hanging="292"/>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defense based upon any borrowing or grant of a security interest under Section 364 of the Bankruptcy Code.</w:t>
      </w:r>
    </w:p>
    <w:p>
      <w:pPr>
        <w:spacing w:after="0" w:line="164" w:lineRule="exact"/>
        <w:rPr>
          <w:rFonts w:ascii="Arial" w:cs="Arial" w:eastAsia="Arial" w:hAnsi="Arial"/>
          <w:sz w:val="18"/>
          <w:szCs w:val="18"/>
          <w:color w:val="auto"/>
        </w:rPr>
      </w:pPr>
    </w:p>
    <w:p>
      <w:pPr>
        <w:ind w:right="80" w:firstLine="921"/>
        <w:spacing w:after="0" w:line="287" w:lineRule="auto"/>
        <w:tabs>
          <w:tab w:leader="none" w:pos="108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Any obligation of the Company to repay or reimburse WRL for amounts paid hereunder is hereby subordinated to all obligations and liabilities of all kinds and nature (including the “Obligations” (as defined in the Disbursement Agreement)) of the Company to the Lender Beneficiaries. Without the prior written consent of the Bank Agent, such repayment or reimbursement obligations shall not be paid or withdrawn in whole or in part, nor shall WRL accept any payment of or on account of any such amounts until all the Obligations have been repaid in full. At the Bank Agent’s request, if an Event of Default under the Disbursement Agreement has occurred and is continuing, WRL shall cause Company to pay to the Collateral Agent for the benefit of the “First Lien Secured Parties” (as defined in the Intercreditor Agreement) all or any part of such repayment or reimbursement obligations. Any payment by Company or any other Loan Party in violation of this Commitment shall be received by WRL in trust for Lender Beneficiaries, and WRL shall cause the same to be paid to Lender Beneficiaries immediately upon demand by the Bank Agent on account of Company’s obligations thereto. WRL shall not assign all or any portion of any such repayment or reimbursement rights while this Commitment remains in effect and any attempted assignment thereof in violation of the provisions of this Commitment shall be void.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4" w:name="page55"/>
    <w:bookmarkEnd w:id="54"/>
    <w:p>
      <w:pPr>
        <w:ind w:left="-20" w:firstLine="921"/>
        <w:spacing w:after="0" w:line="289" w:lineRule="auto"/>
        <w:tabs>
          <w:tab w:leader="none" w:pos="1068"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Subrogation</w:t>
      </w:r>
      <w:r>
        <w:rPr>
          <w:rFonts w:ascii="Arial" w:cs="Arial" w:eastAsia="Arial" w:hAnsi="Arial"/>
          <w:sz w:val="16"/>
          <w:szCs w:val="16"/>
          <w:color w:val="auto"/>
        </w:rPr>
        <w:t>. Until all Obligations have been paid in full, (a) WRL shall not have any right of subrogation and waives all rights to enforce any remedy which the Lender Beneficiaries or the Disbursement Agent now have or may hereafter have against the Company and the other Loan Parties, and waives the benefit of, and all rights to participate in, any security now or hereafter held by the Lender Beneficiaries or the Disbursement Agent from the Company or the other Loan Parties and (b) WRL waives any claim, right or remedy which WRL may now have or hereafter acquire against the Company or the other Loan Parties that arises hereunder and/or from the performance by WRL hereunder including, without limitation, any claim, remedy or right of subrogation, reimbursement, exoneration, contribution, indemnification, or participation in any claim, right or remedy of the Lender Beneficiaries or the Disbursement Agent against the Company or the other Loan Parties, or any security which the Lender Beneficiaries or the Disbursement Agent now have or hereafter acquire, whether or not such claim, right or remedy arises in equity, under contract, by statute, under common law or otherwise.</w:t>
      </w:r>
    </w:p>
    <w:p>
      <w:pPr>
        <w:spacing w:after="0" w:line="118" w:lineRule="exact"/>
        <w:rPr>
          <w:rFonts w:ascii="Arial" w:cs="Arial" w:eastAsia="Arial" w:hAnsi="Arial"/>
          <w:sz w:val="16"/>
          <w:szCs w:val="16"/>
          <w:color w:val="auto"/>
        </w:rPr>
      </w:pPr>
    </w:p>
    <w:p>
      <w:pPr>
        <w:ind w:left="1080" w:hanging="179"/>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280" w:firstLine="1492"/>
        <w:spacing w:after="0" w:line="294" w:lineRule="auto"/>
        <w:tabs>
          <w:tab w:leader="none" w:pos="1702" w:val="left"/>
        </w:tabs>
        <w:numPr>
          <w:ilvl w:val="1"/>
          <w:numId w:val="27"/>
        </w:numPr>
        <w:rPr>
          <w:rFonts w:ascii="Arial" w:cs="Arial" w:eastAsia="Arial" w:hAnsi="Arial"/>
          <w:sz w:val="16"/>
          <w:szCs w:val="16"/>
          <w:color w:val="auto"/>
        </w:rPr>
      </w:pPr>
      <w:r>
        <w:rPr>
          <w:rFonts w:ascii="Arial" w:cs="Arial" w:eastAsia="Arial" w:hAnsi="Arial"/>
          <w:sz w:val="16"/>
          <w:szCs w:val="16"/>
          <w:color w:val="auto"/>
        </w:rPr>
        <w:t>So long as any of the Obligations are owed to any Lender Beneficiaries, WRL shall not commence, or join with any other Person in commencing, any bankruptcy, reorganization, or insolvency proceeding against the Company or any other Loan Party. The obligations of WRL under this Commitment shall not be altered, limited or affected by any proceeding, voluntary or involuntary, involving the bankruptcy, reorganization, insolvency, receivership, liquidation or arrangement of the Company or any other Loan Party, or by any defense which the Company or any other Loan Party may have by reason of any order, decree or decision of any court or administrative body resulting from any such proceeding.</w:t>
      </w:r>
    </w:p>
    <w:p>
      <w:pPr>
        <w:spacing w:after="0" w:line="115" w:lineRule="exact"/>
        <w:rPr>
          <w:rFonts w:ascii="Arial" w:cs="Arial" w:eastAsia="Arial" w:hAnsi="Arial"/>
          <w:sz w:val="16"/>
          <w:szCs w:val="16"/>
          <w:color w:val="auto"/>
        </w:rPr>
      </w:pPr>
    </w:p>
    <w:p>
      <w:pPr>
        <w:ind w:left="-20" w:right="20" w:firstLine="1492"/>
        <w:spacing w:after="0" w:line="286" w:lineRule="auto"/>
        <w:tabs>
          <w:tab w:leader="none" w:pos="1712" w:val="left"/>
        </w:tabs>
        <w:numPr>
          <w:ilvl w:val="1"/>
          <w:numId w:val="27"/>
        </w:numPr>
        <w:rPr>
          <w:rFonts w:ascii="Arial" w:cs="Arial" w:eastAsia="Arial" w:hAnsi="Arial"/>
          <w:sz w:val="16"/>
          <w:szCs w:val="16"/>
          <w:color w:val="auto"/>
        </w:rPr>
      </w:pPr>
      <w:r>
        <w:rPr>
          <w:rFonts w:ascii="Arial" w:cs="Arial" w:eastAsia="Arial" w:hAnsi="Arial"/>
          <w:sz w:val="16"/>
          <w:szCs w:val="16"/>
          <w:color w:val="auto"/>
        </w:rPr>
        <w:t>So long as any Obligations are owed to any Lender Beneficiaries, to the extent of such Obligations, WRL shall file, in any bankruptcy or other proceeding of or against the Company or any other Loan Party in which the filing of proofs of claims is required or permitted by law, all claims which WRL may have against the Company or any other Loan Party (but only to the extent) relating to any indebtedness of the Company or such other Loan Party to WRL, and hereby assigns to the Agent Beneficiaries all rights of WRL thereunder. If WRL does not file any such claim, each of the Agent Beneficiaries as attorney-in-fact for WRL is hereby authorized to do so in the name of WRL or, in the discretion of any such Agent Beneficiary, to assign the claim to a nominee and to cause proofs of claim to be filed in the name of such nominee. The foregoing power of attorney is coupled with an interest and cannot be revoked. The Agent Beneficiary nominees shall have the sole right to accept or reject any plan proposed in any such proceeding and to take any other action which a party filing a claim is entitled to take. In all such cases, whether in administration, bankruptcy or otherwise, the person authorized to pay such a claim shall pay the same to the Agent Beneficiaries to the extent of any Obligations which then remain unpaid, and, to the full extent necessary for that purpose, WRL hereby assigns to the Agent Beneficiaries all of WRL’s rights to all such payments or distributions to which WRL would otherwise be entitled; provided, however, that WRL’s obligations hereunder shall not be satisfied except to the extent that the Agent Beneficiaries (or the Collateral Agent on their behalf) receive cash by reason of any such payment or distribution. If the Agent Beneficiaries (or the Collateral Agent on their behalf) receive anything hereunder other than cash, the same shall be held as collateral for amounts due under this Commitment.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55" w:name="page56"/>
    <w:bookmarkEnd w:id="55"/>
    <w:p>
      <w:pPr>
        <w:ind w:left="1060" w:hanging="179"/>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Successions or Assignments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100" w:firstLine="1492"/>
        <w:spacing w:after="0" w:line="268" w:lineRule="auto"/>
        <w:tabs>
          <w:tab w:leader="none" w:pos="16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Commitment shall inure to the benefit of the successors or assigns of the Lender Beneficiaries who shall have, to the extent of their interest, the rights of the Lender Beneficiaries hereunder.</w:t>
      </w:r>
    </w:p>
    <w:p>
      <w:pPr>
        <w:spacing w:after="0" w:line="131" w:lineRule="exact"/>
        <w:rPr>
          <w:rFonts w:ascii="Arial" w:cs="Arial" w:eastAsia="Arial" w:hAnsi="Arial"/>
          <w:sz w:val="18"/>
          <w:szCs w:val="18"/>
          <w:color w:val="auto"/>
        </w:rPr>
      </w:pPr>
    </w:p>
    <w:p>
      <w:pPr>
        <w:ind w:left="-40" w:firstLine="1492"/>
        <w:spacing w:after="0" w:line="268" w:lineRule="auto"/>
        <w:tabs>
          <w:tab w:leader="none" w:pos="16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Commitment is binding upon WRL and its successors. WRL is not entitled to assign its obligations hereunder to any other person or entity, and any purported assignment in violation of this provision shall be void.</w:t>
      </w:r>
    </w:p>
    <w:p>
      <w:pPr>
        <w:spacing w:after="0" w:line="131" w:lineRule="exact"/>
        <w:rPr>
          <w:rFonts w:ascii="Arial" w:cs="Arial" w:eastAsia="Arial" w:hAnsi="Arial"/>
          <w:sz w:val="18"/>
          <w:szCs w:val="18"/>
          <w:color w:val="auto"/>
        </w:rPr>
      </w:pPr>
    </w:p>
    <w:p>
      <w:pPr>
        <w:ind w:left="1060" w:hanging="179"/>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0" w:right="40" w:firstLine="1492"/>
        <w:spacing w:after="0" w:line="259" w:lineRule="auto"/>
        <w:tabs>
          <w:tab w:leader="none" w:pos="16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delay on the part of any Lender Beneficiary or the Disbursement Agent in exercising any of its rights (including those hereunder) and no partial or single exercise thereof and no action or non-action by any Lender Beneficiary or the Disbursement Agent, with or without notice to WRL or anyone else, shall constitute a waiver of any rights or shall affect or impair this Commitment.</w:t>
      </w:r>
    </w:p>
    <w:p>
      <w:pPr>
        <w:spacing w:after="0" w:line="140" w:lineRule="exact"/>
        <w:rPr>
          <w:rFonts w:ascii="Arial" w:cs="Arial" w:eastAsia="Arial" w:hAnsi="Arial"/>
          <w:sz w:val="18"/>
          <w:szCs w:val="18"/>
          <w:color w:val="auto"/>
        </w:rPr>
      </w:pPr>
    </w:p>
    <w:p>
      <w:pPr>
        <w:ind w:left="-40" w:right="60" w:firstLine="1492"/>
        <w:spacing w:after="0" w:line="289" w:lineRule="auto"/>
        <w:tabs>
          <w:tab w:leader="none" w:pos="16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EACH OF THE PARTIES HERETO HEREBY WAIVES ITS RIGHT TO A JURY TRIAL OF ANY CLAIM OR CAUSE OF ACTION BASED UPON OR ARISING OUT OF THIS COMMITMENT OR RELATING TO THE SUBJECT MATTER OF THIS COMMITMENT AND THE RELATIONSHIP BETWEEN WRL AND THE LENDER BENEFICIARIES AND THE DISBURSEMENT AGENT THAT IS BEING ESTABLISHED. EACH OF THE PARTIES HERETO ACKNOWLEDGES THAT THIS WAIVER IS A MATERIAL INDUCEMENT TO ENTER INTO A BUSINESS RELATIONSHIP, THAT EACH OF THE PARTIES HERETO HAVE ALREADY RELIED ON THIS WAIVER IN ENTERING INTO THIS COMMITMENT, AND THAT EACH OF THE PARTIES HERETO WILL CONTINUE TO RELY ON THIS WAIVER IN THEIR RELATED FUTURE DEALINGS. EACH OF THE PARTIES HERETO FURTHER WARRANTS AND REPRESENTS THAT IT HAS REVIEWED THIS WAIVER WITH ITS LEGAL COUNSEL, AND THAT IT KNOWINGLY AND VOLUNTARILY WAIVES ITS JURY TRIAL RIGHTS FOLLOWING CONSULTATION WITH LEGAL COUNSEL.</w:t>
      </w:r>
    </w:p>
    <w:p>
      <w:pPr>
        <w:spacing w:after="0" w:line="118" w:lineRule="exact"/>
        <w:rPr>
          <w:rFonts w:ascii="Arial" w:cs="Arial" w:eastAsia="Arial" w:hAnsi="Arial"/>
          <w:sz w:val="16"/>
          <w:szCs w:val="16"/>
          <w:color w:val="auto"/>
        </w:rPr>
      </w:pPr>
    </w:p>
    <w:p>
      <w:pPr>
        <w:ind w:left="-40" w:right="840" w:firstLine="921"/>
        <w:spacing w:after="0" w:line="268" w:lineRule="auto"/>
        <w:tabs>
          <w:tab w:leader="none" w:pos="113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section headings in this Commitment are for the convenience of reference only and shall not affect the meaning or construction of any provision hereof.</w:t>
      </w:r>
    </w:p>
    <w:p>
      <w:pPr>
        <w:spacing w:after="0" w:line="131" w:lineRule="exact"/>
        <w:rPr>
          <w:rFonts w:ascii="Arial" w:cs="Arial" w:eastAsia="Arial" w:hAnsi="Arial"/>
          <w:sz w:val="18"/>
          <w:szCs w:val="18"/>
          <w:color w:val="auto"/>
        </w:rPr>
      </w:pPr>
    </w:p>
    <w:p>
      <w:pPr>
        <w:jc w:val="both"/>
        <w:ind w:left="-40" w:right="100" w:firstLine="921"/>
        <w:spacing w:after="0" w:line="294" w:lineRule="auto"/>
        <w:tabs>
          <w:tab w:leader="none" w:pos="113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in connection with this Commitment shall be given by notice in writing hand-delivered or sent by facsimile transmission or by certified mail return-receipt requested (airmail, if overseas), postage prepaid. All such notices shall be sent to the appropriate telecopier number or address, as the case may be, set forth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below or to such other number or address as shall have been subsequently specified by written notice to the other party, and shall be sent with copies, if any, as indicated below. All such notices shall be effective upon receipt, and confirmation by answerback of any such notice so sent by telecopier shall be sufficient evidence of receipt thereof.</w:t>
      </w:r>
    </w:p>
    <w:p>
      <w:pPr>
        <w:spacing w:after="0" w:line="115" w:lineRule="exact"/>
        <w:rPr>
          <w:rFonts w:ascii="Arial" w:cs="Arial" w:eastAsia="Arial" w:hAnsi="Arial"/>
          <w:sz w:val="16"/>
          <w:szCs w:val="16"/>
          <w:color w:val="auto"/>
        </w:rPr>
      </w:pPr>
    </w:p>
    <w:p>
      <w:pPr>
        <w:ind w:left="1140" w:hanging="259"/>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Commitment may be amended only with the written consent of the parties hereto.</w:t>
      </w:r>
    </w:p>
    <w:p>
      <w:pPr>
        <w:spacing w:after="0" w:line="171" w:lineRule="exact"/>
        <w:rPr>
          <w:rFonts w:ascii="Arial" w:cs="Arial" w:eastAsia="Arial" w:hAnsi="Arial"/>
          <w:sz w:val="18"/>
          <w:szCs w:val="18"/>
          <w:color w:val="auto"/>
        </w:rPr>
      </w:pPr>
    </w:p>
    <w:p>
      <w:pPr>
        <w:ind w:left="1140" w:hanging="259"/>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Jurisdiction; Governing Law</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0" w:right="20" w:firstLine="1492"/>
        <w:spacing w:after="0" w:line="306" w:lineRule="auto"/>
        <w:tabs>
          <w:tab w:leader="none" w:pos="16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action or proceeding relating in any way to this Commitment may be brought and enforced in the courts of the State of New York in Manhattan or of the United States for the Southern District of New York. Any such process or summons in connection with any such action or proceeding may be served by mailing a copy thereof by certified or registered mail, or any substantially similar form of mail, addressed to WRL as provided for notices hereunder.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56" w:name="page57"/>
    <w:bookmarkEnd w:id="56"/>
    <w:p>
      <w:pPr>
        <w:ind w:left="-220" w:firstLine="1492"/>
        <w:spacing w:after="0" w:line="259" w:lineRule="auto"/>
        <w:tabs>
          <w:tab w:leader="none" w:pos="1512" w:val="left"/>
        </w:tabs>
        <w:numPr>
          <w:ilvl w:val="2"/>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Commitment and the rights and obligations of WRL, the Agent Beneficiaries and the Disbursement Agent hereunder shall be governed by and construed in accordance with the law of the State of New York without reference to principles of conflicts of laws (other than Sections 5-1401 and 5-1402 of the New York General Obligations Law).</w:t>
      </w:r>
    </w:p>
    <w:p>
      <w:pPr>
        <w:spacing w:after="0" w:line="140" w:lineRule="exact"/>
        <w:rPr>
          <w:rFonts w:ascii="Arial" w:cs="Arial" w:eastAsia="Arial" w:hAnsi="Arial"/>
          <w:sz w:val="18"/>
          <w:szCs w:val="18"/>
          <w:color w:val="auto"/>
        </w:rPr>
      </w:pPr>
    </w:p>
    <w:p>
      <w:pPr>
        <w:ind w:left="-220" w:right="240" w:firstLine="921"/>
        <w:spacing w:after="0" w:line="268" w:lineRule="auto"/>
        <w:tabs>
          <w:tab w:leader="none" w:pos="95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This Commitment contains the entire agreement between WRL, the Agent Beneficiaries and the Disbursement Agent relating to the subject matter hereof and supersedes all oral statements and prior writing with respect hereto.</w:t>
      </w:r>
    </w:p>
    <w:p>
      <w:pPr>
        <w:spacing w:after="0" w:line="131" w:lineRule="exact"/>
        <w:rPr>
          <w:rFonts w:ascii="Arial" w:cs="Arial" w:eastAsia="Arial" w:hAnsi="Arial"/>
          <w:sz w:val="18"/>
          <w:szCs w:val="18"/>
          <w:color w:val="auto"/>
        </w:rPr>
      </w:pPr>
    </w:p>
    <w:p>
      <w:pPr>
        <w:ind w:left="960" w:hanging="25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Addresses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440"/>
        <w:spacing w:after="0"/>
        <w:tabs>
          <w:tab w:leader="none" w:pos="1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address of WRL for notices is:</w:t>
      </w:r>
    </w:p>
    <w:p>
      <w:pPr>
        <w:spacing w:after="0" w:line="9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Facsimile Number: (702) 770-1100</w:t>
      </w:r>
    </w:p>
    <w:p>
      <w:pPr>
        <w:spacing w:after="0" w:line="16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Los Angeles, CA 90071-3144</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Jerome L. Coben</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Facsimile Number: (213) 687-5600</w:t>
      </w:r>
    </w:p>
    <w:p>
      <w:pPr>
        <w:spacing w:after="0" w:line="205" w:lineRule="exact"/>
        <w:rPr>
          <w:sz w:val="20"/>
          <w:szCs w:val="20"/>
          <w:color w:val="auto"/>
        </w:rPr>
      </w:pPr>
    </w:p>
    <w:p>
      <w:pPr>
        <w:ind w:left="1700" w:hanging="440"/>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address of the Bank Agent for notices as:</w:t>
      </w:r>
    </w:p>
    <w:p>
      <w:pPr>
        <w:spacing w:after="0" w:line="9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 Deutsche Bank Securities Inc.</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 Crescent Court, Suite 550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Gerard Dupont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Facsimile Number: (214) 740-7910</w:t>
      </w:r>
    </w:p>
    <w:p>
      <w:pPr>
        <w:spacing w:after="0" w:line="205" w:lineRule="exact"/>
        <w:rPr>
          <w:sz w:val="20"/>
          <w:szCs w:val="20"/>
          <w:color w:val="auto"/>
        </w:rPr>
      </w:pPr>
    </w:p>
    <w:p>
      <w:pPr>
        <w:ind w:left="1700" w:hanging="440"/>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address of the 2014 Notes Indenture Trustee for notices is:</w:t>
      </w:r>
    </w:p>
    <w:p>
      <w:pPr>
        <w:spacing w:after="0" w:line="9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Lori Rosenberg</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Facsimile No.: (651) 495-8097</w:t>
      </w:r>
    </w:p>
    <w:p>
      <w:pPr>
        <w:spacing w:after="0" w:line="205" w:lineRule="exact"/>
        <w:rPr>
          <w:sz w:val="20"/>
          <w:szCs w:val="20"/>
          <w:color w:val="auto"/>
        </w:rPr>
      </w:pPr>
    </w:p>
    <w:p>
      <w:pPr>
        <w:ind w:left="1700" w:hanging="440"/>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address of the Disbursement Agent for notices is:</w:t>
      </w:r>
    </w:p>
    <w:p>
      <w:pPr>
        <w:spacing w:after="0" w:line="9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Deutsche Bank Trust Company Americas</w:t>
      </w:r>
    </w:p>
    <w:p>
      <w:pPr>
        <w:ind w:left="1820"/>
        <w:spacing w:after="0" w:line="226" w:lineRule="auto"/>
        <w:rPr>
          <w:sz w:val="20"/>
          <w:szCs w:val="20"/>
          <w:color w:val="auto"/>
        </w:rPr>
      </w:pPr>
      <w:r>
        <w:rPr>
          <w:rFonts w:ascii="Arial" w:cs="Arial" w:eastAsia="Arial" w:hAnsi="Arial"/>
          <w:sz w:val="18"/>
          <w:szCs w:val="18"/>
          <w:color w:val="auto"/>
        </w:rPr>
        <w:t>60 Wall Street,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New York 10005</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Amy Sinensky</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Facsimile Number: (212) 797-4885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80" w:right="459" w:bottom="1440" w:gutter="0" w:footer="0" w:header="0"/>
        </w:sectPr>
      </w:pPr>
    </w:p>
    <w:bookmarkStart w:id="57" w:name="page58"/>
    <w:bookmarkEnd w:id="57"/>
    <w:p>
      <w:pPr>
        <w:ind w:left="-20" w:right="20" w:firstLine="921"/>
        <w:spacing w:after="0" w:line="256" w:lineRule="auto"/>
        <w:tabs>
          <w:tab w:leader="none" w:pos="115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Collection Expenses</w:t>
      </w:r>
      <w:r>
        <w:rPr>
          <w:rFonts w:ascii="Arial" w:cs="Arial" w:eastAsia="Arial" w:hAnsi="Arial"/>
          <w:sz w:val="18"/>
          <w:szCs w:val="18"/>
          <w:color w:val="auto"/>
        </w:rPr>
        <w:t>. If any Agent Beneficiary (or the Collateral Agent or the Disbursement Agent on behalf of any of them) is required to pursue any remedy against WRL hereunder, WRL shall pay to the Agent Beneficiaries, the Collateral Agent or the Disbursement Agent, as the case may be, upon demand, all reasonable attorneys’ fees and expenses all other reasonable costs and expenses incurred by the Agent Beneficiaries, the Collateral Agent or the Disbursement Agent in enforcing this Commitment.</w:t>
      </w:r>
    </w:p>
    <w:p>
      <w:pPr>
        <w:spacing w:after="0" w:line="143" w:lineRule="exact"/>
        <w:rPr>
          <w:rFonts w:ascii="Arial" w:cs="Arial" w:eastAsia="Arial" w:hAnsi="Arial"/>
          <w:sz w:val="18"/>
          <w:szCs w:val="18"/>
          <w:color w:val="auto"/>
        </w:rPr>
      </w:pPr>
    </w:p>
    <w:p>
      <w:pPr>
        <w:ind w:left="-20" w:right="100" w:firstLine="921"/>
        <w:spacing w:after="0" w:line="298" w:lineRule="auto"/>
        <w:tabs>
          <w:tab w:leader="none" w:pos="115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Reinstatement of Agreement</w:t>
      </w:r>
      <w:r>
        <w:rPr>
          <w:rFonts w:ascii="Arial" w:cs="Arial" w:eastAsia="Arial" w:hAnsi="Arial"/>
          <w:sz w:val="16"/>
          <w:szCs w:val="16"/>
          <w:color w:val="auto"/>
        </w:rPr>
        <w:t>. This Commitment shall continue to be effective or be reinstated, as the case may be, if at any time any payment to or on behalf of the Company or by the Company under the Financing Agreements or any other Facility Agreement or by WRL hereunder is rescinded or must otherwise be returned by the Agent Beneficiaries (or the Collateral Agent or the Disbursement Agent on behalf of any of them) upon the insolvency, bankruptcy, reorganization, dissolution or liquidation of the Company or otherwise, all as though such payment had not been made.</w:t>
      </w:r>
    </w:p>
    <w:p>
      <w:pPr>
        <w:spacing w:after="0" w:line="112" w:lineRule="exact"/>
        <w:rPr>
          <w:rFonts w:ascii="Arial" w:cs="Arial" w:eastAsia="Arial" w:hAnsi="Arial"/>
          <w:sz w:val="16"/>
          <w:szCs w:val="16"/>
          <w:color w:val="auto"/>
        </w:rPr>
      </w:pPr>
    </w:p>
    <w:p>
      <w:pPr>
        <w:ind w:left="-20" w:right="260" w:firstLine="921"/>
        <w:spacing w:after="0" w:line="268" w:lineRule="auto"/>
        <w:tabs>
          <w:tab w:leader="none" w:pos="115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Commitment may be executed in one or more duplicate counterparts, and when executed and delivered by all of the parties listed below shall constitute a single binding agreement.</w:t>
      </w:r>
    </w:p>
    <w:p>
      <w:pPr>
        <w:spacing w:after="0" w:line="131" w:lineRule="exact"/>
        <w:rPr>
          <w:rFonts w:ascii="Arial" w:cs="Arial" w:eastAsia="Arial" w:hAnsi="Arial"/>
          <w:sz w:val="18"/>
          <w:szCs w:val="18"/>
          <w:color w:val="auto"/>
        </w:rPr>
      </w:pPr>
    </w:p>
    <w:p>
      <w:pPr>
        <w:ind w:left="1160" w:hanging="25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Agents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20" w:right="20" w:firstLine="1492"/>
        <w:spacing w:after="0" w:line="259" w:lineRule="auto"/>
        <w:tabs>
          <w:tab w:leader="none" w:pos="170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Agent Beneficiaries may appoint or designate the Collateral Agent and/or the Disbursement Agent to exercise or enforce their rights and remedies under this Commitment and to otherwise act on their behalf in all matters related hereto. WRL shall respect and treat any and all actions so taken by the Collateral Agent and/or the Disbursement Agent as if taken by the Agent Beneficiaries.</w:t>
      </w:r>
    </w:p>
    <w:p>
      <w:pPr>
        <w:spacing w:after="0" w:line="140" w:lineRule="exact"/>
        <w:rPr>
          <w:rFonts w:ascii="Arial" w:cs="Arial" w:eastAsia="Arial" w:hAnsi="Arial"/>
          <w:sz w:val="18"/>
          <w:szCs w:val="18"/>
          <w:color w:val="auto"/>
        </w:rPr>
      </w:pPr>
    </w:p>
    <w:p>
      <w:pPr>
        <w:ind w:left="-20" w:right="20" w:firstLine="1492"/>
        <w:spacing w:after="0" w:line="259" w:lineRule="auto"/>
        <w:tabs>
          <w:tab w:leader="none" w:pos="170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references in this Commitment to the Disbursement Agent shall mean and be construed as the Disbursement Agent acting pursuant to the Disbursement Agreement. All references in this Commitment to the Collateral Agent shall mean and be construed as the Collateral Agent acting pursuant to the Intercreditor Agreement.</w:t>
      </w:r>
    </w:p>
    <w:p>
      <w:pPr>
        <w:spacing w:after="0" w:line="140" w:lineRule="exact"/>
        <w:rPr>
          <w:rFonts w:ascii="Arial" w:cs="Arial" w:eastAsia="Arial" w:hAnsi="Arial"/>
          <w:sz w:val="18"/>
          <w:szCs w:val="18"/>
          <w:color w:val="auto"/>
        </w:rPr>
      </w:pPr>
    </w:p>
    <w:p>
      <w:pPr>
        <w:ind w:left="-20" w:firstLine="921"/>
        <w:spacing w:after="0" w:line="306" w:lineRule="auto"/>
        <w:tabs>
          <w:tab w:leader="none" w:pos="115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 Benefit to the Company</w:t>
      </w:r>
      <w:r>
        <w:rPr>
          <w:rFonts w:ascii="Arial" w:cs="Arial" w:eastAsia="Arial" w:hAnsi="Arial"/>
          <w:sz w:val="16"/>
          <w:szCs w:val="16"/>
          <w:color w:val="auto"/>
        </w:rPr>
        <w:t>. This Commitment is for the benefit of only the Lender Beneficiaries and is not for the benefit of the Company or the other Loan Parties. This Commitment shall not be deemed to be a contract to make a loan, or extend other debt financing or financial accommodation, for the benefit of the Company or the other Loan Parties, in each case within the meaning of Section 365(e) of the Bankruptcy Code.</w:t>
      </w:r>
    </w:p>
    <w:p>
      <w:pPr>
        <w:spacing w:after="0" w:line="106" w:lineRule="exact"/>
        <w:rPr>
          <w:rFonts w:ascii="Arial" w:cs="Arial" w:eastAsia="Arial" w:hAnsi="Arial"/>
          <w:sz w:val="16"/>
          <w:szCs w:val="16"/>
          <w:color w:val="auto"/>
        </w:rPr>
      </w:pPr>
    </w:p>
    <w:p>
      <w:pPr>
        <w:ind w:left="-20" w:right="60" w:firstLine="921"/>
        <w:spacing w:after="0" w:line="255" w:lineRule="auto"/>
        <w:tabs>
          <w:tab w:leader="none" w:pos="115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All rights and remedies of any “Project Credit Parties” on behalf of any “Second Lien Secured Parties” (as each such term is defined in the Intercreditor Agreement) hereunder are, as among the Agent Beneficiaries, subject to the terms of the Intercreditor Agreement. This provision is for the benefit of, and may be enforced exclusively by, the Agent Beneficiaries which are “First Lien Secured Parties” (as defined in the Intercreditor Agreement) or their representatives only. For the avoidance of doubt, this provision is not for the benefit of WRL and may not, under any circumstances, be enforced by WRL.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WRL has caused this Commitment to be duly executed and delivered as of the day and year first written above.</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WRL</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10795</wp:posOffset>
            </wp:positionV>
            <wp:extent cx="26930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9780"/>
          </w:cols>
          <w:pgMar w:left="1160" w:top="280" w:right="9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314960</wp:posOffset>
            </wp:positionV>
            <wp:extent cx="37820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EMPLOYMENT AGREEMENT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WYNN LAS VEGAS, LLC,</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(“Employer”)</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MATT MADDOX</w:t>
      </w:r>
    </w:p>
    <w:p>
      <w:pPr>
        <w:spacing w:after="0" w:line="16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212090</wp:posOffset>
            </wp:positionV>
            <wp:extent cx="37820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60"/>
        <w:spacing w:after="0"/>
        <w:tabs>
          <w:tab w:leader="none" w:pos="42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as of October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135255</wp:posOffset>
            </wp:positionV>
            <wp:extent cx="37820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2833370</wp:posOffset>
            </wp:positionH>
            <wp:positionV relativeFrom="page">
              <wp:posOffset>183515</wp:posOffset>
            </wp:positionV>
            <wp:extent cx="18954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95475"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208280</wp:posOffset>
            </wp:positionV>
            <wp:extent cx="18954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80" w:firstLine="456"/>
        <w:spacing w:after="0" w:line="23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the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2005, by and between</w:t>
      </w:r>
      <w:r>
        <w:rPr>
          <w:rFonts w:ascii="Arial" w:cs="Arial" w:eastAsia="Arial" w:hAnsi="Arial"/>
          <w:sz w:val="18"/>
          <w:szCs w:val="18"/>
          <w:b w:val="1"/>
          <w:bCs w:val="1"/>
          <w:color w:val="auto"/>
        </w:rPr>
        <w:t xml:space="preserve"> WYNN LAS VEGAS,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MATT MADDOX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3131 Las Vegas Boulevard, South, Las Vegas, Nevada 89109, and is engaged in the business of developing, owning and operating a casino resort at such place of business; and,</w:t>
      </w:r>
    </w:p>
    <w:p>
      <w:pPr>
        <w:spacing w:after="0" w:line="13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a party to that certain Employment Agreement dated as of March 14, 2003, as amended, (the “</w:t>
      </w:r>
      <w:r>
        <w:rPr>
          <w:rFonts w:ascii="Arial" w:cs="Arial" w:eastAsia="Arial" w:hAnsi="Arial"/>
          <w:sz w:val="18"/>
          <w:szCs w:val="18"/>
          <w:b w:val="1"/>
          <w:bCs w:val="1"/>
          <w:color w:val="auto"/>
        </w:rPr>
        <w:t>2003 Employment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Worldwide Wynn, LLC, an affiliate of Employer; and</w:t>
      </w:r>
    </w:p>
    <w:p>
      <w:pPr>
        <w:spacing w:after="0" w:line="120"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Worldwide Wynn, LLC have agreed to terminate the 2003 Employment Agreement in order to permit Employer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enter into this Agreement; and</w:t>
      </w:r>
    </w:p>
    <w:p>
      <w:pPr>
        <w:spacing w:after="0" w:line="12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has need of executive personnel who are qualified and experienced managers in the casino resort business, including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limitation an executive to perform the duties generally associated with the position of Senior Vice President – Business Development;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currently residing at 2834 Gallant Hills Las Vegas, Nevada 89135; and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expertise and experience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 the terms of the employment stated in this Agreement; and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32"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ectPr>
          <w:pgSz w:w="11900" w:h="16838" w:orient="portrait"/>
          <w:cols w:equalWidth="0" w:num="1">
            <w:col w:w="11420"/>
          </w:cols>
          <w:pgMar w:left="240" w:top="455" w:right="239" w:bottom="1440" w:gutter="0" w:footer="0" w:header="0"/>
        </w:sectPr>
      </w:pPr>
    </w:p>
    <w:bookmarkStart w:id="61" w:name="page62"/>
    <w:bookmarkEnd w:id="61"/>
    <w:p>
      <w:pPr>
        <w:ind w:left="-100" w:right="100" w:firstLine="464"/>
        <w:spacing w:after="0" w:line="268" w:lineRule="auto"/>
        <w:tabs>
          <w:tab w:leader="none" w:pos="532"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44" w:lineRule="exact"/>
        <w:rPr>
          <w:rFonts w:ascii="Arial" w:cs="Arial" w:eastAsia="Arial" w:hAnsi="Arial"/>
          <w:sz w:val="18"/>
          <w:szCs w:val="18"/>
          <w:b w:val="1"/>
          <w:bCs w:val="1"/>
          <w:i w:val="1"/>
          <w:iCs w:val="1"/>
          <w:color w:val="auto"/>
        </w:rPr>
      </w:pPr>
    </w:p>
    <w:p>
      <w:pPr>
        <w:ind w:left="360" w:right="40" w:firstLine="443"/>
        <w:spacing w:after="0" w:line="296" w:lineRule="auto"/>
        <w:tabs>
          <w:tab w:leader="none" w:pos="1037" w:val="left"/>
        </w:tabs>
        <w:numPr>
          <w:ilvl w:val="1"/>
          <w:numId w:val="3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 means with respect to a specified Person, any other Person who or which is (i) directly or indirectly controlling, controlled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26" w:lineRule="exact"/>
        <w:rPr>
          <w:rFonts w:ascii="Arial" w:cs="Arial" w:eastAsia="Arial" w:hAnsi="Arial"/>
          <w:sz w:val="16"/>
          <w:szCs w:val="16"/>
          <w:color w:val="auto"/>
        </w:rPr>
      </w:pPr>
    </w:p>
    <w:p>
      <w:pPr>
        <w:ind w:left="1060" w:hanging="257"/>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Section 6 hereof).</w:t>
      </w:r>
    </w:p>
    <w:p>
      <w:pPr>
        <w:spacing w:after="0" w:line="90" w:lineRule="exact"/>
        <w:rPr>
          <w:rFonts w:ascii="Arial" w:cs="Arial" w:eastAsia="Arial" w:hAnsi="Arial"/>
          <w:sz w:val="18"/>
          <w:szCs w:val="18"/>
          <w:color w:val="auto"/>
        </w:rPr>
      </w:pPr>
    </w:p>
    <w:p>
      <w:pPr>
        <w:ind w:left="1040" w:hanging="237"/>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Benefits Date</w:t>
      </w:r>
      <w:r>
        <w:rPr>
          <w:rFonts w:ascii="Arial" w:cs="Arial" w:eastAsia="Arial" w:hAnsi="Arial"/>
          <w:sz w:val="18"/>
          <w:szCs w:val="18"/>
          <w:color w:val="auto"/>
        </w:rPr>
        <w:t>” - means June 3, 2002.</w:t>
      </w:r>
    </w:p>
    <w:p>
      <w:pPr>
        <w:spacing w:after="0" w:line="90" w:lineRule="exact"/>
        <w:rPr>
          <w:rFonts w:ascii="Arial" w:cs="Arial" w:eastAsia="Arial" w:hAnsi="Arial"/>
          <w:sz w:val="18"/>
          <w:szCs w:val="18"/>
          <w:color w:val="auto"/>
        </w:rPr>
      </w:pPr>
    </w:p>
    <w:p>
      <w:pPr>
        <w:ind w:left="1060" w:hanging="257"/>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96" w:lineRule="exact"/>
        <w:rPr>
          <w:rFonts w:ascii="Arial" w:cs="Arial" w:eastAsia="Arial" w:hAnsi="Arial"/>
          <w:sz w:val="18"/>
          <w:szCs w:val="18"/>
          <w:color w:val="auto"/>
        </w:rPr>
      </w:pPr>
    </w:p>
    <w:p>
      <w:pPr>
        <w:ind w:left="1460" w:hanging="219"/>
        <w:spacing w:after="0"/>
        <w:tabs>
          <w:tab w:leader="none" w:pos="1460" w:val="left"/>
        </w:tabs>
        <w:numPr>
          <w:ilvl w:val="3"/>
          <w:numId w:val="35"/>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113" w:lineRule="exact"/>
        <w:rPr>
          <w:rFonts w:ascii="Arial" w:cs="Arial" w:eastAsia="Arial" w:hAnsi="Arial"/>
          <w:sz w:val="16"/>
          <w:szCs w:val="16"/>
          <w:color w:val="auto"/>
        </w:rPr>
      </w:pPr>
    </w:p>
    <w:p>
      <w:pPr>
        <w:ind w:left="820" w:right="60" w:firstLine="421"/>
        <w:spacing w:after="0" w:line="268" w:lineRule="auto"/>
        <w:tabs>
          <w:tab w:leader="none" w:pos="1498" w:val="left"/>
        </w:tabs>
        <w:numPr>
          <w:ilvl w:val="3"/>
          <w:numId w:val="35"/>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50" w:lineRule="exact"/>
        <w:rPr>
          <w:rFonts w:ascii="Arial" w:cs="Arial" w:eastAsia="Arial" w:hAnsi="Arial"/>
          <w:sz w:val="18"/>
          <w:szCs w:val="18"/>
          <w:color w:val="auto"/>
        </w:rPr>
      </w:pPr>
    </w:p>
    <w:p>
      <w:pPr>
        <w:ind w:left="820" w:firstLine="421"/>
        <w:spacing w:after="0" w:line="332" w:lineRule="auto"/>
        <w:tabs>
          <w:tab w:leader="none" w:pos="1547" w:val="left"/>
        </w:tabs>
        <w:numPr>
          <w:ilvl w:val="3"/>
          <w:numId w:val="35"/>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4" w:lineRule="exact"/>
        <w:rPr>
          <w:rFonts w:ascii="Arial" w:cs="Arial" w:eastAsia="Arial" w:hAnsi="Arial"/>
          <w:sz w:val="16"/>
          <w:szCs w:val="16"/>
          <w:color w:val="auto"/>
        </w:rPr>
      </w:pPr>
    </w:p>
    <w:p>
      <w:pPr>
        <w:ind w:left="1540" w:hanging="299"/>
        <w:spacing w:after="0"/>
        <w:tabs>
          <w:tab w:leader="none" w:pos="1540" w:val="left"/>
        </w:tabs>
        <w:numPr>
          <w:ilvl w:val="3"/>
          <w:numId w:val="35"/>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w:t>
      </w:r>
    </w:p>
    <w:p>
      <w:pPr>
        <w:spacing w:after="0" w:line="38"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commensurate with his title and function, or Employee’s failure to comply with the lawful directions of Employer, that is not cured within fifteen</w:t>
      </w:r>
    </w:p>
    <w:p>
      <w:pPr>
        <w:spacing w:after="0" w:line="32" w:lineRule="exact"/>
        <w:rPr>
          <w:rFonts w:ascii="Arial" w:cs="Arial" w:eastAsia="Arial" w:hAnsi="Arial"/>
          <w:sz w:val="16"/>
          <w:szCs w:val="16"/>
          <w:color w:val="auto"/>
        </w:rPr>
      </w:pPr>
    </w:p>
    <w:p>
      <w:pPr>
        <w:ind w:left="1160" w:hanging="339"/>
        <w:spacing w:after="0"/>
        <w:tabs>
          <w:tab w:leader="none" w:pos="11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days after Employee has received written notice thereof from Employer;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40" w:top="280" w:right="339" w:bottom="1440" w:gutter="0" w:footer="0" w:header="0"/>
        </w:sectPr>
      </w:pPr>
    </w:p>
    <w:bookmarkStart w:id="62" w:name="page63"/>
    <w:bookmarkEnd w:id="62"/>
    <w:p>
      <w:pPr>
        <w:ind w:left="1120" w:hanging="239"/>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willful and knowing material misrepresentation to Employer’s or an Affiliate’s Board of Directors;</w:t>
      </w:r>
    </w:p>
    <w:p>
      <w:pPr>
        <w:spacing w:after="0" w:line="90" w:lineRule="exact"/>
        <w:rPr>
          <w:rFonts w:ascii="Arial" w:cs="Arial" w:eastAsia="Arial" w:hAnsi="Arial"/>
          <w:sz w:val="18"/>
          <w:szCs w:val="18"/>
          <w:color w:val="auto"/>
        </w:rPr>
      </w:pPr>
    </w:p>
    <w:p>
      <w:pPr>
        <w:ind w:left="460" w:right="720" w:firstLine="421"/>
        <w:spacing w:after="0" w:line="268" w:lineRule="auto"/>
        <w:tabs>
          <w:tab w:leader="none" w:pos="11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an Affiliate, which does or could result in material harm to Employer or to Employer’s reputation, or that of an Affiliate; or</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an Affiliate,</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45" w:lineRule="exact"/>
        <w:rPr>
          <w:sz w:val="20"/>
          <w:szCs w:val="20"/>
          <w:color w:val="auto"/>
        </w:rPr>
      </w:pPr>
    </w:p>
    <w:p>
      <w:pPr>
        <w:ind w:right="600" w:firstLine="443"/>
        <w:spacing w:after="0" w:line="275" w:lineRule="auto"/>
        <w:tabs>
          <w:tab w:leader="none" w:pos="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local disability plan or plans.</w:t>
      </w:r>
    </w:p>
    <w:p>
      <w:pPr>
        <w:spacing w:after="0" w:line="38" w:lineRule="exact"/>
        <w:rPr>
          <w:rFonts w:ascii="Arial" w:cs="Arial" w:eastAsia="Arial" w:hAnsi="Arial"/>
          <w:sz w:val="18"/>
          <w:szCs w:val="18"/>
          <w:color w:val="auto"/>
        </w:rPr>
      </w:pPr>
    </w:p>
    <w:p>
      <w:pPr>
        <w:ind w:firstLine="443"/>
        <w:spacing w:after="0" w:line="288" w:lineRule="auto"/>
        <w:tabs>
          <w:tab w:leader="none" w:pos="65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34" w:lineRule="exact"/>
        <w:rPr>
          <w:rFonts w:ascii="Arial" w:cs="Arial" w:eastAsia="Arial" w:hAnsi="Arial"/>
          <w:sz w:val="16"/>
          <w:szCs w:val="16"/>
          <w:color w:val="auto"/>
        </w:rPr>
      </w:pPr>
    </w:p>
    <w:p>
      <w:pPr>
        <w:ind w:left="700" w:hanging="257"/>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October 1, 2005.</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3" w:name="page64"/>
    <w:bookmarkEnd w:id="63"/>
    <w:p>
      <w:pPr>
        <w:ind w:left="460" w:right="20" w:firstLine="443"/>
        <w:spacing w:after="0" w:line="256" w:lineRule="auto"/>
        <w:tabs>
          <w:tab w:leader="none" w:pos="1147"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57" w:lineRule="exact"/>
        <w:rPr>
          <w:rFonts w:ascii="Arial" w:cs="Arial" w:eastAsia="Arial" w:hAnsi="Arial"/>
          <w:sz w:val="18"/>
          <w:szCs w:val="18"/>
          <w:color w:val="auto"/>
        </w:rPr>
      </w:pPr>
    </w:p>
    <w:p>
      <w:pPr>
        <w:ind w:left="460" w:right="80" w:firstLine="443"/>
        <w:spacing w:after="0" w:line="296" w:lineRule="auto"/>
        <w:tabs>
          <w:tab w:leader="none" w:pos="1108"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13" w:lineRule="exact"/>
        <w:rPr>
          <w:rFonts w:ascii="Arial" w:cs="Arial" w:eastAsia="Arial" w:hAnsi="Arial"/>
          <w:sz w:val="16"/>
          <w:szCs w:val="16"/>
          <w:color w:val="auto"/>
        </w:rPr>
      </w:pPr>
    </w:p>
    <w:p>
      <w:pPr>
        <w:ind w:right="60" w:firstLine="464"/>
        <w:spacing w:after="0" w:line="294" w:lineRule="auto"/>
        <w:tabs>
          <w:tab w:leader="none" w:pos="632" w:val="left"/>
        </w:tabs>
        <w:numPr>
          <w:ilvl w:val="0"/>
          <w:numId w:val="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further understood that a change in Employee’s reporting responsibilities is not itself a basis for finding a material reduction in the level of duties.</w:t>
      </w:r>
    </w:p>
    <w:p>
      <w:pPr>
        <w:spacing w:after="0" w:line="115" w:lineRule="exact"/>
        <w:rPr>
          <w:rFonts w:ascii="Arial" w:cs="Arial" w:eastAsia="Arial" w:hAnsi="Arial"/>
          <w:sz w:val="16"/>
          <w:szCs w:val="16"/>
          <w:b w:val="1"/>
          <w:bCs w:val="1"/>
          <w:i w:val="1"/>
          <w:iCs w:val="1"/>
          <w:color w:val="auto"/>
        </w:rPr>
      </w:pPr>
    </w:p>
    <w:p>
      <w:pPr>
        <w:ind w:firstLine="464"/>
        <w:spacing w:after="0" w:line="253" w:lineRule="auto"/>
        <w:tabs>
          <w:tab w:leader="none" w:pos="632"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such duties assigned to Employee by Employer as are generally associated with the duties of Senior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Vice President – Business Development </w:t>
      </w:r>
      <w:r>
        <w:rPr>
          <w:rFonts w:ascii="Arial" w:cs="Arial" w:eastAsia="Arial" w:hAnsi="Arial"/>
          <w:sz w:val="18"/>
          <w:szCs w:val="18"/>
          <w:color w:val="auto"/>
        </w:rPr>
        <w:t>of Employer, or such similar duties as may be assigned to Employee as Employer may reasonably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duties shall include, but not be limited to: (i) the preparation of relevant budgets and allocation of relevant funds; (ii) the selection and delegation of duties and responsibilities of subordinates; (iii) the direction, review and oversight of all matters under Employee’s supervision; and (iv) such other and further duties as are consistent with his position and which may be assigned by Employer to Employee from time to time. The foregoing notwithstanding, Employee shall devote such time to Employer’s Affiliates as may be required by Employer or its Affiliates, provided such duties are not inconsistent with Employee’s primary duties hereunder.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4" w:name="page65"/>
    <w:bookmarkEnd w:id="64"/>
    <w:p>
      <w:pPr>
        <w:ind w:firstLine="464"/>
        <w:spacing w:after="0" w:line="255" w:lineRule="auto"/>
        <w:tabs>
          <w:tab w:leader="none" w:pos="632"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ACCEPTANCE OF EMPLOYMENT/ TERMINATION 2003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will not perform any services for any casino, hotel/casino or other similar gaming or gambling operation which is not owned by Employer or any of Employer’s Affiliates.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As a condition to the acceptance of the employment hereunder and concurrent the execution of this Agreement, Employee agrees that as of the Effective Date and concurrent with the effectiveness of this Agreement Employee agrees to terminate the 2003 Employment Agreement by executing and delivering the Termination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4" w:lineRule="exact"/>
        <w:rPr>
          <w:sz w:val="20"/>
          <w:szCs w:val="20"/>
          <w:color w:val="auto"/>
        </w:rPr>
      </w:pPr>
    </w:p>
    <w:p>
      <w:pPr>
        <w:ind w:right="80" w:firstLine="464"/>
        <w:spacing w:after="0" w:line="301" w:lineRule="auto"/>
        <w:tabs>
          <w:tab w:leader="none" w:pos="632"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sooner terminated as provided in this Agreement,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commence on the Effective Date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 at the end of the day on March 17, 2011.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09" w:lineRule="exact"/>
        <w:rPr>
          <w:rFonts w:ascii="Arial" w:cs="Arial" w:eastAsia="Arial" w:hAnsi="Arial"/>
          <w:sz w:val="16"/>
          <w:szCs w:val="16"/>
          <w:b w:val="1"/>
          <w:bCs w:val="1"/>
          <w:i w:val="1"/>
          <w:iCs w:val="1"/>
          <w:color w:val="auto"/>
        </w:rPr>
      </w:pPr>
    </w:p>
    <w:p>
      <w:pPr>
        <w:ind w:right="80" w:firstLine="464"/>
        <w:spacing w:after="0" w:line="268" w:lineRule="auto"/>
        <w:tabs>
          <w:tab w:leader="none" w:pos="632"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50"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113" w:lineRule="exact"/>
        <w:rPr>
          <w:rFonts w:ascii="Arial" w:cs="Arial" w:eastAsia="Arial" w:hAnsi="Arial"/>
          <w:sz w:val="16"/>
          <w:szCs w:val="16"/>
          <w:color w:val="auto"/>
        </w:rPr>
      </w:pPr>
    </w:p>
    <w:p>
      <w:pPr>
        <w:ind w:left="460" w:right="180" w:firstLine="443"/>
        <w:spacing w:after="0" w:line="332" w:lineRule="auto"/>
        <w:tabs>
          <w:tab w:leader="none" w:pos="114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 or</w:t>
      </w:r>
    </w:p>
    <w:p>
      <w:pPr>
        <w:spacing w:after="0" w:line="4" w:lineRule="exact"/>
        <w:rPr>
          <w:rFonts w:ascii="Arial" w:cs="Arial" w:eastAsia="Arial" w:hAnsi="Arial"/>
          <w:sz w:val="16"/>
          <w:szCs w:val="16"/>
          <w:color w:val="auto"/>
        </w:rPr>
      </w:pPr>
    </w:p>
    <w:p>
      <w:pPr>
        <w:ind w:left="460" w:right="120" w:firstLine="443"/>
        <w:spacing w:after="0" w:line="268" w:lineRule="auto"/>
        <w:tabs>
          <w:tab w:leader="none" w:pos="11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 notice.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80" w:right="439" w:bottom="1440" w:gutter="0" w:footer="0" w:header="0"/>
        </w:sectPr>
      </w:pPr>
    </w:p>
    <w:bookmarkStart w:id="65" w:name="page66"/>
    <w:bookmarkEnd w:id="65"/>
    <w:p>
      <w:pPr>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 termination of this Agreement pursuant to the provisions of Subsection 6(a),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88" w:lineRule="exact"/>
        <w:rPr>
          <w:sz w:val="20"/>
          <w:szCs w:val="20"/>
          <w:color w:val="auto"/>
        </w:rPr>
      </w:pPr>
    </w:p>
    <w:p>
      <w:pPr>
        <w:ind w:right="220" w:firstLine="464"/>
        <w:spacing w:after="0" w:line="259" w:lineRule="auto"/>
        <w:tabs>
          <w:tab w:leader="none" w:pos="632"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53" w:lineRule="exact"/>
        <w:rPr>
          <w:rFonts w:ascii="Arial" w:cs="Arial" w:eastAsia="Arial" w:hAnsi="Arial"/>
          <w:sz w:val="18"/>
          <w:szCs w:val="18"/>
          <w:b w:val="1"/>
          <w:bCs w:val="1"/>
          <w:i w:val="1"/>
          <w:iCs w:val="1"/>
          <w:color w:val="auto"/>
        </w:rPr>
      </w:pPr>
    </w:p>
    <w:p>
      <w:pPr>
        <w:ind w:left="460" w:right="40" w:firstLine="443"/>
        <w:spacing w:after="0" w:line="313" w:lineRule="auto"/>
        <w:tabs>
          <w:tab w:leader="none" w:pos="1137" w:val="left"/>
        </w:tabs>
        <w:numPr>
          <w:ilvl w:val="1"/>
          <w:numId w:val="42"/>
        </w:numPr>
        <w:rPr>
          <w:rFonts w:ascii="Arial" w:cs="Arial" w:eastAsia="Arial" w:hAnsi="Arial"/>
          <w:sz w:val="15"/>
          <w:szCs w:val="15"/>
          <w:color w:val="auto"/>
        </w:rPr>
      </w:pPr>
      <w:r>
        <w:rPr>
          <w:rFonts w:ascii="Arial" w:cs="Arial" w:eastAsia="Arial" w:hAnsi="Arial"/>
          <w:sz w:val="15"/>
          <w:szCs w:val="15"/>
          <w:b w:val="1"/>
          <w:bCs w:val="1"/>
          <w:u w:val="single" w:color="auto"/>
          <w:color w:val="auto"/>
        </w:rPr>
        <w:t>Base Salary</w:t>
      </w:r>
      <w:r>
        <w:rPr>
          <w:rFonts w:ascii="Arial" w:cs="Arial" w:eastAsia="Arial" w:hAnsi="Arial"/>
          <w:sz w:val="15"/>
          <w:szCs w:val="15"/>
          <w:b w:val="1"/>
          <w:bCs w:val="1"/>
          <w:color w:val="auto"/>
        </w:rPr>
        <w:t xml:space="preserve">. </w:t>
      </w:r>
      <w:r>
        <w:rPr>
          <w:rFonts w:ascii="Arial" w:cs="Arial" w:eastAsia="Arial" w:hAnsi="Arial"/>
          <w:sz w:val="15"/>
          <w:szCs w:val="15"/>
          <w:color w:val="auto"/>
        </w:rPr>
        <w:t>Employer hereby covenants and agrees to pay to Employee, and Employee hereby covenants and agrees to accept from Employer, a</w:t>
      </w:r>
      <w:r>
        <w:rPr>
          <w:rFonts w:ascii="Arial" w:cs="Arial" w:eastAsia="Arial" w:hAnsi="Arial"/>
          <w:sz w:val="15"/>
          <w:szCs w:val="15"/>
          <w:b w:val="1"/>
          <w:bCs w:val="1"/>
          <w:color w:val="auto"/>
        </w:rPr>
        <w:t xml:space="preserve"> </w:t>
      </w:r>
      <w:r>
        <w:rPr>
          <w:rFonts w:ascii="Arial" w:cs="Arial" w:eastAsia="Arial" w:hAnsi="Arial"/>
          <w:sz w:val="15"/>
          <w:szCs w:val="15"/>
          <w:color w:val="auto"/>
        </w:rPr>
        <w:t>base salary at the rate of Three Hundred Seventy-Five Thousand Dollars ($375,000.00) per annum from the Effective Date through September 30, 2006 and at a base salary of Four Hundred Thousand Dollars ($400,000.00) thereafter during the Term, payable in such installments as shall be convenient to Employer (the “</w:t>
      </w:r>
      <w:r>
        <w:rPr>
          <w:rFonts w:ascii="Arial" w:cs="Arial" w:eastAsia="Arial" w:hAnsi="Arial"/>
          <w:sz w:val="15"/>
          <w:szCs w:val="15"/>
          <w:b w:val="1"/>
          <w:bCs w:val="1"/>
          <w:color w:val="auto"/>
        </w:rPr>
        <w:t>Base Salary</w:t>
      </w:r>
      <w:r>
        <w:rPr>
          <w:rFonts w:ascii="Arial" w:cs="Arial" w:eastAsia="Arial" w:hAnsi="Arial"/>
          <w:sz w:val="15"/>
          <w:szCs w:val="15"/>
          <w:color w:val="auto"/>
        </w:rPr>
        <w:t>”).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discretionary bonus, executive stock option plan, profit sharing plan, pension plan, retirement plan, disability or life insurance plan, medical and/or hospitalization plan, or any and all other benefit plans which may be in effect during the Term.</w:t>
      </w:r>
    </w:p>
    <w:p>
      <w:pPr>
        <w:spacing w:after="0" w:line="18" w:lineRule="exact"/>
        <w:rPr>
          <w:rFonts w:ascii="Arial" w:cs="Arial" w:eastAsia="Arial" w:hAnsi="Arial"/>
          <w:sz w:val="15"/>
          <w:szCs w:val="15"/>
          <w:color w:val="auto"/>
        </w:rPr>
      </w:pPr>
    </w:p>
    <w:p>
      <w:pPr>
        <w:ind w:left="460" w:firstLine="443"/>
        <w:spacing w:after="0" w:line="316" w:lineRule="auto"/>
        <w:tabs>
          <w:tab w:leader="none" w:pos="1147" w:val="left"/>
        </w:tabs>
        <w:numPr>
          <w:ilvl w:val="1"/>
          <w:numId w:val="42"/>
        </w:numPr>
        <w:rPr>
          <w:rFonts w:ascii="Arial" w:cs="Arial" w:eastAsia="Arial" w:hAnsi="Arial"/>
          <w:sz w:val="15"/>
          <w:szCs w:val="15"/>
          <w:color w:val="auto"/>
        </w:rPr>
      </w:pPr>
      <w:r>
        <w:rPr>
          <w:rFonts w:ascii="Arial" w:cs="Arial" w:eastAsia="Arial" w:hAnsi="Arial"/>
          <w:sz w:val="15"/>
          <w:szCs w:val="15"/>
          <w:b w:val="1"/>
          <w:bCs w:val="1"/>
          <w:u w:val="single" w:color="auto"/>
          <w:color w:val="auto"/>
        </w:rPr>
        <w:t>Bonus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also will be eligible to receive a bonus at such times and in such amounts as Employer, in its sole and exclusive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may determine, until such time as Employer may adopt a performance-based bonus plan, and thereafter in accordance with such plan, provided, however, that Employee’s bonus potential under any such plan (as a percentage of base salary) shall not be less than any vice president of Wynn Las Vegas or any of its Affiliates. Subject to and effective upon the approval of the Compensation Committee of Wynn Resorts, Limited, Employee shall at the earliest possible time after the Effective Date be granted an additional 50,000 options of Wynn Resorts, Limited common stock under the Wynn Resorts, Limited 2002 Stock Incentive Plan. Nothing in this Agreement shall limit Employer’s discretion to adopt, amend or terminate any bonus plan at any time.</w:t>
      </w:r>
    </w:p>
    <w:p>
      <w:pPr>
        <w:spacing w:after="0" w:line="14" w:lineRule="exact"/>
        <w:rPr>
          <w:rFonts w:ascii="Arial" w:cs="Arial" w:eastAsia="Arial" w:hAnsi="Arial"/>
          <w:sz w:val="15"/>
          <w:szCs w:val="15"/>
          <w:color w:val="auto"/>
        </w:rPr>
      </w:pPr>
    </w:p>
    <w:p>
      <w:pPr>
        <w:ind w:left="460" w:right="120" w:firstLine="443"/>
        <w:spacing w:after="0" w:line="339" w:lineRule="auto"/>
        <w:tabs>
          <w:tab w:leader="none" w:pos="1137" w:val="left"/>
        </w:tabs>
        <w:numPr>
          <w:ilvl w:val="1"/>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executive stock option plan, retirement plan, disability or life insurance plan, medical and/or hospitalization plan, and/or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6" w:name="page67"/>
    <w:bookmarkEnd w:id="6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other benefit plans that may be placed in effect by Employer or any of its Affiliates for the benefit of Employer’s employees during the Term. Nothing in this Agreement shall limit Employer’s or any of its Affiliates’ ability to (i) exercise the discretion provided to it under any employee benefit plan, or (ii) adopt, amend or terminate any such benefit plan at any time.</w:t>
      </w:r>
    </w:p>
    <w:p>
      <w:pPr>
        <w:spacing w:after="0" w:line="53" w:lineRule="exact"/>
        <w:rPr>
          <w:sz w:val="20"/>
          <w:szCs w:val="20"/>
          <w:color w:val="auto"/>
        </w:rPr>
      </w:pPr>
    </w:p>
    <w:p>
      <w:pPr>
        <w:ind w:right="60" w:firstLine="443"/>
        <w:spacing w:after="0" w:line="301" w:lineRule="auto"/>
        <w:tabs>
          <w:tab w:leader="none" w:pos="687" w:val="left"/>
        </w:tabs>
        <w:numPr>
          <w:ilvl w:val="0"/>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and provided the same are authorized in advance by Employer, Employer shall either pay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22" w:lineRule="exact"/>
        <w:rPr>
          <w:rFonts w:ascii="Arial" w:cs="Arial" w:eastAsia="Arial" w:hAnsi="Arial"/>
          <w:sz w:val="16"/>
          <w:szCs w:val="16"/>
          <w:color w:val="auto"/>
        </w:rPr>
      </w:pPr>
    </w:p>
    <w:p>
      <w:pPr>
        <w:ind w:right="360" w:firstLine="443"/>
        <w:spacing w:after="0" w:line="262" w:lineRule="auto"/>
        <w:tabs>
          <w:tab w:leader="none" w:pos="677"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annual paid vacation and paid holidays (or, 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option, an equivalent number of paid days off) in accordance with Employer’s respective standard policies, but in no event shall Employee receive fewer than two (2) weeks of paid vacation in any full year of the Term.</w:t>
      </w:r>
    </w:p>
    <w:p>
      <w:pPr>
        <w:spacing w:after="0" w:line="51" w:lineRule="exact"/>
        <w:rPr>
          <w:rFonts w:ascii="Arial" w:cs="Arial" w:eastAsia="Arial" w:hAnsi="Arial"/>
          <w:sz w:val="18"/>
          <w:szCs w:val="18"/>
          <w:color w:val="auto"/>
        </w:rPr>
      </w:pPr>
    </w:p>
    <w:p>
      <w:pPr>
        <w:ind w:right="20" w:firstLine="443"/>
        <w:spacing w:after="0" w:line="262" w:lineRule="auto"/>
        <w:tabs>
          <w:tab w:leader="none" w:pos="657"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51" w:lineRule="exact"/>
        <w:rPr>
          <w:sz w:val="20"/>
          <w:szCs w:val="20"/>
          <w:color w:val="auto"/>
        </w:rPr>
      </w:pPr>
    </w:p>
    <w:p>
      <w:pPr>
        <w:ind w:left="660" w:hanging="217"/>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 Date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Benefits Date shall be used for determining vacation and other benefits.</w:t>
      </w:r>
    </w:p>
    <w:p>
      <w:pPr>
        <w:spacing w:after="0" w:line="252" w:lineRule="exact"/>
        <w:rPr>
          <w:rFonts w:ascii="Arial" w:cs="Arial" w:eastAsia="Arial" w:hAnsi="Arial"/>
          <w:sz w:val="18"/>
          <w:szCs w:val="18"/>
          <w:color w:val="auto"/>
        </w:rPr>
      </w:pPr>
    </w:p>
    <w:p>
      <w:pPr>
        <w:ind w:left="180" w:hanging="176"/>
        <w:spacing w:after="0"/>
        <w:tabs>
          <w:tab w:leader="none" w:pos="18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i w:val="1"/>
          <w:iCs w:val="1"/>
          <w:color w:val="auto"/>
        </w:rPr>
      </w:pPr>
    </w:p>
    <w:p>
      <w:pPr>
        <w:ind w:firstLine="443"/>
        <w:spacing w:after="0" w:line="253" w:lineRule="auto"/>
        <w:tabs>
          <w:tab w:leader="none" w:pos="6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Authorities</w:t>
      </w:r>
      <w:r>
        <w:rPr>
          <w:rFonts w:ascii="Arial" w:cs="Arial" w:eastAsia="Arial" w:hAnsi="Arial"/>
          <w:sz w:val="18"/>
          <w:szCs w:val="18"/>
          <w:color w:val="auto"/>
        </w:rPr>
        <w:t>”) pursuant to the provisions of the relevant gaming regulatory statutes (the “</w:t>
      </w:r>
      <w:r>
        <w:rPr>
          <w:rFonts w:ascii="Arial" w:cs="Arial" w:eastAsia="Arial" w:hAnsi="Arial"/>
          <w:sz w:val="18"/>
          <w:szCs w:val="18"/>
          <w:b w:val="1"/>
          <w:bCs w:val="1"/>
          <w:color w:val="auto"/>
        </w:rPr>
        <w:t>Gaming Acts</w:t>
      </w:r>
      <w:r>
        <w:rPr>
          <w:rFonts w:ascii="Arial" w:cs="Arial" w:eastAsia="Arial" w:hAnsi="Arial"/>
          <w:sz w:val="18"/>
          <w:szCs w:val="18"/>
          <w:color w:val="auto"/>
        </w:rPr>
        <w:t>”) and the regulations promulgated thereunder (the “</w:t>
      </w:r>
      <w:r>
        <w:rPr>
          <w:rFonts w:ascii="Arial" w:cs="Arial" w:eastAsia="Arial" w:hAnsi="Arial"/>
          <w:sz w:val="18"/>
          <w:szCs w:val="18"/>
          <w:b w:val="1"/>
          <w:bCs w:val="1"/>
          <w:color w:val="auto"/>
        </w:rPr>
        <w:t>Gaming Regulations</w:t>
      </w:r>
      <w:r>
        <w:rPr>
          <w:rFonts w:ascii="Arial" w:cs="Arial" w:eastAsia="Arial" w:hAnsi="Arial"/>
          <w:sz w:val="18"/>
          <w:szCs w:val="18"/>
          <w:color w:val="auto"/>
        </w:rPr>
        <w:t>”). Employer and Employee hereby covenant and agree to use their best efforts to obtain any and all approvals required by the Gaming Acts, Gaming Regulations, or the concession agreement.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67" w:name="page68"/>
    <w:bookmarkEnd w:id="67"/>
    <w:p>
      <w:pPr>
        <w:ind w:right="80" w:firstLine="443"/>
        <w:spacing w:after="0" w:line="310" w:lineRule="auto"/>
        <w:tabs>
          <w:tab w:leader="none" w:pos="687" w:val="left"/>
        </w:tabs>
        <w:numPr>
          <w:ilvl w:val="1"/>
          <w:numId w:val="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5"/>
          <w:szCs w:val="15"/>
          <w:b w:val="1"/>
          <w:bCs w:val="1"/>
          <w:color w:val="auto"/>
        </w:rPr>
        <w:t>License</w:t>
      </w:r>
      <w:r>
        <w:rPr>
          <w:rFonts w:ascii="Arial" w:cs="Arial" w:eastAsia="Arial" w:hAnsi="Arial"/>
          <w:sz w:val="15"/>
          <w:szCs w:val="15"/>
          <w:color w:val="auto"/>
        </w:rPr>
        <w:t>”) as issued by the Authorities pursuant to the terms of the relevant Gaming Act, Gaming Regulations or the concession agreement,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1(d) of this Agreement, then Employer’s obligations under this Section 8 also shall not be operative and Employee shall promptly reimburse Employer upon demand for any expenses incurred by Employer pursuant to this Section 8.</w:t>
      </w:r>
    </w:p>
    <w:p>
      <w:pPr>
        <w:spacing w:after="0" w:line="27" w:lineRule="exact"/>
        <w:rPr>
          <w:rFonts w:ascii="Arial" w:cs="Arial" w:eastAsia="Arial" w:hAnsi="Arial"/>
          <w:sz w:val="15"/>
          <w:szCs w:val="15"/>
          <w:color w:val="auto"/>
        </w:rPr>
      </w:pPr>
    </w:p>
    <w:p>
      <w:pPr>
        <w:ind w:right="180" w:firstLine="443"/>
        <w:spacing w:after="0" w:line="268" w:lineRule="auto"/>
        <w:tabs>
          <w:tab w:leader="none" w:pos="6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12" w:lineRule="exact"/>
        <w:rPr>
          <w:rFonts w:ascii="Arial" w:cs="Arial" w:eastAsia="Arial" w:hAnsi="Arial"/>
          <w:sz w:val="18"/>
          <w:szCs w:val="18"/>
          <w:color w:val="auto"/>
        </w:rPr>
      </w:pPr>
    </w:p>
    <w:p>
      <w:pPr>
        <w:ind w:left="180" w:hanging="176"/>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color w:val="auto"/>
        </w:rPr>
      </w:pPr>
    </w:p>
    <w:p>
      <w:pPr>
        <w:ind w:right="100" w:firstLine="443"/>
        <w:spacing w:after="0" w:line="294" w:lineRule="auto"/>
        <w:tabs>
          <w:tab w:leader="none" w:pos="67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34" w:lineRule="exact"/>
        <w:rPr>
          <w:rFonts w:ascii="Arial" w:cs="Arial" w:eastAsia="Arial" w:hAnsi="Arial"/>
          <w:sz w:val="16"/>
          <w:szCs w:val="16"/>
          <w:color w:val="auto"/>
        </w:rPr>
      </w:pPr>
    </w:p>
    <w:p>
      <w:pPr>
        <w:ind w:firstLine="443"/>
        <w:spacing w:after="0" w:line="256" w:lineRule="auto"/>
        <w:tabs>
          <w:tab w:leader="none" w:pos="687"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68" w:name="page69"/>
    <w:bookmarkEnd w:id="68"/>
    <w:p>
      <w:pPr>
        <w:ind w:right="180" w:firstLine="443"/>
        <w:spacing w:after="0" w:line="253" w:lineRule="auto"/>
        <w:tabs>
          <w:tab w:leader="none" w:pos="677"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66" w:lineRule="exact"/>
        <w:rPr>
          <w:rFonts w:ascii="Arial" w:cs="Arial" w:eastAsia="Arial" w:hAnsi="Arial"/>
          <w:sz w:val="18"/>
          <w:szCs w:val="18"/>
          <w:color w:val="auto"/>
        </w:rPr>
      </w:pPr>
    </w:p>
    <w:p>
      <w:pPr>
        <w:ind w:right="120" w:firstLine="443"/>
        <w:spacing w:after="0" w:line="294" w:lineRule="auto"/>
        <w:tabs>
          <w:tab w:leader="none" w:pos="68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obligations of this Section 9 are continuing and shall survive the termination of Employee’s employment with Employer.</w:t>
      </w:r>
    </w:p>
    <w:p>
      <w:pPr>
        <w:spacing w:after="0" w:line="252" w:lineRule="exact"/>
        <w:rPr>
          <w:rFonts w:ascii="Arial" w:cs="Arial" w:eastAsia="Arial" w:hAnsi="Arial"/>
          <w:sz w:val="18"/>
          <w:szCs w:val="18"/>
          <w:color w:val="auto"/>
        </w:rPr>
      </w:pPr>
    </w:p>
    <w:p>
      <w:pPr>
        <w:ind w:left="260" w:hanging="256"/>
        <w:spacing w:after="0"/>
        <w:tabs>
          <w:tab w:leader="none" w:pos="2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color w:val="auto"/>
        </w:rPr>
      </w:pPr>
    </w:p>
    <w:p>
      <w:pPr>
        <w:ind w:firstLine="443"/>
        <w:spacing w:after="0" w:line="289" w:lineRule="auto"/>
        <w:tabs>
          <w:tab w:leader="none" w:pos="67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so long as Employer pays to Employee the compensation set forth in Subsection 7(a)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plan to have hotel or gaming operations. Employee hereby further covenants and agrees that the restrictive covenant contained in this Subsection 10(a) is reasonable as to duration, terms and geographical area and that the same protects the legitimate interests of Employer, imposes no undue hardship on Employee, and is not injurious to the public.</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69" w:name="page70"/>
    <w:bookmarkEnd w:id="69"/>
    <w:p>
      <w:pPr>
        <w:ind w:left="-4" w:right="40" w:firstLine="443"/>
        <w:spacing w:after="0" w:line="255" w:lineRule="auto"/>
        <w:tabs>
          <w:tab w:leader="none" w:pos="682"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hereby further covenants and agrees that, during the Term and for a period of one (1) year following the scheduled expiration 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to have hotel or gaming operations.</w:t>
      </w:r>
    </w:p>
    <w:p>
      <w:pPr>
        <w:spacing w:after="0" w:line="142" w:lineRule="exact"/>
        <w:rPr>
          <w:rFonts w:ascii="Arial" w:cs="Arial" w:eastAsia="Arial" w:hAnsi="Arial"/>
          <w:sz w:val="18"/>
          <w:szCs w:val="18"/>
          <w:color w:val="auto"/>
        </w:rPr>
      </w:pPr>
    </w:p>
    <w:p>
      <w:pPr>
        <w:ind w:left="-464" w:right="160" w:firstLine="464"/>
        <w:spacing w:after="0" w:line="332" w:lineRule="auto"/>
        <w:tabs>
          <w:tab w:leader="none" w:pos="246"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BEST EVIDENCE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executed in original and “Xerox” or photostatic copies and each copy bearing original signatures in ink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deemed an original.</w:t>
      </w:r>
    </w:p>
    <w:p>
      <w:pPr>
        <w:spacing w:after="0" w:line="85" w:lineRule="exact"/>
        <w:rPr>
          <w:rFonts w:ascii="Arial" w:cs="Arial" w:eastAsia="Arial" w:hAnsi="Arial"/>
          <w:sz w:val="16"/>
          <w:szCs w:val="16"/>
          <w:b w:val="1"/>
          <w:bCs w:val="1"/>
          <w:i w:val="1"/>
          <w:iCs w:val="1"/>
          <w:color w:val="auto"/>
        </w:rPr>
      </w:pPr>
    </w:p>
    <w:p>
      <w:pPr>
        <w:ind w:left="256" w:hanging="256"/>
        <w:spacing w:after="0"/>
        <w:tabs>
          <w:tab w:leader="none" w:pos="256" w:val="left"/>
        </w:tabs>
        <w:numPr>
          <w:ilvl w:val="0"/>
          <w:numId w:val="5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205" w:lineRule="exact"/>
        <w:rPr>
          <w:rFonts w:ascii="Arial" w:cs="Arial" w:eastAsia="Arial" w:hAnsi="Arial"/>
          <w:sz w:val="15"/>
          <w:szCs w:val="15"/>
          <w:b w:val="1"/>
          <w:bCs w:val="1"/>
          <w:i w:val="1"/>
          <w:iCs w:val="1"/>
          <w:color w:val="auto"/>
        </w:rPr>
      </w:pPr>
    </w:p>
    <w:p>
      <w:pPr>
        <w:ind w:left="-464" w:right="160" w:firstLine="464"/>
        <w:spacing w:after="0" w:line="259" w:lineRule="auto"/>
        <w:tabs>
          <w:tab w:leader="none" w:pos="255"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prior express written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13 shall be null and void and of no force or effect. Employer shall have the right to assign this Agreement freely.</w:t>
      </w:r>
    </w:p>
    <w:p>
      <w:pPr>
        <w:spacing w:after="0" w:line="140" w:lineRule="exact"/>
        <w:rPr>
          <w:rFonts w:ascii="Arial" w:cs="Arial" w:eastAsia="Arial" w:hAnsi="Arial"/>
          <w:sz w:val="18"/>
          <w:szCs w:val="18"/>
          <w:b w:val="1"/>
          <w:bCs w:val="1"/>
          <w:i w:val="1"/>
          <w:iCs w:val="1"/>
          <w:color w:val="auto"/>
        </w:rPr>
      </w:pPr>
    </w:p>
    <w:p>
      <w:pPr>
        <w:ind w:left="-464" w:right="520" w:firstLine="464"/>
        <w:spacing w:after="0" w:line="268" w:lineRule="auto"/>
        <w:tabs>
          <w:tab w:leader="none" w:pos="255"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31" w:lineRule="exact"/>
        <w:rPr>
          <w:rFonts w:ascii="Arial" w:cs="Arial" w:eastAsia="Arial" w:hAnsi="Arial"/>
          <w:sz w:val="18"/>
          <w:szCs w:val="18"/>
          <w:b w:val="1"/>
          <w:bCs w:val="1"/>
          <w:i w:val="1"/>
          <w:iCs w:val="1"/>
          <w:color w:val="auto"/>
        </w:rPr>
      </w:pPr>
    </w:p>
    <w:p>
      <w:pPr>
        <w:ind w:left="-464" w:right="520" w:firstLine="464"/>
        <w:spacing w:after="0" w:line="268" w:lineRule="auto"/>
        <w:tabs>
          <w:tab w:leader="none" w:pos="255"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of law principles.</w:t>
      </w:r>
    </w:p>
    <w:p>
      <w:pPr>
        <w:spacing w:after="0" w:line="131" w:lineRule="exact"/>
        <w:rPr>
          <w:rFonts w:ascii="Arial" w:cs="Arial" w:eastAsia="Arial" w:hAnsi="Arial"/>
          <w:sz w:val="18"/>
          <w:szCs w:val="18"/>
          <w:b w:val="1"/>
          <w:bCs w:val="1"/>
          <w:i w:val="1"/>
          <w:iCs w:val="1"/>
          <w:color w:val="auto"/>
        </w:rPr>
      </w:pPr>
    </w:p>
    <w:p>
      <w:pPr>
        <w:ind w:left="-464" w:right="240" w:firstLine="464"/>
        <w:spacing w:after="0" w:line="268" w:lineRule="auto"/>
        <w:tabs>
          <w:tab w:leader="none" w:pos="255"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09" w:lineRule="exact"/>
        <w:rPr>
          <w:sz w:val="20"/>
          <w:szCs w:val="20"/>
          <w:color w:val="auto"/>
        </w:rPr>
      </w:pPr>
    </w:p>
    <w:tbl>
      <w:tblPr>
        <w:tblLayout w:type="fixed"/>
        <w:tblInd w:w="456" w:type="dxa"/>
        <w:tblCellMar>
          <w:top w:w="0" w:type="dxa"/>
          <w:left w:w="0" w:type="dxa"/>
          <w:bottom w:w="0" w:type="dxa"/>
          <w:right w:w="0" w:type="dxa"/>
        </w:tblCellMar>
      </w:tblPr>
      <w:tr>
        <w:trPr>
          <w:trHeight w:val="207"/>
        </w:trPr>
        <w:tc>
          <w:tcPr>
            <w:tcW w:w="204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2840" w:type="dxa"/>
            <w:vAlign w:val="bottom"/>
          </w:tcPr>
          <w:p>
            <w:pPr>
              <w:ind w:left="320"/>
              <w:spacing w:after="0"/>
              <w:rPr>
                <w:sz w:val="20"/>
                <w:szCs w:val="20"/>
                <w:color w:val="auto"/>
              </w:rPr>
            </w:pPr>
            <w:r>
              <w:rPr>
                <w:rFonts w:ascii="Arial" w:cs="Arial" w:eastAsia="Arial" w:hAnsi="Arial"/>
                <w:sz w:val="18"/>
                <w:szCs w:val="18"/>
                <w:color w:val="auto"/>
              </w:rPr>
              <w:t>Wynn Las Vegas, LLC</w:t>
            </w:r>
          </w:p>
        </w:tc>
      </w:tr>
      <w:tr>
        <w:trPr>
          <w:trHeight w:val="228"/>
        </w:trPr>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89"/>
              </w:rPr>
              <w:t>3131 Las Vegas Boulevard South</w:t>
            </w:r>
          </w:p>
        </w:tc>
      </w:tr>
      <w:tr>
        <w:trPr>
          <w:trHeight w:val="222"/>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Las Vegas, Nevada 89109</w:t>
            </w:r>
          </w:p>
        </w:tc>
      </w:tr>
      <w:tr>
        <w:trPr>
          <w:trHeight w:val="340"/>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WITH A COPY</w:t>
            </w:r>
          </w:p>
        </w:tc>
        <w:tc>
          <w:tcPr>
            <w:tcW w:w="900" w:type="dxa"/>
            <w:vAlign w:val="bottom"/>
            <w:gridSpan w:val="3"/>
          </w:tcPr>
          <w:p>
            <w:pPr>
              <w:spacing w:after="0"/>
              <w:rPr>
                <w:sz w:val="24"/>
                <w:szCs w:val="24"/>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Wynn Resorts, Limited</w:t>
            </w:r>
          </w:p>
        </w:tc>
      </w:tr>
      <w:tr>
        <w:trPr>
          <w:trHeight w:val="196"/>
        </w:trPr>
        <w:tc>
          <w:tcPr>
            <w:tcW w:w="17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4"/>
              </w:rPr>
              <w:t>THAT SHALL NOT BE</w:t>
            </w:r>
          </w:p>
        </w:tc>
        <w:tc>
          <w:tcPr>
            <w:tcW w:w="300" w:type="dxa"/>
            <w:vAlign w:val="bottom"/>
          </w:tcPr>
          <w:p>
            <w:pPr>
              <w:spacing w:after="0"/>
              <w:rPr>
                <w:sz w:val="17"/>
                <w:szCs w:val="17"/>
                <w:color w:val="auto"/>
              </w:rPr>
            </w:pPr>
          </w:p>
        </w:tc>
        <w:tc>
          <w:tcPr>
            <w:tcW w:w="2840" w:type="dxa"/>
            <w:vAlign w:val="bottom"/>
          </w:tcPr>
          <w:p>
            <w:pPr>
              <w:ind w:left="300"/>
              <w:spacing w:after="0" w:line="196" w:lineRule="exact"/>
              <w:rPr>
                <w:sz w:val="20"/>
                <w:szCs w:val="20"/>
                <w:color w:val="auto"/>
              </w:rPr>
            </w:pPr>
            <w:r>
              <w:rPr>
                <w:rFonts w:ascii="Arial" w:cs="Arial" w:eastAsia="Arial" w:hAnsi="Arial"/>
                <w:sz w:val="18"/>
                <w:szCs w:val="18"/>
                <w:color w:val="auto"/>
                <w:w w:val="93"/>
              </w:rPr>
              <w:t>3131 Las Vegas Boulevard South</w:t>
            </w:r>
          </w:p>
        </w:tc>
      </w:tr>
      <w:tr>
        <w:trPr>
          <w:trHeight w:val="196"/>
        </w:trPr>
        <w:tc>
          <w:tcPr>
            <w:tcW w:w="2040" w:type="dxa"/>
            <w:vAlign w:val="bottom"/>
            <w:gridSpan w:val="5"/>
          </w:tcPr>
          <w:p>
            <w:pPr>
              <w:spacing w:after="0" w:line="196" w:lineRule="exact"/>
              <w:rPr>
                <w:sz w:val="20"/>
                <w:szCs w:val="20"/>
                <w:color w:val="auto"/>
              </w:rPr>
            </w:pPr>
            <w:r>
              <w:rPr>
                <w:rFonts w:ascii="Arial" w:cs="Arial" w:eastAsia="Arial" w:hAnsi="Arial"/>
                <w:sz w:val="18"/>
                <w:szCs w:val="18"/>
                <w:color w:val="auto"/>
              </w:rPr>
              <w:t>NOTICE TO:</w:t>
            </w:r>
          </w:p>
        </w:tc>
        <w:tc>
          <w:tcPr>
            <w:tcW w:w="2840" w:type="dxa"/>
            <w:vAlign w:val="bottom"/>
          </w:tcPr>
          <w:p>
            <w:pPr>
              <w:ind w:left="38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Attn: Legal Department</w:t>
            </w:r>
          </w:p>
        </w:tc>
      </w:tr>
      <w:tr>
        <w:trPr>
          <w:trHeight w:val="365"/>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ind w:left="2660"/>
              <w:spacing w:after="0"/>
              <w:rPr>
                <w:sz w:val="20"/>
                <w:szCs w:val="20"/>
                <w:color w:val="auto"/>
              </w:rPr>
            </w:pPr>
            <w:r>
              <w:rPr>
                <w:rFonts w:ascii="Arial" w:cs="Arial" w:eastAsia="Arial" w:hAnsi="Arial"/>
                <w:sz w:val="18"/>
                <w:szCs w:val="18"/>
                <w:color w:val="auto"/>
                <w:w w:val="79"/>
              </w:rPr>
              <w:t>10</w:t>
            </w:r>
          </w:p>
        </w:tc>
      </w:tr>
    </w:tbl>
    <w:p>
      <w:pPr>
        <w:sectPr>
          <w:pgSz w:w="11900" w:h="16838" w:orient="portrait"/>
          <w:cols w:equalWidth="0" w:num="1">
            <w:col w:w="10896"/>
          </w:cols>
          <w:pgMar w:left="704" w:top="280" w:right="299" w:bottom="1440" w:gutter="0" w:footer="0" w:header="0"/>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Arial" w:cs="Arial" w:eastAsia="Arial" w:hAnsi="Arial"/>
                <w:sz w:val="18"/>
                <w:szCs w:val="18"/>
                <w:color w:val="auto"/>
              </w:rPr>
              <w:t>TO EMPLOYEE:</w:t>
            </w:r>
          </w:p>
        </w:tc>
        <w:tc>
          <w:tcPr>
            <w:tcW w:w="2440" w:type="dxa"/>
            <w:vAlign w:val="bottom"/>
          </w:tcPr>
          <w:p>
            <w:pPr>
              <w:ind w:left="560"/>
              <w:spacing w:after="0"/>
              <w:rPr>
                <w:sz w:val="20"/>
                <w:szCs w:val="20"/>
                <w:color w:val="auto"/>
              </w:rPr>
            </w:pPr>
            <w:r>
              <w:rPr>
                <w:rFonts w:ascii="Arial" w:cs="Arial" w:eastAsia="Arial" w:hAnsi="Arial"/>
                <w:sz w:val="18"/>
                <w:szCs w:val="18"/>
                <w:color w:val="auto"/>
              </w:rPr>
              <w:t>Matt Maddox</w:t>
            </w:r>
          </w:p>
        </w:tc>
      </w:tr>
      <w:tr>
        <w:trPr>
          <w:trHeight w:val="228"/>
        </w:trPr>
        <w:tc>
          <w:tcPr>
            <w:tcW w:w="12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40" w:type="dxa"/>
            <w:vAlign w:val="bottom"/>
          </w:tcPr>
          <w:p>
            <w:pPr>
              <w:ind w:left="620"/>
              <w:spacing w:after="0"/>
              <w:rPr>
                <w:sz w:val="20"/>
                <w:szCs w:val="20"/>
                <w:color w:val="auto"/>
              </w:rPr>
            </w:pPr>
            <w:r>
              <w:rPr>
                <w:rFonts w:ascii="Arial" w:cs="Arial" w:eastAsia="Arial" w:hAnsi="Arial"/>
                <w:sz w:val="18"/>
                <w:szCs w:val="18"/>
                <w:color w:val="auto"/>
              </w:rPr>
              <w:t>2834 Gallant Hills</w:t>
            </w:r>
          </w:p>
        </w:tc>
      </w:tr>
      <w:tr>
        <w:trPr>
          <w:trHeight w:val="222"/>
        </w:trPr>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40" w:type="dxa"/>
            <w:vAlign w:val="bottom"/>
          </w:tcPr>
          <w:p>
            <w:pPr>
              <w:ind w:left="620"/>
              <w:spacing w:after="0"/>
              <w:rPr>
                <w:sz w:val="20"/>
                <w:szCs w:val="20"/>
                <w:color w:val="auto"/>
              </w:rPr>
            </w:pPr>
            <w:r>
              <w:rPr>
                <w:rFonts w:ascii="Arial" w:cs="Arial" w:eastAsia="Arial" w:hAnsi="Arial"/>
                <w:sz w:val="18"/>
                <w:szCs w:val="18"/>
                <w:color w:val="auto"/>
                <w:w w:val="84"/>
              </w:rPr>
              <w:t>Las Vegas, Nevada 89135</w:t>
            </w:r>
          </w:p>
        </w:tc>
      </w:tr>
    </w:tbl>
    <w:p>
      <w:pPr>
        <w:spacing w:after="0" w:line="15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16.</w:t>
      </w:r>
    </w:p>
    <w:p>
      <w:pPr>
        <w:spacing w:after="0" w:line="85" w:lineRule="exact"/>
        <w:rPr>
          <w:sz w:val="20"/>
          <w:szCs w:val="20"/>
          <w:color w:val="auto"/>
        </w:rPr>
      </w:pPr>
    </w:p>
    <w:p>
      <w:pPr>
        <w:ind w:right="160" w:firstLine="464"/>
        <w:spacing w:after="0" w:line="259" w:lineRule="auto"/>
        <w:tabs>
          <w:tab w:leader="none" w:pos="7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Sections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 and, this Agreement is not to be construed either for or against Employer or Employee, but shall be interpreted in accordance with the general tenor of its language.</w:t>
      </w:r>
    </w:p>
    <w:p>
      <w:pPr>
        <w:spacing w:after="0" w:line="140" w:lineRule="exact"/>
        <w:rPr>
          <w:rFonts w:ascii="Arial" w:cs="Arial" w:eastAsia="Arial" w:hAnsi="Arial"/>
          <w:sz w:val="18"/>
          <w:szCs w:val="18"/>
          <w:b w:val="1"/>
          <w:bCs w:val="1"/>
          <w:i w:val="1"/>
          <w:iCs w:val="1"/>
          <w:color w:val="auto"/>
        </w:rPr>
      </w:pPr>
    </w:p>
    <w:p>
      <w:pPr>
        <w:ind w:right="140" w:firstLine="464"/>
        <w:spacing w:after="0" w:line="332" w:lineRule="auto"/>
        <w:tabs>
          <w:tab w:leader="none" w:pos="720"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85" w:lineRule="exact"/>
        <w:rPr>
          <w:rFonts w:ascii="Arial" w:cs="Arial" w:eastAsia="Arial" w:hAnsi="Arial"/>
          <w:sz w:val="16"/>
          <w:szCs w:val="16"/>
          <w:b w:val="1"/>
          <w:bCs w:val="1"/>
          <w:i w:val="1"/>
          <w:iCs w:val="1"/>
          <w:color w:val="auto"/>
        </w:rPr>
      </w:pPr>
    </w:p>
    <w:p>
      <w:pPr>
        <w:ind w:firstLine="464"/>
        <w:spacing w:after="0" w:line="291" w:lineRule="auto"/>
        <w:tabs>
          <w:tab w:leader="none" w:pos="720"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and 10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Employer’s Affiliates’ arbitration policy governing employment disputes, or, in the absence of any such policy, as conducted by and in accordance with the labor arbitration rules of the American Arbitration Association. This agreement to arbitrate shall be specifically enforceable in any court of competent jurisdiction.</w:t>
      </w:r>
    </w:p>
    <w:p>
      <w:pPr>
        <w:spacing w:after="0" w:line="120" w:lineRule="exact"/>
        <w:rPr>
          <w:rFonts w:ascii="Arial" w:cs="Arial" w:eastAsia="Arial" w:hAnsi="Arial"/>
          <w:sz w:val="16"/>
          <w:szCs w:val="16"/>
          <w:b w:val="1"/>
          <w:bCs w:val="1"/>
          <w:i w:val="1"/>
          <w:iCs w:val="1"/>
          <w:color w:val="auto"/>
        </w:rPr>
      </w:pPr>
    </w:p>
    <w:p>
      <w:pPr>
        <w:jc w:val="both"/>
        <w:ind w:right="60" w:firstLine="464"/>
        <w:spacing w:after="0" w:line="259" w:lineRule="auto"/>
        <w:tabs>
          <w:tab w:leader="none" w:pos="7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20,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40" w:lineRule="exact"/>
        <w:rPr>
          <w:rFonts w:ascii="Arial" w:cs="Arial" w:eastAsia="Arial" w:hAnsi="Arial"/>
          <w:sz w:val="18"/>
          <w:szCs w:val="18"/>
          <w:b w:val="1"/>
          <w:bCs w:val="1"/>
          <w:i w:val="1"/>
          <w:iCs w:val="1"/>
          <w:color w:val="auto"/>
        </w:rPr>
      </w:pPr>
    </w:p>
    <w:p>
      <w:pPr>
        <w:ind w:right="220" w:firstLine="464"/>
        <w:spacing w:after="0" w:line="306" w:lineRule="auto"/>
        <w:tabs>
          <w:tab w:leader="none" w:pos="720"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with respect to the subject matter hereto and supersedes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57" w:right="279" w:bottom="1440" w:gutter="0" w:footer="0" w:header="0"/>
        </w:sectPr>
      </w:pPr>
    </w:p>
    <w:bookmarkStart w:id="71" w:name="page72"/>
    <w:bookmarkEnd w:id="71"/>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WYNN LAS VEGAS, LLC</w:t>
            </w:r>
          </w:p>
        </w:tc>
        <w:tc>
          <w:tcPr>
            <w:tcW w:w="11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Pascal</w:t>
            </w:r>
          </w:p>
        </w:tc>
        <w:tc>
          <w:tcPr>
            <w:tcW w:w="1140" w:type="dxa"/>
            <w:vAlign w:val="bottom"/>
          </w:tcPr>
          <w:p>
            <w:pPr>
              <w:spacing w:after="0"/>
              <w:rPr>
                <w:sz w:val="24"/>
                <w:szCs w:val="24"/>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 Maddox</w:t>
            </w:r>
          </w:p>
        </w:tc>
      </w:tr>
      <w:tr>
        <w:trPr>
          <w:trHeight w:val="202"/>
        </w:trPr>
        <w:tc>
          <w:tcPr>
            <w:tcW w:w="5040" w:type="dxa"/>
            <w:vAlign w:val="bottom"/>
          </w:tcPr>
          <w:p>
            <w:pPr>
              <w:spacing w:after="0" w:line="202" w:lineRule="exact"/>
              <w:rPr>
                <w:sz w:val="20"/>
                <w:szCs w:val="20"/>
                <w:color w:val="auto"/>
              </w:rPr>
            </w:pPr>
            <w:r>
              <w:rPr>
                <w:rFonts w:ascii="Arial" w:cs="Arial" w:eastAsia="Arial" w:hAnsi="Arial"/>
                <w:sz w:val="18"/>
                <w:szCs w:val="18"/>
                <w:color w:val="auto"/>
              </w:rPr>
              <w:t>Andrew Pascal</w:t>
            </w:r>
          </w:p>
        </w:tc>
        <w:tc>
          <w:tcPr>
            <w:tcW w:w="1140" w:type="dxa"/>
            <w:vAlign w:val="bottom"/>
          </w:tcPr>
          <w:p>
            <w:pPr>
              <w:spacing w:after="0"/>
              <w:rPr>
                <w:sz w:val="17"/>
                <w:szCs w:val="17"/>
                <w:color w:val="auto"/>
              </w:rPr>
            </w:pPr>
          </w:p>
        </w:tc>
        <w:tc>
          <w:tcPr>
            <w:tcW w:w="5240" w:type="dxa"/>
            <w:vAlign w:val="bottom"/>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President and Chief Operating Officer</w:t>
            </w:r>
          </w:p>
        </w:tc>
        <w:tc>
          <w:tcPr>
            <w:tcW w:w="114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65"/>
        </w:trPr>
        <w:tc>
          <w:tcPr>
            <w:tcW w:w="50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12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AGREEMENT</w:t>
      </w:r>
    </w:p>
    <w:p>
      <w:pPr>
        <w:spacing w:after="0" w:line="171" w:lineRule="exact"/>
        <w:rPr>
          <w:sz w:val="20"/>
          <w:szCs w:val="20"/>
          <w:color w:val="auto"/>
        </w:rPr>
      </w:pPr>
    </w:p>
    <w:p>
      <w:pPr>
        <w:ind w:right="960"/>
        <w:spacing w:after="0" w:line="231" w:lineRule="auto"/>
        <w:rPr>
          <w:sz w:val="20"/>
          <w:szCs w:val="20"/>
          <w:color w:val="auto"/>
        </w:rPr>
      </w:pPr>
      <w:r>
        <w:rPr>
          <w:rFonts w:ascii="Arial" w:cs="Arial" w:eastAsia="Arial" w:hAnsi="Arial"/>
          <w:sz w:val="18"/>
          <w:szCs w:val="18"/>
          <w:color w:val="auto"/>
        </w:rPr>
        <w:t>This Termination Agreement (“</w:t>
      </w:r>
      <w:r>
        <w:rPr>
          <w:rFonts w:ascii="Arial" w:cs="Arial" w:eastAsia="Arial" w:hAnsi="Arial"/>
          <w:sz w:val="18"/>
          <w:szCs w:val="18"/>
          <w:b w:val="1"/>
          <w:bCs w:val="1"/>
          <w:color w:val="auto"/>
        </w:rPr>
        <w:t>Termination Agreement</w:t>
      </w:r>
      <w:r>
        <w:rPr>
          <w:rFonts w:ascii="Arial" w:cs="Arial" w:eastAsia="Arial" w:hAnsi="Arial"/>
          <w:sz w:val="18"/>
          <w:szCs w:val="18"/>
          <w:color w:val="auto"/>
        </w:rPr>
        <w:t>”) is made and entered into as of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October 2005, by and between Matt Maddox (“</w:t>
      </w:r>
      <w:r>
        <w:rPr>
          <w:rFonts w:ascii="Arial" w:cs="Arial" w:eastAsia="Arial" w:hAnsi="Arial"/>
          <w:sz w:val="18"/>
          <w:szCs w:val="18"/>
          <w:b w:val="1"/>
          <w:bCs w:val="1"/>
          <w:color w:val="auto"/>
        </w:rPr>
        <w:t>Employee</w:t>
      </w:r>
      <w:r>
        <w:rPr>
          <w:rFonts w:ascii="Arial" w:cs="Arial" w:eastAsia="Arial" w:hAnsi="Arial"/>
          <w:sz w:val="18"/>
          <w:szCs w:val="18"/>
          <w:color w:val="auto"/>
        </w:rPr>
        <w:t>”) and Worldwide Wynn, LLC (“</w:t>
      </w:r>
      <w:r>
        <w:rPr>
          <w:rFonts w:ascii="Arial" w:cs="Arial" w:eastAsia="Arial" w:hAnsi="Arial"/>
          <w:sz w:val="18"/>
          <w:szCs w:val="18"/>
          <w:b w:val="1"/>
          <w:bCs w:val="1"/>
          <w:color w:val="auto"/>
        </w:rPr>
        <w:t>WWW</w:t>
      </w:r>
      <w:r>
        <w:rPr>
          <w:rFonts w:ascii="Arial" w:cs="Arial" w:eastAsia="Arial" w:hAnsi="Arial"/>
          <w:sz w:val="18"/>
          <w:szCs w:val="18"/>
          <w:color w:val="auto"/>
        </w:rPr>
        <w:t>”).</w:t>
      </w:r>
    </w:p>
    <w:p>
      <w:pPr>
        <w:spacing w:after="0" w:line="152"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entered into that certain Employment Agreement dated as of March 14, 2003 (the “</w:t>
      </w:r>
      <w:r>
        <w:rPr>
          <w:rFonts w:ascii="Arial" w:cs="Arial" w:eastAsia="Arial" w:hAnsi="Arial"/>
          <w:sz w:val="18"/>
          <w:szCs w:val="18"/>
          <w:b w:val="1"/>
          <w:bCs w:val="1"/>
          <w:color w:val="auto"/>
        </w:rPr>
        <w:t>2003 Employment Agreement</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WWW; and</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agreed to enter into an employment agreement with Wynn Las Vegas, LLC (the “</w:t>
      </w:r>
      <w:r>
        <w:rPr>
          <w:rFonts w:ascii="Arial" w:cs="Arial" w:eastAsia="Arial" w:hAnsi="Arial"/>
          <w:sz w:val="18"/>
          <w:szCs w:val="18"/>
          <w:b w:val="1"/>
          <w:bCs w:val="1"/>
          <w:color w:val="auto"/>
        </w:rPr>
        <w:t>WLV Employment Agreement</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and concurrent with the termination of the 2003 Employment Agreement; and</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WWW have agreed to terminate the 2003 Employment Agreement concurrent with the effectiveness of the WLV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WLV and Employee do hereby covenant and agree as follows:</w:t>
      </w:r>
    </w:p>
    <w:p>
      <w:pPr>
        <w:spacing w:after="0" w:line="53" w:lineRule="exact"/>
        <w:rPr>
          <w:sz w:val="20"/>
          <w:szCs w:val="20"/>
          <w:color w:val="auto"/>
        </w:rPr>
      </w:pPr>
    </w:p>
    <w:p>
      <w:pPr>
        <w:ind w:left="460" w:right="200" w:hanging="452"/>
        <w:spacing w:after="0" w:line="339" w:lineRule="auto"/>
        <w:tabs>
          <w:tab w:leader="none" w:pos="46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AGREEMENT</w:t>
      </w:r>
      <w:r>
        <w:rPr>
          <w:rFonts w:ascii="Arial" w:cs="Arial" w:eastAsia="Arial" w:hAnsi="Arial"/>
          <w:sz w:val="16"/>
          <w:szCs w:val="16"/>
          <w:color w:val="auto"/>
        </w:rPr>
        <w:t>. Employee and WWW agree that the 2003 Employment Agreement shall terminated and be of no further force or</w:t>
      </w:r>
      <w:r>
        <w:rPr>
          <w:rFonts w:ascii="Arial" w:cs="Arial" w:eastAsia="Arial" w:hAnsi="Arial"/>
          <w:sz w:val="16"/>
          <w:szCs w:val="16"/>
          <w:b w:val="1"/>
          <w:bCs w:val="1"/>
          <w:color w:val="auto"/>
        </w:rPr>
        <w:t xml:space="preserve"> </w:t>
      </w:r>
      <w:r>
        <w:rPr>
          <w:rFonts w:ascii="Arial" w:cs="Arial" w:eastAsia="Arial" w:hAnsi="Arial"/>
          <w:sz w:val="16"/>
          <w:szCs w:val="16"/>
          <w:color w:val="auto"/>
        </w:rPr>
        <w:t>effect concurrent with the effectiveness of the WLV Employment Agreement which is scheduled to become effective as of October 1, 2005.</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jc w:val="right"/>
              <w:ind w:right="2732"/>
              <w:spacing w:after="0"/>
              <w:rPr>
                <w:sz w:val="20"/>
                <w:szCs w:val="20"/>
                <w:color w:val="auto"/>
              </w:rPr>
            </w:pPr>
            <w:r>
              <w:rPr>
                <w:rFonts w:ascii="Arial" w:cs="Arial" w:eastAsia="Arial" w:hAnsi="Arial"/>
                <w:sz w:val="18"/>
                <w:szCs w:val="18"/>
                <w:b w:val="1"/>
                <w:bCs w:val="1"/>
                <w:color w:val="auto"/>
                <w:w w:val="99"/>
              </w:rPr>
              <w:t>WORLDWIDE WYNN, LLC</w:t>
            </w:r>
          </w:p>
        </w:tc>
        <w:tc>
          <w:tcPr>
            <w:tcW w:w="11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040" w:type="dxa"/>
            <w:vAlign w:val="bottom"/>
            <w:tcBorders>
              <w:bottom w:val="single" w:sz="8" w:color="auto"/>
            </w:tcBorders>
          </w:tcPr>
          <w:p>
            <w:pPr>
              <w:jc w:val="right"/>
              <w:ind w:right="3632"/>
              <w:spacing w:after="0"/>
              <w:rPr>
                <w:sz w:val="20"/>
                <w:szCs w:val="20"/>
                <w:color w:val="auto"/>
              </w:rPr>
            </w:pPr>
            <w:r>
              <w:rPr>
                <w:rFonts w:ascii="Arial" w:cs="Arial" w:eastAsia="Arial" w:hAnsi="Arial"/>
                <w:sz w:val="18"/>
                <w:szCs w:val="18"/>
                <w:color w:val="auto"/>
                <w:w w:val="89"/>
              </w:rPr>
              <w:t>/s/ Marc D. Schorr</w:t>
            </w:r>
          </w:p>
        </w:tc>
        <w:tc>
          <w:tcPr>
            <w:tcW w:w="1140" w:type="dxa"/>
            <w:vAlign w:val="bottom"/>
          </w:tcPr>
          <w:p>
            <w:pPr>
              <w:spacing w:after="0"/>
              <w:rPr>
                <w:sz w:val="24"/>
                <w:szCs w:val="24"/>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 Maddox</w:t>
            </w:r>
          </w:p>
        </w:tc>
      </w:tr>
      <w:tr>
        <w:trPr>
          <w:trHeight w:val="202"/>
        </w:trPr>
        <w:tc>
          <w:tcPr>
            <w:tcW w:w="5040" w:type="dxa"/>
            <w:vAlign w:val="bottom"/>
          </w:tcPr>
          <w:p>
            <w:pPr>
              <w:jc w:val="right"/>
              <w:ind w:right="3192"/>
              <w:spacing w:after="0" w:line="202" w:lineRule="exact"/>
              <w:rPr>
                <w:sz w:val="20"/>
                <w:szCs w:val="20"/>
                <w:color w:val="auto"/>
              </w:rPr>
            </w:pPr>
            <w:r>
              <w:rPr>
                <w:rFonts w:ascii="Arial" w:cs="Arial" w:eastAsia="Arial" w:hAnsi="Arial"/>
                <w:sz w:val="18"/>
                <w:szCs w:val="18"/>
                <w:color w:val="auto"/>
              </w:rPr>
              <w:t>Marc D. Schorr</w:t>
            </w:r>
          </w:p>
        </w:tc>
        <w:tc>
          <w:tcPr>
            <w:tcW w:w="114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22"/>
        </w:trPr>
        <w:tc>
          <w:tcPr>
            <w:tcW w:w="5040" w:type="dxa"/>
            <w:vAlign w:val="bottom"/>
          </w:tcPr>
          <w:p>
            <w:pPr>
              <w:jc w:val="right"/>
              <w:ind w:right="3652"/>
              <w:spacing w:after="0"/>
              <w:rPr>
                <w:sz w:val="20"/>
                <w:szCs w:val="20"/>
                <w:color w:val="auto"/>
              </w:rPr>
            </w:pPr>
            <w:r>
              <w:rPr>
                <w:rFonts w:ascii="Arial" w:cs="Arial" w:eastAsia="Arial" w:hAnsi="Arial"/>
                <w:sz w:val="18"/>
                <w:szCs w:val="18"/>
                <w:color w:val="auto"/>
              </w:rPr>
              <w:t>President</w:t>
            </w:r>
          </w:p>
        </w:tc>
        <w:tc>
          <w:tcPr>
            <w:tcW w:w="1140" w:type="dxa"/>
            <w:vAlign w:val="bottom"/>
          </w:tcPr>
          <w:p>
            <w:pPr>
              <w:spacing w:after="0"/>
              <w:rPr>
                <w:sz w:val="19"/>
                <w:szCs w:val="19"/>
                <w:color w:val="auto"/>
              </w:rPr>
            </w:pPr>
          </w:p>
        </w:tc>
        <w:tc>
          <w:tcPr>
            <w:tcW w:w="5240" w:type="dxa"/>
            <w:vAlign w:val="bottom"/>
          </w:tcPr>
          <w:p>
            <w:pPr>
              <w:ind w:left="760"/>
              <w:spacing w:after="0"/>
              <w:rPr>
                <w:sz w:val="20"/>
                <w:szCs w:val="20"/>
                <w:color w:val="auto"/>
              </w:rPr>
            </w:pPr>
            <w:r>
              <w:rPr>
                <w:rFonts w:ascii="Arial" w:cs="Arial" w:eastAsia="Arial" w:hAnsi="Arial"/>
                <w:sz w:val="18"/>
                <w:szCs w:val="18"/>
                <w:color w:val="auto"/>
              </w:rPr>
              <w:t>Matt Maddox</w:t>
            </w:r>
          </w:p>
        </w:tc>
      </w:tr>
      <w:tr>
        <w:trPr>
          <w:trHeight w:val="365"/>
        </w:trPr>
        <w:tc>
          <w:tcPr>
            <w:tcW w:w="50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13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pacing w:after="0" w:line="374"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pacing w:after="0" w:line="374"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860"/>
        <w:spacing w:after="0" w:line="222" w:lineRule="auto"/>
        <w:rPr>
          <w:sz w:val="20"/>
          <w:szCs w:val="20"/>
          <w:color w:val="auto"/>
        </w:rPr>
      </w:pPr>
      <w:r>
        <w:rPr>
          <w:rFonts w:ascii="Arial" w:cs="Arial" w:eastAsia="Arial" w:hAnsi="Arial"/>
          <w:sz w:val="14"/>
          <w:szCs w:val="14"/>
          <w:b w:val="1"/>
          <w:bCs w:val="1"/>
          <w:color w:val="auto"/>
        </w:rPr>
        <w:t>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2006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Date: May 10, 2006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7760"/>
        <w:spacing w:after="0"/>
        <w:rPr>
          <w:sz w:val="20"/>
          <w:szCs w:val="20"/>
          <w:color w:val="auto"/>
        </w:rPr>
      </w:pPr>
      <w:r>
        <w:rPr>
          <w:rFonts w:ascii="Arial" w:cs="Arial" w:eastAsia="Arial" w:hAnsi="Arial"/>
          <w:sz w:val="14"/>
          <w:szCs w:val="14"/>
          <w:b w:val="1"/>
          <w:bCs w:val="1"/>
          <w:color w:val="auto"/>
        </w:rPr>
        <w:t>Stephen A. Wynn</w:t>
      </w:r>
    </w:p>
    <w:p>
      <w:pPr>
        <w:spacing w:after="0" w:line="2" w:lineRule="exact"/>
        <w:rPr>
          <w:sz w:val="20"/>
          <w:szCs w:val="20"/>
          <w:color w:val="auto"/>
        </w:rPr>
      </w:pPr>
    </w:p>
    <w:p>
      <w:pPr>
        <w:jc w:val="center"/>
        <w:ind w:right="7760"/>
        <w:spacing w:after="0"/>
        <w:rPr>
          <w:sz w:val="20"/>
          <w:szCs w:val="20"/>
          <w:color w:val="auto"/>
        </w:rPr>
      </w:pPr>
      <w:r>
        <w:rPr>
          <w:rFonts w:ascii="Arial" w:cs="Arial" w:eastAsia="Arial" w:hAnsi="Arial"/>
          <w:sz w:val="12"/>
          <w:szCs w:val="12"/>
          <w:b w:val="1"/>
          <w:bCs w:val="1"/>
          <w:color w:val="auto"/>
        </w:rPr>
        <w:t>Chairman and Chief Executive Officer</w:t>
      </w:r>
    </w:p>
    <w:p>
      <w:pPr>
        <w:spacing w:after="0" w:line="10" w:lineRule="exact"/>
        <w:rPr>
          <w:sz w:val="20"/>
          <w:szCs w:val="20"/>
          <w:color w:val="auto"/>
        </w:rPr>
      </w:pPr>
    </w:p>
    <w:p>
      <w:pPr>
        <w:jc w:val="center"/>
        <w:ind w:right="7760"/>
        <w:spacing w:after="0"/>
        <w:rPr>
          <w:sz w:val="20"/>
          <w:szCs w:val="20"/>
          <w:color w:val="auto"/>
        </w:rPr>
      </w:pPr>
      <w:r>
        <w:rPr>
          <w:rFonts w:ascii="Arial" w:cs="Arial" w:eastAsia="Arial" w:hAnsi="Arial"/>
          <w:sz w:val="14"/>
          <w:szCs w:val="14"/>
          <w:b w:val="1"/>
          <w:bCs w:val="1"/>
          <w:color w:val="auto"/>
        </w:rPr>
        <w:t>(Principal Executive Officer)</w:t>
      </w:r>
    </w:p>
    <w:p>
      <w:pPr>
        <w:spacing w:after="0" w:line="592" w:lineRule="exact"/>
        <w:rPr>
          <w:sz w:val="20"/>
          <w:szCs w:val="20"/>
          <w:color w:val="auto"/>
        </w:rPr>
      </w:pPr>
    </w:p>
    <w:p>
      <w:pPr>
        <w:sectPr>
          <w:pgSz w:w="11900" w:h="16838" w:orient="portrait"/>
          <w:cols w:equalWidth="0" w:num="2">
            <w:col w:w="1420" w:space="0"/>
            <w:col w:w="10000"/>
          </w:cols>
          <w:pgMar w:left="240" w:top="125" w:right="2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41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w w:val="86"/>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John Strzemp</w:t>
            </w:r>
          </w:p>
        </w:tc>
      </w:tr>
      <w:tr>
        <w:trPr>
          <w:trHeight w:val="175"/>
        </w:trPr>
        <w:tc>
          <w:tcPr>
            <w:tcW w:w="480" w:type="dxa"/>
            <w:vAlign w:val="bottom"/>
          </w:tcPr>
          <w:p>
            <w:pPr>
              <w:spacing w:after="0" w:line="175" w:lineRule="exact"/>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6"/>
              </w:rPr>
              <w:t>Executive Vice President and</w:t>
            </w:r>
          </w:p>
        </w:tc>
      </w:tr>
      <w:tr>
        <w:trPr>
          <w:trHeight w:val="122"/>
        </w:trPr>
        <w:tc>
          <w:tcPr>
            <w:tcW w:w="480" w:type="dxa"/>
            <w:vAlign w:val="bottom"/>
          </w:tcPr>
          <w:p>
            <w:pPr>
              <w:spacing w:after="0"/>
              <w:rPr>
                <w:sz w:val="10"/>
                <w:szCs w:val="10"/>
                <w:color w:val="auto"/>
              </w:rPr>
            </w:pPr>
          </w:p>
        </w:tc>
        <w:tc>
          <w:tcPr>
            <w:tcW w:w="410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Chief Financial Officer</w:t>
            </w:r>
          </w:p>
        </w:tc>
      </w:tr>
      <w:tr>
        <w:trPr>
          <w:trHeight w:val="174"/>
        </w:trPr>
        <w:tc>
          <w:tcPr>
            <w:tcW w:w="48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Financial and Accounting Officer)</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2006</w:t>
      </w:r>
    </w:p>
    <w:p>
      <w:pPr>
        <w:spacing w:after="0" w:line="15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5"/>
    </w:lvl>
  </w:abstractNum>
  <w:abstractNum w:abstractNumId="5">
    <w:nsid w:val="7C3DBD3D"/>
    <w:multiLevelType w:val="hybridMultilevel"/>
    <w:lvl w:ilvl="0">
      <w:lvlJc w:val="left"/>
      <w:lvlText w:val="(%1)"/>
      <w:numFmt w:val="lowerLetter"/>
      <w:start w:val="5"/>
    </w:lvl>
  </w:abstractNum>
  <w:abstractNum w:abstractNumId="6">
    <w:nsid w:val="737B8DDC"/>
    <w:multiLevelType w:val="hybridMultilevel"/>
    <w:lvl w:ilvl="0">
      <w:lvlJc w:val="left"/>
      <w:lvlText w:val="%1."/>
      <w:numFmt w:val="decimal"/>
      <w:start w:val="12"/>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lowerLetter"/>
      <w:start w:val="2"/>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lvl w:ilvl="1">
      <w:lvlJc w:val="left"/>
      <w:lvlText w:val="(%2)"/>
      <w:numFmt w:val="lowerLetter"/>
      <w:start w:val="1"/>
    </w:lvl>
  </w:abstractNum>
  <w:abstractNum w:abstractNumId="18">
    <w:nsid w:val="7724C67E"/>
    <w:multiLevelType w:val="hybridMultilevel"/>
    <w:lvl w:ilvl="0">
      <w:lvlJc w:val="left"/>
      <w:lvlText w:val="%1"/>
      <w:numFmt w:val="lowerLetter"/>
      <w:start w:val="1"/>
    </w:lvl>
    <w:lvl w:ilvl="1">
      <w:lvlJc w:val="left"/>
      <w:lvlText w:val="(%2)"/>
      <w:numFmt w:val="lowerLetter"/>
      <w:start w:val="2"/>
    </w:lvl>
  </w:abstractNum>
  <w:abstractNum w:abstractNumId="19">
    <w:nsid w:val="5C482A97"/>
    <w:multiLevelType w:val="hybridMultilevel"/>
    <w:lvl w:ilvl="0">
      <w:lvlJc w:val="left"/>
      <w:lvlText w:val="(%1)"/>
      <w:numFmt w:val="lowerLetter"/>
      <w:start w:val="22"/>
    </w:lvl>
    <w:lvl w:ilvl="1">
      <w:lvlJc w:val="left"/>
      <w:lvlText w:val="(%2)"/>
      <w:numFmt w:val="lowerLetter"/>
      <w:start w:val="4"/>
    </w:lvl>
  </w:abstractNum>
  <w:abstractNum w:abstractNumId="20">
    <w:nsid w:val="2463B9EA"/>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21">
    <w:nsid w:val="5E884AD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22">
    <w:nsid w:val="51EAD36B"/>
    <w:multiLevelType w:val="hybridMultilevel"/>
    <w:lvl w:ilvl="0">
      <w:lvlJc w:val="left"/>
      <w:lvlText w:val="%1"/>
      <w:numFmt w:val="decimal"/>
      <w:start w:val="1"/>
    </w:lvl>
    <w:lvl w:ilvl="1">
      <w:lvlJc w:val="left"/>
      <w:lvlText w:val="(%2)"/>
      <w:numFmt w:val="lowerLetter"/>
      <w:start w:val="8"/>
    </w:lvl>
  </w:abstractNum>
  <w:abstractNum w:abstractNumId="23">
    <w:nsid w:val="2D517796"/>
    <w:multiLevelType w:val="hybridMultilevel"/>
    <w:lvl w:ilvl="0">
      <w:lvlJc w:val="left"/>
      <w:lvlText w:val="%1."/>
      <w:numFmt w:val="decimal"/>
      <w:start w:val="3"/>
    </w:lvl>
    <w:lvl w:ilvl="1">
      <w:lvlJc w:val="left"/>
      <w:lvlText w:val="(%2)"/>
      <w:numFmt w:val="lowerLetter"/>
      <w:start w:val="1"/>
    </w:lvl>
  </w:abstractNum>
  <w:abstractNum w:abstractNumId="24">
    <w:nsid w:val="580BD78F"/>
    <w:multiLevelType w:val="hybridMultilevel"/>
    <w:lvl w:ilvl="0">
      <w:lvlJc w:val="left"/>
      <w:lvlText w:val="(%1)"/>
      <w:numFmt w:val="lowerLetter"/>
      <w:start w:val="9"/>
    </w:lvl>
    <w:lvl w:ilvl="1">
      <w:lvlJc w:val="left"/>
      <w:lvlText w:val="%2"/>
      <w:numFmt w:val="decimal"/>
      <w:start w:val="1"/>
    </w:lvl>
  </w:abstractNum>
  <w:abstractNum w:abstractNumId="25">
    <w:nsid w:val="153EA438"/>
    <w:multiLevelType w:val="hybridMultilevel"/>
    <w:lvl w:ilvl="0">
      <w:lvlJc w:val="left"/>
      <w:lvlText w:val="(%1)"/>
      <w:numFmt w:val="lowerLetter"/>
      <w:start w:val="13"/>
    </w:lvl>
    <w:lvl w:ilvl="1">
      <w:lvlJc w:val="left"/>
      <w:lvlText w:val="%2."/>
      <w:numFmt w:val="decimal"/>
      <w:start w:val="5"/>
    </w:lvl>
  </w:abstractNum>
  <w:abstractNum w:abstractNumId="26">
    <w:nsid w:val="3855585C"/>
    <w:multiLevelType w:val="hybridMultilevel"/>
    <w:lvl w:ilvl="0">
      <w:lvlJc w:val="left"/>
      <w:lvlText w:val="%1."/>
      <w:numFmt w:val="decimal"/>
      <w:start w:val="6"/>
    </w:lvl>
    <w:lvl w:ilvl="1">
      <w:lvlJc w:val="left"/>
      <w:lvlText w:val="(%2)"/>
      <w:numFmt w:val="lowerLetter"/>
      <w:start w:val="1"/>
    </w:lvl>
  </w:abstractNum>
  <w:abstractNum w:abstractNumId="27">
    <w:nsid w:val="70A64E2A"/>
    <w:multiLevelType w:val="hybridMultilevel"/>
    <w:lvl w:ilvl="0">
      <w:lvlJc w:val="left"/>
      <w:lvlText w:val="%1."/>
      <w:numFmt w:val="decimal"/>
      <w:start w:val="8"/>
    </w:lvl>
    <w:lvl w:ilvl="1">
      <w:lvlJc w:val="left"/>
      <w:lvlText w:val="(%2)"/>
      <w:numFmt w:val="lowerLetter"/>
      <w:start w:val="1"/>
    </w:lvl>
  </w:abstractNum>
  <w:abstractNum w:abstractNumId="28">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9">
    <w:nsid w:val="2A487CB0"/>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30">
    <w:nsid w:val="1D4ED43B"/>
    <w:multiLevelType w:val="hybridMultilevel"/>
    <w:lvl w:ilvl="0">
      <w:lvlJc w:val="left"/>
      <w:lvlText w:val="(%1)"/>
      <w:numFmt w:val="lowerLetter"/>
      <w:start w:val="2"/>
    </w:lvl>
  </w:abstractNum>
  <w:abstractNum w:abstractNumId="31">
    <w:nsid w:val="725A06FB"/>
    <w:multiLevelType w:val="hybridMultilevel"/>
    <w:lvl w:ilvl="0">
      <w:lvlJc w:val="left"/>
      <w:lvlText w:val="(%1)"/>
      <w:numFmt w:val="lowerLetter"/>
      <w:start w:val="3"/>
    </w:lvl>
  </w:abstractNum>
  <w:abstractNum w:abstractNumId="32">
    <w:nsid w:val="2CD89A32"/>
    <w:multiLevelType w:val="hybridMultilevel"/>
    <w:lvl w:ilvl="0">
      <w:lvlJc w:val="left"/>
      <w:lvlText w:val="(%1)"/>
      <w:numFmt w:val="lowerLetter"/>
      <w:start w:val="4"/>
    </w:lvl>
  </w:abstractNum>
  <w:abstractNum w:abstractNumId="33">
    <w:nsid w:val="57E4CCAF"/>
    <w:multiLevelType w:val="hybridMultilevel"/>
    <w:lvl w:ilvl="0">
      <w:lvlJc w:val="left"/>
      <w:lvlText w:val="%1."/>
      <w:numFmt w:val="decimal"/>
      <w:start w:val="16"/>
    </w:lvl>
    <w:lvl w:ilvl="1">
      <w:lvlJc w:val="left"/>
      <w:lvlText w:val="(%2)"/>
      <w:numFmt w:val="lowerLetter"/>
      <w:start w:val="1"/>
    </w:lvl>
  </w:abstractNum>
  <w:abstractNum w:abstractNumId="34">
    <w:nsid w:val="7A6D8D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4"/>
    </w:lvl>
    <w:lvl w:ilvl="3">
      <w:lvlJc w:val="left"/>
      <w:lvlText w:val="(%4)"/>
      <w:numFmt w:val="lowerRoman"/>
      <w:start w:val="1"/>
    </w:lvl>
  </w:abstractNum>
  <w:abstractNum w:abstractNumId="35">
    <w:nsid w:val="4B588F54"/>
    <w:multiLevelType w:val="hybridMultilevel"/>
    <w:lvl w:ilvl="0">
      <w:lvlJc w:val="left"/>
      <w:lvlText w:val="(%1)"/>
      <w:numFmt w:val="lowerRoman"/>
      <w:start w:val="5"/>
    </w:lvl>
  </w:abstractNum>
  <w:abstractNum w:abstractNumId="36">
    <w:nsid w:val="542289EC"/>
    <w:multiLevelType w:val="hybridMultilevel"/>
    <w:lvl w:ilvl="0">
      <w:lvlJc w:val="left"/>
      <w:lvlText w:val="(%1)"/>
      <w:numFmt w:val="lowerLetter"/>
      <w:start w:val="5"/>
    </w:lvl>
  </w:abstractNum>
  <w:abstractNum w:abstractNumId="37">
    <w:nsid w:val="6DE91B18"/>
    <w:multiLevelType w:val="hybridMultilevel"/>
    <w:lvl w:ilvl="0">
      <w:lvlJc w:val="left"/>
      <w:lvlText w:val="%1"/>
      <w:numFmt w:val="decimal"/>
      <w:start w:val="1"/>
    </w:lvl>
    <w:lvl w:ilvl="1">
      <w:lvlJc w:val="left"/>
      <w:lvlText w:val="(%2)"/>
      <w:numFmt w:val="lowerLetter"/>
      <w:start w:val="8"/>
    </w:lvl>
  </w:abstractNum>
  <w:abstractNum w:abstractNumId="38">
    <w:nsid w:val="38437FDB"/>
    <w:multiLevelType w:val="hybridMultilevel"/>
    <w:lvl w:ilvl="0">
      <w:lvlJc w:val="left"/>
      <w:lvlText w:val="%1."/>
      <w:numFmt w:val="decimal"/>
      <w:start w:val="2"/>
    </w:lvl>
    <w:lvl w:ilvl="1">
      <w:lvlJc w:val="left"/>
      <w:lvlText w:val="%2"/>
      <w:numFmt w:val="lowerLetter"/>
      <w:start w:val="1"/>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decimal"/>
      <w:start w:val="5"/>
    </w:lvl>
    <w:lvl w:ilvl="1">
      <w:lvlJc w:val="left"/>
      <w:lvlText w:val="(%2)"/>
      <w:numFmt w:val="lowerLetter"/>
      <w:start w:val="1"/>
    </w:lvl>
  </w:abstractNum>
  <w:abstractNum w:abstractNumId="41">
    <w:nsid w:val="684A481A"/>
    <w:multiLevelType w:val="hybridMultilevel"/>
    <w:lvl w:ilvl="0">
      <w:lvlJc w:val="left"/>
      <w:lvlText w:val="%1."/>
      <w:numFmt w:val="decimal"/>
      <w:start w:val="7"/>
    </w:lvl>
    <w:lvl w:ilvl="1">
      <w:lvlJc w:val="left"/>
      <w:lvlText w:val="(%2)"/>
      <w:numFmt w:val="lowerLetter"/>
      <w:start w:val="1"/>
    </w:lvl>
  </w:abstractNum>
  <w:abstractNum w:abstractNumId="42">
    <w:nsid w:val="579478FE"/>
    <w:multiLevelType w:val="hybridMultilevel"/>
    <w:lvl w:ilvl="0">
      <w:lvlJc w:val="left"/>
      <w:lvlText w:val="(%1)"/>
      <w:numFmt w:val="lowerLetter"/>
      <w:start w:val="4"/>
    </w:lvl>
  </w:abstractNum>
  <w:abstractNum w:abstractNumId="43">
    <w:nsid w:val="749ABB43"/>
    <w:multiLevelType w:val="hybridMultilevel"/>
    <w:lvl w:ilvl="0">
      <w:lvlJc w:val="left"/>
      <w:lvlText w:val="%1"/>
      <w:numFmt w:val="decimal"/>
      <w:start w:val="1"/>
    </w:lvl>
    <w:lvl w:ilvl="1">
      <w:lvlJc w:val="left"/>
      <w:lvlText w:val="(%2)"/>
      <w:numFmt w:val="lowerLetter"/>
      <w:start w:val="10"/>
    </w:lvl>
  </w:abstractNum>
  <w:abstractNum w:abstractNumId="44">
    <w:nsid w:val="3DC240FB"/>
    <w:multiLevelType w:val="hybridMultilevel"/>
    <w:lvl w:ilvl="0">
      <w:lvlJc w:val="left"/>
      <w:lvlText w:val="%1."/>
      <w:numFmt w:val="decimal"/>
      <w:start w:val="8"/>
    </w:lvl>
    <w:lvl w:ilvl="1">
      <w:lvlJc w:val="left"/>
      <w:lvlText w:val="(%2)"/>
      <w:numFmt w:val="lowerLetter"/>
      <w:start w:val="1"/>
    </w:lvl>
  </w:abstractNum>
  <w:abstractNum w:abstractNumId="45">
    <w:nsid w:val="1BA026FA"/>
    <w:multiLevelType w:val="hybridMultilevel"/>
    <w:lvl w:ilvl="0">
      <w:lvlJc w:val="left"/>
      <w:lvlText w:val="%1"/>
      <w:numFmt w:val="decimal"/>
      <w:start w:val="1"/>
    </w:lvl>
    <w:lvl w:ilvl="1">
      <w:lvlJc w:val="left"/>
      <w:lvlText w:val="(%2)"/>
      <w:numFmt w:val="lowerLetter"/>
      <w:start w:val="2"/>
    </w:lvl>
  </w:abstractNum>
  <w:abstractNum w:abstractNumId="46">
    <w:nsid w:val="79A1DEAA"/>
    <w:multiLevelType w:val="hybridMultilevel"/>
    <w:lvl w:ilvl="0">
      <w:lvlJc w:val="left"/>
      <w:lvlText w:val="%1."/>
      <w:numFmt w:val="decimal"/>
      <w:start w:val="9"/>
    </w:lvl>
    <w:lvl w:ilvl="1">
      <w:lvlJc w:val="left"/>
      <w:lvlText w:val="(%2)"/>
      <w:numFmt w:val="lowerLetter"/>
      <w:start w:val="1"/>
    </w:lvl>
  </w:abstractNum>
  <w:abstractNum w:abstractNumId="47">
    <w:nsid w:val="75C6C33A"/>
    <w:multiLevelType w:val="hybridMultilevel"/>
    <w:lvl w:ilvl="0">
      <w:lvlJc w:val="left"/>
      <w:lvlText w:val="%1"/>
      <w:numFmt w:val="decimal"/>
      <w:start w:val="1"/>
    </w:lvl>
    <w:lvl w:ilvl="1">
      <w:lvlJc w:val="left"/>
      <w:lvlText w:val="(%2)"/>
      <w:numFmt w:val="lowerLetter"/>
      <w:start w:val="3"/>
    </w:lvl>
  </w:abstractNum>
  <w:abstractNum w:abstractNumId="48">
    <w:nsid w:val="12E685FB"/>
    <w:multiLevelType w:val="hybridMultilevel"/>
    <w:lvl w:ilvl="0">
      <w:lvlJc w:val="left"/>
      <w:lvlText w:val="%1."/>
      <w:numFmt w:val="decimal"/>
      <w:start w:val="10"/>
    </w:lvl>
    <w:lvl w:ilvl="1">
      <w:lvlJc w:val="left"/>
      <w:lvlText w:val="(%2)"/>
      <w:numFmt w:val="lowerLetter"/>
      <w:start w:val="1"/>
    </w:lvl>
  </w:abstractNum>
  <w:abstractNum w:abstractNumId="49">
    <w:nsid w:val="70C6A529"/>
    <w:multiLevelType w:val="hybridMultilevel"/>
    <w:lvl w:ilvl="0">
      <w:lvlJc w:val="left"/>
      <w:lvlText w:val="%1"/>
      <w:numFmt w:val="decimal"/>
      <w:start w:val="1"/>
    </w:lvl>
    <w:lvl w:ilvl="1">
      <w:lvlJc w:val="left"/>
      <w:lvlText w:val="(%2)"/>
      <w:numFmt w:val="lowerLetter"/>
      <w:start w:val="2"/>
    </w:lvl>
  </w:abstractNum>
  <w:abstractNum w:abstractNumId="50">
    <w:nsid w:val="520EEDD1"/>
    <w:multiLevelType w:val="hybridMultilevel"/>
    <w:lvl w:ilvl="0">
      <w:lvlJc w:val="left"/>
      <w:lvlText w:val="%1."/>
      <w:numFmt w:val="decimal"/>
      <w:start w:val="11"/>
    </w:lvl>
    <w:lvl w:ilvl="1">
      <w:lvlJc w:val="left"/>
      <w:lvlText w:val="%2"/>
      <w:numFmt w:val="lowerLetter"/>
      <w:start w:val="1"/>
    </w:lvl>
  </w:abstractNum>
  <w:abstractNum w:abstractNumId="51">
    <w:nsid w:val="374A3FE6"/>
    <w:multiLevelType w:val="hybridMultilevel"/>
    <w:lvl w:ilvl="0">
      <w:lvlJc w:val="left"/>
      <w:lvlText w:val="%1."/>
      <w:numFmt w:val="decimal"/>
      <w:start w:val="17"/>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2019-12-15T07:18:29Z</dcterms:created>
  <dcterms:modified xsi:type="dcterms:W3CDTF">2019-12-15T07:18:29Z</dcterms:modified>
</cp:coreProperties>
</file>