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786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867650"/>
                    </a:xfrm>
                    <a:prstGeom prst="rect">
                      <a:avLst/>
                    </a:prstGeom>
                    <a:noFill/>
                  </pic:spPr>
                </pic:pic>
              </a:graphicData>
            </a:graphic>
          </wp:anchor>
        </w:drawing>
      </w:r>
    </w:p>
    <w:p>
      <w:pPr>
        <w:spacing w:after="0" w:line="1214" w:lineRule="exact"/>
        <w:rPr>
          <w:sz w:val="24"/>
          <w:szCs w:val="24"/>
          <w:color w:val="auto"/>
        </w:rPr>
      </w:pPr>
    </w:p>
    <w:p>
      <w:pPr>
        <w:sectPr>
          <w:pgSz w:w="11900" w:h="1692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Billings Craig Scott</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WYNN RESORTS, LIMITED</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WYNN RESORTS LTD</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01/07/2026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418"/>
        <w:spacing w:after="0"/>
        <w:rPr>
          <w:sz w:val="20"/>
          <w:szCs w:val="20"/>
          <w:color w:val="auto"/>
        </w:rPr>
      </w:pPr>
      <w:r>
        <w:rPr>
          <w:rFonts w:ascii="Times New Roman" w:cs="Times New Roman" w:eastAsia="Times New Roman" w:hAnsi="Times New Roman"/>
          <w:sz w:val="16"/>
          <w:szCs w:val="16"/>
          <w:color w:val="0000FF"/>
        </w:rPr>
        <w:t>CEO</w:t>
      </w:r>
    </w:p>
    <w:p>
      <w:pPr>
        <w:spacing w:after="0" w:line="406" w:lineRule="exact"/>
        <w:rPr>
          <w:sz w:val="24"/>
          <w:szCs w:val="24"/>
          <w:color w:val="auto"/>
        </w:rPr>
      </w:pPr>
    </w:p>
    <w:p>
      <w:pPr>
        <w:sectPr>
          <w:pgSz w:w="11900" w:h="16928" w:orient="portrait"/>
          <w:cols w:equalWidth="0" w:num="3">
            <w:col w:w="3180" w:space="720"/>
            <w:col w:w="3102" w:space="720"/>
            <w:col w:w="3358"/>
          </w:cols>
          <w:pgMar w:left="460" w:top="215" w:right="359" w:bottom="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89109</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92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0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7"/>
              </w:rPr>
              <w:t>14,533</w:t>
            </w:r>
            <w:r>
              <w:rPr>
                <w:rFonts w:ascii="Times New Roman" w:cs="Times New Roman" w:eastAsia="Times New Roman" w:hAnsi="Times New Roman"/>
                <w:sz w:val="20"/>
                <w:szCs w:val="20"/>
                <w:color w:val="008000"/>
                <w:w w:val="97"/>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218,542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6"/>
              </w:rPr>
              <w:t>4,478</w:t>
            </w:r>
            <w:r>
              <w:rPr>
                <w:rFonts w:ascii="Times New Roman" w:cs="Times New Roman" w:eastAsia="Times New Roman" w:hAnsi="Times New Roman"/>
                <w:sz w:val="20"/>
                <w:szCs w:val="20"/>
                <w:color w:val="008000"/>
                <w:w w:val="96"/>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116.37</w:t>
            </w: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214,064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7"/>
              </w:rPr>
              <w:t>31,710</w:t>
            </w:r>
            <w:r>
              <w:rPr>
                <w:rFonts w:ascii="Times New Roman" w:cs="Times New Roman" w:eastAsia="Times New Roman" w:hAnsi="Times New Roman"/>
                <w:sz w:val="20"/>
                <w:szCs w:val="20"/>
                <w:color w:val="008000"/>
                <w:w w:val="97"/>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245,774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7"/>
              </w:rPr>
              <w:t>24,663</w:t>
            </w:r>
            <w:r>
              <w:rPr>
                <w:rFonts w:ascii="Times New Roman" w:cs="Times New Roman" w:eastAsia="Times New Roman" w:hAnsi="Times New Roman"/>
                <w:sz w:val="20"/>
                <w:szCs w:val="20"/>
                <w:color w:val="008000"/>
                <w:w w:val="97"/>
                <w:vertAlign w:val="superscript"/>
              </w:rPr>
              <w:t>(4)</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270,437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7"/>
              </w:rPr>
              <w:t>30,312</w:t>
            </w:r>
            <w:r>
              <w:rPr>
                <w:rFonts w:ascii="Times New Roman" w:cs="Times New Roman" w:eastAsia="Times New Roman" w:hAnsi="Times New Roman"/>
                <w:sz w:val="20"/>
                <w:szCs w:val="20"/>
                <w:color w:val="008000"/>
                <w:w w:val="97"/>
                <w:vertAlign w:val="superscript"/>
              </w:rPr>
              <w:t>(5)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300,749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6"/>
              </w:rPr>
              <w:t>5,871</w:t>
            </w:r>
            <w:r>
              <w:rPr>
                <w:rFonts w:ascii="Times New Roman" w:cs="Times New Roman" w:eastAsia="Times New Roman" w:hAnsi="Times New Roman"/>
                <w:sz w:val="20"/>
                <w:szCs w:val="20"/>
                <w:color w:val="008000"/>
                <w:w w:val="96"/>
                <w:vertAlign w:val="superscript"/>
              </w:rPr>
              <w:t>(6)</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116.37</w:t>
            </w: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294,878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01/07/2026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11,928</w:t>
            </w:r>
            <w:r>
              <w:rPr>
                <w:rFonts w:ascii="Times New Roman" w:cs="Times New Roman" w:eastAsia="Times New Roman" w:hAnsi="Times New Roman"/>
                <w:sz w:val="20"/>
                <w:szCs w:val="20"/>
                <w:color w:val="008000"/>
                <w:w w:val="93"/>
                <w:vertAlign w:val="superscript"/>
              </w:rPr>
              <w:t>(7)</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116.37</w:t>
            </w: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282,950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43"/>
              <w:spacing w:after="0"/>
              <w:rPr>
                <w:sz w:val="20"/>
                <w:szCs w:val="20"/>
                <w:color w:val="auto"/>
              </w:rPr>
            </w:pPr>
            <w:r>
              <w:rPr>
                <w:rFonts w:ascii="Times New Roman" w:cs="Times New Roman" w:eastAsia="Times New Roman" w:hAnsi="Times New Roman"/>
                <w:sz w:val="16"/>
                <w:szCs w:val="16"/>
                <w:color w:val="0000FF"/>
              </w:rPr>
              <w:t>01/09/2026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96"/>
              </w:rPr>
              <w:t>5,081</w:t>
            </w:r>
            <w:r>
              <w:rPr>
                <w:rFonts w:ascii="Times New Roman" w:cs="Times New Roman" w:eastAsia="Times New Roman" w:hAnsi="Times New Roman"/>
                <w:sz w:val="20"/>
                <w:szCs w:val="20"/>
                <w:color w:val="008000"/>
                <w:w w:val="96"/>
                <w:vertAlign w:val="superscript"/>
              </w:rPr>
              <w:t>(8)</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117.83</w:t>
            </w:r>
          </w:p>
        </w:tc>
        <w:tc>
          <w:tcPr>
            <w:tcW w:w="126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277,869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156,189</w:t>
            </w:r>
          </w:p>
        </w:tc>
        <w:tc>
          <w:tcPr>
            <w:tcW w:w="280" w:type="dxa"/>
            <w:vAlign w:val="bottom"/>
          </w:tcPr>
          <w:p>
            <w:pPr>
              <w:spacing w:after="0"/>
              <w:rPr>
                <w:sz w:val="17"/>
                <w:szCs w:val="17"/>
                <w:color w:val="auto"/>
              </w:rPr>
            </w:pPr>
          </w:p>
        </w:tc>
        <w:tc>
          <w:tcPr>
            <w:tcW w:w="640" w:type="dxa"/>
            <w:vAlign w:val="bottom"/>
          </w:tcPr>
          <w:p>
            <w:pPr>
              <w:jc w:val="center"/>
              <w:ind w:right="348"/>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00" w:type="dxa"/>
            <w:vAlign w:val="bottom"/>
          </w:tcPr>
          <w:p>
            <w:pPr>
              <w:jc w:val="center"/>
              <w:ind w:right="423"/>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3"/>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jc w:val="center"/>
              <w:ind w:right="261"/>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0000FF"/>
                <w:w w:val="94"/>
              </w:rPr>
              <w:t>Common</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Performance</w:t>
            </w:r>
          </w:p>
        </w:tc>
        <w:tc>
          <w:tcPr>
            <w:tcW w:w="62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008000"/>
              </w:rPr>
              <w:t>(9)</w:t>
            </w:r>
          </w:p>
        </w:tc>
        <w:tc>
          <w:tcPr>
            <w:tcW w:w="1560" w:type="dxa"/>
            <w:vAlign w:val="bottom"/>
            <w:vMerge w:val="restart"/>
          </w:tcPr>
          <w:p>
            <w:pPr>
              <w:jc w:val="right"/>
              <w:ind w:right="657"/>
              <w:spacing w:after="0"/>
              <w:rPr>
                <w:sz w:val="20"/>
                <w:szCs w:val="20"/>
                <w:color w:val="auto"/>
              </w:rPr>
            </w:pPr>
            <w:r>
              <w:rPr>
                <w:rFonts w:ascii="Times New Roman" w:cs="Times New Roman" w:eastAsia="Times New Roman" w:hAnsi="Times New Roman"/>
                <w:sz w:val="13"/>
                <w:szCs w:val="13"/>
                <w:color w:val="0000FF"/>
              </w:rPr>
              <w:t>01/07/2026</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14,093</w:t>
            </w:r>
          </w:p>
        </w:tc>
        <w:tc>
          <w:tcPr>
            <w:tcW w:w="580" w:type="dxa"/>
            <w:vAlign w:val="bottom"/>
          </w:tcPr>
          <w:p>
            <w:pPr>
              <w:spacing w:after="0"/>
              <w:rPr>
                <w:sz w:val="12"/>
                <w:szCs w:val="12"/>
                <w:color w:val="auto"/>
              </w:rPr>
            </w:pP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w w:val="91"/>
              </w:rPr>
              <w:t>Stock,</w:t>
            </w:r>
          </w:p>
        </w:tc>
        <w:tc>
          <w:tcPr>
            <w:tcW w:w="70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0000FF"/>
              </w:rPr>
              <w:t>14,093</w:t>
            </w:r>
          </w:p>
        </w:tc>
        <w:tc>
          <w:tcPr>
            <w:tcW w:w="56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0000FF"/>
              </w:rPr>
              <w:t>14,093</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38"/>
        </w:trPr>
        <w:tc>
          <w:tcPr>
            <w:tcW w:w="8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6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w w:val="95"/>
              </w:rPr>
              <w:t>par value</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0000FF"/>
              </w:rPr>
              <w:t>$0.01</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0000FF"/>
                <w:w w:val="94"/>
              </w:rPr>
              <w:t>Common</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Performance</w:t>
            </w:r>
          </w:p>
        </w:tc>
        <w:tc>
          <w:tcPr>
            <w:tcW w:w="62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008000"/>
              </w:rPr>
              <w:t>(10)</w:t>
            </w:r>
          </w:p>
        </w:tc>
        <w:tc>
          <w:tcPr>
            <w:tcW w:w="1560" w:type="dxa"/>
            <w:vAlign w:val="bottom"/>
            <w:vMerge w:val="restart"/>
          </w:tcPr>
          <w:p>
            <w:pPr>
              <w:jc w:val="right"/>
              <w:ind w:right="657"/>
              <w:spacing w:after="0"/>
              <w:rPr>
                <w:sz w:val="20"/>
                <w:szCs w:val="20"/>
                <w:color w:val="auto"/>
              </w:rPr>
            </w:pPr>
            <w:r>
              <w:rPr>
                <w:rFonts w:ascii="Times New Roman" w:cs="Times New Roman" w:eastAsia="Times New Roman" w:hAnsi="Times New Roman"/>
                <w:sz w:val="13"/>
                <w:szCs w:val="13"/>
                <w:color w:val="0000FF"/>
              </w:rPr>
              <w:t>01/07/2026</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spacing w:after="0"/>
              <w:rPr>
                <w:sz w:val="12"/>
                <w:szCs w:val="12"/>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20,916</w:t>
            </w: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w w:val="91"/>
              </w:rPr>
              <w:t>Stock,</w:t>
            </w:r>
          </w:p>
        </w:tc>
        <w:tc>
          <w:tcPr>
            <w:tcW w:w="70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0000FF"/>
              </w:rPr>
              <w:t>20,916</w:t>
            </w:r>
          </w:p>
        </w:tc>
        <w:tc>
          <w:tcPr>
            <w:tcW w:w="56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color w:val="0000FF"/>
              </w:rPr>
              <w:t>0</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38"/>
        </w:trPr>
        <w:tc>
          <w:tcPr>
            <w:tcW w:w="8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6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w w:val="95"/>
              </w:rPr>
              <w:t>par value</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0000FF"/>
              </w:rPr>
              <w:t>$0.01</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7, 2026.</w:t>
      </w:r>
    </w:p>
    <w:p>
      <w:pPr>
        <w:spacing w:after="0" w:line="39" w:lineRule="exact"/>
        <w:rPr>
          <w:rFonts w:ascii="Times New Roman" w:cs="Times New Roman" w:eastAsia="Times New Roman" w:hAnsi="Times New Roman"/>
          <w:sz w:val="13"/>
          <w:szCs w:val="13"/>
          <w:color w:val="008000"/>
        </w:rPr>
      </w:pPr>
    </w:p>
    <w:p>
      <w:pPr>
        <w:jc w:val="both"/>
        <w:ind w:left="40" w:right="1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shares of common stock, par value $0.01 per share, of the Company granted pursuant to the Plan. Vesting of the shares is conditioned on continued service through January 7, 2029, with 1/3 of the shares vesting on each of the three consecutive anniversary dates from the date of grant; provided that if the reporting person's employment with the Company is terminated, certain accelerated vesting provisions may apply.</w:t>
      </w:r>
    </w:p>
    <w:p>
      <w:pPr>
        <w:jc w:val="both"/>
        <w:ind w:left="40" w:right="180" w:hanging="2"/>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shares of common stock, par value $0.01 per share, of the Company granted pursuant to the Plan. Vesting of the shares is based on achievement of pre-established financial performance goals for each of the years ending December 31, 2026, 2027 and 2028, and if met, 1/3 of the shares will vest on February 28, 2027, 2028 and 2029, respectively; provided that if the reporting person's employment with the Company is</w:t>
      </w:r>
    </w:p>
    <w:p>
      <w:pPr>
        <w:sectPr>
          <w:pgSz w:w="11900" w:h="16928"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terminated, certain accelerated vesting provisions may apply.</w:t>
      </w:r>
    </w:p>
    <w:p>
      <w:pPr>
        <w:spacing w:after="0" w:line="39" w:lineRule="exact"/>
        <w:rPr>
          <w:sz w:val="20"/>
          <w:szCs w:val="20"/>
          <w:color w:val="auto"/>
        </w:rPr>
      </w:pPr>
    </w:p>
    <w:p>
      <w:pPr>
        <w:ind w:left="2" w:hanging="2"/>
        <w:spacing w:after="0" w:line="24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par value $0.01 per share, of the Company underlying performance share units ("PSUs") previously granted pursuant to the Plan on January 12, 2023 that were earned and vested based on the level of performance achieved, as certified by the Compensation Committee of the Board of Directors of the Company on January 7, 2026.</w:t>
      </w:r>
    </w:p>
    <w:p>
      <w:pPr>
        <w:spacing w:after="0" w:line="21"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7, 2025.</w:t>
      </w:r>
    </w:p>
    <w:p>
      <w:pPr>
        <w:spacing w:after="0" w:line="39"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PSUs granted on January 12, 2023.</w:t>
      </w:r>
    </w:p>
    <w:p>
      <w:pPr>
        <w:spacing w:after="0" w:line="39"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9, 2024.</w:t>
      </w:r>
    </w:p>
    <w:p>
      <w:pPr>
        <w:spacing w:after="0" w:line="39" w:lineRule="exact"/>
        <w:rPr>
          <w:rFonts w:ascii="Times New Roman" w:cs="Times New Roman" w:eastAsia="Times New Roman" w:hAnsi="Times New Roman"/>
          <w:sz w:val="13"/>
          <w:szCs w:val="13"/>
          <w:color w:val="008000"/>
        </w:rPr>
      </w:pPr>
    </w:p>
    <w:p>
      <w:pPr>
        <w:ind w:left="2" w:right="200" w:hanging="2"/>
        <w:spacing w:after="0" w:line="24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PSUs pursuant to the Plan. Each PSU represents the contingent right to receive between 0 and 1.6 shares of the Company's common stock, par value $0.01 per share, based on the total shareholder return ("TSR") performance of the common stock for the period January 1, 2026 to January 1, 2029.</w:t>
      </w:r>
    </w:p>
    <w:p>
      <w:pPr>
        <w:spacing w:after="0" w:line="21" w:lineRule="exact"/>
        <w:rPr>
          <w:rFonts w:ascii="Times New Roman" w:cs="Times New Roman" w:eastAsia="Times New Roman" w:hAnsi="Times New Roman"/>
          <w:sz w:val="13"/>
          <w:szCs w:val="13"/>
          <w:color w:val="008000"/>
        </w:rPr>
      </w:pPr>
    </w:p>
    <w:p>
      <w:pPr>
        <w:ind w:left="2" w:right="160" w:hanging="2"/>
        <w:spacing w:after="0" w:line="245"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represented the contingent right to receive between 0 and 1.6 shares of the Company's common stock, par value $0.01 per share, based on the TSR performance of the common stock for the period January 1, 2023 to January 1, 2026.</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ind w:left="6562"/>
        <w:spacing w:after="0" w:line="228" w:lineRule="auto"/>
        <w:rPr>
          <w:sz w:val="20"/>
          <w:szCs w:val="20"/>
          <w:color w:val="auto"/>
        </w:rPr>
      </w:pPr>
      <w:r>
        <w:rPr>
          <w:rFonts w:ascii="Times New Roman" w:cs="Times New Roman" w:eastAsia="Times New Roman" w:hAnsi="Times New Roman"/>
          <w:sz w:val="16"/>
          <w:szCs w:val="16"/>
          <w:color w:val="0000FF"/>
        </w:rPr>
        <w:t xml:space="preserve">/s/ Nicholas Pannucci, attorney-  </w:t>
      </w:r>
      <w:r>
        <w:rPr>
          <w:rFonts w:ascii="Times New Roman" w:cs="Times New Roman" w:eastAsia="Times New Roman" w:hAnsi="Times New Roman"/>
          <w:sz w:val="32"/>
          <w:szCs w:val="32"/>
          <w:color w:val="0000FF"/>
          <w:vertAlign w:val="subscript"/>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-26670</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in-fact for Craig Scott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-15875</wp:posOffset>
            </wp:positionV>
            <wp:extent cx="1268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80" w:hanging="2"/>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2"/>
      </w:cols>
      <w:pgMar w:left="498"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917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2026-01-09T19:04:38Z</dcterms:created>
  <dcterms:modified xsi:type="dcterms:W3CDTF">2026-01-09T19:04:38Z</dcterms:modified>
</cp:coreProperties>
</file>