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August 13, 2009</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939" w:right="259" w:bottom="1440" w:gutter="0" w:footer="0" w:header="0"/>
        </w:sectPr>
      </w:pPr>
    </w:p>
    <w:p>
      <w:pPr>
        <w:spacing w:after="0" w:line="235" w:lineRule="exact"/>
        <w:rPr>
          <w:sz w:val="24"/>
          <w:szCs w:val="24"/>
          <w:color w:val="auto"/>
        </w:rPr>
      </w:pPr>
    </w:p>
    <w:p>
      <w:pPr>
        <w:ind w:left="1600"/>
        <w:spacing w:after="0"/>
        <w:rPr>
          <w:sz w:val="20"/>
          <w:szCs w:val="20"/>
          <w:color w:val="auto"/>
        </w:rPr>
      </w:pPr>
      <w:r>
        <w:rPr>
          <w:rFonts w:ascii="Arial" w:cs="Arial" w:eastAsia="Arial" w:hAnsi="Arial"/>
          <w:sz w:val="19"/>
          <w:szCs w:val="19"/>
          <w:b w:val="1"/>
          <w:bCs w:val="1"/>
          <w:color w:val="auto"/>
        </w:rPr>
        <w:t>Nevada</w:t>
      </w:r>
    </w:p>
    <w:p>
      <w:pPr>
        <w:spacing w:after="0" w:line="35" w:lineRule="exact"/>
        <w:rPr>
          <w:sz w:val="24"/>
          <w:szCs w:val="24"/>
          <w:color w:val="auto"/>
        </w:rPr>
      </w:pPr>
    </w:p>
    <w:p>
      <w:pPr>
        <w:ind w:left="860"/>
        <w:spacing w:after="0"/>
        <w:rPr>
          <w:sz w:val="20"/>
          <w:szCs w:val="20"/>
          <w:color w:val="auto"/>
        </w:rPr>
      </w:pPr>
      <w:r>
        <w:rPr>
          <w:rFonts w:ascii="Arial" w:cs="Arial" w:eastAsia="Arial" w:hAnsi="Arial"/>
          <w:sz w:val="17"/>
          <w:szCs w:val="17"/>
          <w:color w:val="auto"/>
        </w:rPr>
        <w:t>(State or Other Jurisdiction</w:t>
      </w:r>
    </w:p>
    <w:p>
      <w:pPr>
        <w:spacing w:after="0" w:line="37" w:lineRule="exact"/>
        <w:rPr>
          <w:sz w:val="24"/>
          <w:szCs w:val="24"/>
          <w:color w:val="auto"/>
        </w:rPr>
      </w:pPr>
    </w:p>
    <w:p>
      <w:pPr>
        <w:ind w:left="1240"/>
        <w:spacing w:after="0"/>
        <w:rPr>
          <w:sz w:val="20"/>
          <w:szCs w:val="20"/>
          <w:color w:val="auto"/>
        </w:rPr>
      </w:pPr>
      <w:r>
        <w:rPr>
          <w:rFonts w:ascii="Arial" w:cs="Arial" w:eastAsia="Arial" w:hAnsi="Arial"/>
          <w:sz w:val="19"/>
          <w:szCs w:val="19"/>
          <w:color w:val="auto"/>
        </w:rPr>
        <w:t>of Incorporation)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480"/>
        <w:spacing w:after="0"/>
        <w:rPr>
          <w:sz w:val="20"/>
          <w:szCs w:val="20"/>
          <w:color w:val="auto"/>
        </w:rPr>
      </w:pPr>
      <w:r>
        <w:rPr>
          <w:rFonts w:ascii="Arial" w:cs="Arial" w:eastAsia="Arial" w:hAnsi="Arial"/>
          <w:sz w:val="19"/>
          <w:szCs w:val="19"/>
          <w:b w:val="1"/>
          <w:bCs w:val="1"/>
          <w:color w:val="auto"/>
        </w:rPr>
        <w:t>000-50028</w:t>
      </w:r>
    </w:p>
    <w:p>
      <w:pPr>
        <w:spacing w:after="0" w:line="35"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(Commission File</w:t>
      </w:r>
    </w:p>
    <w:p>
      <w:pPr>
        <w:spacing w:after="0" w:line="26" w:lineRule="exact"/>
        <w:rPr>
          <w:sz w:val="24"/>
          <w:szCs w:val="24"/>
          <w:color w:val="auto"/>
        </w:rPr>
      </w:pPr>
    </w:p>
    <w:p>
      <w:pPr>
        <w:jc w:val="center"/>
        <w:ind w:right="1480"/>
        <w:spacing w:after="0"/>
        <w:rPr>
          <w:sz w:val="20"/>
          <w:szCs w:val="20"/>
          <w:color w:val="auto"/>
        </w:rPr>
      </w:pPr>
      <w:r>
        <w:rPr>
          <w:rFonts w:ascii="Arial" w:cs="Arial" w:eastAsia="Arial" w:hAnsi="Arial"/>
          <w:sz w:val="19"/>
          <w:szCs w:val="19"/>
          <w:color w:val="auto"/>
        </w:rPr>
        <w:t>Number)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700"/>
        <w:spacing w:after="0"/>
        <w:rPr>
          <w:sz w:val="20"/>
          <w:szCs w:val="20"/>
          <w:color w:val="auto"/>
        </w:rPr>
      </w:pPr>
      <w:r>
        <w:rPr>
          <w:rFonts w:ascii="Arial" w:cs="Arial" w:eastAsia="Arial" w:hAnsi="Arial"/>
          <w:sz w:val="19"/>
          <w:szCs w:val="19"/>
          <w:b w:val="1"/>
          <w:bCs w:val="1"/>
          <w:color w:val="auto"/>
        </w:rPr>
        <w:t>46-0484987</w:t>
      </w:r>
    </w:p>
    <w:p>
      <w:pPr>
        <w:spacing w:after="0" w:line="35" w:lineRule="exact"/>
        <w:rPr>
          <w:sz w:val="24"/>
          <w:szCs w:val="24"/>
          <w:color w:val="auto"/>
        </w:rPr>
      </w:pPr>
    </w:p>
    <w:p>
      <w:pPr>
        <w:jc w:val="center"/>
        <w:ind w:right="700"/>
        <w:spacing w:after="0"/>
        <w:rPr>
          <w:sz w:val="20"/>
          <w:szCs w:val="20"/>
          <w:color w:val="auto"/>
        </w:rPr>
      </w:pPr>
      <w:r>
        <w:rPr>
          <w:rFonts w:ascii="Arial" w:cs="Arial" w:eastAsia="Arial" w:hAnsi="Arial"/>
          <w:sz w:val="19"/>
          <w:szCs w:val="19"/>
          <w:color w:val="auto"/>
        </w:rPr>
        <w:t>(I.R.S. Employer</w:t>
      </w:r>
    </w:p>
    <w:p>
      <w:pPr>
        <w:spacing w:after="0" w:line="14"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Identification Number)</w:t>
      </w:r>
    </w:p>
    <w:p>
      <w:pPr>
        <w:spacing w:after="0" w:line="211" w:lineRule="exact"/>
        <w:rPr>
          <w:sz w:val="24"/>
          <w:szCs w:val="24"/>
          <w:color w:val="auto"/>
        </w:rPr>
      </w:pPr>
    </w:p>
    <w:p>
      <w:pPr>
        <w:sectPr>
          <w:pgSz w:w="11900" w:h="16838" w:orient="portrait"/>
          <w:cols w:equalWidth="0" w:num="3">
            <w:col w:w="4580" w:space="720"/>
            <w:col w:w="2880" w:space="720"/>
            <w:col w:w="2500"/>
          </w:cols>
          <w:pgMar w:left="240" w:top="939" w:right="259" w:bottom="1440" w:gutter="0" w:footer="0" w:header="0"/>
          <w:type w:val="continuous"/>
        </w:sect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3131 Las Vegas Boulevard South</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Las Vegas, Nevada 89109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(Address of principal executive offices) (Zip Code)</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(702) 770-7555</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(Registrant’s telephone number, including area code)</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Not applicable.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00"/>
          </w:cols>
          <w:pgMar w:left="240" w:top="939" w:right="25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480" w:hanging="474"/>
        <w:spacing w:after="0"/>
        <w:tabs>
          <w:tab w:leader="none" w:pos="4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8" w:lineRule="exact"/>
        <w:rPr>
          <w:rFonts w:ascii="MS PGothic" w:cs="MS PGothic" w:eastAsia="MS PGothic" w:hAnsi="MS PGothic"/>
          <w:sz w:val="19"/>
          <w:szCs w:val="19"/>
          <w:color w:val="auto"/>
        </w:rPr>
      </w:pPr>
    </w:p>
    <w:p>
      <w:pPr>
        <w:ind w:left="480" w:hanging="474"/>
        <w:spacing w:after="0"/>
        <w:tabs>
          <w:tab w:leader="none" w:pos="4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8" w:lineRule="exact"/>
        <w:rPr>
          <w:rFonts w:ascii="MS PGothic" w:cs="MS PGothic" w:eastAsia="MS PGothic" w:hAnsi="MS PGothic"/>
          <w:sz w:val="19"/>
          <w:szCs w:val="19"/>
          <w:color w:val="auto"/>
        </w:rPr>
      </w:pPr>
    </w:p>
    <w:p>
      <w:pPr>
        <w:ind w:left="480" w:hanging="474"/>
        <w:spacing w:after="0"/>
        <w:tabs>
          <w:tab w:leader="none" w:pos="4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8" w:lineRule="exact"/>
        <w:rPr>
          <w:rFonts w:ascii="MS PGothic" w:cs="MS PGothic" w:eastAsia="MS PGothic" w:hAnsi="MS PGothic"/>
          <w:sz w:val="19"/>
          <w:szCs w:val="19"/>
          <w:color w:val="auto"/>
        </w:rPr>
      </w:pPr>
    </w:p>
    <w:p>
      <w:pPr>
        <w:ind w:left="480" w:hanging="474"/>
        <w:spacing w:after="0"/>
        <w:tabs>
          <w:tab w:leader="none" w:pos="4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577215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3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August 13, 2009, Stephen A. Wynn (“Mr. Wynn”), the Chairman of the Board of Directors of Wynn Resorts, Limited (the “Registrant”), and Aruze USA, Inc. (“Aruze”), a Nevada corporation, entered into a Waiver and Consent (the “Waiver and Consent”) with respect to that certain Stockholders Agreement, entered into as of April 11, 2002, among Mr. Wynn, Aruze and Baron Investment Funds Trust (formerly known as Baron Asset Fund), a Massachusetts business trust, as amended by that certain Amendment to Stockholders Agreement, entered into as of November 8, 2006, between Mr. Wynn and Aruze, and as further amended by that certain Waiver and Consent, dated July 31, 2009 (as amended, the “Stockholders Agreement”). Pursuant to the Waiver and Consent, Mr. Wynn and Aruze each (a) consented to the transfer of up to 2,000,000 shares of the Registrant’s common stock, par value $0.01 per share (the “Released Shares”), held by each other and (b) waived all of their respective rights under the Stockholders Agreement, including without limitation their rights of first refusal, in connection with a transfer or proposed transfer of the Released Shares.</w:t>
      </w:r>
    </w:p>
    <w:p>
      <w:pPr>
        <w:spacing w:after="0" w:line="200" w:lineRule="exact"/>
        <w:rPr>
          <w:sz w:val="20"/>
          <w:szCs w:val="20"/>
          <w:color w:val="auto"/>
        </w:rPr>
      </w:pPr>
    </w:p>
    <w:p>
      <w:pPr>
        <w:spacing w:after="0" w:line="221" w:lineRule="exact"/>
        <w:rPr>
          <w:sz w:val="20"/>
          <w:szCs w:val="20"/>
          <w:color w:val="auto"/>
        </w:rPr>
      </w:pPr>
    </w:p>
    <w:p>
      <w:pPr>
        <w:ind w:right="300"/>
        <w:spacing w:after="0" w:line="291" w:lineRule="auto"/>
        <w:rPr>
          <w:sz w:val="20"/>
          <w:szCs w:val="20"/>
          <w:color w:val="auto"/>
        </w:rPr>
      </w:pPr>
      <w:r>
        <w:rPr>
          <w:rFonts w:ascii="Arial" w:cs="Arial" w:eastAsia="Arial" w:hAnsi="Arial"/>
          <w:sz w:val="20"/>
          <w:szCs w:val="20"/>
          <w:color w:val="auto"/>
        </w:rPr>
        <w:t>The foregoing description of the Waiver and Consent does not purport to be complete and is qualified in its entirety by reference to the Waiver and Consent which is filed herewith as Exhibit 10.1 and is incorporated herein by this reference.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p>
      <w:pPr>
        <w:ind w:left="320" w:hanging="314"/>
        <w:spacing w:after="0"/>
        <w:tabs>
          <w:tab w:leader="none" w:pos="320" w:val="left"/>
        </w:tabs>
        <w:numPr>
          <w:ilvl w:val="0"/>
          <w:numId w:val="2"/>
        </w:numPr>
        <w:rPr>
          <w:rFonts w:ascii="Arial" w:cs="Arial" w:eastAsia="Arial" w:hAnsi="Arial"/>
          <w:sz w:val="21"/>
          <w:szCs w:val="21"/>
          <w:color w:val="auto"/>
        </w:rPr>
      </w:pPr>
      <w:r>
        <w:rPr>
          <w:rFonts w:ascii="Arial" w:cs="Arial" w:eastAsia="Arial" w:hAnsi="Arial"/>
          <w:sz w:val="21"/>
          <w:szCs w:val="21"/>
          <w:color w:val="auto"/>
        </w:rPr>
        <w:t>Exhibits</w:t>
      </w:r>
    </w:p>
    <w:p>
      <w:pPr>
        <w:spacing w:after="0" w:line="235" w:lineRule="exact"/>
        <w:rPr>
          <w:rFonts w:ascii="Arial" w:cs="Arial" w:eastAsia="Arial" w:hAnsi="Arial"/>
          <w:sz w:val="21"/>
          <w:szCs w:val="21"/>
          <w:color w:val="auto"/>
        </w:rPr>
      </w:pPr>
    </w:p>
    <w:p>
      <w:pPr>
        <w:ind w:left="320"/>
        <w:spacing w:after="0"/>
        <w:rPr>
          <w:rFonts w:ascii="Arial" w:cs="Arial" w:eastAsia="Arial" w:hAnsi="Arial"/>
          <w:sz w:val="21"/>
          <w:szCs w:val="21"/>
          <w:color w:val="auto"/>
        </w:rPr>
      </w:pPr>
      <w:r>
        <w:rPr>
          <w:rFonts w:ascii="Arial" w:cs="Arial" w:eastAsia="Arial" w:hAnsi="Arial"/>
          <w:sz w:val="21"/>
          <w:szCs w:val="21"/>
          <w:color w:val="auto"/>
        </w:rPr>
        <w:t>10.1   Waiver and Consent, dated as of August 13, 2009, by and between Stephen A. Wynn and Aruze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3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707"/>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August 18, 2009</w:t>
      </w:r>
    </w:p>
    <w:p>
      <w:pPr>
        <w:spacing w:after="0" w:line="236" w:lineRule="exact"/>
        <w:rPr>
          <w:sz w:val="20"/>
          <w:szCs w:val="20"/>
          <w:color w:val="auto"/>
        </w:rPr>
      </w:pPr>
    </w:p>
    <w:p>
      <w:pPr>
        <w:ind w:left="630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74" w:lineRule="exact"/>
        <w:rPr>
          <w:sz w:val="20"/>
          <w:szCs w:val="20"/>
          <w:color w:val="auto"/>
        </w:rPr>
      </w:pPr>
    </w:p>
    <w:p>
      <w:pPr>
        <w:ind w:left="6300"/>
        <w:spacing w:after="0"/>
        <w:rPr>
          <w:sz w:val="20"/>
          <w:szCs w:val="20"/>
          <w:color w:val="auto"/>
        </w:rPr>
      </w:pPr>
      <w:r>
        <w:rPr>
          <w:rFonts w:ascii="Arial" w:cs="Arial" w:eastAsia="Arial" w:hAnsi="Arial"/>
          <w:sz w:val="21"/>
          <w:szCs w:val="21"/>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12065</wp:posOffset>
            </wp:positionV>
            <wp:extent cx="2172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2335" cy="8255"/>
                    </a:xfrm>
                    <a:prstGeom prst="rect">
                      <a:avLst/>
                    </a:prstGeom>
                    <a:noFill/>
                  </pic:spPr>
                </pic:pic>
              </a:graphicData>
            </a:graphic>
          </wp:anchor>
        </w:drawing>
      </w:r>
    </w:p>
    <w:p>
      <w:pPr>
        <w:spacing w:after="0" w:line="6" w:lineRule="exact"/>
        <w:rPr>
          <w:sz w:val="20"/>
          <w:szCs w:val="20"/>
          <w:color w:val="auto"/>
        </w:rPr>
      </w:pPr>
    </w:p>
    <w:p>
      <w:pPr>
        <w:ind w:left="6640"/>
        <w:spacing w:after="0"/>
        <w:rPr>
          <w:sz w:val="20"/>
          <w:szCs w:val="20"/>
          <w:color w:val="auto"/>
        </w:rPr>
      </w:pPr>
      <w:r>
        <w:rPr>
          <w:rFonts w:ascii="Arial" w:cs="Arial" w:eastAsia="Arial" w:hAnsi="Arial"/>
          <w:sz w:val="21"/>
          <w:szCs w:val="21"/>
          <w:color w:val="auto"/>
        </w:rPr>
        <w:t>Matt Maddox</w:t>
      </w:r>
    </w:p>
    <w:p>
      <w:pPr>
        <w:ind w:left="6640"/>
        <w:spacing w:after="0" w:line="237" w:lineRule="auto"/>
        <w:rPr>
          <w:sz w:val="20"/>
          <w:szCs w:val="20"/>
          <w:color w:val="auto"/>
        </w:rPr>
      </w:pPr>
      <w:r>
        <w:rPr>
          <w:rFonts w:ascii="Arial" w:cs="Arial" w:eastAsia="Arial" w:hAnsi="Arial"/>
          <w:sz w:val="21"/>
          <w:szCs w:val="21"/>
          <w:color w:val="auto"/>
        </w:rPr>
        <w:t>Chief Financial Officer and</w:t>
      </w:r>
    </w:p>
    <w:p>
      <w:pPr>
        <w:ind w:left="6640"/>
        <w:spacing w:after="0"/>
        <w:rPr>
          <w:sz w:val="20"/>
          <w:szCs w:val="20"/>
          <w:color w:val="auto"/>
        </w:rPr>
      </w:pPr>
      <w:r>
        <w:rPr>
          <w:rFonts w:ascii="Arial" w:cs="Arial" w:eastAsia="Arial" w:hAnsi="Arial"/>
          <w:sz w:val="21"/>
          <w:szCs w:val="21"/>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671830</wp:posOffset>
            </wp:positionV>
            <wp:extent cx="72701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WAIVER AND CONSENT</w:t>
      </w:r>
    </w:p>
    <w:p>
      <w:pPr>
        <w:spacing w:after="0" w:line="200" w:lineRule="exact"/>
        <w:rPr>
          <w:sz w:val="20"/>
          <w:szCs w:val="20"/>
          <w:color w:val="auto"/>
        </w:rPr>
      </w:pPr>
    </w:p>
    <w:p>
      <w:pPr>
        <w:spacing w:after="0" w:line="280" w:lineRule="exact"/>
        <w:rPr>
          <w:sz w:val="20"/>
          <w:szCs w:val="20"/>
          <w:color w:val="auto"/>
        </w:rPr>
      </w:pPr>
    </w:p>
    <w:p>
      <w:pPr>
        <w:ind w:right="360" w:firstLine="1326"/>
        <w:spacing w:after="0" w:line="291" w:lineRule="auto"/>
        <w:rPr>
          <w:sz w:val="20"/>
          <w:szCs w:val="20"/>
          <w:color w:val="auto"/>
        </w:rPr>
      </w:pPr>
      <w:r>
        <w:rPr>
          <w:rFonts w:ascii="Arial" w:cs="Arial" w:eastAsia="Arial" w:hAnsi="Arial"/>
          <w:sz w:val="20"/>
          <w:szCs w:val="20"/>
          <w:color w:val="auto"/>
        </w:rPr>
        <w:t>This WAIVER AND CONSENT (this "Waiver and Consent"), dated as of the 13th day of August, 2009, is entered into by and between Stephen A. Wynn ("Wynn"), an individual, and Aruze USA, Inc., a Nevada corporation ("Aruze").</w:t>
      </w:r>
    </w:p>
    <w:p>
      <w:pPr>
        <w:spacing w:after="0" w:line="397" w:lineRule="exact"/>
        <w:rPr>
          <w:sz w:val="20"/>
          <w:szCs w:val="20"/>
          <w:color w:val="auto"/>
        </w:rPr>
      </w:pPr>
    </w:p>
    <w:p>
      <w:pPr>
        <w:ind w:right="60" w:firstLine="707"/>
        <w:spacing w:after="0" w:line="263" w:lineRule="auto"/>
        <w:rPr>
          <w:sz w:val="20"/>
          <w:szCs w:val="20"/>
          <w:color w:val="auto"/>
        </w:rPr>
      </w:pPr>
      <w:r>
        <w:rPr>
          <w:rFonts w:ascii="Arial" w:cs="Arial" w:eastAsia="Arial" w:hAnsi="Arial"/>
          <w:sz w:val="20"/>
          <w:szCs w:val="20"/>
          <w:color w:val="auto"/>
        </w:rPr>
        <w:t>Reference is made to that certain Stockholders Agreement, entered into as of April 11, 2002, among Wynn, Aruze and Baron, as amended by that certain Amendment to Stockholders Agreement, entered into as of November 8, 2006, between Wynn and Aruze, and Waiver and Consent dated as of July 31, 2009 (as amended, the "Stockholders Agreement"). Capitalized terms not otherwise defined herein shall have respective meanings ascribed to such terms in the Stockholders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p>
    <w:p>
      <w:pPr>
        <w:spacing w:after="0" w:line="200" w:lineRule="exact"/>
        <w:rPr>
          <w:sz w:val="20"/>
          <w:szCs w:val="20"/>
          <w:color w:val="auto"/>
        </w:rPr>
      </w:pPr>
    </w:p>
    <w:p>
      <w:pPr>
        <w:spacing w:after="0" w:line="274" w:lineRule="exact"/>
        <w:rPr>
          <w:sz w:val="20"/>
          <w:szCs w:val="20"/>
          <w:color w:val="auto"/>
        </w:rPr>
      </w:pPr>
    </w:p>
    <w:p>
      <w:pPr>
        <w:ind w:right="500" w:firstLine="707"/>
        <w:spacing w:after="0" w:line="266" w:lineRule="auto"/>
        <w:rPr>
          <w:sz w:val="20"/>
          <w:szCs w:val="20"/>
          <w:color w:val="auto"/>
        </w:rPr>
      </w:pPr>
      <w:r>
        <w:rPr>
          <w:rFonts w:ascii="Arial" w:cs="Arial" w:eastAsia="Arial" w:hAnsi="Arial"/>
          <w:sz w:val="21"/>
          <w:szCs w:val="21"/>
          <w:color w:val="auto"/>
        </w:rPr>
        <w:t>WHEREAS, Section 2(e) of the Stockholders Agreement provides that neither party has the right to Transfer any Shares without the prior written consent of the other; and</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WHEREAS, each party has consented to the transfer by the other of up to 2 million Shares; and</w:t>
      </w:r>
    </w:p>
    <w:p>
      <w:pPr>
        <w:spacing w:after="0" w:line="236" w:lineRule="exact"/>
        <w:rPr>
          <w:sz w:val="20"/>
          <w:szCs w:val="20"/>
          <w:color w:val="auto"/>
        </w:rPr>
      </w:pPr>
    </w:p>
    <w:p>
      <w:pPr>
        <w:ind w:right="160" w:firstLine="707"/>
        <w:spacing w:after="0" w:line="246" w:lineRule="auto"/>
        <w:rPr>
          <w:sz w:val="20"/>
          <w:szCs w:val="20"/>
          <w:color w:val="auto"/>
        </w:rPr>
      </w:pPr>
      <w:r>
        <w:rPr>
          <w:rFonts w:ascii="Arial" w:cs="Arial" w:eastAsia="Arial" w:hAnsi="Arial"/>
          <w:sz w:val="21"/>
          <w:szCs w:val="21"/>
          <w:color w:val="auto"/>
        </w:rPr>
        <w:t>WHEREAS, Section 9 of the Stockholders Agreement provides for a right of first refusal 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203" w:lineRule="exact"/>
        <w:rPr>
          <w:sz w:val="20"/>
          <w:szCs w:val="20"/>
          <w:color w:val="auto"/>
        </w:rPr>
      </w:pPr>
    </w:p>
    <w:p>
      <w:pPr>
        <w:ind w:right="620" w:firstLine="707"/>
        <w:spacing w:after="0" w:line="266" w:lineRule="auto"/>
        <w:rPr>
          <w:sz w:val="20"/>
          <w:szCs w:val="20"/>
          <w:color w:val="auto"/>
        </w:rPr>
      </w:pPr>
      <w:r>
        <w:rPr>
          <w:rFonts w:ascii="Arial" w:cs="Arial" w:eastAsia="Arial" w:hAnsi="Arial"/>
          <w:sz w:val="21"/>
          <w:szCs w:val="21"/>
          <w:color w:val="auto"/>
        </w:rPr>
        <w:t>WHEREAS, Wynn and Aruze each desire to waive their right of first refusal in connection with the Transfer of up to 2 million Shares by the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AGREEMENT</w:t>
      </w:r>
    </w:p>
    <w:p>
      <w:pPr>
        <w:spacing w:after="0" w:line="200" w:lineRule="exact"/>
        <w:rPr>
          <w:sz w:val="20"/>
          <w:szCs w:val="20"/>
          <w:color w:val="auto"/>
        </w:rPr>
      </w:pPr>
    </w:p>
    <w:p>
      <w:pPr>
        <w:spacing w:after="0" w:line="274" w:lineRule="exact"/>
        <w:rPr>
          <w:sz w:val="20"/>
          <w:szCs w:val="20"/>
          <w:color w:val="auto"/>
        </w:rPr>
      </w:pPr>
    </w:p>
    <w:p>
      <w:pPr>
        <w:jc w:val="both"/>
        <w:ind w:right="460" w:firstLine="707"/>
        <w:spacing w:after="0" w:line="251" w:lineRule="auto"/>
        <w:rPr>
          <w:sz w:val="20"/>
          <w:szCs w:val="20"/>
          <w:color w:val="auto"/>
        </w:rPr>
      </w:pPr>
      <w:r>
        <w:rPr>
          <w:rFonts w:ascii="Arial" w:cs="Arial" w:eastAsia="Arial" w:hAnsi="Arial"/>
          <w:sz w:val="21"/>
          <w:szCs w:val="21"/>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97" w:lineRule="exact"/>
        <w:rPr>
          <w:sz w:val="20"/>
          <w:szCs w:val="20"/>
          <w:color w:val="auto"/>
        </w:rPr>
      </w:pPr>
    </w:p>
    <w:p>
      <w:pPr>
        <w:jc w:val="both"/>
        <w:ind w:right="40" w:firstLine="713"/>
        <w:spacing w:after="0" w:line="246" w:lineRule="auto"/>
        <w:tabs>
          <w:tab w:leader="none" w:pos="1450"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Waivers and Consents</w:t>
      </w:r>
      <w:r>
        <w:rPr>
          <w:rFonts w:ascii="Arial" w:cs="Arial" w:eastAsia="Arial" w:hAnsi="Arial"/>
          <w:sz w:val="21"/>
          <w:szCs w:val="21"/>
          <w:color w:val="auto"/>
        </w:rPr>
        <w:t>. Each of Wynn and Aruze consent to the Transfer by the other of up to 2 million Shares (such Shares referred to as the “Released Shares”) and hereby waives all rights such party may have in connection with a Transfer under the Stockholders Agreement with respect to such shares, including without limitation, the right of first refusal in connection with a Transfer or proposed Transfer of Shares.</w:t>
      </w:r>
    </w:p>
    <w:p>
      <w:pPr>
        <w:spacing w:after="0" w:line="203" w:lineRule="exact"/>
        <w:rPr>
          <w:rFonts w:ascii="Arial" w:cs="Arial" w:eastAsia="Arial" w:hAnsi="Arial"/>
          <w:sz w:val="21"/>
          <w:szCs w:val="21"/>
          <w:color w:val="auto"/>
        </w:rPr>
      </w:pPr>
    </w:p>
    <w:p>
      <w:pPr>
        <w:ind w:left="1460" w:hanging="747"/>
        <w:spacing w:after="0"/>
        <w:tabs>
          <w:tab w:leader="none" w:pos="1460"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Transferee Not Bound</w:t>
      </w:r>
      <w:r>
        <w:rPr>
          <w:rFonts w:ascii="Arial" w:cs="Arial" w:eastAsia="Arial" w:hAnsi="Arial"/>
          <w:sz w:val="21"/>
          <w:szCs w:val="21"/>
          <w:color w:val="auto"/>
        </w:rPr>
        <w:t>. The transferee of the Released Shares shall not be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531495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by the terms of the Stockholders Agreement.</w:t>
      </w:r>
    </w:p>
    <w:p>
      <w:pPr>
        <w:spacing w:after="0" w:line="236" w:lineRule="exact"/>
        <w:rPr>
          <w:sz w:val="20"/>
          <w:szCs w:val="20"/>
          <w:color w:val="auto"/>
        </w:rPr>
      </w:pPr>
    </w:p>
    <w:p>
      <w:pPr>
        <w:jc w:val="both"/>
        <w:ind w:right="160" w:firstLine="713"/>
        <w:spacing w:after="0" w:line="291" w:lineRule="auto"/>
        <w:tabs>
          <w:tab w:leader="none" w:pos="145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Limited Scope</w:t>
      </w:r>
      <w:r>
        <w:rPr>
          <w:rFonts w:ascii="Arial" w:cs="Arial" w:eastAsia="Arial" w:hAnsi="Arial"/>
          <w:sz w:val="19"/>
          <w:szCs w:val="19"/>
          <w:color w:val="auto"/>
        </w:rPr>
        <w:t>. The waivers and consents set forth herein are limited as written and shall not be deemed to be a waiver of or consent to, or modification of in any respect, any other term or condition in the Stockholders Agreement. Except as expressly waived hereby, all of the terms and provisions of the Stockholders Agreement are and shall remain in full force and effect.</w:t>
      </w:r>
    </w:p>
    <w:p>
      <w:pPr>
        <w:spacing w:after="0" w:line="159" w:lineRule="exact"/>
        <w:rPr>
          <w:rFonts w:ascii="Arial" w:cs="Arial" w:eastAsia="Arial" w:hAnsi="Arial"/>
          <w:sz w:val="19"/>
          <w:szCs w:val="19"/>
          <w:color w:val="auto"/>
        </w:rPr>
      </w:pPr>
    </w:p>
    <w:p>
      <w:pPr>
        <w:ind w:firstLine="713"/>
        <w:spacing w:after="0" w:line="319" w:lineRule="auto"/>
        <w:tabs>
          <w:tab w:leader="none" w:pos="145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This Waiver and Consent has been duly authorized and executed by each of Wynn and Aruze and is a valid and binding waiver and consent of each such party, enforceable against each such party in accordance with its terms.</w:t>
      </w:r>
    </w:p>
    <w:p>
      <w:pPr>
        <w:spacing w:after="0" w:line="135" w:lineRule="exact"/>
        <w:rPr>
          <w:sz w:val="20"/>
          <w:szCs w:val="20"/>
          <w:color w:val="auto"/>
        </w:rPr>
      </w:pPr>
    </w:p>
    <w:p>
      <w:pPr>
        <w:ind w:right="320" w:firstLine="707"/>
        <w:spacing w:after="0" w:line="266" w:lineRule="auto"/>
        <w:rPr>
          <w:sz w:val="20"/>
          <w:szCs w:val="20"/>
          <w:color w:val="auto"/>
        </w:rPr>
      </w:pPr>
      <w:r>
        <w:rPr>
          <w:rFonts w:ascii="Arial" w:cs="Arial" w:eastAsia="Arial" w:hAnsi="Arial"/>
          <w:sz w:val="21"/>
          <w:szCs w:val="21"/>
          <w:color w:val="auto"/>
        </w:rPr>
        <w:t>IN WITNESS WHEREOF, this Waiver and Consent has been duly executed and delivered by Wynn and a duly authorized officer of Aruze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12065</wp:posOffset>
            </wp:positionV>
            <wp:extent cx="2803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 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ARUZE USA, INC.</w:t>
      </w:r>
    </w:p>
    <w:p>
      <w:pPr>
        <w:spacing w:after="0" w:line="200" w:lineRule="exact"/>
        <w:rPr>
          <w:sz w:val="20"/>
          <w:szCs w:val="20"/>
          <w:color w:val="auto"/>
        </w:rPr>
      </w:pPr>
    </w:p>
    <w:p>
      <w:pPr>
        <w:spacing w:after="0" w:line="27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12065</wp:posOffset>
            </wp:positionV>
            <wp:extent cx="2803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6"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Name: Kazuo Okada</w:t>
      </w:r>
    </w:p>
    <w:p>
      <w:pPr>
        <w:ind w:left="5720"/>
        <w:spacing w:after="0"/>
        <w:rPr>
          <w:sz w:val="20"/>
          <w:szCs w:val="20"/>
          <w:color w:val="auto"/>
        </w:rPr>
      </w:pPr>
      <w:r>
        <w:rPr>
          <w:rFonts w:ascii="Arial" w:cs="Arial" w:eastAsia="Arial" w:hAnsi="Arial"/>
          <w:sz w:val="21"/>
          <w:szCs w:val="2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654685</wp:posOffset>
            </wp:positionV>
            <wp:extent cx="72701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00"/>
      </w:cols>
      <w:pgMar w:left="240" w:top="5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2019-12-10T22:29:15Z</dcterms:created>
  <dcterms:modified xsi:type="dcterms:W3CDTF">2019-12-10T22:29:15Z</dcterms:modified>
</cp:coreProperties>
</file>