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146050</wp:posOffset>
            </wp:positionV>
            <wp:extent cx="285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2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56515</wp:posOffset>
            </wp:positionV>
            <wp:extent cx="285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7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August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2168525</wp:posOffset>
            </wp:positionH>
            <wp:positionV relativeFrom="paragraph">
              <wp:posOffset>69215</wp:posOffset>
            </wp:positionV>
            <wp:extent cx="285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19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7"/>
          <w:szCs w:val="37"/>
          <w:b w:val="1"/>
          <w:bCs w:val="1"/>
          <w:color w:val="auto"/>
        </w:rPr>
        <w:t>WYNN RESORTS, LIMITED</w:t>
      </w:r>
    </w:p>
    <w:p>
      <w:pPr>
        <w:spacing w:after="0" w:line="4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47" w:lineRule="exact"/>
        <w:rPr>
          <w:sz w:val="24"/>
          <w:szCs w:val="24"/>
          <w:color w:val="auto"/>
        </w:rPr>
      </w:pPr>
    </w:p>
    <w:tbl>
      <w:tblPr>
        <w:tblLayout w:type="fixed"/>
        <w:tblInd w:w="7"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5"/>
                <w:szCs w:val="15"/>
                <w:b w:val="1"/>
                <w:bCs w:val="1"/>
                <w:color w:val="auto"/>
              </w:rPr>
              <w:t>Nevada</w:t>
            </w:r>
          </w:p>
        </w:tc>
        <w:tc>
          <w:tcPr>
            <w:tcW w:w="3180" w:type="dxa"/>
            <w:vAlign w:val="bottom"/>
            <w:gridSpan w:val="2"/>
          </w:tcPr>
          <w:p>
            <w:pPr>
              <w:ind w:left="1240"/>
              <w:spacing w:after="0"/>
              <w:rPr>
                <w:sz w:val="20"/>
                <w:szCs w:val="20"/>
                <w:color w:val="auto"/>
              </w:rPr>
            </w:pPr>
            <w:r>
              <w:rPr>
                <w:rFonts w:ascii="Times New Roman" w:cs="Times New Roman" w:eastAsia="Times New Roman" w:hAnsi="Times New Roman"/>
                <w:sz w:val="15"/>
                <w:szCs w:val="15"/>
                <w:b w:val="1"/>
                <w:bCs w:val="1"/>
                <w:color w:val="auto"/>
              </w:rPr>
              <w:t>000-50028</w:t>
            </w:r>
          </w:p>
        </w:tc>
        <w:tc>
          <w:tcPr>
            <w:tcW w:w="2980" w:type="dxa"/>
            <w:vAlign w:val="bottom"/>
            <w:gridSpan w:val="3"/>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46-0484987</w:t>
            </w:r>
          </w:p>
        </w:tc>
        <w:tc>
          <w:tcPr>
            <w:tcW w:w="1160" w:type="dxa"/>
            <w:vAlign w:val="bottom"/>
          </w:tcPr>
          <w:p>
            <w:pPr>
              <w:spacing w:after="0"/>
              <w:rPr>
                <w:sz w:val="16"/>
                <w:szCs w:val="16"/>
                <w:color w:val="auto"/>
              </w:rPr>
            </w:pPr>
          </w:p>
        </w:tc>
      </w:tr>
      <w:tr>
        <w:trPr>
          <w:trHeight w:val="127"/>
        </w:trPr>
        <w:tc>
          <w:tcPr>
            <w:tcW w:w="920" w:type="dxa"/>
            <w:vAlign w:val="bottom"/>
          </w:tcPr>
          <w:p>
            <w:pPr>
              <w:spacing w:after="0"/>
              <w:rPr>
                <w:sz w:val="11"/>
                <w:szCs w:val="11"/>
                <w:color w:val="auto"/>
              </w:rPr>
            </w:pPr>
          </w:p>
        </w:tc>
        <w:tc>
          <w:tcPr>
            <w:tcW w:w="3020" w:type="dxa"/>
            <w:vAlign w:val="bottom"/>
            <w:gridSpan w:val="3"/>
          </w:tcPr>
          <w:p>
            <w:pPr>
              <w:jc w:val="center"/>
              <w:ind w:right="1260"/>
              <w:spacing w:after="0" w:line="128"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3180" w:type="dxa"/>
            <w:vAlign w:val="bottom"/>
            <w:gridSpan w:val="2"/>
          </w:tcPr>
          <w:p>
            <w:pPr>
              <w:ind w:left="1220"/>
              <w:spacing w:after="0" w:line="128" w:lineRule="exact"/>
              <w:rPr>
                <w:sz w:val="20"/>
                <w:szCs w:val="20"/>
                <w:color w:val="auto"/>
              </w:rPr>
            </w:pPr>
            <w:r>
              <w:rPr>
                <w:rFonts w:ascii="Times New Roman" w:cs="Times New Roman" w:eastAsia="Times New Roman" w:hAnsi="Times New Roman"/>
                <w:sz w:val="12"/>
                <w:szCs w:val="12"/>
                <w:b w:val="1"/>
                <w:bCs w:val="1"/>
                <w:color w:val="auto"/>
              </w:rPr>
              <w:t>(Commission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380" w:type="dxa"/>
            <w:vAlign w:val="bottom"/>
            <w:gridSpan w:val="2"/>
          </w:tcPr>
          <w:p>
            <w:pPr>
              <w:jc w:val="center"/>
              <w:ind w:right="480"/>
              <w:spacing w:after="0" w:line="128"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920" w:type="dxa"/>
            <w:vAlign w:val="bottom"/>
          </w:tcPr>
          <w:p>
            <w:pPr>
              <w:spacing w:after="0"/>
              <w:rPr>
                <w:sz w:val="14"/>
                <w:szCs w:val="14"/>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3180" w:type="dxa"/>
            <w:vAlign w:val="bottom"/>
            <w:gridSpan w:val="2"/>
          </w:tcPr>
          <w:p>
            <w:pPr>
              <w:ind w:left="12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00"/>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3131 Las Vegas Boulevard South</w:t>
            </w:r>
          </w:p>
        </w:tc>
        <w:tc>
          <w:tcPr>
            <w:tcW w:w="1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4"/>
        </w:trPr>
        <w:tc>
          <w:tcPr>
            <w:tcW w:w="920" w:type="dxa"/>
            <w:vAlign w:val="bottom"/>
          </w:tcPr>
          <w:p>
            <w:pPr>
              <w:spacing w:after="0"/>
              <w:rPr>
                <w:sz w:val="16"/>
                <w:szCs w:val="16"/>
                <w:color w:val="auto"/>
              </w:rPr>
            </w:pPr>
          </w:p>
        </w:tc>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Las Vegas, Nevada</w:t>
            </w:r>
          </w:p>
        </w:tc>
        <w:tc>
          <w:tcPr>
            <w:tcW w:w="1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980" w:type="dxa"/>
            <w:vAlign w:val="bottom"/>
            <w:gridSpan w:val="3"/>
          </w:tcPr>
          <w:p>
            <w:pPr>
              <w:jc w:val="right"/>
              <w:ind w:right="518"/>
              <w:spacing w:after="0"/>
              <w:rPr>
                <w:sz w:val="20"/>
                <w:szCs w:val="20"/>
                <w:color w:val="auto"/>
              </w:rPr>
            </w:pPr>
            <w:r>
              <w:rPr>
                <w:rFonts w:ascii="Times New Roman" w:cs="Times New Roman" w:eastAsia="Times New Roman" w:hAnsi="Times New Roman"/>
                <w:sz w:val="15"/>
                <w:szCs w:val="15"/>
                <w:b w:val="1"/>
                <w:bCs w:val="1"/>
                <w:color w:val="auto"/>
              </w:rPr>
              <w:t>89109</w:t>
            </w:r>
          </w:p>
        </w:tc>
        <w:tc>
          <w:tcPr>
            <w:tcW w:w="1160" w:type="dxa"/>
            <w:vAlign w:val="bottom"/>
          </w:tcPr>
          <w:p>
            <w:pPr>
              <w:spacing w:after="0"/>
              <w:rPr>
                <w:sz w:val="16"/>
                <w:szCs w:val="16"/>
                <w:color w:val="auto"/>
              </w:rPr>
            </w:pPr>
          </w:p>
        </w:tc>
      </w:tr>
      <w:tr>
        <w:trPr>
          <w:trHeight w:val="162"/>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590"/>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(702) 770-7555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80" w:type="dxa"/>
            <w:vAlign w:val="bottom"/>
            <w:gridSpan w:val="2"/>
          </w:tcPr>
          <w:p>
            <w:pPr>
              <w:jc w:val="center"/>
              <w:ind w:left="13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59"/>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320" w:type="dxa"/>
            <w:vAlign w:val="bottom"/>
            <w:gridSpan w:val="6"/>
          </w:tcPr>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r>
      <w:tr>
        <w:trPr>
          <w:trHeight w:val="33"/>
        </w:trPr>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489"/>
        </w:trPr>
        <w:tc>
          <w:tcPr>
            <w:tcW w:w="39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3020" w:type="dxa"/>
            <w:vAlign w:val="bottom"/>
            <w:gridSpan w:val="3"/>
          </w:tcPr>
          <w:p>
            <w:pPr>
              <w:jc w:val="center"/>
              <w:ind w:right="186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140" w:type="dxa"/>
            <w:vAlign w:val="bottom"/>
            <w:gridSpan w:val="4"/>
          </w:tcPr>
          <w:p>
            <w:pPr>
              <w:jc w:val="center"/>
              <w:ind w:right="104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1"/>
        </w:trPr>
        <w:tc>
          <w:tcPr>
            <w:tcW w:w="3940" w:type="dxa"/>
            <w:vAlign w:val="bottom"/>
            <w:gridSpan w:val="4"/>
          </w:tcPr>
          <w:p>
            <w:pPr>
              <w:jc w:val="center"/>
              <w:ind w:right="940"/>
              <w:spacing w:after="0"/>
              <w:rPr>
                <w:sz w:val="20"/>
                <w:szCs w:val="20"/>
                <w:color w:val="auto"/>
              </w:rPr>
            </w:pPr>
            <w:r>
              <w:rPr>
                <w:rFonts w:ascii="Times New Roman" w:cs="Times New Roman" w:eastAsia="Times New Roman" w:hAnsi="Times New Roman"/>
                <w:sz w:val="15"/>
                <w:szCs w:val="15"/>
                <w:color w:val="auto"/>
              </w:rPr>
              <w:t>Common stock, par value $0.01</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color w:val="auto"/>
              </w:rPr>
              <w:t>WYNN</w:t>
            </w:r>
          </w:p>
        </w:tc>
        <w:tc>
          <w:tcPr>
            <w:tcW w:w="120" w:type="dxa"/>
            <w:vAlign w:val="bottom"/>
          </w:tcPr>
          <w:p>
            <w:pPr>
              <w:spacing w:after="0"/>
              <w:rPr>
                <w:sz w:val="18"/>
                <w:szCs w:val="18"/>
                <w:color w:val="auto"/>
              </w:rPr>
            </w:pPr>
          </w:p>
        </w:tc>
        <w:tc>
          <w:tcPr>
            <w:tcW w:w="4020" w:type="dxa"/>
            <w:vAlign w:val="bottom"/>
            <w:gridSpan w:val="3"/>
          </w:tcPr>
          <w:p>
            <w:pPr>
              <w:jc w:val="center"/>
              <w:ind w:right="1160"/>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177"/>
        </w:trPr>
        <w:tc>
          <w:tcPr>
            <w:tcW w:w="9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bl>
    <w:p>
      <w:pPr>
        <w:spacing w:after="0" w:line="28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26"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3" w:lineRule="exact"/>
        <w:rPr>
          <w:sz w:val="24"/>
          <w:szCs w:val="24"/>
          <w:color w:val="auto"/>
        </w:rPr>
      </w:pPr>
    </w:p>
    <w:p>
      <w:pPr>
        <w:ind w:left="7" w:right="20"/>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38" w:lineRule="exact"/>
        <w:rPr>
          <w:sz w:val="24"/>
          <w:szCs w:val="24"/>
          <w:color w:val="auto"/>
        </w:rPr>
      </w:pPr>
    </w:p>
    <w:p>
      <w:pPr>
        <w:ind w:left="7"/>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582295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921" w:right="31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98" w:lineRule="exact"/>
        <w:rPr>
          <w:sz w:val="20"/>
          <w:szCs w:val="20"/>
          <w:color w:val="auto"/>
        </w:rPr>
      </w:pPr>
    </w:p>
    <w:p>
      <w:pPr>
        <w:jc w:val="both"/>
        <w:ind w:firstLine="347"/>
        <w:spacing w:after="0" w:line="267" w:lineRule="auto"/>
        <w:rPr>
          <w:sz w:val="20"/>
          <w:szCs w:val="20"/>
          <w:color w:val="auto"/>
        </w:rPr>
      </w:pPr>
      <w:r>
        <w:rPr>
          <w:rFonts w:ascii="Times New Roman" w:cs="Times New Roman" w:eastAsia="Times New Roman" w:hAnsi="Times New Roman"/>
          <w:sz w:val="15"/>
          <w:szCs w:val="15"/>
          <w:color w:val="auto"/>
        </w:rPr>
        <w:t>On August 12, 2025 (August 13, 2025 Hong Kong time), Wynn Macau, Limited ("WML"), an indirect subsidiary of Wynn Resorts, Limited ("Wynn Resorts" or the "Company") with its ordinary shares of common stock listed on The Stock Exchange of Hong Kong Limited (the "HKSE"), filed with the HKSE an announcement (the "Pricing Announcement") that WML has entered into a purchase agreement with certain Initial Purchasers, as defined in the purchase agreement, in connection with the issuance by WML of $1.0 billion aggregate principal amount of 6.750% senior notes due 2034, which issuance is expected to occur on August 19, 2025. Wynn Resorts owns approximately 72% of WML’s ordinary shares of common stock. The Pricing Announcement is furnished herewith as Exhibit 99.1.</w:t>
      </w:r>
    </w:p>
    <w:p>
      <w:pPr>
        <w:spacing w:after="0" w:line="175"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The information furnished pursuant to this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Financial Statements and Exhibits.</w:t>
            </w:r>
          </w:p>
        </w:tc>
      </w:tr>
      <w:tr>
        <w:trPr>
          <w:trHeight w:val="370"/>
        </w:trPr>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 Exhibits.</w:t>
            </w: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151"/>
        </w:trPr>
        <w:tc>
          <w:tcPr>
            <w:tcW w:w="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20" w:type="dxa"/>
            <w:vAlign w:val="bottom"/>
          </w:tcPr>
          <w:p>
            <w:pPr>
              <w:spacing w:after="0"/>
              <w:rPr>
                <w:sz w:val="13"/>
                <w:szCs w:val="13"/>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235"/>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720" w:type="dxa"/>
            <w:vAlign w:val="bottom"/>
          </w:tcPr>
          <w:p>
            <w:pPr>
              <w:spacing w:after="0"/>
              <w:rPr>
                <w:sz w:val="20"/>
                <w:szCs w:val="20"/>
                <w:color w:val="auto"/>
              </w:rPr>
            </w:pPr>
          </w:p>
        </w:tc>
        <w:tc>
          <w:tcPr>
            <w:tcW w:w="4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Pricing Announcement of Wynn Macau, Limited, dated August 13, 2025</w:t>
            </w:r>
          </w:p>
        </w:tc>
        <w:tc>
          <w:tcPr>
            <w:tcW w:w="5420" w:type="dxa"/>
            <w:vAlign w:val="bottom"/>
          </w:tcPr>
          <w:p>
            <w:pPr>
              <w:spacing w:after="0"/>
              <w:rPr>
                <w:sz w:val="20"/>
                <w:szCs w:val="20"/>
                <w:color w:val="auto"/>
              </w:rPr>
            </w:pPr>
          </w:p>
        </w:tc>
      </w:tr>
      <w:tr>
        <w:trPr>
          <w:trHeight w:val="21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2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r>
        <w:trPr>
          <w:trHeight w:val="1045"/>
        </w:trPr>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right="80" w:firstLine="382"/>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WYNN RESORTS, LIMITED</w:t>
            </w:r>
          </w:p>
        </w:tc>
      </w:tr>
      <w:tr>
        <w:trPr>
          <w:trHeight w:val="243"/>
        </w:trPr>
        <w:tc>
          <w:tcPr>
            <w:tcW w:w="3960" w:type="dxa"/>
            <w:vAlign w:val="bottom"/>
          </w:tcPr>
          <w:p>
            <w:pPr>
              <w:spacing w:after="0"/>
              <w:rPr>
                <w:sz w:val="20"/>
                <w:szCs w:val="20"/>
                <w:color w:val="auto"/>
              </w:rPr>
            </w:pPr>
            <w:r>
              <w:rPr>
                <w:rFonts w:ascii="Times New Roman" w:cs="Times New Roman" w:eastAsia="Times New Roman" w:hAnsi="Times New Roman"/>
                <w:sz w:val="15"/>
                <w:szCs w:val="15"/>
                <w:color w:val="auto"/>
              </w:rPr>
              <w:t>Dated: August 12, 2025</w:t>
            </w:r>
          </w:p>
        </w:tc>
        <w:tc>
          <w:tcPr>
            <w:tcW w:w="3100" w:type="dxa"/>
            <w:vAlign w:val="bottom"/>
          </w:tcPr>
          <w:p>
            <w:pPr>
              <w:ind w:left="2480"/>
              <w:spacing w:after="0"/>
              <w:rPr>
                <w:sz w:val="20"/>
                <w:szCs w:val="20"/>
                <w:color w:val="auto"/>
              </w:rPr>
            </w:pPr>
            <w:r>
              <w:rPr>
                <w:rFonts w:ascii="Times New Roman" w:cs="Times New Roman" w:eastAsia="Times New Roman" w:hAnsi="Times New Roman"/>
                <w:sz w:val="15"/>
                <w:szCs w:val="15"/>
                <w:color w:val="auto"/>
              </w:rPr>
              <w:t>By:</w:t>
            </w:r>
          </w:p>
        </w:tc>
        <w:tc>
          <w:tcPr>
            <w:tcW w:w="3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/s/ Julie Cameron-Doe</w:t>
            </w:r>
          </w:p>
        </w:tc>
      </w:tr>
      <w:tr>
        <w:trPr>
          <w:trHeight w:val="186"/>
        </w:trPr>
        <w:tc>
          <w:tcPr>
            <w:tcW w:w="39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Julie Cameron-Doe</w:t>
            </w:r>
          </w:p>
        </w:tc>
      </w:tr>
      <w:tr>
        <w:trPr>
          <w:trHeight w:val="199"/>
        </w:trPr>
        <w:tc>
          <w:tcPr>
            <w:tcW w:w="3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Chief Financial Officer</w:t>
            </w:r>
          </w:p>
        </w:tc>
      </w:tr>
    </w:tbl>
    <w:p>
      <w:pPr>
        <w:sectPr>
          <w:pgSz w:w="11900" w:h="16838" w:orient="portrait"/>
          <w:cols w:equalWidth="0" w:num="1">
            <w:col w:w="11340"/>
          </w:cols>
          <w:pgMar w:left="320" w:top="781"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2025-08-13T05:20:40Z</dcterms:created>
  <dcterms:modified xsi:type="dcterms:W3CDTF">2025-08-13T05:20:40Z</dcterms:modified>
</cp:coreProperties>
</file>