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6"/>
          <w:szCs w:val="26"/>
          <w:b w:val="1"/>
          <w:bCs w:val="1"/>
          <w:color w:val="auto"/>
        </w:rPr>
        <w:t>UNITED STATES</w:t>
      </w:r>
    </w:p>
    <w:p>
      <w:pPr>
        <w:spacing w:after="0" w:line="33" w:lineRule="exact"/>
        <w:rPr>
          <w:sz w:val="24"/>
          <w:szCs w:val="24"/>
          <w:color w:val="auto"/>
        </w:rPr>
      </w:pPr>
    </w:p>
    <w:p>
      <w:pPr>
        <w:jc w:val="center"/>
        <w:ind w:right="-19"/>
        <w:spacing w:after="0"/>
        <w:rPr>
          <w:sz w:val="20"/>
          <w:szCs w:val="20"/>
          <w:color w:val="auto"/>
        </w:rPr>
      </w:pPr>
      <w:r>
        <w:rPr>
          <w:rFonts w:ascii="Arial" w:cs="Arial" w:eastAsia="Arial" w:hAnsi="Arial"/>
          <w:sz w:val="26"/>
          <w:szCs w:val="26"/>
          <w:b w:val="1"/>
          <w:bCs w:val="1"/>
          <w:color w:val="auto"/>
        </w:rPr>
        <w:t>SECURITIES AND EXCHANGE COMMISSION</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2186940</wp:posOffset>
            </wp:positionH>
            <wp:positionV relativeFrom="paragraph">
              <wp:posOffset>308610</wp:posOffset>
            </wp:positionV>
            <wp:extent cx="2908300" cy="6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908300" cy="6985"/>
                    </a:xfrm>
                    <a:prstGeom prst="rect">
                      <a:avLst/>
                    </a:prstGeom>
                    <a:noFill/>
                  </pic:spPr>
                </pic:pic>
              </a:graphicData>
            </a:graphic>
          </wp:anchor>
        </w:drawing>
      </w:r>
    </w:p>
    <w:p>
      <w:pPr>
        <w:spacing w:after="0" w:line="200" w:lineRule="exact"/>
        <w:rPr>
          <w:sz w:val="24"/>
          <w:szCs w:val="24"/>
          <w:color w:val="auto"/>
        </w:rPr>
      </w:pPr>
    </w:p>
    <w:p>
      <w:pPr>
        <w:spacing w:after="0" w:line="351" w:lineRule="exact"/>
        <w:rPr>
          <w:sz w:val="24"/>
          <w:szCs w:val="24"/>
          <w:color w:val="auto"/>
        </w:rPr>
      </w:pPr>
    </w:p>
    <w:p>
      <w:pPr>
        <w:jc w:val="center"/>
        <w:ind w:right="-19"/>
        <w:spacing w:after="0"/>
        <w:rPr>
          <w:sz w:val="20"/>
          <w:szCs w:val="20"/>
          <w:color w:val="auto"/>
        </w:rPr>
      </w:pPr>
      <w:r>
        <w:rPr>
          <w:rFonts w:ascii="Arial" w:cs="Arial" w:eastAsia="Arial" w:hAnsi="Arial"/>
          <w:sz w:val="26"/>
          <w:szCs w:val="26"/>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2186940</wp:posOffset>
            </wp:positionH>
            <wp:positionV relativeFrom="paragraph">
              <wp:posOffset>194310</wp:posOffset>
            </wp:positionV>
            <wp:extent cx="2908300"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908300" cy="6985"/>
                    </a:xfrm>
                    <a:prstGeom prst="rect">
                      <a:avLst/>
                    </a:prstGeom>
                    <a:noFill/>
                  </pic:spPr>
                </pic:pic>
              </a:graphicData>
            </a:graphic>
          </wp:anchor>
        </w:drawing>
      </w:r>
    </w:p>
    <w:p>
      <w:pPr>
        <w:spacing w:after="0" w:line="200" w:lineRule="exact"/>
        <w:rPr>
          <w:sz w:val="24"/>
          <w:szCs w:val="24"/>
          <w:color w:val="auto"/>
        </w:rPr>
      </w:pPr>
    </w:p>
    <w:p>
      <w:pPr>
        <w:spacing w:after="0" w:line="355"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CURRENT REPORT</w:t>
      </w:r>
    </w:p>
    <w:p>
      <w:pPr>
        <w:spacing w:after="0" w:line="29"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PURSUANT TO SECTION 13 OR 15(d)</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OF THE SECURITIES EXCHANGE ACT OF 1934</w:t>
      </w:r>
    </w:p>
    <w:p>
      <w:pPr>
        <w:spacing w:after="0" w:line="162"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Date of Report (Date of earliest event reported): December 10,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2186940</wp:posOffset>
            </wp:positionH>
            <wp:positionV relativeFrom="paragraph">
              <wp:posOffset>212090</wp:posOffset>
            </wp:positionV>
            <wp:extent cx="2908300" cy="69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908300" cy="6985"/>
                    </a:xfrm>
                    <a:prstGeom prst="rect">
                      <a:avLst/>
                    </a:prstGeom>
                    <a:noFill/>
                  </pic:spPr>
                </pic:pic>
              </a:graphicData>
            </a:graphic>
          </wp:anchor>
        </w:drawing>
      </w:r>
    </w:p>
    <w:p>
      <w:pPr>
        <w:spacing w:after="0" w:line="200" w:lineRule="exact"/>
        <w:rPr>
          <w:sz w:val="24"/>
          <w:szCs w:val="24"/>
          <w:color w:val="auto"/>
        </w:rPr>
      </w:pPr>
    </w:p>
    <w:p>
      <w:pPr>
        <w:spacing w:after="0" w:line="316" w:lineRule="exact"/>
        <w:rPr>
          <w:sz w:val="24"/>
          <w:szCs w:val="24"/>
          <w:color w:val="auto"/>
        </w:rPr>
      </w:pPr>
    </w:p>
    <w:p>
      <w:pPr>
        <w:jc w:val="center"/>
        <w:ind w:right="-19"/>
        <w:spacing w:after="0"/>
        <w:rPr>
          <w:sz w:val="20"/>
          <w:szCs w:val="20"/>
          <w:color w:val="auto"/>
        </w:rPr>
      </w:pPr>
      <w:r>
        <w:rPr>
          <w:rFonts w:ascii="Arial" w:cs="Arial" w:eastAsia="Arial" w:hAnsi="Arial"/>
          <w:sz w:val="34"/>
          <w:szCs w:val="34"/>
          <w:b w:val="1"/>
          <w:bCs w:val="1"/>
          <w:color w:val="auto"/>
        </w:rPr>
        <w:t>WYNN RESORTS, LIMITED</w:t>
      </w:r>
    </w:p>
    <w:p>
      <w:pPr>
        <w:spacing w:after="0" w:line="44"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330" w:lineRule="exact"/>
        <w:rPr>
          <w:sz w:val="24"/>
          <w:szCs w:val="24"/>
          <w:color w:val="auto"/>
        </w:rPr>
      </w:pPr>
    </w:p>
    <w:tbl>
      <w:tblPr>
        <w:tblLayout w:type="fixed"/>
        <w:tblInd w:w="0" w:type="dxa"/>
        <w:tblCellMar>
          <w:top w:w="0" w:type="dxa"/>
          <w:left w:w="0" w:type="dxa"/>
          <w:bottom w:w="0" w:type="dxa"/>
          <w:right w:w="0" w:type="dxa"/>
        </w:tblCellMar>
      </w:tblPr>
      <w:tr>
        <w:trPr>
          <w:trHeight w:val="186"/>
        </w:trPr>
        <w:tc>
          <w:tcPr>
            <w:tcW w:w="10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000" w:type="dxa"/>
            <w:vAlign w:val="bottom"/>
            <w:gridSpan w:val="2"/>
          </w:tcPr>
          <w:p>
            <w:pPr>
              <w:jc w:val="center"/>
              <w:ind w:left="195"/>
              <w:spacing w:after="0"/>
              <w:rPr>
                <w:sz w:val="20"/>
                <w:szCs w:val="20"/>
                <w:color w:val="auto"/>
              </w:rPr>
            </w:pPr>
            <w:r>
              <w:rPr>
                <w:rFonts w:ascii="Arial" w:cs="Arial" w:eastAsia="Arial" w:hAnsi="Arial"/>
                <w:sz w:val="14"/>
                <w:szCs w:val="14"/>
                <w:b w:val="1"/>
                <w:bCs w:val="1"/>
                <w:color w:val="auto"/>
                <w:w w:val="92"/>
              </w:rPr>
              <w:t>Nevada</w:t>
            </w:r>
          </w:p>
        </w:tc>
        <w:tc>
          <w:tcPr>
            <w:tcW w:w="3400" w:type="dxa"/>
            <w:vAlign w:val="bottom"/>
            <w:gridSpan w:val="2"/>
          </w:tcPr>
          <w:p>
            <w:pPr>
              <w:ind w:left="1240"/>
              <w:spacing w:after="0"/>
              <w:rPr>
                <w:sz w:val="20"/>
                <w:szCs w:val="20"/>
                <w:color w:val="auto"/>
              </w:rPr>
            </w:pPr>
            <w:r>
              <w:rPr>
                <w:rFonts w:ascii="Arial" w:cs="Arial" w:eastAsia="Arial" w:hAnsi="Arial"/>
                <w:sz w:val="14"/>
                <w:szCs w:val="14"/>
                <w:b w:val="1"/>
                <w:bCs w:val="1"/>
                <w:color w:val="auto"/>
              </w:rPr>
              <w:t>000-50028</w:t>
            </w:r>
          </w:p>
        </w:tc>
        <w:tc>
          <w:tcPr>
            <w:tcW w:w="2660" w:type="dxa"/>
            <w:vAlign w:val="bottom"/>
            <w:gridSpan w:val="2"/>
          </w:tcPr>
          <w:p>
            <w:pPr>
              <w:jc w:val="right"/>
              <w:ind w:right="1660"/>
              <w:spacing w:after="0"/>
              <w:rPr>
                <w:sz w:val="20"/>
                <w:szCs w:val="20"/>
                <w:color w:val="auto"/>
              </w:rPr>
            </w:pPr>
            <w:r>
              <w:rPr>
                <w:rFonts w:ascii="Arial" w:cs="Arial" w:eastAsia="Arial" w:hAnsi="Arial"/>
                <w:sz w:val="14"/>
                <w:szCs w:val="14"/>
                <w:b w:val="1"/>
                <w:bCs w:val="1"/>
                <w:color w:val="auto"/>
              </w:rPr>
              <w:t>46-0484987</w:t>
            </w:r>
          </w:p>
        </w:tc>
        <w:tc>
          <w:tcPr>
            <w:tcW w:w="0" w:type="dxa"/>
            <w:vAlign w:val="bottom"/>
          </w:tcPr>
          <w:p>
            <w:pPr>
              <w:spacing w:after="0"/>
              <w:rPr>
                <w:sz w:val="1"/>
                <w:szCs w:val="1"/>
                <w:color w:val="auto"/>
              </w:rPr>
            </w:pPr>
          </w:p>
        </w:tc>
      </w:tr>
      <w:tr>
        <w:trPr>
          <w:trHeight w:val="145"/>
        </w:trPr>
        <w:tc>
          <w:tcPr>
            <w:tcW w:w="10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000" w:type="dxa"/>
            <w:vAlign w:val="bottom"/>
            <w:gridSpan w:val="2"/>
          </w:tcPr>
          <w:p>
            <w:pPr>
              <w:jc w:val="center"/>
              <w:ind w:left="195"/>
              <w:spacing w:after="0"/>
              <w:rPr>
                <w:sz w:val="20"/>
                <w:szCs w:val="20"/>
                <w:color w:val="auto"/>
              </w:rPr>
            </w:pPr>
            <w:r>
              <w:rPr>
                <w:rFonts w:ascii="Arial" w:cs="Arial" w:eastAsia="Arial" w:hAnsi="Arial"/>
                <w:sz w:val="11"/>
                <w:szCs w:val="11"/>
                <w:b w:val="1"/>
                <w:bCs w:val="1"/>
                <w:color w:val="auto"/>
                <w:w w:val="94"/>
              </w:rPr>
              <w:t>(State or other jurisdiction</w:t>
            </w:r>
          </w:p>
        </w:tc>
        <w:tc>
          <w:tcPr>
            <w:tcW w:w="1140" w:type="dxa"/>
            <w:vAlign w:val="bottom"/>
          </w:tcPr>
          <w:p>
            <w:pPr>
              <w:spacing w:after="0"/>
              <w:rPr>
                <w:sz w:val="12"/>
                <w:szCs w:val="12"/>
                <w:color w:val="auto"/>
              </w:rPr>
            </w:pPr>
          </w:p>
        </w:tc>
        <w:tc>
          <w:tcPr>
            <w:tcW w:w="2260" w:type="dxa"/>
            <w:vAlign w:val="bottom"/>
          </w:tcPr>
          <w:p>
            <w:pPr>
              <w:ind w:left="100"/>
              <w:spacing w:after="0"/>
              <w:rPr>
                <w:sz w:val="20"/>
                <w:szCs w:val="20"/>
                <w:color w:val="auto"/>
              </w:rPr>
            </w:pPr>
            <w:r>
              <w:rPr>
                <w:rFonts w:ascii="Arial" w:cs="Arial" w:eastAsia="Arial" w:hAnsi="Arial"/>
                <w:sz w:val="11"/>
                <w:szCs w:val="11"/>
                <w:b w:val="1"/>
                <w:bCs w:val="1"/>
                <w:color w:val="auto"/>
              </w:rPr>
              <w:t>(Commission</w:t>
            </w:r>
          </w:p>
        </w:tc>
        <w:tc>
          <w:tcPr>
            <w:tcW w:w="2660" w:type="dxa"/>
            <w:vAlign w:val="bottom"/>
            <w:gridSpan w:val="2"/>
          </w:tcPr>
          <w:p>
            <w:pPr>
              <w:jc w:val="center"/>
              <w:ind w:right="1340"/>
              <w:spacing w:after="0"/>
              <w:rPr>
                <w:sz w:val="20"/>
                <w:szCs w:val="20"/>
                <w:color w:val="auto"/>
              </w:rPr>
            </w:pPr>
            <w:r>
              <w:rPr>
                <w:rFonts w:ascii="Arial" w:cs="Arial" w:eastAsia="Arial" w:hAnsi="Arial"/>
                <w:sz w:val="11"/>
                <w:szCs w:val="11"/>
                <w:b w:val="1"/>
                <w:bCs w:val="1"/>
                <w:color w:val="auto"/>
                <w:w w:val="99"/>
              </w:rPr>
              <w:t>(I.R.S. Employer</w:t>
            </w:r>
          </w:p>
        </w:tc>
        <w:tc>
          <w:tcPr>
            <w:tcW w:w="0" w:type="dxa"/>
            <w:vAlign w:val="bottom"/>
          </w:tcPr>
          <w:p>
            <w:pPr>
              <w:spacing w:after="0"/>
              <w:rPr>
                <w:sz w:val="1"/>
                <w:szCs w:val="1"/>
                <w:color w:val="auto"/>
              </w:rPr>
            </w:pPr>
          </w:p>
        </w:tc>
      </w:tr>
      <w:tr>
        <w:trPr>
          <w:trHeight w:val="148"/>
        </w:trPr>
        <w:tc>
          <w:tcPr>
            <w:tcW w:w="10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000" w:type="dxa"/>
            <w:vAlign w:val="bottom"/>
            <w:gridSpan w:val="2"/>
          </w:tcPr>
          <w:p>
            <w:pPr>
              <w:jc w:val="center"/>
              <w:ind w:left="215"/>
              <w:spacing w:after="0"/>
              <w:rPr>
                <w:sz w:val="20"/>
                <w:szCs w:val="20"/>
                <w:color w:val="auto"/>
              </w:rPr>
            </w:pPr>
            <w:r>
              <w:rPr>
                <w:rFonts w:ascii="Arial" w:cs="Arial" w:eastAsia="Arial" w:hAnsi="Arial"/>
                <w:sz w:val="11"/>
                <w:szCs w:val="11"/>
                <w:b w:val="1"/>
                <w:bCs w:val="1"/>
                <w:color w:val="auto"/>
                <w:w w:val="95"/>
              </w:rPr>
              <w:t>of incorporation)</w:t>
            </w:r>
          </w:p>
        </w:tc>
        <w:tc>
          <w:tcPr>
            <w:tcW w:w="1140" w:type="dxa"/>
            <w:vAlign w:val="bottom"/>
          </w:tcPr>
          <w:p>
            <w:pPr>
              <w:spacing w:after="0"/>
              <w:rPr>
                <w:sz w:val="12"/>
                <w:szCs w:val="12"/>
                <w:color w:val="auto"/>
              </w:rPr>
            </w:pPr>
          </w:p>
        </w:tc>
        <w:tc>
          <w:tcPr>
            <w:tcW w:w="2260" w:type="dxa"/>
            <w:vAlign w:val="bottom"/>
          </w:tcPr>
          <w:p>
            <w:pPr>
              <w:ind w:left="80"/>
              <w:spacing w:after="0"/>
              <w:rPr>
                <w:sz w:val="20"/>
                <w:szCs w:val="20"/>
                <w:color w:val="auto"/>
              </w:rPr>
            </w:pPr>
            <w:r>
              <w:rPr>
                <w:rFonts w:ascii="Arial" w:cs="Arial" w:eastAsia="Arial" w:hAnsi="Arial"/>
                <w:sz w:val="11"/>
                <w:szCs w:val="11"/>
                <w:b w:val="1"/>
                <w:bCs w:val="1"/>
                <w:color w:val="auto"/>
              </w:rPr>
              <w:t>File Number)</w:t>
            </w:r>
          </w:p>
        </w:tc>
        <w:tc>
          <w:tcPr>
            <w:tcW w:w="2660" w:type="dxa"/>
            <w:vAlign w:val="bottom"/>
            <w:gridSpan w:val="2"/>
          </w:tcPr>
          <w:p>
            <w:pPr>
              <w:jc w:val="center"/>
              <w:ind w:right="1360"/>
              <w:spacing w:after="0"/>
              <w:rPr>
                <w:sz w:val="20"/>
                <w:szCs w:val="20"/>
                <w:color w:val="auto"/>
              </w:rPr>
            </w:pPr>
            <w:r>
              <w:rPr>
                <w:rFonts w:ascii="Arial" w:cs="Arial" w:eastAsia="Arial" w:hAnsi="Arial"/>
                <w:sz w:val="11"/>
                <w:szCs w:val="11"/>
                <w:b w:val="1"/>
                <w:bCs w:val="1"/>
                <w:color w:val="auto"/>
                <w:w w:val="96"/>
              </w:rPr>
              <w:t>Identification No.)</w:t>
            </w:r>
          </w:p>
        </w:tc>
        <w:tc>
          <w:tcPr>
            <w:tcW w:w="0" w:type="dxa"/>
            <w:vAlign w:val="bottom"/>
          </w:tcPr>
          <w:p>
            <w:pPr>
              <w:spacing w:after="0"/>
              <w:rPr>
                <w:sz w:val="1"/>
                <w:szCs w:val="1"/>
                <w:color w:val="auto"/>
              </w:rPr>
            </w:pPr>
          </w:p>
        </w:tc>
      </w:tr>
      <w:tr>
        <w:trPr>
          <w:trHeight w:val="202"/>
        </w:trPr>
        <w:tc>
          <w:tcPr>
            <w:tcW w:w="10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5400" w:type="dxa"/>
            <w:vAlign w:val="bottom"/>
            <w:gridSpan w:val="4"/>
          </w:tcPr>
          <w:p>
            <w:pPr>
              <w:jc w:val="center"/>
              <w:ind w:right="3058"/>
              <w:spacing w:after="0"/>
              <w:rPr>
                <w:sz w:val="20"/>
                <w:szCs w:val="20"/>
                <w:color w:val="auto"/>
              </w:rPr>
            </w:pPr>
            <w:r>
              <w:rPr>
                <w:rFonts w:ascii="Arial" w:cs="Arial" w:eastAsia="Arial" w:hAnsi="Arial"/>
                <w:sz w:val="14"/>
                <w:szCs w:val="14"/>
                <w:b w:val="1"/>
                <w:bCs w:val="1"/>
                <w:color w:val="auto"/>
                <w:w w:val="90"/>
              </w:rPr>
              <w:t>3131 Las Vegas Boulevard South</w:t>
            </w:r>
          </w:p>
        </w:tc>
        <w:tc>
          <w:tcPr>
            <w:tcW w:w="52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0" w:type="dxa"/>
            <w:vAlign w:val="bottom"/>
            <w:gridSpan w:val="2"/>
          </w:tcPr>
          <w:p>
            <w:pPr>
              <w:ind w:left="460"/>
              <w:spacing w:after="0"/>
              <w:rPr>
                <w:sz w:val="20"/>
                <w:szCs w:val="20"/>
                <w:color w:val="auto"/>
              </w:rPr>
            </w:pPr>
            <w:r>
              <w:rPr>
                <w:rFonts w:ascii="Arial" w:cs="Arial" w:eastAsia="Arial" w:hAnsi="Arial"/>
                <w:sz w:val="14"/>
                <w:szCs w:val="14"/>
                <w:b w:val="1"/>
                <w:bCs w:val="1"/>
                <w:color w:val="auto"/>
              </w:rPr>
              <w:t>Las Vegas, Nevada</w:t>
            </w:r>
          </w:p>
        </w:tc>
        <w:tc>
          <w:tcPr>
            <w:tcW w:w="114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2660" w:type="dxa"/>
            <w:vAlign w:val="bottom"/>
            <w:gridSpan w:val="2"/>
          </w:tcPr>
          <w:p>
            <w:pPr>
              <w:jc w:val="right"/>
              <w:ind w:right="1820"/>
              <w:spacing w:after="0"/>
              <w:rPr>
                <w:sz w:val="20"/>
                <w:szCs w:val="20"/>
                <w:color w:val="auto"/>
              </w:rPr>
            </w:pPr>
            <w:r>
              <w:rPr>
                <w:rFonts w:ascii="Arial" w:cs="Arial" w:eastAsia="Arial" w:hAnsi="Arial"/>
                <w:sz w:val="14"/>
                <w:szCs w:val="14"/>
                <w:b w:val="1"/>
                <w:bCs w:val="1"/>
                <w:color w:val="auto"/>
              </w:rPr>
              <w:t>89109</w:t>
            </w:r>
          </w:p>
        </w:tc>
        <w:tc>
          <w:tcPr>
            <w:tcW w:w="0" w:type="dxa"/>
            <w:vAlign w:val="bottom"/>
          </w:tcPr>
          <w:p>
            <w:pPr>
              <w:spacing w:after="0"/>
              <w:rPr>
                <w:sz w:val="1"/>
                <w:szCs w:val="1"/>
                <w:color w:val="auto"/>
              </w:rPr>
            </w:pPr>
          </w:p>
        </w:tc>
      </w:tr>
      <w:tr>
        <w:trPr>
          <w:trHeight w:val="175"/>
        </w:trPr>
        <w:tc>
          <w:tcPr>
            <w:tcW w:w="10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5400" w:type="dxa"/>
            <w:vAlign w:val="bottom"/>
            <w:gridSpan w:val="4"/>
          </w:tcPr>
          <w:p>
            <w:pPr>
              <w:jc w:val="center"/>
              <w:ind w:right="3078"/>
              <w:spacing w:after="0"/>
              <w:rPr>
                <w:sz w:val="20"/>
                <w:szCs w:val="20"/>
                <w:color w:val="auto"/>
              </w:rPr>
            </w:pPr>
            <w:r>
              <w:rPr>
                <w:rFonts w:ascii="Arial" w:cs="Arial" w:eastAsia="Arial" w:hAnsi="Arial"/>
                <w:sz w:val="11"/>
                <w:szCs w:val="11"/>
                <w:b w:val="1"/>
                <w:bCs w:val="1"/>
                <w:color w:val="auto"/>
                <w:w w:val="92"/>
              </w:rPr>
              <w:t>(Address of principal executive offices)</w:t>
            </w:r>
          </w:p>
        </w:tc>
        <w:tc>
          <w:tcPr>
            <w:tcW w:w="2660" w:type="dxa"/>
            <w:vAlign w:val="bottom"/>
            <w:gridSpan w:val="2"/>
            <w:vMerge w:val="restart"/>
          </w:tcPr>
          <w:p>
            <w:pPr>
              <w:jc w:val="center"/>
              <w:ind w:right="1340"/>
              <w:spacing w:after="0"/>
              <w:rPr>
                <w:sz w:val="20"/>
                <w:szCs w:val="20"/>
                <w:color w:val="auto"/>
              </w:rPr>
            </w:pPr>
            <w:r>
              <w:rPr>
                <w:rFonts w:ascii="Arial" w:cs="Arial" w:eastAsia="Arial" w:hAnsi="Arial"/>
                <w:sz w:val="11"/>
                <w:szCs w:val="11"/>
                <w:b w:val="1"/>
                <w:bCs w:val="1"/>
                <w:color w:val="auto"/>
                <w:w w:val="95"/>
              </w:rPr>
              <w:t>(Zip Code)</w:t>
            </w:r>
          </w:p>
        </w:tc>
        <w:tc>
          <w:tcPr>
            <w:tcW w:w="0" w:type="dxa"/>
            <w:vAlign w:val="bottom"/>
          </w:tcPr>
          <w:p>
            <w:pPr>
              <w:spacing w:after="0"/>
              <w:rPr>
                <w:sz w:val="1"/>
                <w:szCs w:val="1"/>
                <w:color w:val="auto"/>
              </w:rPr>
            </w:pPr>
          </w:p>
        </w:tc>
      </w:tr>
      <w:tr>
        <w:trPr>
          <w:trHeight w:val="54"/>
        </w:trPr>
        <w:tc>
          <w:tcPr>
            <w:tcW w:w="102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340" w:type="dxa"/>
            <w:vAlign w:val="bottom"/>
          </w:tcPr>
          <w:p>
            <w:pPr>
              <w:spacing w:after="0"/>
              <w:rPr>
                <w:sz w:val="4"/>
                <w:szCs w:val="4"/>
                <w:color w:val="auto"/>
              </w:rPr>
            </w:pPr>
          </w:p>
        </w:tc>
        <w:tc>
          <w:tcPr>
            <w:tcW w:w="660" w:type="dxa"/>
            <w:vAlign w:val="bottom"/>
          </w:tcPr>
          <w:p>
            <w:pPr>
              <w:spacing w:after="0"/>
              <w:rPr>
                <w:sz w:val="4"/>
                <w:szCs w:val="4"/>
                <w:color w:val="auto"/>
              </w:rPr>
            </w:pPr>
          </w:p>
        </w:tc>
        <w:tc>
          <w:tcPr>
            <w:tcW w:w="1140" w:type="dxa"/>
            <w:vAlign w:val="bottom"/>
          </w:tcPr>
          <w:p>
            <w:pPr>
              <w:spacing w:after="0"/>
              <w:rPr>
                <w:sz w:val="4"/>
                <w:szCs w:val="4"/>
                <w:color w:val="auto"/>
              </w:rPr>
            </w:pPr>
          </w:p>
        </w:tc>
        <w:tc>
          <w:tcPr>
            <w:tcW w:w="2260" w:type="dxa"/>
            <w:vAlign w:val="bottom"/>
          </w:tcPr>
          <w:p>
            <w:pPr>
              <w:spacing w:after="0"/>
              <w:rPr>
                <w:sz w:val="4"/>
                <w:szCs w:val="4"/>
                <w:color w:val="auto"/>
              </w:rPr>
            </w:pPr>
          </w:p>
        </w:tc>
        <w:tc>
          <w:tcPr>
            <w:tcW w:w="266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41"/>
        </w:trPr>
        <w:tc>
          <w:tcPr>
            <w:tcW w:w="10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400" w:type="dxa"/>
            <w:vAlign w:val="bottom"/>
            <w:gridSpan w:val="2"/>
          </w:tcPr>
          <w:p>
            <w:pPr>
              <w:jc w:val="center"/>
              <w:ind w:right="78"/>
              <w:spacing w:after="0"/>
              <w:rPr>
                <w:sz w:val="20"/>
                <w:szCs w:val="20"/>
                <w:color w:val="auto"/>
              </w:rPr>
            </w:pPr>
            <w:r>
              <w:rPr>
                <w:rFonts w:ascii="Arial" w:cs="Arial" w:eastAsia="Arial" w:hAnsi="Arial"/>
                <w:sz w:val="14"/>
                <w:szCs w:val="14"/>
                <w:b w:val="1"/>
                <w:bCs w:val="1"/>
                <w:color w:val="auto"/>
                <w:w w:val="93"/>
              </w:rPr>
              <w:t>(702) 770-7555</w:t>
            </w:r>
          </w:p>
        </w:tc>
        <w:tc>
          <w:tcPr>
            <w:tcW w:w="52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10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400" w:type="dxa"/>
            <w:vAlign w:val="bottom"/>
            <w:gridSpan w:val="2"/>
          </w:tcPr>
          <w:p>
            <w:pPr>
              <w:jc w:val="center"/>
              <w:ind w:right="58"/>
              <w:spacing w:after="0"/>
              <w:rPr>
                <w:sz w:val="20"/>
                <w:szCs w:val="20"/>
                <w:color w:val="auto"/>
              </w:rPr>
            </w:pPr>
            <w:r>
              <w:rPr>
                <w:rFonts w:ascii="Arial" w:cs="Arial" w:eastAsia="Arial" w:hAnsi="Arial"/>
                <w:sz w:val="11"/>
                <w:szCs w:val="11"/>
                <w:b w:val="1"/>
                <w:bCs w:val="1"/>
                <w:color w:val="auto"/>
                <w:w w:val="93"/>
              </w:rPr>
              <w:t>(Registrant’s telephone number, including area code)</w:t>
            </w:r>
          </w:p>
        </w:tc>
        <w:tc>
          <w:tcPr>
            <w:tcW w:w="52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26"/>
        </w:trPr>
        <w:tc>
          <w:tcPr>
            <w:tcW w:w="10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60" w:type="dxa"/>
            <w:vAlign w:val="bottom"/>
          </w:tcPr>
          <w:p>
            <w:pPr>
              <w:jc w:val="center"/>
              <w:ind w:right="1198"/>
              <w:spacing w:after="0"/>
              <w:rPr>
                <w:sz w:val="20"/>
                <w:szCs w:val="20"/>
                <w:color w:val="auto"/>
              </w:rPr>
            </w:pPr>
            <w:r>
              <w:rPr>
                <w:rFonts w:ascii="Arial" w:cs="Arial" w:eastAsia="Arial" w:hAnsi="Arial"/>
                <w:sz w:val="14"/>
                <w:szCs w:val="14"/>
                <w:b w:val="1"/>
                <w:bCs w:val="1"/>
                <w:color w:val="auto"/>
                <w:w w:val="93"/>
              </w:rPr>
              <w:t>Not Applicable</w:t>
            </w:r>
          </w:p>
        </w:tc>
        <w:tc>
          <w:tcPr>
            <w:tcW w:w="52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10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400" w:type="dxa"/>
            <w:vAlign w:val="bottom"/>
            <w:gridSpan w:val="2"/>
          </w:tcPr>
          <w:p>
            <w:pPr>
              <w:jc w:val="center"/>
              <w:ind w:right="58"/>
              <w:spacing w:after="0"/>
              <w:rPr>
                <w:sz w:val="20"/>
                <w:szCs w:val="20"/>
                <w:color w:val="auto"/>
              </w:rPr>
            </w:pPr>
            <w:r>
              <w:rPr>
                <w:rFonts w:ascii="Arial" w:cs="Arial" w:eastAsia="Arial" w:hAnsi="Arial"/>
                <w:sz w:val="11"/>
                <w:szCs w:val="11"/>
                <w:b w:val="1"/>
                <w:bCs w:val="1"/>
                <w:color w:val="auto"/>
                <w:w w:val="93"/>
              </w:rPr>
              <w:t>(Former name or former address, if changed since last report)</w:t>
            </w:r>
          </w:p>
        </w:tc>
        <w:tc>
          <w:tcPr>
            <w:tcW w:w="52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10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340" w:type="dxa"/>
            <w:vAlign w:val="bottom"/>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1140" w:type="dxa"/>
            <w:vAlign w:val="bottom"/>
            <w:tcBorders>
              <w:bottom w:val="single" w:sz="8" w:color="auto"/>
            </w:tcBorders>
          </w:tcPr>
          <w:p>
            <w:pPr>
              <w:spacing w:after="0"/>
              <w:rPr>
                <w:sz w:val="9"/>
                <w:szCs w:val="9"/>
                <w:color w:val="auto"/>
              </w:rPr>
            </w:pPr>
          </w:p>
        </w:tc>
        <w:tc>
          <w:tcPr>
            <w:tcW w:w="226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2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32"/>
        </w:trPr>
        <w:tc>
          <w:tcPr>
            <w:tcW w:w="4100" w:type="dxa"/>
            <w:vAlign w:val="bottom"/>
            <w:gridSpan w:val="4"/>
          </w:tcPr>
          <w:p>
            <w:pPr>
              <w:spacing w:after="0"/>
              <w:rPr>
                <w:sz w:val="20"/>
                <w:szCs w:val="20"/>
                <w:color w:val="auto"/>
              </w:rPr>
            </w:pPr>
            <w:r>
              <w:rPr>
                <w:rFonts w:ascii="Arial" w:cs="Arial" w:eastAsia="Arial" w:hAnsi="Arial"/>
                <w:sz w:val="14"/>
                <w:szCs w:val="14"/>
                <w:color w:val="auto"/>
              </w:rPr>
              <w:t>Securities registered pursuant to Section 12(b) of the Act:</w:t>
            </w:r>
          </w:p>
        </w:tc>
        <w:tc>
          <w:tcPr>
            <w:tcW w:w="114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020" w:type="dxa"/>
            <w:vAlign w:val="bottom"/>
          </w:tcPr>
          <w:p>
            <w:pPr>
              <w:spacing w:after="0"/>
              <w:rPr>
                <w:sz w:val="23"/>
                <w:szCs w:val="23"/>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Title of each class</w:t>
            </w:r>
          </w:p>
        </w:tc>
        <w:tc>
          <w:tcPr>
            <w:tcW w:w="2000" w:type="dxa"/>
            <w:vAlign w:val="bottom"/>
            <w:gridSpan w:val="2"/>
          </w:tcPr>
          <w:p>
            <w:pPr>
              <w:spacing w:after="0"/>
              <w:rPr>
                <w:sz w:val="23"/>
                <w:szCs w:val="23"/>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Trading Symbol(s)</w:t>
            </w:r>
          </w:p>
        </w:tc>
        <w:tc>
          <w:tcPr>
            <w:tcW w:w="2260" w:type="dxa"/>
            <w:vAlign w:val="bottom"/>
          </w:tcPr>
          <w:p>
            <w:pPr>
              <w:spacing w:after="0"/>
              <w:rPr>
                <w:sz w:val="23"/>
                <w:szCs w:val="23"/>
                <w:color w:val="auto"/>
              </w:rPr>
            </w:pPr>
          </w:p>
        </w:tc>
        <w:tc>
          <w:tcPr>
            <w:tcW w:w="26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9"/>
              </w:rPr>
              <w:t>Name of each exchange on which registered</w:t>
            </w:r>
          </w:p>
        </w:tc>
        <w:tc>
          <w:tcPr>
            <w:tcW w:w="0" w:type="dxa"/>
            <w:vAlign w:val="bottom"/>
          </w:tcPr>
          <w:p>
            <w:pPr>
              <w:spacing w:after="0"/>
              <w:rPr>
                <w:sz w:val="1"/>
                <w:szCs w:val="1"/>
                <w:color w:val="auto"/>
              </w:rPr>
            </w:pPr>
          </w:p>
        </w:tc>
      </w:tr>
      <w:tr>
        <w:trPr>
          <w:trHeight w:val="227"/>
        </w:trPr>
        <w:tc>
          <w:tcPr>
            <w:tcW w:w="4100" w:type="dxa"/>
            <w:vAlign w:val="bottom"/>
            <w:gridSpan w:val="4"/>
          </w:tcPr>
          <w:p>
            <w:pPr>
              <w:jc w:val="center"/>
              <w:ind w:right="980"/>
              <w:spacing w:after="0"/>
              <w:rPr>
                <w:sz w:val="20"/>
                <w:szCs w:val="20"/>
                <w:color w:val="auto"/>
              </w:rPr>
            </w:pPr>
            <w:r>
              <w:rPr>
                <w:rFonts w:ascii="Arial" w:cs="Arial" w:eastAsia="Arial" w:hAnsi="Arial"/>
                <w:sz w:val="14"/>
                <w:szCs w:val="14"/>
                <w:color w:val="auto"/>
                <w:w w:val="93"/>
              </w:rPr>
              <w:t>Common stock, par value $0.01</w:t>
            </w:r>
          </w:p>
        </w:tc>
        <w:tc>
          <w:tcPr>
            <w:tcW w:w="3400" w:type="dxa"/>
            <w:vAlign w:val="bottom"/>
            <w:gridSpan w:val="2"/>
          </w:tcPr>
          <w:p>
            <w:pPr>
              <w:jc w:val="center"/>
              <w:ind w:right="2218"/>
              <w:spacing w:after="0"/>
              <w:rPr>
                <w:sz w:val="20"/>
                <w:szCs w:val="20"/>
                <w:color w:val="auto"/>
              </w:rPr>
            </w:pPr>
            <w:r>
              <w:rPr>
                <w:rFonts w:ascii="Arial" w:cs="Arial" w:eastAsia="Arial" w:hAnsi="Arial"/>
                <w:sz w:val="14"/>
                <w:szCs w:val="14"/>
                <w:color w:val="auto"/>
              </w:rPr>
              <w:t>WYNN</w:t>
            </w:r>
          </w:p>
        </w:tc>
        <w:tc>
          <w:tcPr>
            <w:tcW w:w="2660" w:type="dxa"/>
            <w:vAlign w:val="bottom"/>
            <w:gridSpan w:val="2"/>
          </w:tcPr>
          <w:p>
            <w:pPr>
              <w:jc w:val="center"/>
              <w:spacing w:after="0"/>
              <w:rPr>
                <w:sz w:val="20"/>
                <w:szCs w:val="20"/>
                <w:color w:val="auto"/>
              </w:rPr>
            </w:pPr>
            <w:r>
              <w:rPr>
                <w:rFonts w:ascii="Arial" w:cs="Arial" w:eastAsia="Arial" w:hAnsi="Arial"/>
                <w:sz w:val="14"/>
                <w:szCs w:val="14"/>
                <w:color w:val="auto"/>
                <w:w w:val="93"/>
              </w:rPr>
              <w:t>Nasdaq Global Select Market</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-8255</wp:posOffset>
            </wp:positionH>
            <wp:positionV relativeFrom="paragraph">
              <wp:posOffset>131445</wp:posOffset>
            </wp:positionV>
            <wp:extent cx="7299960" cy="393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99960" cy="39370"/>
                    </a:xfrm>
                    <a:prstGeom prst="rect">
                      <a:avLst/>
                    </a:prstGeom>
                    <a:noFill/>
                  </pic:spPr>
                </pic:pic>
              </a:graphicData>
            </a:graphic>
          </wp:anchor>
        </w:drawing>
      </w:r>
    </w:p>
    <w:p>
      <w:pPr>
        <w:spacing w:after="0" w:line="200" w:lineRule="exact"/>
        <w:rPr>
          <w:sz w:val="24"/>
          <w:szCs w:val="24"/>
          <w:color w:val="auto"/>
        </w:rPr>
      </w:pPr>
    </w:p>
    <w:p>
      <w:pPr>
        <w:spacing w:after="0" w:line="255" w:lineRule="exact"/>
        <w:rPr>
          <w:sz w:val="24"/>
          <w:szCs w:val="24"/>
          <w:color w:val="auto"/>
        </w:rPr>
      </w:pPr>
    </w:p>
    <w:p>
      <w:pPr>
        <w:spacing w:after="0"/>
        <w:rPr>
          <w:sz w:val="20"/>
          <w:szCs w:val="20"/>
          <w:color w:val="auto"/>
        </w:rPr>
      </w:pPr>
      <w:r>
        <w:rPr>
          <w:rFonts w:ascii="Arial" w:cs="Arial" w:eastAsia="Arial" w:hAnsi="Arial"/>
          <w:sz w:val="14"/>
          <w:szCs w:val="14"/>
          <w:color w:val="auto"/>
        </w:rPr>
        <w:t>Check the appropriate box below if the Form 8-K filing is intended to simultaneously satisfy the filing obligation of the registrant under any of the following provisions:</w:t>
      </w:r>
    </w:p>
    <w:p>
      <w:pPr>
        <w:spacing w:after="0" w:line="21" w:lineRule="exact"/>
        <w:rPr>
          <w:sz w:val="24"/>
          <w:szCs w:val="24"/>
          <w:color w:val="auto"/>
        </w:rPr>
      </w:pPr>
    </w:p>
    <w:p>
      <w:pPr>
        <w:ind w:left="520"/>
        <w:spacing w:after="0" w:line="161" w:lineRule="exact"/>
        <w:rPr>
          <w:sz w:val="20"/>
          <w:szCs w:val="20"/>
          <w:color w:val="auto"/>
        </w:rPr>
      </w:pPr>
      <w:r>
        <w:rPr>
          <w:rFonts w:ascii="MS PGothic" w:cs="MS PGothic" w:eastAsia="MS PGothic" w:hAnsi="MS PGothic"/>
          <w:sz w:val="14"/>
          <w:szCs w:val="14"/>
          <w:color w:val="auto"/>
        </w:rPr>
        <w:t>☐</w:t>
      </w:r>
      <w:r>
        <w:rPr>
          <w:rFonts w:ascii="Arial" w:cs="Arial" w:eastAsia="Arial" w:hAnsi="Arial"/>
          <w:sz w:val="14"/>
          <w:szCs w:val="14"/>
          <w:color w:val="auto"/>
        </w:rPr>
        <w:t>Written communications pursuant to Rule 425 under the Securities Act (17 CFR 230.425)</w:t>
      </w:r>
    </w:p>
    <w:p>
      <w:pPr>
        <w:spacing w:after="0" w:line="9" w:lineRule="exact"/>
        <w:rPr>
          <w:sz w:val="24"/>
          <w:szCs w:val="24"/>
          <w:color w:val="auto"/>
        </w:rPr>
      </w:pPr>
    </w:p>
    <w:p>
      <w:pPr>
        <w:ind w:left="520"/>
        <w:spacing w:after="0" w:line="161" w:lineRule="exact"/>
        <w:rPr>
          <w:sz w:val="20"/>
          <w:szCs w:val="20"/>
          <w:color w:val="auto"/>
        </w:rPr>
      </w:pPr>
      <w:r>
        <w:rPr>
          <w:rFonts w:ascii="MS PGothic" w:cs="MS PGothic" w:eastAsia="MS PGothic" w:hAnsi="MS PGothic"/>
          <w:sz w:val="14"/>
          <w:szCs w:val="14"/>
          <w:color w:val="auto"/>
        </w:rPr>
        <w:t>☐</w:t>
      </w:r>
      <w:r>
        <w:rPr>
          <w:rFonts w:ascii="Arial" w:cs="Arial" w:eastAsia="Arial" w:hAnsi="Arial"/>
          <w:sz w:val="14"/>
          <w:szCs w:val="14"/>
          <w:color w:val="auto"/>
        </w:rPr>
        <w:t>Soliciting material pursuant to Rule 14a-12 under the Exchange Act (17 CFR 240.14a-12)</w:t>
      </w:r>
    </w:p>
    <w:p>
      <w:pPr>
        <w:spacing w:after="0" w:line="11" w:lineRule="exact"/>
        <w:rPr>
          <w:sz w:val="24"/>
          <w:szCs w:val="24"/>
          <w:color w:val="auto"/>
        </w:rPr>
      </w:pPr>
    </w:p>
    <w:p>
      <w:pPr>
        <w:ind w:left="520"/>
        <w:spacing w:after="0" w:line="161" w:lineRule="exact"/>
        <w:rPr>
          <w:sz w:val="20"/>
          <w:szCs w:val="20"/>
          <w:color w:val="auto"/>
        </w:rPr>
      </w:pPr>
      <w:r>
        <w:rPr>
          <w:rFonts w:ascii="MS PGothic" w:cs="MS PGothic" w:eastAsia="MS PGothic" w:hAnsi="MS PGothic"/>
          <w:sz w:val="14"/>
          <w:szCs w:val="14"/>
          <w:color w:val="auto"/>
        </w:rPr>
        <w:t>☐</w:t>
      </w:r>
      <w:r>
        <w:rPr>
          <w:rFonts w:ascii="Arial" w:cs="Arial" w:eastAsia="Arial" w:hAnsi="Arial"/>
          <w:sz w:val="14"/>
          <w:szCs w:val="14"/>
          <w:color w:val="auto"/>
        </w:rPr>
        <w:t>Pre-commencement communications pursuant to Rule 14d-2(b) under the Exchange Act (17 CFR 240.14d-2(b))</w:t>
      </w:r>
    </w:p>
    <w:p>
      <w:pPr>
        <w:spacing w:after="0" w:line="17" w:lineRule="exact"/>
        <w:rPr>
          <w:sz w:val="24"/>
          <w:szCs w:val="24"/>
          <w:color w:val="auto"/>
        </w:rPr>
      </w:pPr>
    </w:p>
    <w:p>
      <w:pPr>
        <w:ind w:left="520"/>
        <w:spacing w:after="0" w:line="161" w:lineRule="exact"/>
        <w:rPr>
          <w:sz w:val="20"/>
          <w:szCs w:val="20"/>
          <w:color w:val="auto"/>
        </w:rPr>
      </w:pPr>
      <w:r>
        <w:rPr>
          <w:rFonts w:ascii="MS PGothic" w:cs="MS PGothic" w:eastAsia="MS PGothic" w:hAnsi="MS PGothic"/>
          <w:sz w:val="14"/>
          <w:szCs w:val="14"/>
          <w:color w:val="auto"/>
        </w:rPr>
        <w:t>☐</w:t>
      </w:r>
      <w:r>
        <w:rPr>
          <w:rFonts w:ascii="Arial" w:cs="Arial" w:eastAsia="Arial" w:hAnsi="Arial"/>
          <w:sz w:val="14"/>
          <w:szCs w:val="14"/>
          <w:color w:val="auto"/>
        </w:rPr>
        <w:t>Pre-commencement communications pursuant to Rule 13e-4(c) under the Exchange Act (17 CFR 240.13e-4(c))</w:t>
      </w:r>
    </w:p>
    <w:p>
      <w:pPr>
        <w:spacing w:after="0" w:line="11" w:lineRule="exact"/>
        <w:rPr>
          <w:sz w:val="24"/>
          <w:szCs w:val="24"/>
          <w:color w:val="auto"/>
        </w:rPr>
      </w:pPr>
    </w:p>
    <w:p>
      <w:pPr>
        <w:spacing w:after="0" w:line="253" w:lineRule="auto"/>
        <w:rPr>
          <w:sz w:val="20"/>
          <w:szCs w:val="20"/>
          <w:color w:val="auto"/>
        </w:rPr>
      </w:pPr>
      <w:r>
        <w:rPr>
          <w:rFonts w:ascii="Arial" w:cs="Arial" w:eastAsia="Arial" w:hAnsi="Arial"/>
          <w:sz w:val="14"/>
          <w:szCs w:val="14"/>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61" w:lineRule="exact"/>
        <w:rPr>
          <w:sz w:val="20"/>
          <w:szCs w:val="20"/>
          <w:color w:val="auto"/>
        </w:rPr>
      </w:pPr>
      <w:r>
        <w:rPr>
          <w:rFonts w:ascii="Arial" w:cs="Arial" w:eastAsia="Arial" w:hAnsi="Arial"/>
          <w:sz w:val="14"/>
          <w:szCs w:val="14"/>
          <w:color w:val="auto"/>
        </w:rPr>
        <w:t xml:space="preserve">Emerging growth company </w:t>
      </w:r>
      <w:r>
        <w:rPr>
          <w:rFonts w:ascii="MS PGothic" w:cs="MS PGothic" w:eastAsia="MS PGothic" w:hAnsi="MS PGothic"/>
          <w:sz w:val="14"/>
          <w:szCs w:val="14"/>
          <w:color w:val="auto"/>
        </w:rPr>
        <w:t>☐</w:t>
      </w:r>
    </w:p>
    <w:p>
      <w:pPr>
        <w:spacing w:after="0" w:line="17" w:lineRule="exact"/>
        <w:rPr>
          <w:sz w:val="24"/>
          <w:szCs w:val="24"/>
          <w:color w:val="auto"/>
        </w:rPr>
      </w:pPr>
    </w:p>
    <w:p>
      <w:pPr>
        <w:spacing w:after="0" w:line="180"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ectPr>
          <w:pgSz w:w="11900" w:h="16838" w:orient="portrait"/>
          <w:cols w:equalWidth="0" w:num="1">
            <w:col w:w="11460"/>
          </w:cols>
          <w:pgMar w:left="220" w:top="256" w:right="219" w:bottom="1440" w:gutter="0" w:footer="0" w:header="0"/>
        </w:sectPr>
      </w:pPr>
    </w:p>
    <w:bookmarkStart w:id="1" w:name="page2"/>
    <w:bookmarkEnd w:id="1"/>
    <w:p>
      <w:pPr>
        <w:ind w:left="20"/>
        <w:spacing w:after="0"/>
        <w:tabs>
          <w:tab w:leader="none" w:pos="1380" w:val="left"/>
        </w:tabs>
        <w:rPr>
          <w:sz w:val="20"/>
          <w:szCs w:val="20"/>
          <w:color w:val="auto"/>
        </w:rPr>
      </w:pPr>
      <w:r>
        <w:rPr>
          <w:rFonts w:ascii="Arial" w:cs="Arial" w:eastAsia="Arial" w:hAnsi="Arial"/>
          <w:sz w:val="14"/>
          <w:szCs w:val="14"/>
          <w:b w:val="1"/>
          <w:bCs w:val="1"/>
          <w:color w:val="auto"/>
        </w:rPr>
        <w:t>Item 7.01</w:t>
      </w:r>
      <w:r>
        <w:rPr>
          <w:sz w:val="20"/>
          <w:szCs w:val="20"/>
          <w:color w:val="auto"/>
        </w:rPr>
        <w:tab/>
      </w:r>
      <w:r>
        <w:rPr>
          <w:rFonts w:ascii="Arial" w:cs="Arial" w:eastAsia="Arial" w:hAnsi="Arial"/>
          <w:sz w:val="13"/>
          <w:szCs w:val="13"/>
          <w:b w:val="1"/>
          <w:bCs w:val="1"/>
          <w:color w:val="auto"/>
        </w:rPr>
        <w:t>Regulation FD Disclosure.</w:t>
      </w:r>
    </w:p>
    <w:p>
      <w:pPr>
        <w:spacing w:after="0" w:line="209" w:lineRule="exact"/>
        <w:rPr>
          <w:sz w:val="20"/>
          <w:szCs w:val="20"/>
          <w:color w:val="auto"/>
        </w:rPr>
      </w:pPr>
    </w:p>
    <w:p>
      <w:pPr>
        <w:ind w:firstLine="388"/>
        <w:spacing w:after="0" w:line="264" w:lineRule="auto"/>
        <w:rPr>
          <w:sz w:val="20"/>
          <w:szCs w:val="20"/>
          <w:color w:val="auto"/>
        </w:rPr>
      </w:pPr>
      <w:r>
        <w:rPr>
          <w:rFonts w:ascii="Arial" w:cs="Arial" w:eastAsia="Arial" w:hAnsi="Arial"/>
          <w:sz w:val="14"/>
          <w:szCs w:val="14"/>
          <w:color w:val="auto"/>
        </w:rPr>
        <w:t>On December 11, 2019 (Hong Kong time), Wynn Macau, Limited (“Wynn Macau”), an indirect subsidiary of Wynn Resorts, Limited (“Wynn Resorts” or the “Company”) with its ordinary shares of common stock listed on The Stock Exchange of Hong Kong Limited (the “HKSE”), filed with the HKSE an announcement (the “Pricing Announcement”) that Wynn Macau has entered into a purchase agreement with certain Initial Purchasers, as defined in the purchase agreement, in connection with the issuance by Wynn Macau of $1.0 billion aggregate principal amount of 5.125% senior notes due 2029, which issuance is expected to occur on December 17, 2019. Wynn Resorts owns approximately 72% of Wynn Macau’s ordinary shares of common stock. The Pricing Announcement is furnished herewith as Exhibit 99.1.</w:t>
      </w:r>
    </w:p>
    <w:p>
      <w:pPr>
        <w:spacing w:after="0" w:line="149" w:lineRule="exact"/>
        <w:rPr>
          <w:sz w:val="20"/>
          <w:szCs w:val="20"/>
          <w:color w:val="auto"/>
        </w:rPr>
      </w:pPr>
    </w:p>
    <w:p>
      <w:pPr>
        <w:ind w:right="80" w:firstLine="388"/>
        <w:spacing w:after="0" w:line="272" w:lineRule="auto"/>
        <w:rPr>
          <w:sz w:val="20"/>
          <w:szCs w:val="20"/>
          <w:color w:val="auto"/>
        </w:rPr>
      </w:pPr>
      <w:r>
        <w:rPr>
          <w:rFonts w:ascii="Arial" w:cs="Arial" w:eastAsia="Arial" w:hAnsi="Arial"/>
          <w:sz w:val="14"/>
          <w:szCs w:val="14"/>
          <w:color w:val="auto"/>
        </w:rPr>
        <w:t>The information furnished pursuant to this Item 7.01 (including Exhibit 99.1) shall not be deemed to be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shall be expressly set forth by specific reference in such a filing.</w:t>
      </w:r>
    </w:p>
    <w:p>
      <w:pPr>
        <w:spacing w:after="0" w:line="268"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1380" w:type="dxa"/>
            <w:vAlign w:val="bottom"/>
            <w:gridSpan w:val="2"/>
          </w:tcPr>
          <w:p>
            <w:pPr>
              <w:spacing w:after="0"/>
              <w:rPr>
                <w:sz w:val="20"/>
                <w:szCs w:val="20"/>
                <w:color w:val="auto"/>
              </w:rPr>
            </w:pPr>
            <w:r>
              <w:rPr>
                <w:rFonts w:ascii="Arial" w:cs="Arial" w:eastAsia="Arial" w:hAnsi="Arial"/>
                <w:sz w:val="14"/>
                <w:szCs w:val="14"/>
                <w:b w:val="1"/>
                <w:bCs w:val="1"/>
                <w:color w:val="auto"/>
              </w:rPr>
              <w:t>Item 9.01</w:t>
            </w:r>
          </w:p>
        </w:tc>
        <w:tc>
          <w:tcPr>
            <w:tcW w:w="4360" w:type="dxa"/>
            <w:vAlign w:val="bottom"/>
            <w:gridSpan w:val="2"/>
          </w:tcPr>
          <w:p>
            <w:pPr>
              <w:spacing w:after="0"/>
              <w:rPr>
                <w:sz w:val="20"/>
                <w:szCs w:val="20"/>
                <w:color w:val="auto"/>
              </w:rPr>
            </w:pPr>
            <w:r>
              <w:rPr>
                <w:rFonts w:ascii="Arial" w:cs="Arial" w:eastAsia="Arial" w:hAnsi="Arial"/>
                <w:sz w:val="14"/>
                <w:szCs w:val="14"/>
                <w:b w:val="1"/>
                <w:bCs w:val="1"/>
                <w:color w:val="auto"/>
              </w:rPr>
              <w:t>Financial Statements and Exhibits.</w:t>
            </w:r>
          </w:p>
        </w:tc>
      </w:tr>
      <w:tr>
        <w:trPr>
          <w:trHeight w:val="291"/>
        </w:trPr>
        <w:tc>
          <w:tcPr>
            <w:tcW w:w="1380" w:type="dxa"/>
            <w:vAlign w:val="bottom"/>
            <w:gridSpan w:val="2"/>
          </w:tcPr>
          <w:p>
            <w:pPr>
              <w:ind w:left="160"/>
              <w:spacing w:after="0"/>
              <w:rPr>
                <w:sz w:val="20"/>
                <w:szCs w:val="20"/>
                <w:color w:val="auto"/>
              </w:rPr>
            </w:pPr>
            <w:r>
              <w:rPr>
                <w:rFonts w:ascii="Arial" w:cs="Arial" w:eastAsia="Arial" w:hAnsi="Arial"/>
                <w:sz w:val="14"/>
                <w:szCs w:val="14"/>
                <w:color w:val="auto"/>
              </w:rPr>
              <w:t>(d)  Exhibits.</w:t>
            </w:r>
          </w:p>
        </w:tc>
        <w:tc>
          <w:tcPr>
            <w:tcW w:w="580" w:type="dxa"/>
            <w:vAlign w:val="bottom"/>
          </w:tcPr>
          <w:p>
            <w:pPr>
              <w:spacing w:after="0"/>
              <w:rPr>
                <w:sz w:val="24"/>
                <w:szCs w:val="24"/>
                <w:color w:val="auto"/>
              </w:rPr>
            </w:pPr>
          </w:p>
        </w:tc>
        <w:tc>
          <w:tcPr>
            <w:tcW w:w="3780" w:type="dxa"/>
            <w:vAlign w:val="bottom"/>
          </w:tcPr>
          <w:p>
            <w:pPr>
              <w:spacing w:after="0"/>
              <w:rPr>
                <w:sz w:val="24"/>
                <w:szCs w:val="24"/>
                <w:color w:val="auto"/>
              </w:rPr>
            </w:pPr>
          </w:p>
        </w:tc>
      </w:tr>
      <w:tr>
        <w:trPr>
          <w:trHeight w:val="238"/>
        </w:trPr>
        <w:tc>
          <w:tcPr>
            <w:tcW w:w="1380" w:type="dxa"/>
            <w:vAlign w:val="bottom"/>
            <w:gridSpan w:val="2"/>
          </w:tcPr>
          <w:p>
            <w:pPr>
              <w:spacing w:after="0"/>
              <w:rPr>
                <w:sz w:val="20"/>
                <w:szCs w:val="20"/>
                <w:color w:val="auto"/>
              </w:rPr>
            </w:pPr>
            <w:r>
              <w:rPr>
                <w:rFonts w:ascii="Arial" w:cs="Arial" w:eastAsia="Arial" w:hAnsi="Arial"/>
                <w:sz w:val="11"/>
                <w:szCs w:val="11"/>
                <w:b w:val="1"/>
                <w:bCs w:val="1"/>
                <w:color w:val="auto"/>
              </w:rPr>
              <w:t>Exhibit No.</w:t>
            </w:r>
          </w:p>
        </w:tc>
        <w:tc>
          <w:tcPr>
            <w:tcW w:w="4360" w:type="dxa"/>
            <w:vAlign w:val="bottom"/>
            <w:gridSpan w:val="2"/>
          </w:tcPr>
          <w:p>
            <w:pPr>
              <w:spacing w:after="0"/>
              <w:rPr>
                <w:sz w:val="20"/>
                <w:szCs w:val="20"/>
                <w:color w:val="auto"/>
              </w:rPr>
            </w:pPr>
            <w:r>
              <w:rPr>
                <w:rFonts w:ascii="Arial" w:cs="Arial" w:eastAsia="Arial" w:hAnsi="Arial"/>
                <w:sz w:val="11"/>
                <w:szCs w:val="11"/>
                <w:b w:val="1"/>
                <w:bCs w:val="1"/>
                <w:color w:val="auto"/>
              </w:rPr>
              <w:t>Description</w:t>
            </w:r>
          </w:p>
        </w:tc>
      </w:tr>
      <w:tr>
        <w:trPr>
          <w:trHeight w:val="20"/>
        </w:trPr>
        <w:tc>
          <w:tcPr>
            <w:tcW w:w="560" w:type="dxa"/>
            <w:vAlign w:val="bottom"/>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r>
      <w:tr>
        <w:trPr>
          <w:trHeight w:val="271"/>
        </w:trPr>
        <w:tc>
          <w:tcPr>
            <w:tcW w:w="560" w:type="dxa"/>
            <w:vAlign w:val="bottom"/>
          </w:tcPr>
          <w:p>
            <w:pPr>
              <w:spacing w:after="0"/>
              <w:rPr>
                <w:sz w:val="20"/>
                <w:szCs w:val="20"/>
                <w:color w:val="auto"/>
              </w:rPr>
            </w:pPr>
            <w:r>
              <w:rPr>
                <w:rFonts w:ascii="Arial" w:cs="Arial" w:eastAsia="Arial" w:hAnsi="Arial"/>
                <w:sz w:val="14"/>
                <w:szCs w:val="14"/>
                <w:color w:val="auto"/>
              </w:rPr>
              <w:t>99.1</w:t>
            </w:r>
          </w:p>
        </w:tc>
        <w:tc>
          <w:tcPr>
            <w:tcW w:w="820" w:type="dxa"/>
            <w:vAlign w:val="bottom"/>
          </w:tcPr>
          <w:p>
            <w:pPr>
              <w:spacing w:after="0"/>
              <w:rPr>
                <w:sz w:val="23"/>
                <w:szCs w:val="23"/>
                <w:color w:val="auto"/>
              </w:rPr>
            </w:pPr>
          </w:p>
        </w:tc>
        <w:tc>
          <w:tcPr>
            <w:tcW w:w="4360" w:type="dxa"/>
            <w:vAlign w:val="bottom"/>
            <w:tcBorders>
              <w:bottom w:val="single" w:sz="8" w:color="0000FF"/>
            </w:tcBorders>
            <w:gridSpan w:val="2"/>
          </w:tcPr>
          <w:p>
            <w:pPr>
              <w:spacing w:after="0"/>
              <w:rPr>
                <w:rFonts w:ascii="Arial" w:cs="Arial" w:eastAsia="Arial" w:hAnsi="Arial"/>
                <w:sz w:val="14"/>
                <w:szCs w:val="14"/>
                <w:color w:val="0000FF"/>
                <w:w w:val="93"/>
              </w:rPr>
            </w:pPr>
            <w:hyperlink w:anchor="page4">
              <w:r>
                <w:rPr>
                  <w:rFonts w:ascii="Arial" w:cs="Arial" w:eastAsia="Arial" w:hAnsi="Arial"/>
                  <w:sz w:val="14"/>
                  <w:szCs w:val="14"/>
                  <w:color w:val="0000FF"/>
                  <w:w w:val="93"/>
                </w:rPr>
                <w:t>Pricing Announcement of Wynn Macau, Limited, dated December 11, 2019</w:t>
              </w:r>
            </w:hyperlink>
          </w:p>
        </w:tc>
      </w:tr>
    </w:tbl>
    <w:p>
      <w:pPr>
        <w:sectPr>
          <w:pgSz w:w="11900" w:h="16838" w:orient="portrait"/>
          <w:cols w:equalWidth="0" w:num="1">
            <w:col w:w="11440"/>
          </w:cols>
          <w:pgMar w:left="220" w:top="599" w:right="239" w:bottom="1440" w:gutter="0" w:footer="0" w:header="0"/>
        </w:sectPr>
      </w:pPr>
    </w:p>
    <w:bookmarkStart w:id="2" w:name="page3"/>
    <w:bookmarkEnd w:id="2"/>
    <w:p>
      <w:pPr>
        <w:jc w:val="center"/>
        <w:ind w:right="-599"/>
        <w:spacing w:after="0"/>
        <w:rPr>
          <w:sz w:val="20"/>
          <w:szCs w:val="20"/>
          <w:color w:val="auto"/>
        </w:rPr>
      </w:pPr>
      <w:r>
        <w:rPr>
          <w:rFonts w:ascii="Arial" w:cs="Arial" w:eastAsia="Arial" w:hAnsi="Arial"/>
          <w:sz w:val="14"/>
          <w:szCs w:val="14"/>
          <w:b w:val="1"/>
          <w:bCs w:val="1"/>
          <w:color w:val="auto"/>
        </w:rPr>
        <w:t>SIGNATURES</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2"/>
          <w:szCs w:val="12"/>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62" w:lineRule="exact"/>
        <w:rPr>
          <w:sz w:val="20"/>
          <w:szCs w:val="20"/>
          <w:color w:val="auto"/>
        </w:rPr>
      </w:pPr>
    </w:p>
    <w:p>
      <w:pPr>
        <w:ind w:left="7340"/>
        <w:spacing w:after="0"/>
        <w:rPr>
          <w:sz w:val="20"/>
          <w:szCs w:val="20"/>
          <w:color w:val="auto"/>
        </w:rPr>
      </w:pPr>
      <w:r>
        <w:rPr>
          <w:rFonts w:ascii="Arial" w:cs="Arial" w:eastAsia="Arial" w:hAnsi="Arial"/>
          <w:sz w:val="14"/>
          <w:szCs w:val="14"/>
          <w:b w:val="1"/>
          <w:bCs w:val="1"/>
          <w:color w:val="auto"/>
        </w:rPr>
        <w:t>WYNN RESORTS, LIMITED</w:t>
      </w:r>
    </w:p>
    <w:p>
      <w:pPr>
        <w:sectPr>
          <w:pgSz w:w="11900" w:h="16838" w:orient="portrait"/>
          <w:cols w:equalWidth="0" w:num="1">
            <w:col w:w="10820"/>
          </w:cols>
          <w:pgMar w:left="240" w:top="470" w:right="839" w:bottom="1440" w:gutter="0" w:footer="0" w:header="0"/>
        </w:sectPr>
      </w:pPr>
    </w:p>
    <w:p>
      <w:pPr>
        <w:spacing w:after="0" w:line="156" w:lineRule="exact"/>
        <w:rPr>
          <w:sz w:val="20"/>
          <w:szCs w:val="20"/>
          <w:color w:val="auto"/>
        </w:rPr>
      </w:pPr>
    </w:p>
    <w:p>
      <w:pPr>
        <w:spacing w:after="0"/>
        <w:rPr>
          <w:sz w:val="20"/>
          <w:szCs w:val="20"/>
          <w:color w:val="auto"/>
        </w:rPr>
      </w:pPr>
      <w:r>
        <w:rPr>
          <w:rFonts w:ascii="Arial" w:cs="Arial" w:eastAsia="Arial" w:hAnsi="Arial"/>
          <w:sz w:val="12"/>
          <w:szCs w:val="12"/>
          <w:color w:val="auto"/>
        </w:rPr>
        <w:t>Dated: December 10, 2019</w:t>
      </w:r>
    </w:p>
    <w:p>
      <w:pPr>
        <w:spacing w:after="0" w:line="20" w:lineRule="exact"/>
        <w:rPr>
          <w:sz w:val="20"/>
          <w:szCs w:val="20"/>
          <w:color w:val="auto"/>
        </w:rPr>
      </w:pPr>
      <w:r>
        <w:rPr>
          <w:sz w:val="20"/>
          <w:szCs w:val="20"/>
          <w:color w:val="auto"/>
        </w:rPr>
        <w:br w:type="column"/>
      </w:r>
    </w:p>
    <w:p>
      <w:pPr>
        <w:spacing w:after="0" w:line="136" w:lineRule="exact"/>
        <w:rPr>
          <w:sz w:val="20"/>
          <w:szCs w:val="20"/>
          <w:color w:val="auto"/>
        </w:rPr>
      </w:pPr>
    </w:p>
    <w:p>
      <w:pPr>
        <w:spacing w:after="0"/>
        <w:tabs>
          <w:tab w:leader="none" w:pos="660" w:val="left"/>
        </w:tabs>
        <w:rPr>
          <w:sz w:val="20"/>
          <w:szCs w:val="20"/>
          <w:color w:val="auto"/>
        </w:rPr>
      </w:pPr>
      <w:r>
        <w:rPr>
          <w:rFonts w:ascii="Arial" w:cs="Arial" w:eastAsia="Arial" w:hAnsi="Arial"/>
          <w:sz w:val="13"/>
          <w:szCs w:val="13"/>
          <w:color w:val="auto"/>
        </w:rPr>
        <w:t>By:</w:t>
      </w:r>
      <w:r>
        <w:rPr>
          <w:sz w:val="20"/>
          <w:szCs w:val="20"/>
          <w:color w:val="auto"/>
        </w:rPr>
        <w:tab/>
      </w:r>
      <w:r>
        <w:rPr>
          <w:rFonts w:ascii="Arial" w:cs="Arial" w:eastAsia="Arial" w:hAnsi="Arial"/>
          <w:sz w:val="13"/>
          <w:szCs w:val="13"/>
          <w:color w:val="auto"/>
        </w:rPr>
        <w:t>/s/ Craig S. Billings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347345</wp:posOffset>
            </wp:positionH>
            <wp:positionV relativeFrom="paragraph">
              <wp:posOffset>34925</wp:posOffset>
            </wp:positionV>
            <wp:extent cx="2689225" cy="69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689225" cy="6985"/>
                    </a:xfrm>
                    <a:prstGeom prst="rect">
                      <a:avLst/>
                    </a:prstGeom>
                    <a:noFill/>
                  </pic:spPr>
                </pic:pic>
              </a:graphicData>
            </a:graphic>
          </wp:anchor>
        </w:drawing>
      </w:r>
    </w:p>
    <w:p>
      <w:pPr>
        <w:spacing w:after="0" w:line="66" w:lineRule="exact"/>
        <w:rPr>
          <w:sz w:val="20"/>
          <w:szCs w:val="20"/>
          <w:color w:val="auto"/>
        </w:rPr>
      </w:pPr>
    </w:p>
    <w:p>
      <w:pPr>
        <w:sectPr>
          <w:pgSz w:w="11900" w:h="16838" w:orient="portrait"/>
          <w:cols w:equalWidth="0" w:num="2">
            <w:col w:w="5940" w:space="720"/>
            <w:col w:w="4160"/>
          </w:cols>
          <w:pgMar w:left="240" w:top="470" w:right="839" w:bottom="1440" w:gutter="0" w:footer="0" w:header="0"/>
          <w:type w:val="continuous"/>
        </w:sectPr>
      </w:pPr>
    </w:p>
    <w:p>
      <w:pPr>
        <w:ind w:left="6780"/>
        <w:spacing w:after="0"/>
        <w:rPr>
          <w:sz w:val="20"/>
          <w:szCs w:val="20"/>
          <w:color w:val="auto"/>
        </w:rPr>
      </w:pPr>
      <w:r>
        <w:rPr>
          <w:rFonts w:ascii="Arial" w:cs="Arial" w:eastAsia="Arial" w:hAnsi="Arial"/>
          <w:sz w:val="14"/>
          <w:szCs w:val="14"/>
          <w:color w:val="auto"/>
        </w:rPr>
        <w:t>Craig S. Billings</w:t>
      </w:r>
    </w:p>
    <w:p>
      <w:pPr>
        <w:spacing w:after="0" w:line="55" w:lineRule="exact"/>
        <w:rPr>
          <w:sz w:val="20"/>
          <w:szCs w:val="20"/>
          <w:color w:val="auto"/>
        </w:rPr>
      </w:pPr>
    </w:p>
    <w:p>
      <w:pPr>
        <w:ind w:left="6780"/>
        <w:spacing w:after="0"/>
        <w:rPr>
          <w:sz w:val="20"/>
          <w:szCs w:val="20"/>
          <w:color w:val="auto"/>
        </w:rPr>
      </w:pPr>
      <w:r>
        <w:rPr>
          <w:rFonts w:ascii="Arial" w:cs="Arial" w:eastAsia="Arial" w:hAnsi="Arial"/>
          <w:sz w:val="13"/>
          <w:szCs w:val="13"/>
          <w:color w:val="auto"/>
        </w:rPr>
        <w:t>President, Chief Financial Officer and Treasurer</w:t>
      </w:r>
    </w:p>
    <w:p>
      <w:pPr>
        <w:spacing w:after="0" w:line="66" w:lineRule="exact"/>
        <w:rPr>
          <w:sz w:val="20"/>
          <w:szCs w:val="20"/>
          <w:color w:val="auto"/>
        </w:rPr>
      </w:pPr>
    </w:p>
    <w:p>
      <w:pPr>
        <w:ind w:left="6780"/>
        <w:spacing w:after="0"/>
        <w:rPr>
          <w:sz w:val="20"/>
          <w:szCs w:val="20"/>
          <w:color w:val="auto"/>
        </w:rPr>
      </w:pPr>
      <w:r>
        <w:rPr>
          <w:rFonts w:ascii="Arial" w:cs="Arial" w:eastAsia="Arial" w:hAnsi="Arial"/>
          <w:sz w:val="14"/>
          <w:szCs w:val="14"/>
          <w:color w:val="auto"/>
        </w:rPr>
        <w:t>(Principal Financial and Accounting Officer)</w:t>
      </w:r>
    </w:p>
    <w:p>
      <w:pPr>
        <w:sectPr>
          <w:pgSz w:w="11900" w:h="16838" w:orient="portrait"/>
          <w:cols w:equalWidth="0" w:num="1">
            <w:col w:w="10820"/>
          </w:cols>
          <w:pgMar w:left="240" w:top="470" w:right="839" w:bottom="1440" w:gutter="0" w:footer="0" w:header="0"/>
          <w:type w:val="continuous"/>
        </w:sectPr>
      </w:pPr>
    </w:p>
    <w:bookmarkStart w:id="3" w:name="page4"/>
    <w:bookmarkEnd w:id="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307975</wp:posOffset>
            </wp:positionV>
            <wp:extent cx="7217410" cy="94805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17410" cy="9480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805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17410" cy="9480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805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17410" cy="9480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9892030</wp:posOffset>
            </wp:positionV>
            <wp:extent cx="7217410" cy="1968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17410" cy="196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805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17410" cy="9480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805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17410" cy="9480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805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17410" cy="9480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805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17410" cy="9480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805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17410" cy="9480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7356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17410" cy="94735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2019-12-28T01:05:18Z</dcterms:created>
  <dcterms:modified xsi:type="dcterms:W3CDTF">2019-12-28T01:05:18Z</dcterms:modified>
</cp:coreProperties>
</file>