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3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-2106295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58465" cy="128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May 17, 2011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right="100" w:firstLine="342"/>
        <w:spacing w:after="0" w:line="259" w:lineRule="auto"/>
        <w:rPr>
          <w:sz w:val="20"/>
          <w:szCs w:val="20"/>
          <w:color w:val="auto"/>
        </w:rPr>
      </w:pPr>
      <w:r>
        <w:rPr>
          <w:rFonts w:ascii="Arial" w:cs="Arial" w:eastAsia="Arial" w:hAnsi="Arial"/>
          <w:sz w:val="18"/>
          <w:szCs w:val="18"/>
          <w:color w:val="auto"/>
        </w:rPr>
        <w:t>Notice is hereby given that the Annual Meeting of Stockholders (the “Annual Meeting”) of Wynn Resorts, Limited, a Nevada corporation (the “Company”), will be held at Wynn Macau, Rua Cidade de Sintra, NAPE, Macau SAR, on May 17, 2011, at 3:30 p.m. (local time), for the following purposes (which are more fully described in the proxy statement, which is attached and made a part of this Notice):</w:t>
      </w:r>
    </w:p>
    <w:p>
      <w:pPr>
        <w:spacing w:after="0" w:line="46" w:lineRule="exact"/>
        <w:rPr>
          <w:sz w:val="20"/>
          <w:szCs w:val="20"/>
          <w:color w:val="auto"/>
        </w:rPr>
      </w:pPr>
    </w:p>
    <w:p>
      <w:pPr>
        <w:ind w:left="800" w:hanging="454"/>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four directors named in the proxy statement, each to serve until the 2014 Annual Meeting of Stockholders and until his successor is elected and qualified;</w:t>
      </w:r>
    </w:p>
    <w:p>
      <w:pPr>
        <w:spacing w:after="0" w:line="37"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advisory resolution on executive compensation;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the frequency of future advisory votes on executive compensation;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2002 Stock Incentive Plan;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for 2011;</w:t>
      </w:r>
    </w:p>
    <w:p>
      <w:pPr>
        <w:spacing w:after="0" w:line="99"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 stockholder proposal regarding a director election majority vote standard, if properly presented at the Annual Meeting; and</w:t>
      </w:r>
    </w:p>
    <w:p>
      <w:pPr>
        <w:spacing w:after="0" w:line="99"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40" w:lineRule="exact"/>
        <w:rPr>
          <w:sz w:val="20"/>
          <w:szCs w:val="20"/>
          <w:color w:val="auto"/>
        </w:rPr>
      </w:pPr>
    </w:p>
    <w:p>
      <w:pPr>
        <w:jc w:val="both"/>
        <w:ind w:right="80" w:firstLine="342"/>
        <w:spacing w:after="0" w:line="294" w:lineRule="auto"/>
        <w:rPr>
          <w:sz w:val="20"/>
          <w:szCs w:val="20"/>
          <w:color w:val="auto"/>
        </w:rPr>
      </w:pPr>
      <w:r>
        <w:rPr>
          <w:rFonts w:ascii="Arial" w:cs="Arial" w:eastAsia="Arial" w:hAnsi="Arial"/>
          <w:sz w:val="16"/>
          <w:szCs w:val="16"/>
          <w:color w:val="auto"/>
        </w:rPr>
        <w:t>Stockholders of record at the close of business on March 25, 2011,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or about April 7, 2011, we mailed to our stockholders a notice containing instructions on how to access the proxy statement for our 2011 Annual Meeting, our 2010 annual report and to vote online. The notice also contains instructions on how you can receive a paper copy of your annual meeting materials, including this Notice, proxy statement and proxy card, should you wish.</w:t>
      </w:r>
    </w:p>
    <w:p>
      <w:pPr>
        <w:spacing w:after="0" w:line="62" w:lineRule="exact"/>
        <w:rPr>
          <w:sz w:val="20"/>
          <w:szCs w:val="20"/>
          <w:color w:val="auto"/>
        </w:rPr>
      </w:pPr>
    </w:p>
    <w:p>
      <w:pPr>
        <w:ind w:right="20" w:firstLine="342"/>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89" w:lineRule="exact"/>
        <w:rPr>
          <w:sz w:val="20"/>
          <w:szCs w:val="20"/>
          <w:color w:val="auto"/>
        </w:rPr>
      </w:pPr>
    </w:p>
    <w:p>
      <w:pPr>
        <w:jc w:val="both"/>
        <w:ind w:right="300" w:firstLine="342"/>
        <w:spacing w:after="0" w:line="370" w:lineRule="auto"/>
        <w:rPr>
          <w:sz w:val="20"/>
          <w:szCs w:val="20"/>
          <w:color w:val="auto"/>
        </w:rPr>
      </w:pPr>
      <w:r>
        <w:rPr>
          <w:rFonts w:ascii="Arial" w:cs="Arial" w:eastAsia="Arial" w:hAnsi="Arial"/>
          <w:sz w:val="15"/>
          <w:szCs w:val="15"/>
          <w:color w:val="auto"/>
        </w:rPr>
        <w:t>Whether or not you plan to attend the Annual Meeting, you are encouraged to read the proxy statement and then cast your vote as promptly as possible in accordance with the instructions in the notice you received. Even if you have given your proxy, you may still vote in person if you attend the Annual Meeting.</w:t>
      </w:r>
    </w:p>
    <w:p>
      <w:pPr>
        <w:spacing w:after="0" w:line="8" w:lineRule="exact"/>
        <w:rPr>
          <w:sz w:val="20"/>
          <w:szCs w:val="20"/>
          <w:color w:val="auto"/>
        </w:rPr>
      </w:pPr>
    </w:p>
    <w:p>
      <w:pPr>
        <w:ind w:right="340" w:firstLine="342"/>
        <w:spacing w:after="0" w:line="259" w:lineRule="auto"/>
        <w:rPr>
          <w:sz w:val="20"/>
          <w:szCs w:val="20"/>
          <w:color w:val="auto"/>
        </w:rPr>
      </w:pPr>
      <w:r>
        <w:rPr>
          <w:rFonts w:ascii="Arial" w:cs="Arial" w:eastAsia="Arial" w:hAnsi="Arial"/>
          <w:sz w:val="18"/>
          <w:szCs w:val="18"/>
          <w:color w:val="auto"/>
        </w:rPr>
        <w:t>Unless you provide voting instruction to any bank, broker or other nominee that holds your shares, your shares may not be voted on most matters being considered at the Annual Meeting. Therefore, if your shares are held in the name of your broker, bank or other nominee, your vote is especially important this year.</w:t>
      </w:r>
    </w:p>
    <w:p>
      <w:pPr>
        <w:spacing w:after="0" w:line="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12661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2011</w:t>
      </w:r>
    </w:p>
    <w:p>
      <w:pPr>
        <w:spacing w:after="0" w:line="105" w:lineRule="exact"/>
        <w:rPr>
          <w:sz w:val="20"/>
          <w:szCs w:val="20"/>
          <w:color w:val="auto"/>
        </w:rPr>
      </w:pPr>
    </w:p>
    <w:p>
      <w:pPr>
        <w:jc w:val="center"/>
        <w:ind w:left="260" w:right="8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 FOR THE ANNUAL MEETING OF STOCKHOLDERS TO BE HELD ON MAY 17, 2011</w:t>
      </w:r>
    </w:p>
    <w:p>
      <w:pPr>
        <w:spacing w:after="0" w:line="72" w:lineRule="exact"/>
        <w:rPr>
          <w:sz w:val="20"/>
          <w:szCs w:val="20"/>
          <w:color w:val="auto"/>
        </w:rPr>
      </w:pPr>
    </w:p>
    <w:p>
      <w:pPr>
        <w:ind w:right="280" w:firstLine="342"/>
        <w:spacing w:after="0" w:line="268" w:lineRule="auto"/>
        <w:rPr>
          <w:sz w:val="20"/>
          <w:szCs w:val="20"/>
          <w:color w:val="auto"/>
        </w:rPr>
      </w:pPr>
      <w:r>
        <w:rPr>
          <w:rFonts w:ascii="Arial" w:cs="Arial" w:eastAsia="Arial" w:hAnsi="Arial"/>
          <w:sz w:val="18"/>
          <w:szCs w:val="18"/>
          <w:color w:val="auto"/>
        </w:rPr>
        <w:t>This proxy statement and our 2010 annual report on Form 10-K are available at http://www.wynnresorts.com under company information/annual meeting and related materials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Proxy Statement</w:t>
              </w:r>
            </w:hyperlink>
          </w:p>
        </w:tc>
        <w:tc>
          <w:tcPr>
            <w:tcW w:w="9800" w:type="dxa"/>
            <w:vAlign w:val="bottom"/>
            <w:gridSpan w:val="19"/>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180" w:type="dxa"/>
            <w:vAlign w:val="bottom"/>
            <w:tcBorders>
              <w:bottom w:val="single" w:sz="8" w:color="0000EE"/>
            </w:tcBorders>
            <w:vMerge w:val="continue"/>
          </w:tcPr>
          <w:p>
            <w:pPr>
              <w:spacing w:after="0"/>
              <w:rPr>
                <w:sz w:val="14"/>
                <w:szCs w:val="14"/>
                <w:color w:val="auto"/>
              </w:rPr>
            </w:pPr>
          </w:p>
        </w:tc>
        <w:tc>
          <w:tcPr>
            <w:tcW w:w="9800" w:type="dxa"/>
            <w:vAlign w:val="bottom"/>
            <w:gridSpan w:val="19"/>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Proposal No. 1 Election of Directors</w:t>
              </w:r>
            </w:hyperlink>
          </w:p>
        </w:tc>
        <w:tc>
          <w:tcPr>
            <w:tcW w:w="83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Proposal No. 2 Advisory Resolution on 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3 Frequency of Future Advisory Votes on 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Proposal No. 4 Amendment to 2002 Stock Incentive Plan</w:t>
              </w:r>
            </w:hyperlink>
          </w:p>
        </w:tc>
        <w:tc>
          <w:tcPr>
            <w:tcW w:w="53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Proposal No. 5 Ratification of Appointment of Independent Public Accountants.</w:t>
              </w:r>
            </w:hyperlink>
          </w:p>
        </w:tc>
        <w:tc>
          <w:tcPr>
            <w:tcW w:w="53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Proposal No. 6 Stockholder Proposal Regarding a Director Election Majority Vote Standard, if properly presented at the meeting</w:t>
              </w:r>
            </w:hyperlink>
          </w:p>
        </w:tc>
        <w:tc>
          <w:tcPr>
            <w:tcW w:w="19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87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Security Ownership of Certain Beneficial Owners and Management</w:t>
              </w:r>
            </w:hyperlink>
          </w:p>
        </w:tc>
        <w:tc>
          <w:tcPr>
            <w:tcW w:w="62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Further Information Concerning the Board of Directors Corporate Governance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Director and Executive Officer Compensation and Other Matters</w:t>
              </w:r>
            </w:hyperlink>
          </w:p>
        </w:tc>
        <w:tc>
          <w:tcPr>
            <w:tcW w:w="54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Compensation Discussion and Analysis</w:t>
              </w:r>
            </w:hyperlink>
          </w:p>
        </w:tc>
        <w:tc>
          <w:tcPr>
            <w:tcW w:w="1780" w:type="dxa"/>
            <w:vAlign w:val="bottom"/>
            <w:tcBorders>
              <w:top w:val="single" w:sz="8" w:color="0000EE"/>
            </w:tcBorders>
            <w:gridSpan w:val="8"/>
          </w:tcPr>
          <w:p>
            <w:pPr>
              <w:spacing w:after="0"/>
              <w:rPr>
                <w:sz w:val="17"/>
                <w:szCs w:val="17"/>
                <w:color w:val="auto"/>
              </w:rPr>
            </w:pPr>
          </w:p>
        </w:tc>
        <w:tc>
          <w:tcPr>
            <w:tcW w:w="640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Report of the Compensation Committee</w:t>
              </w:r>
            </w:hyperlink>
          </w:p>
        </w:tc>
        <w:tc>
          <w:tcPr>
            <w:tcW w:w="816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2010 Summary Compensation Table</w:t>
              </w:r>
            </w:hyperlink>
          </w:p>
        </w:tc>
        <w:tc>
          <w:tcPr>
            <w:tcW w:w="83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2010 Grants of Plan-Based Awards Table</w:t>
              </w:r>
            </w:hyperlink>
          </w:p>
        </w:tc>
        <w:tc>
          <w:tcPr>
            <w:tcW w:w="806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2010 Outstanding Equity Awards at Fiscal Year-End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6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2010 Option Exercises</w:t>
              </w:r>
            </w:hyperlink>
          </w:p>
        </w:tc>
        <w:tc>
          <w:tcPr>
            <w:tcW w:w="730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60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Potential Payments Upon Termination or Change-in-Control</w:t>
              </w:r>
            </w:hyperlink>
          </w:p>
        </w:tc>
        <w:tc>
          <w:tcPr>
            <w:tcW w:w="67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Certain Relationships and Related Transactions</w:t>
              </w:r>
            </w:hyperlink>
          </w:p>
        </w:tc>
        <w:tc>
          <w:tcPr>
            <w:tcW w:w="764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Proxy for Annual Meeting of Stockholders</w:t>
              </w:r>
            </w:hyperlink>
          </w:p>
        </w:tc>
        <w:tc>
          <w:tcPr>
            <w:tcW w:w="796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 A-2002 Stock Incentive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of Wynn Resorts, Limited (“Wynn Resorts,” “we” or the “Company”), for use at the Company’s Annual Meeting of Stockholders on May 17, 2011 (the “Annual Meeting”) to be held at Wynn Macau, Rua Cidade de Sintra, NAPE, Macau SAR, at 3:30 p.m. (local time) and at any adjournment or postponement of that meeting. Matters to be considered and acted upon at the Annual Meeting are set forth in the Notice of Annual Meeting of Stockholders accompanying this proxy statement and are more fully outlined herein. Under rules adopted by the U.S. Securities and Exchange Commission (the “SEC”), we are furnishing proxy materials to our stockholders via the internet, instead of mailing printed copies of those materials to each stockholder. On or about April 7, 2011, we mailed to our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you will continue to receive these materials via e-mail unless you elect otherwise.</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Board of Directors believes that the election of the director nominees named herein in Proposal 1, approval of the Company’s advisory resolution on executive compensation in Proposal 2, approval of an amendment to our 2002 Stock Incentive Plan in Proposal 4 and ratification of Ernst &amp; Young LLP in Proposal 5 are in the best interests of the Company and its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these matters. The Board of Directors believes that the stockholder proposal regarding a director election majority vote standard in Proposal 6 is not in the best interest of the Company and its stockholders and therefore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matter. The Board of Directors is not making a recommendation related to the frequency of future advisory votes on executive compensation in Proposal 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stockholder of record giving a proxy may revoke it by voting at the Annual Meeting or, at any time prior to its exercise at the Annual Meeting by sending a written or other transmission revoking it, or by executing and delivering another proxy bearing a later date, to the Secretary of the Company at the Company’s Executive Offices located at 3131 Las Vegas Boulevard South, Las Vegas, Nevada 89109.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Shares represented by duly executed and unrevoked proxies will be voted at the Annual Meeting in accordance with the specifications made therein by the stockholders. If no specification is made, shares represented by duly executed and unrevoked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all nominees listed herein,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advisory resolution on executive compensation,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an amendment to our 2002 Stock Incentive Plan,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Ernst &amp; Young LLP as the Company’s independent auditors,</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the stockholder proposal regarding a director election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vote standard,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in the discretion of the persons voting the respective proxies with respect to any other matter that may properly come before the Annual Meeting. If no voting instructions are given with respect to the future frequency of advisory votes on executive compensation, the shares will not be voted on that matter.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cost of preparing, assembling and mailing proxy materials will be borne by the Company. Directors, executive officers and other employees may also solicit proxies by mail, telephone, electronic communication or in person,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the close of business on March 25, 2011, the record date for determining stockholders entitled to vote at the Annual Meeting, 124,673,158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authority in the election of directors and broker non-votes will not be counted as voting thereon and therefore will not affect the election of the nominees receiving a plurality of the votes cast. However, those shares will be counted for purposes of determining whether there is a quorum. A broker non-vote occurs when a bank, broker or other nominee does not have authority to vote on a particular item without instructions from the beneficial owner and has not received instructions. For each other item to be acted upon at the Annual Meeting, the item will be approved if the number of votes cast in favor of the item by the stockholders entitled to vote represents a majority of the votes cast on the item. Abstentions and broker non-votes will not be counted as votes cast on an item and therefore will not affect the outcome of these proposals, although they are counted for purposes of determining whether there is a quorum.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Second Amended and Restated Articles of Incorporation (the “Articles”) and Fourth Amended and Restated Bylaws, as amended (the “Bylaws”), require that the number of directors on the Board of Directors be not less than one nor more than thirteen. Presently, the Board of Directors is set at 12 directors and is divided into three classes. Class I includes Linda Chen, John A. Moran, Marc Schorr and Elaine P. Wynn, whose terms expire in 2012. Class II consists of Stephen A. Wynn, Ray R. Irani, Alvin V. Shoemaker and D. Boone Wayson, whose terms expire in 2013. Class III consists of Russell Goldsmith, Robert J. Miller, Kazuo Okada, and Allan Zeman, whose terms expire in 2011. At each annual meeting, the terms of one class of directors expire. Each director nominee is elected to the Board of Directors for a term of three years and until his successor is elected and qualified.</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the Annual Meeting, four Class III directors are to be elected, each to serve until the 2014 Annual Meeting of Stockholders and until his successor is elected and qualified, or until such director’s earlier death, resignation or removal. The persons designated as proxies will have discretion to cast votes for other persons in the event any nominee for director is unable to serve. At present, it is not anticipated that any nominee will be unable to serve.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four directors for re-election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w:t>
      </w:r>
    </w:p>
    <w:p>
      <w:pPr>
        <w:spacing w:after="0" w:line="7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Russell Goldsmith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Robert J. Miller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Kazuo Okada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Allan Zeman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and other information concerning these directors and the other directors serving on the Board is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the votes cast at the Annual Meeting.</w:t>
      </w:r>
    </w:p>
    <w:p>
      <w:pPr>
        <w:spacing w:after="0" w:line="16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Set forth below is biographical information regarding the directors who have been nominated for election at the Annual Meeting and the directors whose terms do not expire this year. Also included are key skills and qualifications of our directors supporting their service as a director, in light of the Company’s business and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Russell Goldsmith. </w:t>
      </w:r>
      <w:r>
        <w:rPr>
          <w:rFonts w:ascii="Arial" w:cs="Arial" w:eastAsia="Arial" w:hAnsi="Arial"/>
          <w:sz w:val="18"/>
          <w:szCs w:val="18"/>
          <w:color w:val="auto"/>
        </w:rPr>
        <w:t>Mr. Goldsmith, 61, has served as a director of the Company since May 2008. Mr. Goldsmith has served as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City National Bank, a provider of a wide range of banking, investing and trust services,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our Company.</w:t>
      </w:r>
    </w:p>
    <w:p>
      <w:pPr>
        <w:spacing w:after="0" w:line="12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65, has served as a director of the Company since October 2002. In June 2010, he founded Robert J. Miller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 – 2005. He was a partner in Miller &amp; Behar Strategies from January 2003 to August 2007 and has been a partner in Nevada Rose, LLC since November 2004. From January 1989 until January 1999, Governor Miller served as Governor of the State of Nevada, and, from 1987 to 1989, he served as Lieutenant Governor of the State of Nevada. Governor Miller also serves as a director at International Game Technology (IGT).</w:t>
      </w:r>
    </w:p>
    <w:p>
      <w:pPr>
        <w:spacing w:after="0" w:line="1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the Company’s operations. In addition, his legal background and service as Chair of the Company’s Compliance Committee and as Compliance Director is an important element of maintaining our regulatory structure and probity.</w:t>
      </w:r>
    </w:p>
    <w:p>
      <w:pPr>
        <w:spacing w:after="0" w:line="13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68, has served as Vice Chairman of the Board of the Company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the Company. In 1969, Mr. Okada founded Universal Lease Co. Ltd., which became Aruze Corp. in 1998. In November 2009, the name of Aruze Corp. was changed to Universal Entertainment Corp. which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 suitable by the Nevada Gaming Commission as a major shareholder of the Company. Mr. Okada currently serves as Director and Chairman of the Board of Universal and as Director, President, Secretary and Treasurer of Aruze USA. Aruze Gaming America, Inc. is privately owned by Mr. Okada and holds manufacturer, distributor, and operator licenses from the Nevada Gaming Commission. Mr. Okada also serves as Director, President, Secretary and Treasurer of Aruze Gaming America, Inc.</w:t>
      </w:r>
    </w:p>
    <w:p>
      <w:pPr>
        <w:spacing w:after="0" w:line="119"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the Company’s Vice Chairman, brings an international perspective that is essential to the Company’s strategic vision. In addition, his primary business as a manufacturer and developer of gaming equipment adds significant value to our operations.</w:t>
      </w:r>
    </w:p>
    <w:p>
      <w:pPr>
        <w:spacing w:after="0" w:line="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Allan Zeman. </w:t>
      </w:r>
      <w:r>
        <w:rPr>
          <w:rFonts w:ascii="Arial" w:cs="Arial" w:eastAsia="Arial" w:hAnsi="Arial"/>
          <w:sz w:val="18"/>
          <w:szCs w:val="18"/>
          <w:color w:val="auto"/>
        </w:rPr>
        <w:t>Mr. Zeman, 62, has served as a director of the Company since October 2002. He is also Vice Chairman and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Wynn Macau, Limited, a majority owned subsidiary of the Company. Mr. Zeman has been chairman of Lan Kwai Fong Holdings Limited, a company engaged in property investment and development in Hong Kong,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4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the Company’s background, development and marketing strategy in Asia contribute to the Board’s oversight of these aspects of the Company’s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44, has served as a director of the Company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the Company, a position she has held since January 2005. In addition, Ms. Chen is the Chief Operating Officer of Wynn Resorts (Macau), S.A., a role she has served in since June 2002, and is a member of the Board of Directors of Wynn Macau, Limited, a majority owned subsidiary of the Company. Ms. Chen is responsible for managing the Company’s global marketing efforts and is involved in operations and strategic development of Wynn Macau. Ms. Chen is also a member of the Nanjing Committee of the Chinese People’s Political Consultative Conference (Macau).</w:t>
      </w:r>
    </w:p>
    <w:p>
      <w:pPr>
        <w:spacing w:after="0" w:line="11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Ms. Chen’s insight and experience as the primary marketing executive for the Company contribute to the Board’s ability to evaluate and make informed decisions that affect our operations. Ms. Chen’s experience becomes ever more important to the Company and its stockholders as the percentage of the Company’s operational revenue and profits generated from its Macau operations increases.</w:t>
      </w:r>
    </w:p>
    <w:p>
      <w:pPr>
        <w:spacing w:after="0" w:line="13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78, has served as a director of the Company since October 2002. Mr. Moran is the retired Chairman of the Dyson-Kissner-Moran Corporation. Dyson-Kissner-Moran is a private holding company headquartered in New York City whose international portfolio of companies in over 20 countries has included business engaged in manufacturing, retailing, distribution, financial services, and real estate development. During his business career, Mr. Moran has served as a Director of over 30 corporations and philanthropic organizations. Mr. Moran serves as a Director of the John A. Moran Eye Center at the University of Utah; a Trustee of the George and Barbara Bush Endowment for Innovative Cancer Research at M.D. Anderson Cancer Center at the University of Texas; and an Honorary Trustee of the Metropolitan Museum of Art in New York City.</w:t>
      </w:r>
    </w:p>
    <w:p>
      <w:pPr>
        <w:spacing w:after="0" w:line="11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his extensive knowledge of the Company’s background, development and financing arrangements and his experience with financing and in the equity markets, Mr. Moran provides the Board insight that is important to its oversight of the Company’s financial structure. His guidance in the evaluation of capital deployment and management of the Company’s balance sheet is especially valuable. In addition, he brings to the Board experience in political and public policy matters.</w:t>
      </w:r>
    </w:p>
    <w:p>
      <w:pPr>
        <w:spacing w:after="0" w:line="137"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63, serves as Chief Operating Officer of the Company, a position he has held since June 2002. In 2010, Mr. Schorr was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to the Board of Directors of the Company. He has served as a non-executive Director of Wynn Macau, Limited since September 2009 and is also an officer of several of the Company’s other subsidiaries.</w:t>
      </w:r>
    </w:p>
    <w:p>
      <w:pPr>
        <w:spacing w:after="0" w:line="13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40 years of operating experience, particularly his marketing expertise and ability to address cost structure. These qualifications have been particularly valuable to the Company as we have navigated the difficult economic environment of the past several years. In addition, Mr. Schorr brings first hand operational knowledge to the Board, enhancing their ability to oversee the operations of the Company.</w:t>
      </w:r>
    </w:p>
    <w:p>
      <w:pPr>
        <w:spacing w:after="0" w:line="13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68, has served as a director of the Company since October 2002. Since 1995 Elaine Wynn has co-chaired the Greater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After-School All-Stars. She is the founding Chairperson of Communities-in-Schools of Nevada, and in 2009, was appointed as Chairperson of the National Board of Communities in Schools. In 2010, Elaine Wynn was appointed as a trustee of the Kennedy Center for the Performing Arts. Elaine Wynn is the former wife of Stephen A. Wynn.</w:t>
      </w:r>
    </w:p>
    <w:p>
      <w:pPr>
        <w:spacing w:after="0" w:line="14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Ms. Wynn’s experience in the development and operation of the Company’s properties combined with her significant community and philanthropic contributions provide significant guidance to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69, has served as Chairman of the Board and Chief Executive Officer of the Company since June 2002. Mr. Wynn also</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the Chairman and Chief Executive Officer of Wynn Macau, Limited, a majority owned subsidiary of the company and as an officer and/or director of several of our subsidiaries. Since December 2010, Mr. Wynn has served as an outside director of Monaco QD International Hotels and Resort Management.</w:t>
      </w:r>
    </w:p>
    <w:p>
      <w:pPr>
        <w:spacing w:after="0" w:line="103"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 Mr. Wynn’s senior leadership experience also enables him to provide insight and guidance and to assess and respond to situations encountered in serving on the Company’s Board.</w:t>
      </w:r>
    </w:p>
    <w:p>
      <w:pPr>
        <w:spacing w:after="0" w:line="1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76, has served as a director of the Company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After the opening of Wynn Macau in 2006, the Company sought additional representation on the Board by executives with experience in managing international operations and with keen insight into international relations, which are of increasing importance to the Company. Dr. Irani was elected to the Board of Directors in 2007 as a result of his extensive international experience gained from serving as the long time Chairman and Chief Executive Officer of Occidental Petroleum Corporation, an international oil and gas exploration and production company with operations throughout the world.</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72, has served as a director of the Company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Mr. Shoemaker has served on the Board of Directors of the Company since its formation in 2002. With his extensive knowledge of the Company’s background, development and financing arrangements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3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58, has served as a director of the Company since August 2003. Mr. Wayson has been a principal of Wayson’s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Incorporated, a real estate development and holding company, since 1970. He also serves as an officer and/or director of other real estate and business ventures.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Wayson’s experience in the real estate and gaming businesses contributes to the Board’s ability to assess and oversee these critical aspects of the Company’s business and to provide insights to the Company’s operations. Mr. Wayson has extensive operational experience in the casino finance area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RESOLUTION ON EXECUTIVE COMPENSATION</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asking stockholders to approve an advisory resolution on the Company’s executive compensation as reported in this proxy statement. Our executive compensation programs are designed to support the Company’s long-term success.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urge stockholders to read the “Compensation Discussion and Analysis” beginning on page 30 of this proxy statement, which describes in more detail how our executive compensation policies and procedures operate and are designed to achieve our compensation objectives, as well as the Summary Compensation Table and related compensation tables and narrative, beginning on page 37,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supported and contributed to the Company’s success.</w:t>
      </w:r>
    </w:p>
    <w:p>
      <w:pPr>
        <w:spacing w:after="0" w:line="14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accordance with recently adopted Section 14A of the Exchange Act of 1934, as amended (the “Exchange Act”) and as a matter of good corporate governance, we are asking stockholders to approve the following advisory resolution at the Annual Meeting:</w:t>
      </w:r>
    </w:p>
    <w:p>
      <w:pPr>
        <w:spacing w:after="0" w:line="5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RESOLVED, that the stockholders of Wynn Resorts, Limited (the “Company”) approve, on an advisory basis, the compensation of the Company’s named executive officers disclosed in the Compensation Discussion and Analysis, the Summary Compensation Table and the related compensation tables and narrative in the Proxy Statement for the Company’s 2011 Annual Meeting of Stockholders.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advisory resolution, commonly referred to as a “say-on-pay” resolution, is non-binding on the Board of Directors. Although non-binding, the Board of Directors and the Compensation Committee will review and consider the voting results when evaluating our executive compensation program.</w:t>
      </w:r>
    </w:p>
    <w:p>
      <w:pPr>
        <w:spacing w:after="0" w:line="79"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b w:val="1"/>
          <w:bCs w:val="1"/>
          <w:color w:val="auto"/>
        </w:rPr>
        <w:t>OUR BOARD OF DIRECTORS UNANIMOULSY RECOMMENDS THAT YOU VOTE FOR THE APPROVAL OF THE ADVISORY RESOLUTION ON EXECUTIVE COMPENSATION.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FREQUENCY OF FUTURE ADVISORY VOTES ON EXECUTIVE COMPENSATION.</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Proposal No. 2 above, we are asking stockholders to vote on an advisory resolution on executive compensation, and we will provide this type of advisory vote at least once every three years. Pursuant to recently adopted Section 14A of the Exchange Act, in this Proposal No. 3 we are asking stockholders to vote on whether future advisory votes on executive compensation should occur every year, every two years or every three years.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After careful consideration, the Board of Directors believes that future advisory votes on executive compensation should occur every three years (triennially). We believe that this frequency is appropriate for a number of reasons. Most significantly, our compensation programs are designed to reward long-term performance. We encourage our stockholders to evaluate our executive compensation programs and our corporate performance over a multi-year horizon. In addition, we believe that a triennial advisory vote on executive compensation reflects the appropriate time frame for the Compensation Committee and the Board of Directors to evaluate the results of the most recent advisory vote on executive compensation, to develop and implement any adjustments to our executive compensation programs that may be appropriate in light of a past advisory vote on executive compensation, and for stockholders to see and evaluate the Compensation Committee’s actions in context.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Board of Directors is aware that some have expressed support of conducting an annual advisory vote on executive compensation. However, we have in the past and will in the future continue to be engaged with our stockholders on a number of topics and in a number of forums. Thus, we view the advisory vote on executive compensation as an additional, but not exclusive, means for our stockholders to communicate with us regarding their views on the Company’s executive compensation programs. Also, because our executive compensation programs are designed to operate over the long-term and to enhance long-term performance, we are concerned that an annual advisory vote on executive compensation could lead to a near-term perspective inappropriately bearing on our executive compensation programs.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understand that our stockholders may have different views as to what is an appropriate frequency for advisory votes on executive compensation, and we will carefully review the voting results. Stockholders will be able to specify one of four choices for this proposal on the proxy card: three years, two years, one year or abstain. This advisory vote on the frequency of future advisory votes on executive compensation is non-binding on the Board of Directors. Notwithstanding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11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OUR BOARD OF DIRECTORS DOES NOT MAKE A RECOMMENDATION REGARDING THE FREQUENCY OF FUTURE ADVISORY VOTES ON EXECUTIVE COMPENSATION.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4</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TO 2002 STOCK INCENTIVE PLAN</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stockholders are being asked to approve an amendment to the Company’s 2002 Stock Incentive Plan, as amended (the “2002 Plan”) to remove the provision from section 4(b)(ii) of the 2002 Plan that states “the Administrator shall have no authority to grant an Option or Stock Award to any Employee, Consultant or Director who owns more than five percent of the issued and outstanding Common Stock.” The 2002 Plan was originally adopted by the Company’s board of directors in September 2002 and was last amended at the 2010 Annual Meeting of Stockholders.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1, 2011, there were 4,177,286 shares remaining available for option grants and other awards under the 2002 Plan. The Company’s Board of Directors believes that it is necessary to remove the restriction on granting options and stock awards to employees, consultants and directors who own more than five percent of the issued and outstanding common stock under the 2002 Plan to enable the Company to continue using equity incentives to attract and retain highly qualified individuals who, by virtue of their ability and qualifications, make important contributions to the Company and that this amendment to the 2002 Plan is in the best interest of the Company. As of March 25, 2011, the fair market value of a share of the Company’s common stock was $127.03, measured at the closing sale price of the Company’s common stock on that date as reported by NASDAQ Global Select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2002 Plan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principal terms of the 2002 Plan, as proposed to be amended, are summarized below. In addition to the amendment described above that stockholders are being asked to approve, the Board of Directors intends to amend the 2002 Plan to provide for the grant of Stock Appreciation Rights, which generally will be subject to the same terms and conditions applicable to stock options under the 2002 Plan, and to provide for the grant of Stock Units, which generally will be subject to the same terms and conditions applicable to Stock Awards under the 2002 Plan. This summary does not purport to be complete, and is subject to, and qualified by reference to, all provisions of the 2002 Plan, a copy of which is attached to this proxy statement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with the proposed amendments marked. Stockholders are being asked to approve the amendment to section 4(b)(ii), which is described above, as the other amendments are administrative and operate only to permit forms of awards that are essentially the same equity vehicles as the forms of awards currently authorized under the 2002 Plan. Any capitalized term not defined in this summary shall have the same meaning given to it in the 2002 Plan.</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purposes of the 2002 Plan are to (a) attract and retain the best available personnel for positions of substantial responsibility; (b)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incentive to selected key employees, consultants and directors; and (c) promote the success of the Company’s business.</w:t>
      </w:r>
    </w:p>
    <w:p>
      <w:pPr>
        <w:spacing w:after="0" w:line="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2002 Plan is administered by the Compensation Committee. Subject to the express provisions of the 2002 Plan,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has broad authority to designate recipients of awards, determine the terms and provisions of awards (including the price, expiration date, vesting schedule and terms of exercise), approve forms of award agreements, accelerate the vesting or exercisability of awards, construe and interpret the terms of the 2002 Plan, prescribe, amend and rescind rules and regulations relating to the 2002 Plan and make all other determinations it considers necessary or advisable for administering the 2002 Plan. All decisions, determinations and interpretations by the Compensation Committee regarding the 2002 Plan will be final and binding on all award holders.</w:t>
      </w:r>
    </w:p>
    <w:p>
      <w:pPr>
        <w:spacing w:after="0" w:line="13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Participants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person who is an employee, consultant or director of the Company or of any parent or subsidiary will be eligible for selection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Administrator for the grant of awards under the 2002 Plan, subject to the proposed amendment removing a provision which restricts grants to participants who are greater than five percent stockholders. Options intended to qualify as “incentive stock options” (“ISOs”) within the meaning of Section 422 of the Internal Revenue Code of 1986 (the “Code”) only may be granted to employees of</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or certain subsidiaries. Although all of our more than 12,500 employees and 9 non-employee directors would qualify to participate in the 2002 Plan, in practice fewer than 250 employees and non-employee directors have received stock awards.</w:t>
      </w:r>
    </w:p>
    <w:p>
      <w:pPr>
        <w:spacing w:after="0" w:line="12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Shares Subject to the 2002 Plan and to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2002 Plan authorizes the issuance of awards of up to 12,750,000 shares of the Company’s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of which 4,177,286 shares remained available for issuance as of March 1, 2011. Of the 12,750,000 shares from the 2002 Plan, 4,012,900 shares are subject to awards that have been issued and were outstanding (unexercised or unvested) as of March 1, 2011. The following shares will become available for future grant under the 2002 Plan: (a) shares subject to options that expire or become unexercisable without being exercised in full; (b) shares surrendered pursuant to any option exchange program (which, as amended, would be subject to stockholder approval); and (c) shares subject to stock awards that are cancelled or surrendered or expire without being received in full. Shares repurchased by the Company that were issued pursuant to the exercise of an option or grant of a stock award will not be available for future grant under the 2002 Plan. The shares issued pursuant to awards granted under the 2002 Plan may be shares that are authorized and unissued or issued shares that were reacquired by the Company. Subject to certain adjustments, the aggregate number of shares subject to options granted under the 2002 Plan during any fiscal year to any one participant will not exceed 1,500,000.</w:t>
      </w:r>
    </w:p>
    <w:p>
      <w:pPr>
        <w:spacing w:after="0" w:line="11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Option Awards</w:t>
      </w:r>
      <w:r>
        <w:rPr>
          <w:rFonts w:ascii="Arial" w:cs="Arial" w:eastAsia="Arial" w:hAnsi="Arial"/>
          <w:sz w:val="16"/>
          <w:szCs w:val="16"/>
          <w:color w:val="auto"/>
        </w:rPr>
        <w:t>. Subject to the terms of the 2002 Plan, the Plan Administrator is authorized to make awards of stock options (both ISOs and options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not intended to qualify as ISOs, nonqualified stock options (“NQSOs”)) on such terms and conditions as the Plan Administrator determines. The Plan Administrator will establish the exercise price per share under each option, which, in the case of ISOs or NQSOs intended to qualify as “performance-based compensation” under Section 162(m) of the Code, will not be less than the fair market value (or 110% of the fair market value in the case of ISOs granted to employees who, at the time the ISO is granted, own stock representing more than 10% of the voting power of all classes of capital stock of the Company or any parent or subsidiary of the Company) of a share on the date the option is granted.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Administrator will establish the term of each option, which in no case may exceed a period of ten (10) years from the date of grant (or five</w:t>
      </w:r>
    </w:p>
    <w:p>
      <w:pPr>
        <w:spacing w:after="0" w:line="38" w:lineRule="exact"/>
        <w:rPr>
          <w:sz w:val="20"/>
          <w:szCs w:val="20"/>
          <w:color w:val="auto"/>
        </w:rPr>
      </w:pPr>
    </w:p>
    <w:p>
      <w:pPr>
        <w:ind w:right="60" w:firstLine="8"/>
        <w:spacing w:after="0" w:line="253"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years in the case of ISOs granted to employees who, at the time the ISO is granted, own stock representing more than 10% of the voting power of all classes of capital stock of the Company or any parent or subsidiary of the Company). The Plan Administrator will determine any conditions that must be satisfied before the option may be exercised. The Plan Administrator will determine the acceptable form of consideration for exercising an option, which may consist of cash, a promissory note, shares of the Company’s common stock, proceeds from the sale of shares underlying the options and any other method of payment permitted by applicable laws.</w:t>
      </w:r>
    </w:p>
    <w:p>
      <w:pPr>
        <w:spacing w:after="0" w:line="1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the Plan Administrator determines otherwise: (a) upon termination of employment other than due to death, disability or termination for cause, participants may continue to exercise their options for ninety (90) days (or until the expiration date of the option, if earlier) to the extent that they were exercisable upon the date of termination; (b) upon death or disability, participants (or their estates or beneficiaries in the case of death) may continue to exercise their options for twelve (12) months (or until the expiration date of the option, if earlier) to the extent that they were exercisable upon the date of such event; and (c) upon termination of employment for cause, all options (including any vested options) will be forfeited.</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of Directors intends to amend the 2002 Plan to authorize the grant of Stock Appreciation Rights, either on a stand-alone basis or in tandem with stock options, and would allow stock options to be exercised through “net settlements” so that upon exercise of such awards the Company could issue a number of shares based on the excess of the market price of the Company’s stock over the exercise price of the option or Stock Appreciation Right. Stock Appreciation Rights otherwise would be subject to the same terms and conditions applicable to stock options under the 2002 Plan. Unless approved by stockholders and except for certain adjustments in connection with a change in the Company’s capitalization, the 2002 Plan does not permit the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Administrator to “reprice” any options or Stock Appreciation Rights, reduce the exercise price of outstanding options or Stock Appreciation Rights or cancel outstanding options or Stock Appreciation Rights with an exercise price above the market price in exchange for cash or new awards with a lower exercise price.</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Stock Awards</w:t>
      </w:r>
      <w:r>
        <w:rPr>
          <w:rFonts w:ascii="Arial" w:cs="Arial" w:eastAsia="Arial" w:hAnsi="Arial"/>
          <w:sz w:val="16"/>
          <w:szCs w:val="16"/>
          <w:color w:val="auto"/>
        </w:rPr>
        <w:t>. Subject to the terms of the 2002 Plan, the Plan Administrator is authorized to grant stock awards under which shares are issued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restrictions, terms, and conditions as the Plan Administrator determines. The Board of Directors intends to amend the 2002 Plan to permit Stock Awards to be granted in the form of Stock Units, subject to such restrictions, terms and conditions as the Plan Administrator determines. The Plan Administrator may impose restrictions on stock awards and may waive the restricted period and any other terms, conditions or restrictions on the award. Unless otherwise determined by the Plan Administrator, participants holding stock awards granted under the 2002 Plan may exercise full voting rights with respect to any shares issued underlying the stock awards during the period of restriction, and shares issued underlying stock awards will be entitled to receive all dividends paid with respect to those shares; provided, however, that dividends or distributions paid with respect to any unvested shares will be subject to forfeiture until the underlying shares have vested. In addition, the Plan Administrator will specify whether dividends or dividend equivalent amounts are paid or accrued with respect to shares subject to any Stock Unit and may provide that such dividends are credited in the form of additional Stock Units subject to the same terms and conditions as the Stock Unit award.</w:t>
      </w:r>
    </w:p>
    <w:p>
      <w:pPr>
        <w:spacing w:after="0" w:line="117"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b w:val="1"/>
          <w:bCs w:val="1"/>
          <w:i w:val="1"/>
          <w:iCs w:val="1"/>
          <w:color w:val="auto"/>
        </w:rPr>
        <w:t>Amendment and Termination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may amend, alter, suspend or terminate the 2002 Plan, except that the Company will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approval for any amendment that increases the maximum number of shares for which awards may be granted under the 2002 Plan or to the extent necessary and desirable to comply with Section 422 of the Code, NASDAQ requirements, or other applicable laws. In addition, no amendment, alteration, suspension or termination of the 2002 Plan may impair the rights of holders of outstanding awards without their consent.</w:t>
      </w:r>
    </w:p>
    <w:p>
      <w:pPr>
        <w:spacing w:after="0" w:line="10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Upon the consummation of a Change of Control (which includes a merger, reorganization or sale of substantially all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assets), the Plan Administrator may, in its discretion, do one or more of the following: (a) shorten the period during which options are exercisable (provided they remain exercisable for at least thirty (30) days following the date notice of such shortening is given to the participants); (b) accelerate the vesting schedule to which outstanding awards are subject; (c) arrange to have the surviving or successor entity or any parent entity thereof assume outstanding stock awards and options or grant replacement options with appropriate adjustments in the terms thereof; or (d) cancel outstanding awards upon payment to the participants in cash with respect to each award to the extent then exercisable or vested (including, if applicable, awards as to which the vesting schedule has been accelerated) in an amount equivalent to the excess of the then fair market value of the common stock over the exercise price of the option and, with respect to each vested stock award, the then fair market value of the stock subject to the award. Upon the Company’s dissolution or liquidation, unexercised options and unvested stock awards will terminate immediately prior such event; provided, however, that the Plan Administrator may, in its discretion, accelerate the vesting of outstanding awards prior to such termination and give participants the right to exercise their options.</w:t>
      </w:r>
    </w:p>
    <w:p>
      <w:pPr>
        <w:spacing w:after="0" w:line="117"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outstanding shares of the Company’s common stock are increased, decreased, changed into or exchanged for a different number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kind of shares or securities of the Company or a successor, or for other property, through a reorganization, recapitalization, reclassification, stock combination, stock dividend, stock split, reverse stock split, spin off or other similar transaction, the Plan Administrator will make an appropriate and proportional adjustment in the: (a) maximum number and kind of shares as to which options and stock awards may be granted under the 2002 Plan; and (b) number and kind of shares subject to outstanding awards under the 2002 Plan.</w:t>
      </w:r>
    </w:p>
    <w:p>
      <w:pPr>
        <w:spacing w:after="0" w:line="108"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the Plan Administrator determines otherwise, options may not be sold, transferred, pledged, assigned, hypothecated,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 disposed of by a participant other than by will or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laws of descent and distribution, and may be exercisable only by the participant during his or her lifetime. To the extent permitted by the Plan Administrator, NQSOs may be assigned pursuant to a qualified domestic relations order or to certain family members.</w:t>
      </w:r>
    </w:p>
    <w:p>
      <w:pPr>
        <w:spacing w:after="0" w:line="12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i w:val="1"/>
          <w:iCs w:val="1"/>
          <w:color w:val="auto"/>
        </w:rPr>
        <w:t>No Right to Company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Nothing in the 2002 Plan or an award agreement will interfere with or limit in any way the right of the Company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any participant’s employment, service on the Board or service for the Company at any time with or without cause, nor will the 2002 Plan or an award itself confer upon any participant any right to continue his or her employment or service with the Company.</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The issuance of shares pursuant to an award under the 2002 Plan will be subject to compliance with all applicable laws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by the Company’s counsel with respect to such compliance. The Company may impose such restrictions on shares issued pursuant to awards under the 2002 Plan and request the participant to provide such assurance and representations to the Company as the Company may deem necessary or desirable to assure compliance with all applicable laws.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Effective Date and Termination of the 2002 Plan</w:t>
      </w:r>
      <w:r>
        <w:rPr>
          <w:rFonts w:ascii="Arial" w:cs="Arial" w:eastAsia="Arial" w:hAnsi="Arial"/>
          <w:sz w:val="18"/>
          <w:szCs w:val="18"/>
          <w:color w:val="auto"/>
        </w:rPr>
        <w:t>. The 2002 Plan was adopted by the Board of Directors on September 10, 2002 and will continue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for 20 years following such date, unless terminated earlier in accordance with its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Treatment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tax discussion is a general summary as of the date of this proxy statement of the U.S. federal income tax consequences to the Company and the participants in the 2002 Plan. The discussion is intended solely for general information and does not make specific representations to any participant. The discussion does not address state, local or foreign income tax rules or other U.S. tax provisions, such as estate or gift taxes. A recipient’s particular situation may be such that some variation of the basic rules is applicable to him or her. In addition, the federal income tax laws and regulations frequently have been revised and may be changed again at any time. Therefore, each recipient is urged to consult a tax advisor before exercising any award or before disposing of any shares acquired under the plan both with respect to federal income tax consequences as well as any foreign, state or local tax consequences.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ISOs and NQSOs are treated differently for federal income tax purposes. ISOs are intended to comply with the requirements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422 of the Code. NQSOs do not comply with such requirements.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until the later of two years following the option grant date and one year following exercise, the optionee’s gain, if any, upon a subsequent disposition of such shares is long term capital gain. The measure of the gain is the difference between the proceeds received on disposition and the optionee’s basis in the shares (which generally equals the exercise price). If an optionee disposes of stock acquired pursuant to exercise of an ISO before satisfying these holding periods, the optionee will recognize ordinary income in the year of disposition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w:t>
      </w:r>
    </w:p>
    <w:p>
      <w:pPr>
        <w:spacing w:after="0" w:line="12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order for an option to qualify for ISO tax treatment, the grant of the option must satisfy various other conditions more fully described in the Code. The Company does not guarantee that any option will qualify for ISO tax treatment even if the option is intended to qualify for such treatment. In the event an option intended to be an ISO fails to so qualify, it will be taxed as an NQSO, as described below.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An optionee is not taxed on the grant of an NQSO. On exercise, the optionee recognizes ordinary income equal to the difference between the exercise price and the fair market value of the shares acquired on the date of exercise. The Company is entitled to an income tax deduction in the year of exercise in the amount recognized by the optionee as ordinary income. The optionee’s gain (or loss) on subsequent disposition of the shares is long-term capital gain (or loss) if the shares are held for at least one year following exercise, and otherwise is short-term capital gain (or loss). The Company does not receive a deduction for any such capital gain. The tax treatment of Stock Appreciation Rights is comparable to that of an NQSO.</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Stock Awards</w:t>
      </w:r>
      <w:r>
        <w:rPr>
          <w:rFonts w:ascii="Arial" w:cs="Arial" w:eastAsia="Arial" w:hAnsi="Arial"/>
          <w:sz w:val="16"/>
          <w:szCs w:val="16"/>
          <w:color w:val="auto"/>
        </w:rPr>
        <w:t>. Grantees of unvested stock awards generally do not recognize income at the time of the grant. When the award vests or is paid, grantees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recognize ordinary income in an amount equal to the fair market value of the stock or units at such time, and the Company will receive a corresponding deduction. Dividends (if any) paid with respect to unvested stock awards generally will be taxable as ordinary income to the participant at the time the dividends are received. Grantees of vested stock awards generally are required to recognize ordinary income at the time of grant in an amount equal to the excess of the fair market value of the shares on the date the shares are granted over the purchase price (if any) paid for the shares.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Company Deduction and Section 162(m)</w:t>
      </w:r>
      <w:r>
        <w:rPr>
          <w:rFonts w:ascii="Arial" w:cs="Arial" w:eastAsia="Arial" w:hAnsi="Arial"/>
          <w:sz w:val="16"/>
          <w:szCs w:val="16"/>
          <w:color w:val="auto"/>
        </w:rPr>
        <w:t>. In all the foregoing cases, the Company will be generally entitled to a deduction at the same time and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amount as the participant recognizes ordinary income, subject to certain limitations. Among these limitations is Section 162(m) of the Code. Certain performance-based compensation is not subject to the Section 162(m) limitation on deductibility. Stock options and stock awards can qualify for this performance-based exception if they meet the requirements set forth in Section 162(m) and the Treasury Regulations promulgated thereunder. The 2002 Plan has been drafted to allow, but not require, compliance with those performance-based criteria for stock options, but not for stock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benefits that will be awarded or paid under the 2002 Plan are not currently determinable. Awards granted under the 2002 Plan are within the discretion of the Compensation Committee, and the Compensation Committee has not determined future awards or who might receive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options and other awards granted under the 2002 Plan during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2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2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Covered by</w:t>
            </w:r>
          </w:p>
        </w:tc>
        <w:tc>
          <w:tcPr>
            <w:tcW w:w="0" w:type="dxa"/>
            <w:vAlign w:val="bottom"/>
          </w:tcPr>
          <w:p>
            <w:pPr>
              <w:spacing w:after="0"/>
              <w:rPr>
                <w:sz w:val="1"/>
                <w:szCs w:val="1"/>
                <w:color w:val="auto"/>
              </w:rPr>
            </w:pPr>
          </w:p>
        </w:tc>
      </w:tr>
      <w:tr>
        <w:trPr>
          <w:trHeight w:val="161"/>
        </w:trPr>
        <w:tc>
          <w:tcPr>
            <w:tcW w:w="10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non-employee directors as a group</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All employees as a group (excluding executive officers)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AMENDMENT TO THE 2002 STOCK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2011.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2011,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table shows the aggregate fees billed to the Company for audit and other services provided by Ernst &amp; Young LLP, the Company’s independent auditor during each of the fiscal years ended December 31, 2010 and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Category</w:t>
            </w:r>
          </w:p>
        </w:tc>
        <w:tc>
          <w:tcPr>
            <w:tcW w:w="346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138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$ 1,414,330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46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2010 and 2009, and the audit of our internal controls over financial reporting as of December 31, 2010 and 2009. “Audit fees” also includes amounts billed for services provided in connection with securities offerings during 2010 and 2009 and for 2009, the initial public offering on the Stock Exchange of Hong Kong Limited of shares of our subsidiary Wynn Macau Limited. “Audit related fees” is the aggregate fees billed for audits of the Company’s defined contribution employee benefit plan. “Tax fees” for 2009 includes fees for tax preparation and compliance, international tax research, planning for the Company’s foreign subsidiaries, domestic tax planning and other research.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2010.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ERNST &amp; YOUNG LLP AS THE COMPANY’S INDEPENDENT PUBLIC ACCOUNTANTS FOR THE YEAR 2011.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 REGARDING DIRECTOR ELECTION MAJORITY VOTE STANDARD</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has been advised that the Sheet Metal Workers’ National Pension Fund, 601 N. Fairfax Street, Suite 500, Alexandria, Virginia 22314, the beneficial owner of 2,104 shares, intends to submit the following proposal for consideration at the Annual Meeting:</w:t>
      </w:r>
    </w:p>
    <w:p>
      <w:pPr>
        <w:spacing w:after="0" w:line="45" w:lineRule="exact"/>
        <w:rPr>
          <w:sz w:val="20"/>
          <w:szCs w:val="20"/>
          <w:color w:val="auto"/>
        </w:rPr>
      </w:pPr>
    </w:p>
    <w:p>
      <w:pPr>
        <w:ind w:left="460" w:right="180" w:firstLine="438"/>
        <w:spacing w:after="0" w:line="301" w:lineRule="auto"/>
        <w:rPr>
          <w:sz w:val="20"/>
          <w:szCs w:val="20"/>
          <w:color w:val="auto"/>
        </w:rPr>
      </w:pPr>
      <w:r>
        <w:rPr>
          <w:rFonts w:ascii="Arial" w:cs="Arial" w:eastAsia="Arial" w:hAnsi="Arial"/>
          <w:sz w:val="16"/>
          <w:szCs w:val="16"/>
          <w:color w:val="auto"/>
        </w:rPr>
        <w:t>“Resolved</w:t>
      </w:r>
      <w:r>
        <w:rPr>
          <w:rFonts w:ascii="Arial" w:cs="Arial" w:eastAsia="Arial" w:hAnsi="Arial"/>
          <w:sz w:val="16"/>
          <w:szCs w:val="16"/>
          <w:b w:val="1"/>
          <w:bCs w:val="1"/>
          <w:color w:val="auto"/>
        </w:rPr>
        <w:t>,</w:t>
      </w:r>
      <w:r>
        <w:rPr>
          <w:rFonts w:ascii="Arial" w:cs="Arial" w:eastAsia="Arial" w:hAnsi="Arial"/>
          <w:sz w:val="16"/>
          <w:szCs w:val="16"/>
          <w:color w:val="auto"/>
        </w:rPr>
        <w:t xml:space="preserve"> that the shareholders of Wynn Resorts, Limited (“Company”) hereby request that the Board of Directors initiate the appropriate process to amend the Company’s corporate governance documents (articles of incorporation or bylaws) to provide that director nominees shall be elected by the affirmative vote of the majority of votes cast at an annual meeting of shareholders, with a plurality vote standard retained for contested director elections, that is, when the number of director nominees exceeds the number of board seats.”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 of the Sheet Metal Workers’ National Pension Fund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order to provide shareholders a meaningful role in director elections, the Company’s director election vote standard should be changed to a majority vote standard. A majority vote standard would require that a nominee receive a majority of the votes cast in order to be elected. The standard is particularly well-suited for the vast majority of director elections in which only board nominated candidates are on the ballot. We believe that a majority vote standard in board elections would establish a challenging vote standard for board nominees and improve the performance of individual directors and entire boards. The Company presently uses a plurality vote standard in all director elections. Under the plurality standard, a board nominee can be elected with as little as a single affirmative vote, even if a substantial majority of the votes cast are “withheld” from the nominee.</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response to strong shareholder support for a majority vote standard, over 70% of companies in the S&amp;P 500 have adopted a majority vote standard in company bylaws or articles of incorporation. Additionally, these companies have adopted director resignation policies in their bylaws or corporate governance policies to address post-election issues related to the status of director nominees that fail to win election. Other companies have responded only partially to the call for change by simply adopting post election director resignation policies that set procedures for addressing the status of director nominees that receive more “withhold” votes than “for” votes. At the time of this proposal submission, our Company and its board had not taken either action.</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a post election director resignation policy without a majority vote standard in company governance documents is an inadequate reform. The critical first step in establishing a meaningful majority vote policy is the adoption of a majority vote standard. With a majority vote standard in place, the board can then take action to develop a post election procedure to address the status of directors that fail to win election. A majority vote standard combined with a post election director resignation policy would establish a meaningful right for shareholders to elect directors, and reserve for the board an important post election role in determining the continued status of an unelected director. We urge the Board to take this important step of establishing a majority vote standard in the Company’s governance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Statement in Opposition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After careful consideration, 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for the following reasons: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is periodically briefed on and discusses corporate governance developments, including the adoption of a majority voting standard in the election of directors. Due to the concentration of ownership of the Company’s common stock, the Board has concluded that adopting a majority vote standard would not represent a significant governance measure at the Company compared to companies with more dispersed stock ownership. Moreover, the extensive stock ownership of the Company’s directors helps to ensure that the interests of the directors are adequately aligned with the interests of the Company’s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remains committed to good corporate governance and has adopted practices designed to provide for effective governance of the Company and to promote Board accountability and independence, taking into account the specific circumstances applicable to our Company and our business. For example, a majority of the members of the Board of Directors satisfy the more stringent standards for independence that are imposed upon Audit Committee members, in addition to satisfying the independence standards under the NASDAQ listing standards, and the independent members of the Board routinely meet in executive session. In addition, the Board has established a process under which stockholders can communicate their feedback and concerns with individual directors, any committee of the Board or the full Board as described above under “Stockholder Communications with Directors.” Accordingly, the Board believes that it is adequately responsive to stockholders without adopting a majority voting standard for director elections.</w:t>
      </w:r>
    </w:p>
    <w:p>
      <w:pPr>
        <w:spacing w:after="0" w:line="112"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AGAINST THE STOCKHOLDER PROPOSAL REGARDING DIRECTOR ELECTION MAJORITY VOTE STANDARD.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reviewed and discussed with management the Company’s audited financial statements for the year ended December 31, 2010. We have discussed with the independent auditors the matters required to be discussed by the Public Company Accounting Oversight Board (“PCAOB”).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2010 for filing with the SEC.</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following table sets forth the executive officers and certain key management personnel of the Company and certain of its subsidiaries as of March 1,</w:t>
      </w:r>
    </w:p>
    <w:p>
      <w:pPr>
        <w:spacing w:after="0" w:line="3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2011. Executive officers are appointed by the Board of Directors and serve at the discretion of the Board of Directors, subject to applicable employment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04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President, Wynn International Marketing, Ltd.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M. Coughlan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President, Wynn Macau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Marilyn Spiegel</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President,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Peterson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Senior Vice President and Chief Financial Officer,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8260" w:type="dxa"/>
            <w:vAlign w:val="bottom"/>
            <w:gridSpan w:val="3"/>
          </w:tcPr>
          <w:p>
            <w:pPr>
              <w:ind w:left="320"/>
              <w:spacing w:after="0"/>
              <w:rPr>
                <w:sz w:val="20"/>
                <w:szCs w:val="20"/>
                <w:color w:val="auto"/>
              </w:rPr>
            </w:pPr>
            <w:r>
              <w:rPr>
                <w:rFonts w:ascii="Arial" w:cs="Arial" w:eastAsia="Arial" w:hAnsi="Arial"/>
                <w:sz w:val="18"/>
                <w:szCs w:val="18"/>
                <w:color w:val="auto"/>
              </w:rPr>
              <w:t>Vice President and Chief Financial Officer, Wynn Resorts (Macau), S.A.</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certain information regarding the non-director executive officers and certain key management personnel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held since September 2002. Mr. Strzemp served as the Company’s Treasurer from March 2003 to March 2006.</w:t>
      </w:r>
    </w:p>
    <w:p>
      <w:pPr>
        <w:spacing w:after="0" w:line="132"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the Company’s Chief Financial Officer and Treasurer. Prior to his promotion in March 2008, Mr. Maddox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Senior Vice President of Business 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the Company’s Treasurer and Vice President—Investor Relations. Mr. Maddox also serves as an officer of several of the Company’s subsidiaries.</w:t>
      </w:r>
    </w:p>
    <w:p>
      <w:pPr>
        <w:spacing w:after="0" w:line="108"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the Company, a position she has held since March 2006. Ms. Sinatra is also the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General Counsel of Worldwide Wynn, LLC, a position she has held since January 2004. She also serves as an officer of several of the Company’s subsidiaries.</w:t>
      </w:r>
    </w:p>
    <w:p>
      <w:pPr>
        <w:spacing w:after="0" w:line="132"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Ian Michael Coughlan. </w:t>
      </w:r>
      <w:r>
        <w:rPr>
          <w:rFonts w:ascii="Arial" w:cs="Arial" w:eastAsia="Arial" w:hAnsi="Arial"/>
          <w:sz w:val="16"/>
          <w:szCs w:val="16"/>
          <w:color w:val="auto"/>
        </w:rPr>
        <w:t>Mr. Coughlan is an Executive Director of Wynn Macau, Limited and serves as the President of Wynn Resorts (Macau) S.A.,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w:t>
      </w:r>
    </w:p>
    <w:p>
      <w:pPr>
        <w:spacing w:after="0" w:line="10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Marilyn Spiegel. </w:t>
      </w:r>
      <w:r>
        <w:rPr>
          <w:rFonts w:ascii="Arial" w:cs="Arial" w:eastAsia="Arial" w:hAnsi="Arial"/>
          <w:sz w:val="18"/>
          <w:szCs w:val="18"/>
          <w:color w:val="auto"/>
        </w:rPr>
        <w:t>Mrs. Spiegel is the President of Wynn Las Vegas, LLC, owner and operator of Wynn Las Vegas and Encore Las Vegas. She assumed</w:t>
      </w:r>
      <w:r>
        <w:rPr>
          <w:rFonts w:ascii="Arial" w:cs="Arial" w:eastAsia="Arial" w:hAnsi="Arial"/>
          <w:sz w:val="18"/>
          <w:szCs w:val="18"/>
          <w:b w:val="1"/>
          <w:bCs w:val="1"/>
          <w:color w:val="auto"/>
        </w:rPr>
        <w:t xml:space="preserve"> </w:t>
      </w:r>
      <w:r>
        <w:rPr>
          <w:rFonts w:ascii="Arial" w:cs="Arial" w:eastAsia="Arial" w:hAnsi="Arial"/>
          <w:sz w:val="18"/>
          <w:szCs w:val="18"/>
          <w:color w:val="auto"/>
        </w:rPr>
        <w:t>this position on December 1, 2010. Between January 2004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November 2010, she was the General Manager and Regional President of five Caesars Entertainment (formerly Harrah’s Entertainment) Las Vegas properties, including most recently, Regional President of Bally’s, Paris Las Vegas, and Planet Hollywood. Between 1999 and 2003, Mrs. Spiegel was the Senior Vice President of Human Resources for Harrah’s Entertainment. She has over 20 years of experience in the casino industry, working in a variety of positions, including General Manager of Harrah’s Shreveport Casino and director of Slots at Harrah’s Las Vegas.</w:t>
      </w:r>
    </w:p>
    <w:p>
      <w:pPr>
        <w:spacing w:after="0" w:line="10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and from April 2001 to September 2002, Mr. Peterson was Assistant Vice President—Finance of Wynn Resorts Holdings, LLC.</w:t>
      </w:r>
    </w:p>
    <w:p>
      <w:pPr>
        <w:spacing w:after="0" w:line="136"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and from November 2002 to January 2007, he was the Director of Financial Reporting for the Company.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as of March 1, 2011,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There were 124,856,408 shares outstanding as of March 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Beneficial Ownership</w:t>
            </w:r>
          </w:p>
        </w:tc>
        <w:tc>
          <w:tcPr>
            <w:tcW w:w="0" w:type="dxa"/>
            <w:vAlign w:val="bottom"/>
          </w:tcPr>
          <w:p>
            <w:pPr>
              <w:spacing w:after="0"/>
              <w:rPr>
                <w:sz w:val="1"/>
                <w:szCs w:val="1"/>
                <w:color w:val="auto"/>
              </w:rPr>
            </w:pPr>
          </w:p>
        </w:tc>
      </w:tr>
      <w:tr>
        <w:trPr>
          <w:trHeight w:val="161"/>
        </w:trPr>
        <w:tc>
          <w:tcPr>
            <w:tcW w:w="8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540" w:type="dxa"/>
            <w:vAlign w:val="bottom"/>
          </w:tcPr>
          <w:p>
            <w:pPr>
              <w:spacing w:after="0"/>
              <w:rPr>
                <w:sz w:val="14"/>
                <w:szCs w:val="14"/>
                <w:color w:val="auto"/>
              </w:rPr>
            </w:pPr>
          </w:p>
        </w:tc>
        <w:tc>
          <w:tcPr>
            <w:tcW w:w="1480" w:type="dxa"/>
            <w:vAlign w:val="bottom"/>
            <w:tcBorders>
              <w:bottom w:val="single" w:sz="8" w:color="auto"/>
            </w:tcBorders>
            <w:gridSpan w:val="2"/>
          </w:tcPr>
          <w:p>
            <w:pPr>
              <w:jc w:val="center"/>
              <w:ind w:left="587"/>
              <w:spacing w:after="0"/>
              <w:rPr>
                <w:sz w:val="20"/>
                <w:szCs w:val="20"/>
                <w:color w:val="auto"/>
              </w:rPr>
            </w:pPr>
            <w:r>
              <w:rPr>
                <w:rFonts w:ascii="Arial" w:cs="Arial" w:eastAsia="Arial" w:hAnsi="Arial"/>
                <w:sz w:val="14"/>
                <w:szCs w:val="14"/>
                <w:b w:val="1"/>
                <w:bCs w:val="1"/>
                <w:color w:val="auto"/>
                <w:w w:val="88"/>
              </w:rPr>
              <w:t>Of Shares(1)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10,026,708</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9,832,370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24,549,222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18,265,453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235,000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38,000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Robert J. Miller(9)</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18,500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Moran(10)(12)</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188,500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Marc D. Schorr(13)</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250,000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Shoemaker(10)</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43,500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 Boone Wayson(10)</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88,500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Zeman(11)</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28,500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Matt Maddox(14)</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60,000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250,500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45,675,300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460" w:right="4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Amended and Restated Stockholders Agreement, dated as of January 6, 2010 (the “Stockholders Agreement”), by and among Mr. Wynn, Elaine P. Wynn and Aruze USA, Inc. Mr. Wynn, Elaine P. Wynn and Aruze USA have shared voting and dispositive power with respect to shares subject to the Stockholders Agreement. Each disclaims beneficial ownership of shares held by the other parties to the Stockholders Agreement.</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Aruze USA, Inc. is a wholly owned subsidiary of Universal Entertainment Corporation of which Mr. Kazuo Okada owns a controlling interest and is the Chairman. The subject securities were acquired and are owned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3" w:lineRule="auto"/>
        <w:rPr>
          <w:sz w:val="20"/>
          <w:szCs w:val="20"/>
          <w:color w:val="auto"/>
        </w:rPr>
      </w:pPr>
      <w:r>
        <w:rPr>
          <w:rFonts w:ascii="Arial" w:cs="Arial" w:eastAsia="Arial" w:hAnsi="Arial"/>
          <w:sz w:val="18"/>
          <w:szCs w:val="18"/>
          <w:color w:val="auto"/>
        </w:rPr>
        <w:t>by Aruze USA, Inc. but Universal and Mr. Okada may also be considered beneficial owners of the shares because Aruze USA, Universal and Mr. Okada may be deemed to have shared voting and dispositive power over the shares. The information provided is based upon a Schedule 13D/A filed on December 20, 2010.</w:t>
      </w: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2010. The information provided is based upon a Schedule 13G/A filed on February 8, 2011, filed by Waddell. Waddell has sole voting and dispositive power as to 18,265,453 shares. Waddell &amp; Reed Financial Services, Inc. a subsidiary of Waddell, has sole voting and dispositive power as to 4,934,723 shares. Waddell &amp; Reed, Inc., a subsidiary of Waddell &amp; Reed Financial Services, Inc. has sole voting and dispositive power as to 4,934,723 shares. Waddell &amp; Reed Investment Management Company, a subsidiary of Waddell &amp; Reed, Inc., has sole voting and dispositive poser as to 4,934,723 shares. Ivy Investment Management Company, a subsidiary of Waddell, has sole voting and dispositive power as to 13,330,730 shares.</w:t>
      </w:r>
    </w:p>
    <w:p>
      <w:pPr>
        <w:spacing w:after="0" w:line="4"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the Company’s 2002 Stock Plan and subject to a Restricted Stock Agreement which provides such grant will vest on July 31, 2012; (ii) 100,000 shares of restricted stock granted pursuant to the Company’s 2002 Stock Plan and subject to a Restricted Stock Agreement which provides such grant will vest on December 5, 2016 and (iii) 25,000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460" w:hanging="452"/>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(i) 10,000 shares subject to an immediately exercisable option to purchase Wynn Resorts’ common stock granted pursuant to Wynn Resorts’ 2002 Stock Incentive Plan; (ii) 2,500 unvested shares of restricted stock of the Company’s common stock granted pursuant to the Company’s 2002 Stock Plan; and (iii) 1,000 shares owned by family members through trusts and companies for which Mr. Goldsmith disclaims beneficial ownership of 1,500 shares.</w:t>
      </w:r>
    </w:p>
    <w:p>
      <w:pPr>
        <w:spacing w:after="0" w:line="1"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11,000 shares subject to immediately exercisable options to purchase Wynn Resorts’ common stock granted pursuant to Wynn Resorts’ 2002 Stock Incentive Plan; and (ii) 7,500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21,000 shares subject to immediately exercisable options to purchase Wynn Resorts’ common stock granted pursuant to Wynn Resorts’ 2002 Stock Incentive Plan; and (ii) 7,500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150,000 shares of the Company’s common stock held by John A. Moran, as Trustee.</w:t>
      </w:r>
    </w:p>
    <w:p>
      <w:pPr>
        <w:spacing w:after="0" w:line="9"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250,000 shares of restricted stock granted pursuant to the Company’s 2002 Stock Plan and subject to a Restricted Stock Agreement which provides such grant will vest on December 5, 2016.</w:t>
      </w:r>
    </w:p>
    <w:p>
      <w:pPr>
        <w:ind w:left="460" w:right="2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50,000 shares of restricted stock granted pursuant to the Company’s 2002 Stock Purchase Plan and subject to a Restricted Stock Agreement which provides such grant will vest on December 5, 2016; and (ii) 10,000 shares of restricted stock granted pursuant to the Company’s 2002 Stock Purchase Plan and subject to a Restricted Stock Agreement which provides such grant will vest on May 7, 2012.</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500 shares of the Company’s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460" w:right="200"/>
        <w:spacing w:after="0" w:line="250" w:lineRule="auto"/>
        <w:rPr>
          <w:rFonts w:ascii="Arial" w:cs="Arial" w:eastAsia="Arial" w:hAnsi="Arial"/>
          <w:sz w:val="16"/>
          <w:szCs w:val="16"/>
          <w:color w:val="auto"/>
        </w:rPr>
      </w:pPr>
      <w:r>
        <w:rPr>
          <w:rFonts w:ascii="Arial" w:cs="Arial" w:eastAsia="Arial" w:hAnsi="Arial"/>
          <w:sz w:val="18"/>
          <w:szCs w:val="18"/>
          <w:color w:val="auto"/>
        </w:rPr>
        <w:t>(ii) 55,000 shares subject to immediately exercisable options to purchase Wynn Resorts Common Stock pursuant to Wynn Resorts’ 2002 Stock Incentive Plan.</w:t>
      </w:r>
    </w:p>
    <w:p>
      <w:pPr>
        <w:jc w:val="both"/>
        <w:ind w:left="460" w:right="4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the Company’s 2002 Stock Plan and subject to a Restricted Stock Agreement which provides such grant will vest on December 5, 2016; and (ii) 25,000 shares of restricted stock granted pursuant to the Company’s 2002 Stock Plan and subject to a Restricted Stock Agreement which provides such grant will vest on July 31, 2011.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226,000 shares subject to immediately exercisable stock options.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and a Code of Ethics for the Chief Executive Officer, President and Senior Financial Officers. The Corporate Governance Guidelines, Board committee charters and codes of ethics are available under the heading “Corporate Governance” on the Company Information page of the Company’s website at </w:t>
      </w:r>
      <w:r>
        <w:rPr>
          <w:rFonts w:ascii="Arial" w:cs="Arial" w:eastAsia="Arial" w:hAnsi="Arial"/>
          <w:sz w:val="16"/>
          <w:szCs w:val="16"/>
          <w:i w:val="1"/>
          <w:iCs w:val="1"/>
          <w:color w:val="auto"/>
        </w:rPr>
        <w:t>http://www.wynnresorts.com.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Seven of the twelve members of the Company’s Board of Directors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or his or her immediate family member. None of the independent directors has any economic relationship with the Company other than receipt of his director’s compensation. Additionally, all related party transactions are considered under the Company’s related party policy (described in additional detail below). None of the independent directors is engaged in any related party transaction with the Company. Mr. Wynn, Mr. Okada, Ms. Wynn, Mr. Schorr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met seven times during 2010. During 2010, none of the members of the Board of Directors attended fewer than 75% of the total number of meetings of the Board of Directors and meetings of the committees on which they served, except for Mr. Okada. Mr. Okada missed two telephonic board meetings that were called upon relatively short notice. In addition, the independent directors met in executive session, without management present, at each regular meeting of the Board of Directors. Mr. Miller acts as the Presiding Director and communicates necessary matters from the executive sessions to management.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2"/>
          </w:tcPr>
          <w:p>
            <w:pPr>
              <w:ind w:left="1720"/>
              <w:spacing w:after="0"/>
              <w:rPr>
                <w:sz w:val="20"/>
                <w:szCs w:val="20"/>
                <w:color w:val="auto"/>
              </w:rPr>
            </w:pPr>
            <w:r>
              <w:rPr>
                <w:rFonts w:ascii="Arial" w:cs="Arial" w:eastAsia="Arial" w:hAnsi="Arial"/>
                <w:sz w:val="14"/>
                <w:szCs w:val="14"/>
                <w:b w:val="1"/>
                <w:bCs w:val="1"/>
                <w:color w:val="auto"/>
                <w:w w:val="92"/>
              </w:rPr>
              <w:t>Nominating and Corporate</w:t>
            </w:r>
          </w:p>
        </w:tc>
      </w:tr>
      <w:tr>
        <w:trPr>
          <w:trHeight w:val="161"/>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420" w:type="dxa"/>
            <w:vAlign w:val="bottom"/>
            <w:gridSpan w:val="3"/>
          </w:tcPr>
          <w:p>
            <w:pPr>
              <w:ind w:left="560"/>
              <w:spacing w:after="0"/>
              <w:rPr>
                <w:sz w:val="20"/>
                <w:szCs w:val="20"/>
                <w:color w:val="auto"/>
              </w:rPr>
            </w:pPr>
            <w:r>
              <w:rPr>
                <w:rFonts w:ascii="Arial" w:cs="Arial" w:eastAsia="Arial" w:hAnsi="Arial"/>
                <w:sz w:val="14"/>
                <w:szCs w:val="14"/>
                <w:b w:val="1"/>
                <w:bCs w:val="1"/>
                <w:color w:val="auto"/>
              </w:rPr>
              <w:t>Audit</w:t>
            </w:r>
          </w:p>
        </w:tc>
        <w:tc>
          <w:tcPr>
            <w:tcW w:w="880" w:type="dxa"/>
            <w:vAlign w:val="bottom"/>
          </w:tcPr>
          <w:p>
            <w:pPr>
              <w:spacing w:after="0"/>
              <w:rPr>
                <w:sz w:val="20"/>
                <w:szCs w:val="20"/>
                <w:color w:val="auto"/>
              </w:rPr>
            </w:pPr>
            <w:r>
              <w:rPr>
                <w:rFonts w:ascii="Arial" w:cs="Arial" w:eastAsia="Arial" w:hAnsi="Arial"/>
                <w:sz w:val="14"/>
                <w:szCs w:val="14"/>
                <w:b w:val="1"/>
                <w:bCs w:val="1"/>
                <w:color w:val="auto"/>
                <w:w w:val="88"/>
              </w:rPr>
              <w:t>Compensation</w:t>
            </w:r>
          </w:p>
        </w:tc>
        <w:tc>
          <w:tcPr>
            <w:tcW w:w="3380" w:type="dxa"/>
            <w:vAlign w:val="bottom"/>
            <w:gridSpan w:val="2"/>
          </w:tcPr>
          <w:p>
            <w:pPr>
              <w:ind w:left="1720"/>
              <w:spacing w:after="0"/>
              <w:rPr>
                <w:sz w:val="20"/>
                <w:szCs w:val="20"/>
                <w:color w:val="auto"/>
              </w:rPr>
            </w:pPr>
            <w:r>
              <w:rPr>
                <w:rFonts w:ascii="Arial" w:cs="Arial" w:eastAsia="Arial" w:hAnsi="Arial"/>
                <w:sz w:val="14"/>
                <w:szCs w:val="14"/>
                <w:b w:val="1"/>
                <w:bCs w:val="1"/>
                <w:color w:val="auto"/>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40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560" w:type="dxa"/>
            <w:vAlign w:val="bottom"/>
          </w:tcPr>
          <w:p>
            <w:pPr>
              <w:spacing w:after="0"/>
              <w:rPr>
                <w:sz w:val="17"/>
                <w:szCs w:val="17"/>
                <w:color w:val="auto"/>
              </w:rPr>
            </w:pPr>
          </w:p>
        </w:tc>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254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7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Chair</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Chair</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Chair</w:t>
            </w: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222"/>
        </w:trPr>
        <w:tc>
          <w:tcPr>
            <w:tcW w:w="2900" w:type="dxa"/>
            <w:vAlign w:val="bottom"/>
            <w:gridSpan w:val="2"/>
          </w:tcPr>
          <w:p>
            <w:pPr>
              <w:spacing w:after="0"/>
              <w:rPr>
                <w:sz w:val="20"/>
                <w:szCs w:val="20"/>
                <w:color w:val="auto"/>
              </w:rPr>
            </w:pPr>
            <w:r>
              <w:rPr>
                <w:rFonts w:ascii="Arial" w:cs="Arial" w:eastAsia="Arial" w:hAnsi="Arial"/>
                <w:sz w:val="18"/>
                <w:szCs w:val="18"/>
                <w:color w:val="auto"/>
              </w:rPr>
              <w:t>Number of meetings during 2010</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Eight</w:t>
            </w:r>
          </w:p>
        </w:tc>
        <w:tc>
          <w:tcPr>
            <w:tcW w:w="880" w:type="dxa"/>
            <w:vAlign w:val="bottom"/>
          </w:tcPr>
          <w:p>
            <w:pPr>
              <w:spacing w:after="0"/>
              <w:rPr>
                <w:sz w:val="20"/>
                <w:szCs w:val="20"/>
                <w:color w:val="auto"/>
              </w:rPr>
            </w:pPr>
            <w:r>
              <w:rPr>
                <w:rFonts w:ascii="Arial" w:cs="Arial" w:eastAsia="Arial" w:hAnsi="Arial"/>
                <w:sz w:val="18"/>
                <w:szCs w:val="18"/>
                <w:color w:val="auto"/>
              </w:rPr>
              <w:t>Six</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Four</w:t>
            </w:r>
          </w:p>
        </w:tc>
      </w:tr>
    </w:tbl>
    <w:p>
      <w:pPr>
        <w:spacing w:after="0" w:line="15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Governor Miller serves as Chairman of the Company’s Gaming Compliance Committee and as the Company’s Compliance Director. The Gaming Compliance Committee is a committee comprised of Messrs. Miller, Schorr and Strzemp, and its purpose is to assist the Company in maintaining the highest level of regulatory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9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Board of Directors, after review of each individual’s employment experience and other relevant factors, has determined that Messrs. Wayson, Goldsmith, Shoemaker and Zeman are qualified as audit committee financial experts within the meaning of SEC regulations.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internal audit staff, management and legal counsel to discuss accounting principles, financial and accounting controls, the scope of the annual audit, internal controls, regulatory compliance and other matters. In addition to responsibilities discussed elsewhere in this proxy statement, the functions of the Audit Committee also include the following:</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approving the compensation of, and oversight of the independent auditors;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scope and results of the Company’s internal auditing procedures and practices;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5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evaluating the performance of the Chief Executive Officer of the Company, overseeing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any employment agreement or any severance or termination agreement, between the Company (or any of its subsidiaries) and any officer, as well as any other employment agreement between the Company and any individual in which annual base salary exceeds $500,000, regardless of position involved;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early 2010, the Committee completed a review of the Company’s compensation policies and practices and determined, under the guidelines recently issued by the SEC, that such policies and practices are not reasonably likely to have a material adverse effect on the Company. Upon promulgation of final rules by the SEC, the Committee will adopt clawback provisions that comply with all applicable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annual evaluation of the Board of Directors.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needs of the Board of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 and Corporate Governance Committee examines a candidate’s other commitments, potential conflicts of interest and independence from management and the Company.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Nominating and Corporate Governance Committee implements its policy with regards to considering diversity by annually reviewing with the Board the Board’s composition as a whole and recommending, if necessary, measures to be taken so that the Board reflects the appropriate balance of knowledge, depth and diversity of experience, and skills and expertise required for the Board as a whole. The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of Directors. As described above, the Committee will also consider candidates recommended by stockholders.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Mr. Wynn, the Company’s founder, serves as the Chairman and Chief Executive Officer of the Company. The Board of Directors has determined that the combination of these roles held singularly by Mr. Wynn is in the best interest of all stockholders.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stockholders are best served by the current structure. Mr. Wynn’s combined role promotes unified leadership and direction for the Board and executive management and allows for a single, clear focus for the Company’s operational and strategic efforts.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combined role of Mr. Wynn as both Chairman and Chief Executive Officer is balanced by the Company’s governance structure and policies and controls. Seven of the twelve members of our Board of Directors satisfy the most stringent requirements of independence promulgated by NASDAQ for audit committee members, and the Audit, Compensation, and Nominating and Corporate Governance Committees are composed entirely of independent members of the Board. This structure encourages independent and effective oversight of the Company’s operations and prudent management of risk. In addition, the Company is subject to stringent regulatory requirements and oversight, combining these internal controls with third party monitoring of the Company’s operations.</w:t>
      </w:r>
    </w:p>
    <w:p>
      <w:pPr>
        <w:spacing w:after="0" w:line="10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independent members of the Company’s Board of Directors meet separately in executive session at each regular meeting of the Board and also meet separately in executive session with each of the Company’s auditors, Vice President of Internal Audit, Chief Financial Officer and General Counsel. The independent members of the Board have designated a presiding director for such sessions who is responsible for communicating to the Chief Executive Officer and senior management all concerns that arise during executive session. Governor Miller currently serves as the Presiding Director.</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all Committee agendas and all agendas for meetings of the Board of Directors are provided in advance to all independent members of the Board. The members are encouraged to review the proposed agenda items and to add additional items of concern or interest. Members of the Board of Directors also have unimpeded access to Company management.</w:t>
      </w:r>
    </w:p>
    <w:p>
      <w:pPr>
        <w:spacing w:after="0" w:line="14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Mr. Wynn’s compensation is established and reviewed by the Compensation Committee, all of whose members are independent. During 2010, the Compensation Committee engaged the services of an independent third party compensation consultant, Pay Governance, in its evaluation of the level of compensation and benefits of employment provided to Mr. Wynn.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the reasons stated above and as a result of the structure, policies and procedures outlined above, and in light of the historical success of Mr. Wynn’s leadership, the Board has concluded that the current Board leadership structure is in the best interest of the Company and its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Board of Directors has an active role in overseeing the Company’s areas of risk. While the full Board has overall responsibility for risk oversight, the Board has assigned certain areas of risk primarily to designated Committees, which report back to the full Board. The Board regularly reviews information regarding the Company’s risks relating to political, regulatory, construction, operations, succession planning, catastrophic events and general financial conditions. The Audit Committee is primarily responsible for the oversight of credit, related party, construction and general financial risks. The Compliance Committee primarily oversees risks relating to regulatory, security and political compliance. As discussed above, the Compensation Committee is primarily responsible for monitoring risks relating to the Company’s compensation policies and practices to determine whether they create risks that may have a material adverse effect on the Company.</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Board, in consultation with management and the Company’s outside auditors, has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Committees) and management have agreed upon a processes for management to identify, manage and mitigate these risks.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Throughout the year, the Board and the relevant Committees receive reports from management that include information regarding major risks and exposures facing the Company and the steps management has taken to monitor and control such risks and exposures. In addition, throughout the year, the Board and the relevant Committees dedicate a portion of their meetings to review and discuss specific risk topics in greater detail.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February 2011, the Board, upon the recommendation of the compensation committee, adopted stock ownership guidelines for directors and executives, and other senior officers. Details of the guidelines will be posted on the Company’s website as they are finalized in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The Board of Directors has established a process to receive communications from stockholders. This process is described under “Corporate Governance” on the Company Information page of the Company’s website at </w:t>
      </w:r>
      <w:r>
        <w:rPr>
          <w:rFonts w:ascii="Arial" w:cs="Arial" w:eastAsia="Arial" w:hAnsi="Arial"/>
          <w:sz w:val="15"/>
          <w:szCs w:val="15"/>
          <w:i w:val="1"/>
          <w:iCs w:val="1"/>
          <w:color w:val="auto"/>
        </w:rPr>
        <w:t>http://www.wynnresorts.com.</w:t>
      </w:r>
      <w:r>
        <w:rPr>
          <w:rFonts w:ascii="Arial" w:cs="Arial" w:eastAsia="Arial" w:hAnsi="Arial"/>
          <w:sz w:val="15"/>
          <w:szCs w:val="15"/>
          <w:color w:val="auto"/>
        </w:rPr>
        <w:t xml:space="preserve"> Stockholders may contact any member or all members of the Board of Directors, any committee of the Board of Directors or the chair of any committee by mail. Correspondence should be addressed to the appropriate individual by either name or title. All such correspondence should be sent “c/o Corporate Secretary” at 3131 Las Vegas Boulevard South, Las Vegas, Nevada 89109.</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except for Mr. Zeman, attended the 2010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2010, Messrs. Goldsmith, Irani, Shoemaker and Wayson, were appointed on May 12, 2010. Mr. Moran was appointed to the Compensation Committee on</w:t>
      </w:r>
    </w:p>
    <w:p>
      <w:pPr>
        <w:ind w:right="80"/>
        <w:spacing w:after="0" w:line="255" w:lineRule="auto"/>
        <w:rPr>
          <w:sz w:val="20"/>
          <w:szCs w:val="20"/>
          <w:color w:val="auto"/>
        </w:rPr>
      </w:pPr>
      <w:r>
        <w:rPr>
          <w:rFonts w:ascii="Arial" w:cs="Arial" w:eastAsia="Arial" w:hAnsi="Arial"/>
          <w:sz w:val="18"/>
          <w:szCs w:val="18"/>
          <w:color w:val="auto"/>
        </w:rPr>
        <w:t>July 29, 2010.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Earned or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Paid 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1"/>
              </w:rPr>
              <w:t>Cash</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86"/>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117,000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116,500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393,637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170,500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119,750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63,750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418,137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123,250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63,750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135,250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114,000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$234,637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8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5,000 stock option awards granted to each non-employee director on May 11, 2010, computed in accordance with accounting standards for stock -based compensation. See our Annual Report on Form 10-K for the year ended December 31, 2010, Note 14 to our Consolidated Financial Statements for assumptions used in computing fair value.</w:t>
      </w:r>
    </w:p>
    <w:p>
      <w:pPr>
        <w:spacing w:after="0" w:line="1"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Governor Miller, as a member of the Board of Directors, receives a $50,000 annual retainer for his service as the Chairman of the Company’s Gaming Compliance Committee and a $20,000 annual retainer for his service as the Company’s Compliance Director.</w:t>
      </w:r>
    </w:p>
    <w:p>
      <w:pPr>
        <w:ind w:left="460" w:right="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outstanding option awards for each director at December 31, 2010 is as follows: Mr. Goldsmith 24,000, Dr. Irani 25,000, Governor Miller 25,000 and Messrs. Moran, Shoemaker, Wayson and Zeman 45,000 each. The aggregate number of outstanding stock awards for each director at December 31, 2010 is as follows: Mr. Goldsmith 2,500, Dr. Irani 5,000, and Messrs. Miller, Moran, Shoemaker, Wayson and Zeman 7,500 each. Mr. Okada and Elaine P. Wynn, who each are greater than five percent beneficial owners of the Company’s common stock, have not previously been granted equity awards for their service as directors.</w:t>
      </w:r>
    </w:p>
    <w:p>
      <w:pPr>
        <w:spacing w:after="0" w:line="2" w:lineRule="exact"/>
        <w:rPr>
          <w:rFonts w:ascii="Arial" w:cs="Arial" w:eastAsia="Arial" w:hAnsi="Arial"/>
          <w:sz w:val="18"/>
          <w:szCs w:val="18"/>
          <w:color w:val="auto"/>
        </w:rPr>
      </w:pPr>
    </w:p>
    <w:p>
      <w:pPr>
        <w:ind w:left="460" w:right="32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Compensation” consists of cash distributions accrued on unvested restricted stock, which is paid if and when the restricted stock vests. Dividends that are accrued on unvested restricted stock are reported as compensation because the value of dividends was not previously reflected in the accounting expense for these awards when they were granted, as the Company did not regularly pay dividends at that time.</w:t>
      </w:r>
    </w:p>
    <w:p>
      <w:pPr>
        <w:spacing w:after="0" w:line="10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Directors who are not employees of the Company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2010 consisted of a grant of 5,000 stock options. All directors are provided complimentary room, food and beverage privileges at our properties in connection with their attendance at board or committee meetings or other Company events and are reimbursed for any other out of pocket expenses related to attendance at meetings. Directors from time to time may receive other benefits, although the aggregate incremental cost of any such benefits and perquisites did not exceed $10,000 for any director in 2010. The Company does not provide non-equity incentive plan awards or deferred compensation or retirement plans for non-employee directors.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section explains the Company’s executive compensation program as it relates to the following “named executive officers” whose compensation information is presented in the tables following this discussion in accordance with SEC rules:</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ectPr>
          <w:pgSz w:w="11900" w:h="16838" w:orient="portrait"/>
          <w:cols w:equalWidth="0" w:num="2">
            <w:col w:w="3220" w:space="720"/>
            <w:col w:w="7460"/>
          </w:cols>
          <w:pgMar w:left="240" w:top="459"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program is intended to help recruit, retain and motivate a highly talented team of executives with the requisite set of skills and experience to successfully lead the Company in creating value for our stockholders. The program is designed to accomplish this in a way that promotes both near-term results and long-term profitable growth of the Company in alignment with stockholder interests. The Compensation Committee of the Board of Directors, or the Committee, has responsibility for establishing, developing and implementing these programs.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Company’s goals include the development and operation of the premier casino resort in each jurisdiction in which we operate, and the development and expansion of the “Wynn” brand while delivering successful operating and financial performance. We established those goals at the outset of our company in 2002 and today the Wynn brand has become synonymous with luxury in the gaming industry. Our Las Vegas facility is the only casino resort in the United States to receive the coveted Forbes five-star distinction and our Macau facility is one of two casino resorts in Asia to receive the Forbes five-star award.</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believes that the compensation program, coupled with the branding success, has been instrumental in supporting achievement of our strong financial performance. A key gaming industry measure, Adjusted Property EBITDA (Earnings before interest, taxes, depreciation, amortization, pre-opening costs, property charges and other, corporate expense, stock-based compensation and other non-operating income and expenses) is used in the annual incentive plan for named executive officers. Long-term incentives provided through periodic grants of stock options and restricted shares provide a direct alignment to long-term stockholder interests.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Resorts set a Company record in 2010 with $1.16 billion in Adjusted Property EBITDA, up 55.9% from 2009. In addition, 2010 outpaced the previous peak of $781 million in Adjusted Property EBITDA generated in 2007 (pre-recession) by 48.9%. The Company did not achieve this Adjusted Property EBITDA growth through risky balance sheet expansion. Instead, we achieved these Adjusted Property EBITDA results during a period when we also reduced our debt from $4.3 billion in 2008 to $3.3 billion in 2010. The operating and balance sheet management success has contributed to significant stockholder returns for Wynn Resorts stockholders. As shown below, these returns significantly exceed those of the S &amp; P 500. Our cumulative stockholder return was 93.3% for this past year, 142.5% over the past 5 years and 914.6% since December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81280</wp:posOffset>
            </wp:positionV>
            <wp:extent cx="4956810" cy="2221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681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of the Company’s named executive officers consists almost exclusively of base salary, annual cash incentives, and grants of equity in the form of stock options and restricted stock. As a result, the vast majority of their total compensation is tied to the Company’s financial performance. Historically, Mr. Wynn has not received equity incentives, relying on his significant equity ownership as a founding stockholder, to realize increases in value created for the Company’s stockholders. For the past three years the other named executive officers as a group received 85.8% of their total compensation in the form of annual and long-term incentives that are tied to the Company’s operating results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78740</wp:posOffset>
            </wp:positionV>
            <wp:extent cx="3009900" cy="2075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990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Committee believes that stockholder interests are advanced if the Company maintains a high-performing management team. To promote this objective, the Committee was guided by the following underlying principles in developing our executive compensation program:</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program should be designed to gain a long-term commitment from the talented executives required to lead our innovative growth strategy.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opportunities should be attractive relative to the pay practices of major gaming companies and other competitors for key talent.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high proportion of total compensation should be at risk and tied to achievement of annual operating goals and improvement in stockholder value.</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incentives provided should reflect a balanced time horizon between annual and long-term performance in order to promote sustainable growth in the value of the enterprise.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Long-term incentives should be provided in Company equity to encourage executives to plan and act with the perspective of stockholders.</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program is simple in design and provides only a limited number of perquisites and executive benefits. We do not provide supplemental retirement benefits to our executives.</w:t>
      </w:r>
    </w:p>
    <w:p>
      <w:pPr>
        <w:spacing w:after="0" w:line="13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Committee regularly evaluates the Company’s compensation arrangements to assess whether they are appropriately structured to support these objectives and are effective in enabling the Company to attract and retain superior employees in key positions.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the Company. Annually, the Committee reviews compensation data of those with whom we compete for talent. The Committee considers the recommendations of the Chief Executive Officer and Chief Operating Officer in establishing compensation for all other named executive officers. The Chief Executive Officer and Chief Operating Officer perform annual reviews of all of our senior management and make recommendations to the Committee. The Committee reserves the discretion to modify recommendations and makes the final decisions regarding compensation for all of our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the Company to align rewards with performance. The Committee believes that its peer companies are those companies with which the Company competes for talent and stockholder investment. While cash bonuses are considered annually, reviews of base salary and equity incentives are conducted only on a periodic basis or in recognition of notable contributions to value creation for Company stockholders. When considering adjustments in base salary, or awards of cash bonuses or equity incentives, the Committee reviews individual performance, relative internal pay levels, individual scope of responsibilities, and total compensation of peer companies. The Company’s peer group for 2010 is presented later in this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total direct compensation for named executive officers primarily consists of (a) base salary, (b) discretionary bonuses, (c) annual cash incentive compensation, and (d) long term equity incentives.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has not granted equity awards to Mr. Wynn. The Compensation Committee reviews total compensation annually, along with the value from past equity awards, to assess the need for change to current compensation. We do not use a specific formula or weighting for allocating among base salary, cash bonus awards, and long term compensation, but instead offer what the Compensation Committee views as effective for attracting and retaining key leaders while motivating management to maximize long term value of our Company for our stockholders.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determining base salary, target annual incentives and guidelines for equity awards, the Committee uses the named executive officers’ current level of compensation as the starting point. Our compensation decisions consider several factors, including scope of responsibilities, level of capabilities and experience, internal pay relationships, the individual’s performance, and competitive pay practices. In addition, wealth accumulation is considered when making equity grants to increase the alignment between the interest of our senior executives and those of our investors. Variations in compensation among our executive officers reflect differences in the scope and complexity of the functions they oversee, the contribution of those functions to our overall performance, their experience and capabilities, and individual performance, taking into consideration the compensation practices of our peers in order to obtain a general understanding of competitive compensation practices. Please refer to the discussion below under “Peer Group” for a more detailed discussion of our use of peer group data.</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a variety of factors, including corporate, property level and individual performance, as well as general macroeconomic conditions. The Committee exercised this discretion with respect to payments made for the 2010 performance year.</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the Company’s goal of attracting and retaining high-quality and experienced executives, the Company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The Company’s rapid expansion in the last five years and operation in widely separated geographic locations has required that named executive officers provide extraordinary levels of financial, development, opening and operating expertise. These efforts have resulted in industry-leading product and impressive financial performance, including returns to stockholders exceeding industry averages. In 2010, Ms. Chen received a salary increase for her contribution in the role of the primary marketing executive of our Company and continued growth of our Macau business. Additionally, 15% salary reductions implemented for the salaries of Mr. Wynn, Mr. Schorr, and Ms. Sinatra in early 2009 in light of challenging global macroeconomic conditions and related difficulties in the financial markets were lifted in August 2010, and salaries restored to the original contracted amounts.</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In 2007, the Compensation Committee and the Board of Directors recommended and the stockholders approved the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Annual Performance-Based Incentive Plan for Executive Officers (the “Incentive Plan”). Each of the Company’s named executive officers is eligible to participate in the Incentive Plan. Typically, within 90 days after the commencement of the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 annual incentive under the Plan of 200% of Base Salary, and Mr. Wynn’s maximum annual incentive is 250% of his Base Salary.</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2010, the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our audited consolidated financial statements. This criterion is a reflection on the operating performance of the Company’s assets and directly influences return to stockholders. In addition,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and stockholders use adjusted property EBITDA to value the Company as a whole and its assets. In 2010, the adjusted property EBITDA target on a consolidated basis for the maximum incentive was $755 million. Actual performance of $1.16 billion significantly exceeded the target and all participants were awarded the maximum incentive allowed under the Incentive Plan. Bonuses under the Incentive Plan are made after determination of whether the criterion had been met. While the Compensation Committee has the discretion to reduce amounts paid below the amount determined under this formula based on Company and individual performance and other considerations it may determine appropriate, it did not exercise that discretion with respect to 2010 due to strong Company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Compensation Committee awarded discretionary bonuses to certain named executive officers for 2010 outside the Incentive Plan.</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Wynn was awarded a $2 million bonus related to the successful design, construction and opening of Encore at Wynn Macau, which opened on April 21, 2010. Mr. Wynn, Mr. Schorr and Ms. Chen were also awarded bonuses of $1,218,750, $600,000 and $1,000,000, respectively, for their respective contribution to the exceptional operating performance at Wynn Macau during 2010.</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the Company,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thereby building a talent base for the Company’s future growth and achievement of desired goals. The Compensation Committee determined not to make any grants during 2010 to the named executive officers, in light of significant retention grants awarded to the Company’s most senior officers in 2009.</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the Company who owns a large percentage of the Company’s outstanding stock, has not participated in the Company’s equity incentive plans. This differs from the chief executive officer compensation at most of the companies included in the peer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Committee believes that it is appropriate to offer competitive cash and equity compensation packages to executive officers in order to attract and retain top executive talent. The compensation peer group allows the Committee to monitor the compensation practices of our primary competitors for executive talent, although the Committee also takes into account the gaming industry’s exhaustive regulatory requirements and related demands. However, the Committee does not rely on this information to target any specific pay percentile for the Company’s executive officers. Instead, the Committee uses this information as a general overview of market practices and to ensure that it makes informed decisions on executive pay packages in the interest of attracting and retaining highly-qualified executive talent.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help evaluate overall 2010 compensation, the Committee reviewed publicly available information, including proxy data, as well as recent market trends. The peer group was updated in 2010 to reflect the growth in Company market capitalization and revenues and to reflect current competitors for key executive talent. The 11 companies in the peer group generally had 2010 revenue, market capitalization and total enterprise value in a relevant range around those of the Company as set forth below.</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0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Company</w:t>
            </w:r>
          </w:p>
        </w:tc>
        <w:tc>
          <w:tcPr>
            <w:tcW w:w="63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Business Description</w:t>
            </w:r>
          </w:p>
        </w:tc>
      </w:tr>
      <w:tr>
        <w:trPr>
          <w:trHeight w:val="193"/>
        </w:trPr>
        <w:tc>
          <w:tcPr>
            <w:tcW w:w="506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Carnival plc (FTSE)/Carnival Corp (NYSE)</w:t>
            </w:r>
          </w:p>
        </w:tc>
        <w:tc>
          <w:tcPr>
            <w:tcW w:w="6360" w:type="dxa"/>
            <w:vAlign w:val="bottom"/>
            <w:tcBorders>
              <w:bottom w:val="single" w:sz="8" w:color="auto"/>
              <w:right w:val="single" w:sz="8" w:color="auto"/>
            </w:tcBorders>
          </w:tcPr>
          <w:p>
            <w:pPr>
              <w:ind w:left="440"/>
              <w:spacing w:after="0" w:line="193" w:lineRule="exact"/>
              <w:rPr>
                <w:sz w:val="20"/>
                <w:szCs w:val="20"/>
                <w:color w:val="auto"/>
              </w:rPr>
            </w:pPr>
            <w:r>
              <w:rPr>
                <w:rFonts w:ascii="Arial" w:cs="Arial" w:eastAsia="Arial" w:hAnsi="Arial"/>
                <w:sz w:val="18"/>
                <w:szCs w:val="18"/>
                <w:color w:val="auto"/>
              </w:rPr>
              <w:t>Carnival plc, a cruise company, provides cruise vacation services.</w:t>
            </w:r>
          </w:p>
        </w:tc>
      </w:tr>
      <w:tr>
        <w:trPr>
          <w:trHeight w:val="201"/>
        </w:trPr>
        <w:tc>
          <w:tcPr>
            <w:tcW w:w="50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Estee Lauder Companies Inc.</w:t>
            </w:r>
          </w:p>
        </w:tc>
        <w:tc>
          <w:tcPr>
            <w:tcW w:w="636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w w:val="93"/>
              </w:rPr>
              <w:t>The Estee Lauder Companies Inc. engages in the manufacture, marketing, and</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sale of skin care, makeup, fragrance, and hair care products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Hyatt Hotels Corporation</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Hyatt Hotels Corporation and its subsidiaries engage in the management,</w:t>
            </w:r>
          </w:p>
        </w:tc>
      </w:tr>
      <w:tr>
        <w:trPr>
          <w:trHeight w:val="216"/>
        </w:trPr>
        <w:tc>
          <w:tcPr>
            <w:tcW w:w="5060" w:type="dxa"/>
            <w:vAlign w:val="bottom"/>
            <w:tcBorders>
              <w:left w:val="single" w:sz="8" w:color="auto"/>
              <w:right w:val="single" w:sz="8" w:color="auto"/>
            </w:tcBorders>
          </w:tcPr>
          <w:p>
            <w:pPr>
              <w:spacing w:after="0"/>
              <w:rPr>
                <w:sz w:val="18"/>
                <w:szCs w:val="18"/>
                <w:color w:val="auto"/>
              </w:rPr>
            </w:pPr>
          </w:p>
        </w:tc>
        <w:tc>
          <w:tcPr>
            <w:tcW w:w="63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franchising, ownership, and development of Hyatt-branded hotels, resorts, and</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residential and vacation ownership properties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Las Vegas Sands Corp.</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Las Vegas Sands Corp., together with its subsidiaries, develops multi-use</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integrated resorts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Marriott International, Inc.</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1"/>
              </w:rPr>
              <w:t>Marriott International, Inc., a hospitality company, operates and franchises hotels</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and related lodging facilities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MGM Resorts International</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3"/>
              </w:rPr>
              <w:t>MGM Resorts International, through its subsidiaries, owns and operates casino</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resorts in the United States.</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Polo Ralph Lauren Corp.</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6"/>
              </w:rPr>
              <w:t>Polo Ralph Lauren Corporation, together with its subsidiaries, engages in the</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design, marketing, and distribution of lifestyle products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priceline.com Incorporated</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0"/>
              </w:rPr>
              <w:t>priceline.com Incorporated operates as an online travel company principally in the</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United States, Europe, and Asia.</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Starbucks Corp.</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0"/>
              </w:rPr>
              <w:t>Starbucks Corporation engages in the purchase, roasting, and sale of whole bean</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coffees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Starwood Hotels &amp; Resorts Worldwide Inc.</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Starwood Hotels &amp; Resorts Worldwide, Inc., together with its subsidiaries,</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operates as a hotel and leisure company worldwide.</w:t>
            </w:r>
          </w:p>
        </w:tc>
      </w:tr>
      <w:tr>
        <w:trPr>
          <w:trHeight w:val="202"/>
        </w:trPr>
        <w:tc>
          <w:tcPr>
            <w:tcW w:w="5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Tiffany &amp; Co.</w:t>
            </w:r>
          </w:p>
        </w:tc>
        <w:tc>
          <w:tcPr>
            <w:tcW w:w="63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w w:val="92"/>
              </w:rPr>
              <w:t>Tiffany &amp; Co., through its subsidiaries, engages in the design, manufacture, and</w:t>
            </w:r>
          </w:p>
        </w:tc>
      </w:tr>
      <w:tr>
        <w:trPr>
          <w:trHeight w:val="223"/>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retail of fine jewelry.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implemented to maximize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2010 Summary Compensation table.</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Company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certain of its named executive officers with executive benefits. The primary executive benefits include certain health insurance coverage, life insurance premiums, discounts and complimentary privileges with respect to the Company’s properties which are described in the footnotes to the “2010 Summary Compensation Table.” In addition, Messrs. Wynn and Schorr have access to the 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a car and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Wynn is employed by the Company pursuant to an employment agreement dated October 4, 2002, amended August 6, 2004, February 1,</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2007, September 15, 2008 and February 24, 2011, which has a term expiring in 2020. Mr. Wynn, a holder of approximately 8.0% of our common stock, has not received any equity awards as part of his compensation as Chief Executive Officer of the Company. Effective February 24, 2011, Mr. Wynn receives a base salary of $4,000,000 per year, and participates in the Incentive Plan. Mr. Wynn is provided with Company paid life insurance and disability policies. He also receives certain executive benefits described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reviewed and discussed the Compensation Discussion and Analysis required by Item 402(a)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year ended December 31, 2010.</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2010,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1"/>
                <w:szCs w:val="11"/>
                <w:color w:val="auto"/>
              </w:rPr>
            </w:pPr>
          </w:p>
        </w:tc>
        <w:tc>
          <w:tcPr>
            <w:tcW w:w="56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w w:val="91"/>
              </w:rPr>
              <w:t>Bonus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Stephen A. Wynn</w:t>
            </w: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3,218,750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94"/>
              </w:rPr>
              <w:t>N/A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6,906,250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1,540,779</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14,615,779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Chief Executive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2,953,125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4,062,500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94"/>
              </w:rPr>
              <w:t>N/A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1,370,206</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8,385,831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3,250,000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94"/>
              </w:rPr>
              <w:t>N/A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4,062,500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1,141,588</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8,454,088</w:t>
            </w:r>
          </w:p>
        </w:tc>
        <w:tc>
          <w:tcPr>
            <w:tcW w:w="0" w:type="dxa"/>
            <w:vAlign w:val="bottom"/>
          </w:tcPr>
          <w:p>
            <w:pPr>
              <w:spacing w:after="0"/>
              <w:rPr>
                <w:sz w:val="1"/>
                <w:szCs w:val="1"/>
                <w:color w:val="auto"/>
              </w:rPr>
            </w:pPr>
          </w:p>
        </w:tc>
      </w:tr>
      <w:tr>
        <w:trPr>
          <w:trHeight w:val="246"/>
        </w:trPr>
        <w:tc>
          <w:tcPr>
            <w:tcW w:w="4220" w:type="dxa"/>
            <w:vAlign w:val="bottom"/>
            <w:gridSpan w:val="3"/>
          </w:tcPr>
          <w:p>
            <w:pPr>
              <w:spacing w:after="0"/>
              <w:rPr>
                <w:sz w:val="20"/>
                <w:szCs w:val="20"/>
                <w:color w:val="auto"/>
              </w:rPr>
            </w:pPr>
            <w:r>
              <w:rPr>
                <w:rFonts w:ascii="Arial" w:cs="Arial" w:eastAsia="Arial" w:hAnsi="Arial"/>
                <w:sz w:val="14"/>
                <w:szCs w:val="14"/>
                <w:color w:val="auto"/>
              </w:rPr>
              <w:t>Matt Maddox</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1,038,423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312"/>
              <w:spacing w:after="0"/>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510,866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3,549,289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 Officer and Treasurer</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779,988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5,650,000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8,348,244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248,067</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15,026,299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593,590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5,397,500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11,010,020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13,786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17,664,896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1,838,462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2,307,923</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8,146,385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1,817,308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2,000,000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13,913,740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1,153,817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18,884,865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1,947,115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21,830,000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301,943</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26,079,058</w:t>
            </w:r>
          </w:p>
        </w:tc>
        <w:tc>
          <w:tcPr>
            <w:tcW w:w="0" w:type="dxa"/>
            <w:vAlign w:val="bottom"/>
          </w:tcPr>
          <w:p>
            <w:pPr>
              <w:spacing w:after="0"/>
              <w:rPr>
                <w:sz w:val="1"/>
                <w:szCs w:val="1"/>
                <w:color w:val="auto"/>
              </w:rPr>
            </w:pPr>
          </w:p>
        </w:tc>
      </w:tr>
      <w:tr>
        <w:trPr>
          <w:trHeight w:val="246"/>
        </w:trPr>
        <w:tc>
          <w:tcPr>
            <w:tcW w:w="4220" w:type="dxa"/>
            <w:vAlign w:val="bottom"/>
            <w:gridSpan w:val="3"/>
          </w:tcPr>
          <w:p>
            <w:pPr>
              <w:spacing w:after="0"/>
              <w:rPr>
                <w:sz w:val="20"/>
                <w:szCs w:val="20"/>
                <w:color w:val="auto"/>
              </w:rPr>
            </w:pPr>
            <w:r>
              <w:rPr>
                <w:rFonts w:ascii="Arial" w:cs="Arial" w:eastAsia="Arial" w:hAnsi="Arial"/>
                <w:sz w:val="14"/>
                <w:szCs w:val="14"/>
                <w:color w:val="auto"/>
              </w:rPr>
              <w:t>Linda Chen</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1,417,308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1,000,000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312"/>
              <w:spacing w:after="0"/>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1,788,762</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6,206,070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of Wynn International Marketing</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951,701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1,000,000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8,348,244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858,565</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11,158,510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1,000,000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10,795,000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11,010,020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63,539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23,868,559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Kim Sinatra</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595,940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426,500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2,127,440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 and Secretary</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535,582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2,750,000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6,956,870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207,801</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our Annual Report on Form 10-K for the year ended December 31, 2010, Note 14 to our Consolidated Financial Statements for assumptions used in computing fair value. The 2009 grants will vest 10% per year beginning on the first anniversary of the grant until fully vested in May 2019. The 2008 grants will cliff vest in December 2016.</w:t>
      </w:r>
    </w:p>
    <w:p>
      <w:pPr>
        <w:spacing w:after="0" w:line="2" w:lineRule="exact"/>
        <w:rPr>
          <w:rFonts w:ascii="Arial" w:cs="Arial" w:eastAsia="Arial" w:hAnsi="Arial"/>
          <w:sz w:val="16"/>
          <w:szCs w:val="16"/>
          <w:color w:val="auto"/>
        </w:rPr>
      </w:pPr>
    </w:p>
    <w:p>
      <w:pPr>
        <w:ind w:left="460" w:right="120" w:hanging="452"/>
        <w:spacing w:after="0" w:line="29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executives other than Mr. Wynn, amounts reported as “All Other Compensation” for 2010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amounts for 2010 are included in “All Other Compensation” for Mr. Wynn:</w:t>
      </w:r>
    </w:p>
    <w:p>
      <w:pPr>
        <w:spacing w:after="0" w:line="15" w:lineRule="exact"/>
        <w:rPr>
          <w:rFonts w:ascii="Arial" w:cs="Arial" w:eastAsia="Arial" w:hAnsi="Arial"/>
          <w:sz w:val="16"/>
          <w:szCs w:val="16"/>
          <w:color w:val="auto"/>
        </w:rPr>
      </w:pPr>
    </w:p>
    <w:p>
      <w:pPr>
        <w:ind w:left="900" w:right="300" w:hanging="446"/>
        <w:spacing w:after="0" w:line="250"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personal use of company aircraft of $942,631 (Mr. Wynn receives no tax-gross ups relating to the value of aircraft usage that is imputed to him as compensation.) ;</w:t>
      </w:r>
    </w:p>
    <w:p>
      <w:pPr>
        <w:ind w:left="900" w:right="520" w:hanging="446"/>
        <w:spacing w:after="0" w:line="281"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fair market value of company-provided villa for the period from March 1, 2010 through December 31, 2010, under the Amended and Restated Agreement of Lease between Mr. Wynn and Wynn Las Vegas, LLC dated March 18, 2010, in the amount of $419,860;</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$104,683;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 life insurance premiums of $20,193;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we employ for Mr. Wynn of $25,907;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merchandise discounts of $27,505.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2010 are included in “All Other Compensation” for Mr. Maddox:</w:t>
      </w:r>
    </w:p>
    <w:p>
      <w:pPr>
        <w:spacing w:after="0" w:line="1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life insurance premiums of $866;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$510,000 of accrued cash distributions related to unvested restricted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2010 are included in “All Other Compensation” for Mr. Schorr:</w:t>
      </w:r>
    </w:p>
    <w:p>
      <w:pPr>
        <w:spacing w:after="0" w:line="15" w:lineRule="exact"/>
        <w:rPr>
          <w:sz w:val="20"/>
          <w:szCs w:val="20"/>
          <w:color w:val="auto"/>
        </w:rPr>
      </w:pPr>
    </w:p>
    <w:p>
      <w:pPr>
        <w:ind w:left="900" w:right="200" w:hanging="446"/>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use of Company aircraft of $138,427 (Mr. Schorr receives no tax-gross ups relating to the value of aircraft usage that is imputed to him as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life insurance premiums of $9,306;</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merchandise discounts of $35,190;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$2,125,000 of accrued cash distributions related to unvested restricted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2010 are included in “All Other Compensation” for Ms. Chen:</w:t>
      </w:r>
    </w:p>
    <w:p>
      <w:pPr>
        <w:spacing w:after="0" w:line="1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$52,262 attributable to housing and other living expenses in Macau;</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life insurance premiums of $1,040;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merchandise discounts of $35,460;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$1,700,000 of accrued cash distributions related to unvested restricted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2010 are included in “All Other Compensation” for Ms. Sinatra:</w:t>
      </w:r>
    </w:p>
    <w:p>
      <w:pPr>
        <w:spacing w:after="0" w:line="1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life insurance premiums of $1,500;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$425,000 of accrued cash distributions related to unvested restricted stock.</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2010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2010,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Base Salary</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1,000,000</w:t>
            </w: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2,000,000</w:t>
            </w: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2/24/20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1,500,000</w:t>
            </w: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2010 GRANTS OF PLAN-BASED AWARDS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Incentive Plan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Target</w:t>
            </w:r>
          </w:p>
        </w:tc>
        <w:tc>
          <w:tcPr>
            <w:tcW w:w="5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3,453,125</w:t>
            </w:r>
          </w:p>
        </w:tc>
        <w:tc>
          <w:tcPr>
            <w:tcW w:w="148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92"/>
              </w:rPr>
              <w:t>$ 6,906,250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6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1480" w:type="dxa"/>
            <w:vAlign w:val="bottom"/>
            <w:gridSpan w:val="3"/>
          </w:tcPr>
          <w:p>
            <w:pPr>
              <w:jc w:val="center"/>
              <w:ind w:left="316"/>
              <w:spacing w:after="0"/>
              <w:rPr>
                <w:sz w:val="20"/>
                <w:szCs w:val="20"/>
                <w:color w:val="auto"/>
              </w:rPr>
            </w:pPr>
            <w:r>
              <w:rPr>
                <w:rFonts w:ascii="Arial" w:cs="Arial" w:eastAsia="Arial" w:hAnsi="Arial"/>
                <w:sz w:val="18"/>
                <w:szCs w:val="18"/>
                <w:color w:val="auto"/>
                <w:w w:val="92"/>
              </w:rPr>
              <w:t>$ 2,000,000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6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1,700,000</w:t>
            </w:r>
          </w:p>
        </w:tc>
        <w:tc>
          <w:tcPr>
            <w:tcW w:w="148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92"/>
              </w:rPr>
              <w:t>$ 3,400,000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6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1480" w:type="dxa"/>
            <w:vAlign w:val="bottom"/>
            <w:gridSpan w:val="3"/>
          </w:tcPr>
          <w:p>
            <w:pPr>
              <w:jc w:val="center"/>
              <w:ind w:left="316"/>
              <w:spacing w:after="0"/>
              <w:rPr>
                <w:sz w:val="20"/>
                <w:szCs w:val="20"/>
                <w:color w:val="auto"/>
              </w:rPr>
            </w:pPr>
            <w:r>
              <w:rPr>
                <w:rFonts w:ascii="Arial" w:cs="Arial" w:eastAsia="Arial" w:hAnsi="Arial"/>
                <w:sz w:val="18"/>
                <w:szCs w:val="18"/>
                <w:color w:val="auto"/>
                <w:w w:val="92"/>
              </w:rPr>
              <w:t>$ 2,000,000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6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148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92"/>
              </w:rPr>
              <w:t>$ 1,105,000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20" w:type="dxa"/>
            <w:vAlign w:val="bottom"/>
          </w:tcPr>
          <w:p>
            <w:pPr>
              <w:jc w:val="right"/>
              <w:ind w:right="27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Incentive Plan rewards management for creation of superior return to stockholders, measured by the operating performance of our resorts. The amounts shown on the table above reflect target and maximum possible payments based upon salaries in effect during the first quarter of 2010, when the performance criteria were established. Actual payouts are based upon achievement of the 2010 performance criteria of adjusted property EBITDA at the Company’s Wynn Las Vegas and Wynn Macau resorts and the payment of maximum bonuses under the Incentive Plan to all named executive officers.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6"/>
          </w:tcPr>
          <w:p>
            <w:pPr>
              <w:ind w:left="7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0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gridSpan w:val="2"/>
          </w:tcPr>
          <w:p>
            <w:pPr>
              <w:jc w:val="center"/>
              <w:ind w:left="202"/>
              <w:spacing w:after="0" w:line="14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Exercisable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3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$ 107.95</w:t>
            </w:r>
          </w:p>
        </w:tc>
        <w:tc>
          <w:tcPr>
            <w:tcW w:w="4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05/06/18</w:t>
            </w: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6,230,400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47.12</w:t>
            </w:r>
          </w:p>
        </w:tc>
        <w:tc>
          <w:tcPr>
            <w:tcW w:w="4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05/06/19</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05/06/19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25,960,000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56.67</w:t>
            </w:r>
          </w:p>
        </w:tc>
        <w:tc>
          <w:tcPr>
            <w:tcW w:w="4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08/01/15</w:t>
            </w: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$ 107.95</w:t>
            </w:r>
          </w:p>
        </w:tc>
        <w:tc>
          <w:tcPr>
            <w:tcW w:w="4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05/06/18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47.12</w:t>
            </w:r>
          </w:p>
        </w:tc>
        <w:tc>
          <w:tcPr>
            <w:tcW w:w="4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05/06/19</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$ 107.95</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05/06/18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05/06/19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30,000 stock options will vest on May 6, 2011 and each anniversary thereafter until the 270,000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50,000 stock options will vest on May 6, 2011 and each anniversary thereafter until the 450,000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30,000 stock options will vest on May 6, 2011 and each anniversary thereafter until the 270,000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25,000 stock options will vest on May 6, 2011 and each anniversary thereafter until the 225,000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 25,000 shares of restricted stock will vest on July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the Company’s stock at year-end which was $103.84 per share.</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the Company on the vesting date, except as discussed below under “Potential Payments Upon Termination or Change in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OPTION EXERCISES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2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61"/>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Exercise #</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Exercise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130,000</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$4,755,709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100,000</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$5,781,000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105,000</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$5,150,100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920,500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No stock awards vested during 2010.</w:t>
      </w:r>
    </w:p>
    <w:p>
      <w:pPr>
        <w:spacing w:after="0" w:line="288"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Cause is defined as (i) willful destruction of property of the Company or an affiliate having a material value to the Company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 paid pursuant to the employment agreement through the end of the term (and in Mr. Wynn’s and Ms. Chen’s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2010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 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626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 Upon</w:t>
            </w:r>
          </w:p>
        </w:tc>
        <w:tc>
          <w:tcPr>
            <w:tcW w:w="20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626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Death or Complete</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Disability</w:t>
            </w:r>
          </w:p>
        </w:tc>
        <w:tc>
          <w:tcPr>
            <w:tcW w:w="100" w:type="dxa"/>
            <w:vAlign w:val="bottom"/>
          </w:tcPr>
          <w:p>
            <w:pPr>
              <w:spacing w:after="0"/>
              <w:rPr>
                <w:sz w:val="14"/>
                <w:szCs w:val="1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13,000,000</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39,000,000</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32,500,000</w:t>
            </w:r>
          </w:p>
        </w:tc>
        <w:tc>
          <w:tcPr>
            <w:tcW w:w="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97,500,000</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97,500,000</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57,991,436</w:t>
            </w:r>
          </w:p>
        </w:tc>
        <w:tc>
          <w:tcPr>
            <w:tcW w:w="100" w:type="dxa"/>
            <w:vAlign w:val="bottom"/>
            <w:shd w:val="clear" w:color="auto" w:fill="CCEEFF"/>
          </w:tcPr>
          <w:p>
            <w:pPr>
              <w:spacing w:after="0"/>
              <w:rPr>
                <w:sz w:val="18"/>
                <w:szCs w:val="18"/>
                <w:color w:val="auto"/>
              </w:rPr>
            </w:pPr>
          </w:p>
        </w:tc>
      </w:tr>
      <w:tr>
        <w:trPr>
          <w:trHeight w:val="228"/>
        </w:trPr>
        <w:tc>
          <w:tcPr>
            <w:tcW w:w="626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415,421</w:t>
            </w:r>
          </w:p>
        </w:tc>
        <w:tc>
          <w:tcPr>
            <w:tcW w:w="8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415,421</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606,200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68"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Disability</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During the Term</w:t>
            </w:r>
          </w:p>
        </w:tc>
        <w:tc>
          <w:tcPr>
            <w:tcW w:w="9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100" w:type="dxa"/>
            <w:vAlign w:val="bottom"/>
          </w:tcPr>
          <w:p>
            <w:pPr>
              <w:spacing w:after="0"/>
              <w:rPr>
                <w:sz w:val="14"/>
                <w:szCs w:val="14"/>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2,916,667</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2,916,667</w:t>
            </w:r>
          </w:p>
        </w:tc>
        <w:tc>
          <w:tcPr>
            <w:tcW w:w="10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5,833,333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5,833,333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21,131,400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2,644,836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5,817,000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3,779,888</w:t>
            </w:r>
          </w:p>
        </w:tc>
        <w:tc>
          <w:tcPr>
            <w:tcW w:w="100" w:type="dxa"/>
            <w:vAlign w:val="bottom"/>
            <w:shd w:val="clear" w:color="auto" w:fill="CCEEFF"/>
          </w:tcPr>
          <w:p>
            <w:pPr>
              <w:spacing w:after="0"/>
              <w:rPr>
                <w:sz w:val="18"/>
                <w:szCs w:val="18"/>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302,911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442,021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52"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2010, the value of such stock options upon exercise would have been $0.</w:t>
      </w:r>
    </w:p>
    <w:p>
      <w:pPr>
        <w:spacing w:after="0" w:line="1" w:lineRule="exact"/>
        <w:rPr>
          <w:rFonts w:ascii="Arial" w:cs="Arial" w:eastAsia="Arial" w:hAnsi="Arial"/>
          <w:sz w:val="18"/>
          <w:szCs w:val="18"/>
          <w:b w:val="1"/>
          <w:bCs w:val="1"/>
          <w:color w:val="auto"/>
        </w:rPr>
      </w:pPr>
    </w:p>
    <w:p>
      <w:pPr>
        <w:ind w:left="460" w:right="260" w:hanging="452"/>
        <w:spacing w:after="0" w:line="250"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Upon death or complete disability, unvested stock options of 270,000 would vest in full immediately. Using the closing price on December 31, 2010, the value of such stock options upon exercise would have been $15,314,400.</w:t>
      </w:r>
    </w:p>
    <w:p>
      <w:pPr>
        <w:ind w:left="460" w:right="220" w:hanging="452"/>
        <w:spacing w:after="0" w:line="250"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the Company has not terminated or expired. Using the closing price on December 31, 2010, the value of such 50,000 shares would have been $5,192,000 plus accrued dividends of $625,000.</w:t>
      </w:r>
    </w:p>
    <w:p>
      <w:pPr>
        <w:spacing w:after="0" w:line="1" w:lineRule="exact"/>
        <w:rPr>
          <w:rFonts w:ascii="Arial" w:cs="Arial" w:eastAsia="Arial" w:hAnsi="Arial"/>
          <w:sz w:val="18"/>
          <w:szCs w:val="18"/>
          <w:b w:val="1"/>
          <w:bCs w:val="1"/>
          <w:color w:val="auto"/>
        </w:rPr>
      </w:pPr>
    </w:p>
    <w:p>
      <w:pPr>
        <w:ind w:left="460" w:right="200" w:hanging="452"/>
        <w:spacing w:after="0" w:line="295" w:lineRule="auto"/>
        <w:tabs>
          <w:tab w:leader="none" w:pos="46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the Company has not terminated or expired, and another 10,000 shares of restricted stock would vest prorated based on the number of months since the grant date regardless of the status of the employee’s employment contract. Using the closing price on December 31, 2010, the value of such 22,364 shares would have been $2,322,278, plus accrued dividends of $322,558.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39"/>
              <w:spacing w:after="0"/>
              <w:rPr>
                <w:sz w:val="20"/>
                <w:szCs w:val="20"/>
                <w:color w:val="auto"/>
              </w:rPr>
            </w:pPr>
            <w:r>
              <w:rPr>
                <w:rFonts w:ascii="Arial" w:cs="Arial" w:eastAsia="Arial" w:hAnsi="Arial"/>
                <w:sz w:val="14"/>
                <w:szCs w:val="14"/>
                <w:b w:val="1"/>
                <w:bCs w:val="1"/>
                <w:color w:val="auto"/>
              </w:rPr>
              <w:t>Termination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8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4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Employer’s Election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8"/>
              </w:rPr>
              <w:t>During the Term</w:t>
            </w:r>
          </w:p>
        </w:tc>
        <w:tc>
          <w:tcPr>
            <w:tcW w:w="88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100" w:type="dxa"/>
            <w:vAlign w:val="bottom"/>
          </w:tcPr>
          <w:p>
            <w:pPr>
              <w:spacing w:after="0"/>
              <w:rPr>
                <w:sz w:val="14"/>
                <w:szCs w:val="14"/>
                <w:color w:val="auto"/>
              </w:rPr>
            </w:pPr>
          </w:p>
        </w:tc>
      </w:tr>
      <w:tr>
        <w:trPr>
          <w:trHeight w:val="201"/>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w w:val="85"/>
              </w:rPr>
              <w:t>Amount earned and</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3,666,667</w:t>
            </w:r>
          </w:p>
        </w:tc>
        <w:tc>
          <w:tcPr>
            <w:tcW w:w="98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3,666,667</w:t>
            </w:r>
          </w:p>
        </w:tc>
        <w:tc>
          <w:tcPr>
            <w:tcW w:w="100" w:type="dxa"/>
            <w:vAlign w:val="bottom"/>
            <w:shd w:val="clear" w:color="auto" w:fill="CCEEFF"/>
          </w:tcPr>
          <w:p>
            <w:pPr>
              <w:spacing w:after="0"/>
              <w:rPr>
                <w:sz w:val="17"/>
                <w:szCs w:val="17"/>
                <w:color w:val="auto"/>
              </w:rPr>
            </w:pPr>
          </w:p>
        </w:tc>
      </w:tr>
      <w:tr>
        <w:trPr>
          <w:trHeight w:val="216"/>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unpaid through the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date of termination.</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7,333,333</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7,333,333</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54,609,000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8,013,267</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29,085,000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2,000,000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190,401</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190,401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Upon death or complete disability, unvested stock options of 450,000 would vest in full immediately. Using the closing price on December 31, 2010, the value of such stock options upon exercise would have been $25,524,000.</w:t>
      </w:r>
    </w:p>
    <w:p>
      <w:pPr>
        <w:ind w:left="460" w:right="220" w:hanging="452"/>
        <w:spacing w:after="0" w:line="250"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2010, the value of such restricted stock grants upon vesting would have been $25,960,000, plus accrued dividends of $3,125,000.</w:t>
      </w:r>
    </w:p>
    <w:p>
      <w:pPr>
        <w:spacing w:after="0" w:line="1" w:lineRule="exact"/>
        <w:rPr>
          <w:rFonts w:ascii="Arial" w:cs="Arial" w:eastAsia="Arial" w:hAnsi="Arial"/>
          <w:sz w:val="18"/>
          <w:szCs w:val="18"/>
          <w:b w:val="1"/>
          <w:bCs w:val="1"/>
          <w:color w:val="auto"/>
        </w:rPr>
      </w:pPr>
    </w:p>
    <w:p>
      <w:pPr>
        <w:jc w:val="both"/>
        <w:ind w:left="460" w:right="180" w:hanging="452"/>
        <w:spacing w:after="0" w:line="281" w:lineRule="auto"/>
        <w:tabs>
          <w:tab w:leader="none" w:pos="4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2010, the value of such 68,878 shares would have been $7,152,292 plus accrued dividends of $860,975.</w:t>
      </w:r>
    </w:p>
    <w:p>
      <w:pPr>
        <w:spacing w:after="0" w:line="2" w:lineRule="exact"/>
        <w:rPr>
          <w:rFonts w:ascii="Arial" w:cs="Arial" w:eastAsia="Arial" w:hAnsi="Arial"/>
          <w:sz w:val="16"/>
          <w:szCs w:val="16"/>
          <w:b w:val="1"/>
          <w:bCs w:val="1"/>
          <w:color w:val="auto"/>
        </w:rPr>
      </w:pPr>
    </w:p>
    <w:p>
      <w:pPr>
        <w:ind w:left="460" w:right="220" w:hanging="452"/>
        <w:spacing w:after="0" w:line="261"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During the Term</w:t>
            </w:r>
          </w:p>
        </w:tc>
        <w:tc>
          <w:tcPr>
            <w:tcW w:w="88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100" w:type="dxa"/>
            <w:vAlign w:val="bottom"/>
          </w:tcPr>
          <w:p>
            <w:pPr>
              <w:spacing w:after="0"/>
              <w:rPr>
                <w:sz w:val="14"/>
                <w:szCs w:val="14"/>
                <w:color w:val="auto"/>
              </w:rPr>
            </w:pPr>
          </w:p>
        </w:tc>
      </w:tr>
      <w:tr>
        <w:trPr>
          <w:trHeight w:val="201"/>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880"/>
              <w:spacing w:after="0" w:line="201" w:lineRule="exact"/>
              <w:rPr>
                <w:sz w:val="20"/>
                <w:szCs w:val="20"/>
                <w:color w:val="auto"/>
              </w:rPr>
            </w:pPr>
            <w:r>
              <w:rPr>
                <w:rFonts w:ascii="Arial" w:cs="Arial" w:eastAsia="Arial" w:hAnsi="Arial"/>
                <w:sz w:val="18"/>
                <w:szCs w:val="18"/>
                <w:color w:val="auto"/>
                <w:w w:val="87"/>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line="201" w:lineRule="exact"/>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26,948,400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12,983,811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11,634,000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11,528,877</w:t>
            </w:r>
          </w:p>
        </w:tc>
        <w:tc>
          <w:tcPr>
            <w:tcW w:w="100" w:type="dxa"/>
            <w:vAlign w:val="bottom"/>
            <w:shd w:val="clear" w:color="auto" w:fill="CCEEFF"/>
          </w:tcPr>
          <w:p>
            <w:pPr>
              <w:spacing w:after="0"/>
              <w:rPr>
                <w:sz w:val="18"/>
                <w:szCs w:val="18"/>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1,389,208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52"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2010, the value of such stock options upon exercise would have been $0.</w:t>
      </w:r>
    </w:p>
    <w:p>
      <w:pPr>
        <w:spacing w:after="0" w:line="1" w:lineRule="exact"/>
        <w:rPr>
          <w:rFonts w:ascii="Arial" w:cs="Arial" w:eastAsia="Arial" w:hAnsi="Arial"/>
          <w:sz w:val="18"/>
          <w:szCs w:val="18"/>
          <w:b w:val="1"/>
          <w:bCs w:val="1"/>
          <w:color w:val="auto"/>
        </w:rPr>
      </w:pPr>
    </w:p>
    <w:p>
      <w:pPr>
        <w:ind w:left="460" w:right="260" w:hanging="452"/>
        <w:spacing w:after="0" w:line="261"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Upon death or complete disability, unvested stock options of 270,000 would vest in full immediately. Using the closing price on December 31, 2010, the value of such stock options upon exercise would have been $15,314,400.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hanging="452"/>
        <w:spacing w:after="0" w:line="286" w:lineRule="auto"/>
        <w:tabs>
          <w:tab w:leader="none" w:pos="46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2010, the value of such 100,000 shares would have been $10,384,000, plus accrued dividends of $1,250,000.</w:t>
      </w:r>
    </w:p>
    <w:p>
      <w:pPr>
        <w:jc w:val="both"/>
        <w:ind w:left="460" w:right="400" w:hanging="452"/>
        <w:spacing w:after="0" w:line="300" w:lineRule="auto"/>
        <w:tabs>
          <w:tab w:leader="none" w:pos="46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2010, the value of such 104,009 shares would have been $10,800,294, plus accrued dividends of $2,183,517.</w:t>
      </w:r>
    </w:p>
    <w:p>
      <w:pPr>
        <w:ind w:left="460" w:right="220" w:hanging="452"/>
        <w:spacing w:after="0" w:line="261"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Disability</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8"/>
              </w:rPr>
              <w:t>During the Term</w:t>
            </w:r>
          </w:p>
        </w:tc>
        <w:tc>
          <w:tcPr>
            <w:tcW w:w="8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100" w:type="dxa"/>
            <w:vAlign w:val="bottom"/>
          </w:tcPr>
          <w:p>
            <w:pPr>
              <w:spacing w:after="0"/>
              <w:rPr>
                <w:sz w:val="14"/>
                <w:szCs w:val="14"/>
                <w:color w:val="auto"/>
              </w:rPr>
            </w:pPr>
          </w:p>
        </w:tc>
      </w:tr>
      <w:tr>
        <w:trPr>
          <w:trHeight w:val="201"/>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60"/>
              <w:spacing w:after="0" w:line="201" w:lineRule="exact"/>
              <w:rPr>
                <w:sz w:val="20"/>
                <w:szCs w:val="20"/>
                <w:color w:val="auto"/>
              </w:rPr>
            </w:pPr>
            <w:r>
              <w:rPr>
                <w:rFonts w:ascii="Arial" w:cs="Arial" w:eastAsia="Arial" w:hAnsi="Arial"/>
                <w:sz w:val="18"/>
                <w:szCs w:val="18"/>
                <w:color w:val="auto"/>
              </w:rPr>
              <w:t>2,166,667</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2,166,667</w:t>
            </w:r>
          </w:p>
        </w:tc>
        <w:tc>
          <w:tcPr>
            <w:tcW w:w="100" w:type="dxa"/>
            <w:vAlign w:val="bottom"/>
            <w:shd w:val="clear" w:color="auto" w:fill="CCEEFF"/>
          </w:tcPr>
          <w:p>
            <w:pPr>
              <w:spacing w:after="0"/>
              <w:rPr>
                <w:sz w:val="17"/>
                <w:szCs w:val="17"/>
                <w:color w:val="auto"/>
              </w:rPr>
            </w:pPr>
          </w:p>
        </w:tc>
      </w:tr>
      <w:tr>
        <w:trPr>
          <w:trHeight w:val="216"/>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spacing w:after="0"/>
              <w:rPr>
                <w:sz w:val="18"/>
                <w:szCs w:val="18"/>
                <w:color w:val="auto"/>
              </w:rPr>
            </w:pPr>
          </w:p>
        </w:tc>
        <w:tc>
          <w:tcPr>
            <w:tcW w:w="224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1,105,000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1,105,000</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15,670,500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3,450,751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2,908,500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84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346,184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346,184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80" w:hanging="452"/>
        <w:spacing w:after="0" w:line="252"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the Company has not terminated or expired. Using the closing price on December 31, 2010, the value of such stock options upon exercise would have been $0.</w:t>
      </w:r>
    </w:p>
    <w:p>
      <w:pPr>
        <w:spacing w:after="0" w:line="1" w:lineRule="exact"/>
        <w:rPr>
          <w:rFonts w:ascii="Arial" w:cs="Arial" w:eastAsia="Arial" w:hAnsi="Arial"/>
          <w:sz w:val="18"/>
          <w:szCs w:val="18"/>
          <w:b w:val="1"/>
          <w:bCs w:val="1"/>
          <w:color w:val="auto"/>
        </w:rPr>
      </w:pPr>
    </w:p>
    <w:p>
      <w:pPr>
        <w:ind w:left="460" w:right="260" w:hanging="452"/>
        <w:spacing w:after="0" w:line="250"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Upon death or complete disability, unvested stock options of 225,000 would vest in full immediately. Using the closing price on December 31, 2010, the value of such stock options upon exercise would have been $12,762,000.</w:t>
      </w:r>
    </w:p>
    <w:p>
      <w:pPr>
        <w:ind w:left="460" w:right="40" w:hanging="452"/>
        <w:spacing w:after="0" w:line="250"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2010, the value of such restricted stock grants upon vesting would have been $2,596,000, plus accrued dividends of $312,500.</w:t>
      </w:r>
    </w:p>
    <w:p>
      <w:pPr>
        <w:spacing w:after="0" w:line="1" w:lineRule="exact"/>
        <w:rPr>
          <w:rFonts w:ascii="Arial" w:cs="Arial" w:eastAsia="Arial" w:hAnsi="Arial"/>
          <w:sz w:val="18"/>
          <w:szCs w:val="18"/>
          <w:b w:val="1"/>
          <w:bCs w:val="1"/>
          <w:color w:val="auto"/>
        </w:rPr>
      </w:pPr>
    </w:p>
    <w:p>
      <w:pPr>
        <w:ind w:left="460" w:right="180" w:hanging="452"/>
        <w:spacing w:after="0" w:line="250"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or expired and another 25,000 shares of restricted stock would vest 20% for each full year from the date of grant to the effective date of termination. Using the closing price on December 31, 2010, the value of such 27,598 shares would have been $2,865,776 plus accrued dividends of $584,975.</w:t>
      </w:r>
    </w:p>
    <w:p>
      <w:pPr>
        <w:spacing w:after="0" w:line="1" w:lineRule="exact"/>
        <w:rPr>
          <w:rFonts w:ascii="Arial" w:cs="Arial" w:eastAsia="Arial" w:hAnsi="Arial"/>
          <w:sz w:val="18"/>
          <w:szCs w:val="18"/>
          <w:b w:val="1"/>
          <w:bCs w:val="1"/>
          <w:color w:val="auto"/>
        </w:rPr>
      </w:pPr>
    </w:p>
    <w:p>
      <w:pPr>
        <w:ind w:left="460" w:right="220" w:hanging="452"/>
        <w:spacing w:after="0" w:line="261"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2010,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0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0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1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4,107,378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861,000 shares of unvested restricted stock awards outstanding under the stockholder-approved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the Company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January 6, 2010, Mr. Wynn, the Chairman of the Board and Chief Executive Officer of the Company, Elaine P. Wynn, a director of the Company, and Aruze USA, each greater than 5% stockholders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entered into an Amended and Restated Stockholders Agreement (the “Amended and Restated Stockholders Agreement”) whereby that certain Stockholders Agreement, entered into as of April 11, 2002, between Mr. Wynn and Aruze, as amended by that certain Amendment to Stockholders Agreement, entered into as of November 8, 2006, between Mr. Wynn and Aruze,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the Company’s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Art Work. </w:t>
      </w:r>
      <w:r>
        <w:rPr>
          <w:rFonts w:ascii="Arial" w:cs="Arial" w:eastAsia="Arial" w:hAnsi="Arial"/>
          <w:sz w:val="18"/>
          <w:szCs w:val="18"/>
          <w:color w:val="auto"/>
        </w:rPr>
        <w:t>Since June 2006, Wynn Las Vegas has leased certain pieces of fine art from Mr. Wynn for an annual fee of one dollar ($1). Wynn Las Vegas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all expenses incurred in exhibiting and safeguarding those works that it exhibits under the lease, including the cost of insurance (including terrorism insurance) and taxes.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Villa Lease.</w:t>
      </w:r>
      <w:r>
        <w:rPr>
          <w:sz w:val="20"/>
          <w:szCs w:val="20"/>
          <w:color w:val="auto"/>
        </w:rPr>
        <w:tab/>
      </w:r>
      <w:r>
        <w:rPr>
          <w:rFonts w:ascii="Arial" w:cs="Arial" w:eastAsia="Arial" w:hAnsi="Arial"/>
          <w:sz w:val="15"/>
          <w:szCs w:val="15"/>
          <w:color w:val="auto"/>
        </w:rPr>
        <w:t>Mr. Wynn and Elaine P. Wynn each lease a villa suite in the Wynn Las Vegas resort.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“New EW Lease”) for the lease of a villa suite as Elaine P. Wynn’s personal residence. The New EW Lease was approved by the Audit Committee of the Board of Directors of the Company. The term of the lease commenced as of March 1, 2010 and terminated December 31, 2010. The lease continued on a month-to-month and was terminated effective March 31, 2011. Pursuant to the terms of the New EW Lease, Elaine P. Wynn will pay annual rent equal to $350,000, which amount was determined based on a third-party appraisal. Certain services for, and maintenance of, the villa suite are included in the rental. The New EW Lease superseded the terms of the prior agreement.</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the Company. The term of the lease commenced as of March 1, 2010 and runs concurrent with Mr. Wynn’s employment agreement with the Company;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Home Purchase. </w:t>
      </w:r>
      <w:r>
        <w:rPr>
          <w:rFonts w:ascii="Arial" w:cs="Arial" w:eastAsia="Arial" w:hAnsi="Arial"/>
          <w:sz w:val="16"/>
          <w:szCs w:val="16"/>
          <w:color w:val="auto"/>
        </w:rPr>
        <w:t>In May 2010, the Company entered into a new employment agreement with Linda Chen, who is also a director. The term of the new</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is through February 24, 2020. Under the terms of the new employment agreement, the Company purchased a home in Macau for use by Ms. Chen for approximately $5.4 million, and will expend additional funds to renovate the home and will also provide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Company’s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the Company, covering their personal use of Company-owned aircraft. These time-share agreements require the Company to include as taxable compensation of such executive, his and his family’s share of the direct costs that the Company incurs in operating the aircraft, up to an amount determined by using the Internal Revenue Service Standard Industry Fare Level (SIFL) tables. During 2010, the following amounts were included in the executives’ taxable compensation pursuant to these timesharing arrangements: Mr. Wynn $314,087 and Mr. Schorr $122,177. In the event that direct costs in operating the aircraft exceed the amounts determined by using the SIFL method, such additional costs are paid for by the Company.</w:t>
      </w:r>
    </w:p>
    <w:p>
      <w:pPr>
        <w:spacing w:after="0" w:line="111"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provides services to certain of its executive officers and directors, including the personal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construction work and other personal services. These certain officers and directors have deposits with the Company to prepay any such items. These deposits are replenished on an ongoing basis as needed. At December 31, 2010, Mr. Wynn, had a net deposit balance with the Company of $187,724.</w:t>
      </w:r>
    </w:p>
    <w:p>
      <w:pPr>
        <w:spacing w:after="0" w:line="97"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2010, Wynn Macau, an affiliate of the Company, purchased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our directors, Mr. Okada, currently serves as Chairman and Treasurer, for use at Wynn Macau. The Aruze purchases were made in an arm’s length transaction at market prices for a total purchase price of approximately $324,685.</w:t>
      </w:r>
    </w:p>
    <w:p>
      <w:pPr>
        <w:spacing w:after="0" w:line="9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3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color w:val="auto"/>
        </w:rPr>
        <w:t>Other</w:t>
      </w:r>
      <w:r>
        <w:rPr>
          <w:rFonts w:ascii="Arial" w:cs="Arial" w:eastAsia="Arial" w:hAnsi="Arial"/>
          <w:sz w:val="15"/>
          <w:szCs w:val="15"/>
          <w:color w:val="auto"/>
        </w:rPr>
        <w:t>. In addition to the above, the Company (or its subsidiaries) employs (a) Eddie Tseng, the spouse of Ms. Chen, President of Wynn International</w:t>
      </w:r>
      <w:r>
        <w:rPr>
          <w:rFonts w:ascii="Arial" w:cs="Arial" w:eastAsia="Arial" w:hAnsi="Arial"/>
          <w:sz w:val="15"/>
          <w:szCs w:val="15"/>
          <w:b w:val="1"/>
          <w:bCs w:val="1"/>
          <w:color w:val="auto"/>
        </w:rPr>
        <w:t xml:space="preserve"> </w:t>
      </w:r>
      <w:r>
        <w:rPr>
          <w:rFonts w:ascii="Arial" w:cs="Arial" w:eastAsia="Arial" w:hAnsi="Arial"/>
          <w:sz w:val="15"/>
          <w:szCs w:val="15"/>
          <w:color w:val="auto"/>
        </w:rPr>
        <w:t>Marketing and a director of the Company, as Senior Vice President of Customer Development of Worldwide Wynn, LLC; (b) Michael Pascal, the brother of Elaine P. Wynn, as a Senior Executive Host of Wynn Las Vegas, and (c) Mr. Michael Pascal’s wife, Mary Ann Pascal, as a Host at Wynn Las Vegas. In addition, Andrew Pascal, the nephew of Elaine P. Wynn, was employed as the President of Wynn Las Vegas until his resignation in November 2010. The Audit Committee of the Company approved each such employment arrangement in advance and determined that compensation was at (or below) levels paid to non-family members. Total compensation paid to the above named individuals for 2010 included the following amounts calculated in the same manner as the Summary Compensation Table values presented for named executive officers: (a) to Eddie Tseng, base salary and bonus of $572,000, and other compensation of $436,</w:t>
      </w:r>
    </w:p>
    <w:p>
      <w:pPr>
        <w:spacing w:after="0" w:line="1" w:lineRule="exact"/>
        <w:rPr>
          <w:sz w:val="20"/>
          <w:szCs w:val="20"/>
          <w:color w:val="auto"/>
        </w:rPr>
      </w:pPr>
    </w:p>
    <w:p>
      <w:pPr>
        <w:jc w:val="both"/>
        <w:ind w:right="280" w:firstLine="8"/>
        <w:spacing w:after="0" w:line="302"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Michael Pascal, base salary and bonus of $126,943, and other compensation of $1,891, (c) to Mary Ann Pascal, base salary and bonus of $185,923, and other compensation of $373,and (d) to Andrew Pascal, base salary and separation payment of $1,690,192, and other compensation of $414,086. The Company anticipates that these individuals, except for Andrew Pascal, who resigned in 2010, will continue to serve in their respective positions during 2011.</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2010.</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2012 Annual Meeting, it must be submitted in writing and comply with the requirements of Rule 14a-8 of the Securities Exchange Act of 1934. Such proposals must be received by the Company at its offices at 3131 Las Vegas Boulevard South, Las Vegas, Nevada 89109 no later than December 9, 2011.</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2012 Annual Meeting, notice of a nomination or proposal must be delivered to us no later than March 18, 2012 and no earlier than February 17, 2012.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or postponements. The Chairman of the Board may refuse to acknowledge the introduction of any stockholder proposal not made in compliance with the foregoing procedures.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 xml:space="preserve">Our financial statements for the year ended December 31, 2010, are included in our 2010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Company at Wynn Resorts, Limited, 3131 Las Vegas Boulevard South, Las Vegas, Nevada 89109, Attn: Investor Relations, and we will send a copy to you.</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Investor Relations, Wynn Resorts, Limited,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Stockholders are being asked to approve the amendment to Section 4(b)(ii) of the 2002 Plan that is indicated in the marked text below. The Board of Directors intends to adopt the other amendments marked in the text below to permit additional forms of awards that are essentially the same as the forms of awards currently authorized under the 2002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2002 STOCK INCENTIVE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Effective as of May </w:t>
      </w:r>
      <w:r>
        <w:rPr>
          <w:rFonts w:ascii="Arial" w:cs="Arial" w:eastAsia="Arial" w:hAnsi="Arial"/>
          <w:sz w:val="18"/>
          <w:szCs w:val="18"/>
          <w:color w:val="auto"/>
          <w:strike w:val="1"/>
        </w:rPr>
        <w:t>12, 2010</w:t>
      </w:r>
      <w:r>
        <w:rPr>
          <w:rFonts w:ascii="Arial" w:cs="Arial" w:eastAsia="Arial" w:hAnsi="Arial"/>
          <w:sz w:val="18"/>
          <w:szCs w:val="18"/>
          <w:u w:val="single" w:color="auto"/>
          <w:color w:val="auto"/>
        </w:rPr>
        <w:t>17, 2011</w:t>
      </w:r>
    </w:p>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purposes of this Plan, the following terms will have the following meanings:</w:t>
      </w:r>
    </w:p>
    <w:p>
      <w:pPr>
        <w:spacing w:after="0" w:line="84"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171" w:lineRule="exact"/>
        <w:rPr>
          <w:rFonts w:ascii="Arial" w:cs="Arial" w:eastAsia="Arial" w:hAnsi="Arial"/>
          <w:sz w:val="18"/>
          <w:szCs w:val="18"/>
          <w:color w:val="auto"/>
        </w:rPr>
      </w:pPr>
    </w:p>
    <w:p>
      <w:pPr>
        <w:ind w:right="320" w:firstLine="464"/>
        <w:spacing w:after="0" w:line="301"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103" w:lineRule="exact"/>
        <w:rPr>
          <w:rFonts w:ascii="Arial" w:cs="Arial" w:eastAsia="Arial" w:hAnsi="Arial"/>
          <w:sz w:val="16"/>
          <w:szCs w:val="16"/>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40" w:firstLine="464"/>
        <w:spacing w:after="0" w:line="293"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110" w:lineRule="exact"/>
        <w:rPr>
          <w:rFonts w:ascii="Arial" w:cs="Arial" w:eastAsia="Arial" w:hAnsi="Arial"/>
          <w:sz w:val="16"/>
          <w:szCs w:val="16"/>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the occurrence of any one of the following events:</w:t>
      </w:r>
    </w:p>
    <w:p>
      <w:pPr>
        <w:spacing w:after="0" w:line="96" w:lineRule="exact"/>
        <w:rPr>
          <w:rFonts w:ascii="Arial" w:cs="Arial" w:eastAsia="Arial" w:hAnsi="Arial"/>
          <w:sz w:val="18"/>
          <w:szCs w:val="18"/>
          <w:color w:val="auto"/>
        </w:rPr>
      </w:pPr>
    </w:p>
    <w:p>
      <w:pPr>
        <w:ind w:left="460" w:right="80" w:firstLine="443"/>
        <w:spacing w:after="0" w:line="357" w:lineRule="auto"/>
        <w:tabs>
          <w:tab w:leader="none" w:pos="1108"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ind w:left="460" w:right="460" w:firstLine="443"/>
        <w:spacing w:after="0" w:line="268" w:lineRule="auto"/>
        <w:tabs>
          <w:tab w:leader="none" w:pos="1157"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direct or indirect sale or transfer by the Company of substantially all of its assets to one or more unrelated Persons or Groups in a single transaction or a series of related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31" w:lineRule="exact"/>
        <w:rPr>
          <w:rFonts w:ascii="Arial" w:cs="Arial" w:eastAsia="Arial" w:hAnsi="Arial"/>
          <w:sz w:val="16"/>
          <w:szCs w:val="16"/>
          <w:color w:val="auto"/>
        </w:rPr>
      </w:pPr>
    </w:p>
    <w:p>
      <w:pPr>
        <w:ind w:left="460" w:right="160" w:firstLine="443"/>
        <w:spacing w:after="0" w:line="306" w:lineRule="auto"/>
        <w:tabs>
          <w:tab w:leader="none" w:pos="11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(“Approved Directors”).</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Securities Exchange Act of 1934 and the rules and regulations promulgated thereunder (the “Exchange Act”).</w:t>
      </w:r>
    </w:p>
    <w:p>
      <w:pPr>
        <w:spacing w:after="0" w:line="12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“Proxy Contest”), or as a result of an agreement to avoid or settle an Election Contest or Proxy Contest.</w:t>
      </w:r>
    </w:p>
    <w:p>
      <w:pPr>
        <w:spacing w:after="0" w:line="82" w:lineRule="exact"/>
        <w:rPr>
          <w:sz w:val="20"/>
          <w:szCs w:val="20"/>
          <w:color w:val="auto"/>
        </w:rPr>
      </w:pPr>
    </w:p>
    <w:p>
      <w:pPr>
        <w:ind w:right="280" w:firstLine="464"/>
        <w:spacing w:after="0" w:line="275" w:lineRule="auto"/>
        <w:tabs>
          <w:tab w:leader="none" w:pos="6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171" w:lineRule="exact"/>
        <w:rPr>
          <w:rFonts w:ascii="Arial" w:cs="Arial" w:eastAsia="Arial" w:hAnsi="Arial"/>
          <w:sz w:val="18"/>
          <w:szCs w:val="18"/>
          <w:color w:val="auto"/>
        </w:rPr>
      </w:pPr>
    </w:p>
    <w:p>
      <w:pPr>
        <w:ind w:right="120" w:firstLine="464"/>
        <w:spacing w:after="0" w:line="301" w:lineRule="auto"/>
        <w:tabs>
          <w:tab w:leader="none" w:pos="6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103" w:lineRule="exact"/>
        <w:rPr>
          <w:rFonts w:ascii="Arial" w:cs="Arial" w:eastAsia="Arial" w:hAnsi="Arial"/>
          <w:sz w:val="16"/>
          <w:szCs w:val="16"/>
          <w:color w:val="auto"/>
        </w:rPr>
      </w:pPr>
    </w:p>
    <w:p>
      <w:pPr>
        <w:ind w:right="260" w:firstLine="464"/>
        <w:spacing w:after="0" w:line="275"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 as an Employee, Director or Consultant</w:t>
      </w:r>
      <w:r>
        <w:rPr>
          <w:rFonts w:ascii="Arial" w:cs="Arial" w:eastAsia="Arial" w:hAnsi="Arial"/>
          <w:sz w:val="18"/>
          <w:szCs w:val="18"/>
          <w:color w:val="auto"/>
        </w:rPr>
        <w:t>” means that the employment, director or consulting relationship is not interrupted or terminated by the Company, any Parent or Subsidiary, or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2" w:lineRule="auto"/>
        <w:rPr>
          <w:sz w:val="20"/>
          <w:szCs w:val="20"/>
          <w:color w:val="auto"/>
        </w:rPr>
      </w:pPr>
      <w:r>
        <w:rPr>
          <w:rFonts w:ascii="Arial" w:cs="Arial" w:eastAsia="Arial" w:hAnsi="Arial"/>
          <w:sz w:val="15"/>
          <w:szCs w:val="15"/>
          <w:color w:val="auto"/>
        </w:rPr>
        <w:t xml:space="preserve">Employee, Director or Consultant. Continuous Status as an Employee, Director or Consultant will not be considered interrupted in the case of: (i) any leave of absence approved by the Board or required by Applicable Law, including sick leave, military leave, or any other personal leave, </w:t>
      </w:r>
      <w:r>
        <w:rPr>
          <w:rFonts w:ascii="Arial" w:cs="Arial" w:eastAsia="Arial" w:hAnsi="Arial"/>
          <w:sz w:val="15"/>
          <w:szCs w:val="15"/>
          <w:i w:val="1"/>
          <w:iCs w:val="1"/>
          <w:color w:val="auto"/>
        </w:rPr>
        <w:t>provided</w:t>
      </w:r>
      <w:r>
        <w:rPr>
          <w:rFonts w:ascii="Arial" w:cs="Arial" w:eastAsia="Arial" w:hAnsi="Arial"/>
          <w:sz w:val="15"/>
          <w:szCs w:val="15"/>
          <w:color w:val="auto"/>
        </w:rPr>
        <w:t>, that for purposes of Incentive Stock Options, any such leave may not exceed 90 days, unless reemployment upon the expiration of such leave is guaranteed by contract (including certain Company policies) or statute; (ii) transfers between locations of the Company or between the Company, its Parent, its Subsidiaries or its successor, or</w:t>
      </w:r>
    </w:p>
    <w:p>
      <w:pPr>
        <w:spacing w:after="0" w:line="3" w:lineRule="exact"/>
        <w:rPr>
          <w:sz w:val="20"/>
          <w:szCs w:val="20"/>
          <w:color w:val="auto"/>
        </w:rPr>
      </w:pPr>
    </w:p>
    <w:p>
      <w:pPr>
        <w:jc w:val="both"/>
        <w:ind w:right="200" w:firstLine="8"/>
        <w:spacing w:after="0" w:line="255"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138" w:lineRule="exact"/>
        <w:rPr>
          <w:rFonts w:ascii="Arial" w:cs="Arial" w:eastAsia="Arial" w:hAnsi="Arial"/>
          <w:sz w:val="18"/>
          <w:szCs w:val="18"/>
          <w:color w:val="auto"/>
        </w:rPr>
      </w:pPr>
    </w:p>
    <w:p>
      <w:pPr>
        <w:ind w:left="680" w:hanging="216"/>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171" w:lineRule="exact"/>
        <w:rPr>
          <w:rFonts w:ascii="Arial" w:cs="Arial" w:eastAsia="Arial" w:hAnsi="Arial"/>
          <w:sz w:val="18"/>
          <w:szCs w:val="18"/>
          <w:color w:val="auto"/>
        </w:rPr>
      </w:pPr>
    </w:p>
    <w:p>
      <w:pPr>
        <w:ind w:right="40" w:firstLine="464"/>
        <w:spacing w:after="0" w:line="262" w:lineRule="auto"/>
        <w:tabs>
          <w:tab w:leader="none" w:pos="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132" w:lineRule="exact"/>
        <w:rPr>
          <w:rFonts w:ascii="Arial" w:cs="Arial" w:eastAsia="Arial" w:hAnsi="Arial"/>
          <w:sz w:val="18"/>
          <w:szCs w:val="18"/>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96" w:lineRule="exact"/>
        <w:rPr>
          <w:rFonts w:ascii="Arial" w:cs="Arial" w:eastAsia="Arial" w:hAnsi="Arial"/>
          <w:sz w:val="18"/>
          <w:szCs w:val="18"/>
          <w:color w:val="auto"/>
        </w:rPr>
      </w:pPr>
    </w:p>
    <w:p>
      <w:pPr>
        <w:ind w:left="460" w:right="120" w:firstLine="443"/>
        <w:spacing w:after="0" w:line="291" w:lineRule="auto"/>
        <w:tabs>
          <w:tab w:leader="none" w:pos="1108"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the Common Stock is quoted on the NASDAQ System (but not on the NASDAQ National Market System) or is regularly quoted by</w:t>
      </w:r>
    </w:p>
    <w:p>
      <w:pPr>
        <w:spacing w:after="0" w:line="38"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28" w:lineRule="exact"/>
        <w:rPr>
          <w:rFonts w:ascii="Arial" w:cs="Arial" w:eastAsia="Arial" w:hAnsi="Arial"/>
          <w:sz w:val="16"/>
          <w:szCs w:val="16"/>
          <w:color w:val="auto"/>
        </w:rPr>
      </w:pPr>
    </w:p>
    <w:p>
      <w:pPr>
        <w:jc w:val="both"/>
        <w:ind w:left="460" w:firstLine="443"/>
        <w:spacing w:after="0" w:line="306" w:lineRule="auto"/>
        <w:tabs>
          <w:tab w:leader="none" w:pos="1205"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00" w:lineRule="exact"/>
        <w:rPr>
          <w:rFonts w:ascii="Arial" w:cs="Arial" w:eastAsia="Arial" w:hAnsi="Arial"/>
          <w:sz w:val="16"/>
          <w:szCs w:val="16"/>
          <w:color w:val="auto"/>
        </w:rPr>
      </w:pPr>
    </w:p>
    <w:p>
      <w:pPr>
        <w:ind w:right="180" w:firstLine="464"/>
        <w:spacing w:after="0" w:line="258" w:lineRule="auto"/>
        <w:tabs>
          <w:tab w:leader="none" w:pos="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any person sharing the Grantee’s household (other than a tenant or employee), a trust in which these persons (or the Grantee) control the management of assets, and any other entity in which these persons (or the Grantee) own more than fifty percent of the voting interests.</w:t>
      </w:r>
    </w:p>
    <w:p>
      <w:pPr>
        <w:spacing w:after="0" w:line="136" w:lineRule="exact"/>
        <w:rPr>
          <w:rFonts w:ascii="Arial" w:cs="Arial" w:eastAsia="Arial" w:hAnsi="Arial"/>
          <w:sz w:val="18"/>
          <w:szCs w:val="18"/>
          <w:color w:val="auto"/>
        </w:rPr>
      </w:pPr>
    </w:p>
    <w:p>
      <w:pPr>
        <w:ind w:right="460" w:firstLine="464"/>
        <w:spacing w:after="0" w:line="275" w:lineRule="auto"/>
        <w:tabs>
          <w:tab w:leader="none" w:pos="6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236"/>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 Plan.</w:t>
      </w:r>
    </w:p>
    <w:p>
      <w:pPr>
        <w:spacing w:after="0" w:line="194" w:lineRule="exact"/>
        <w:rPr>
          <w:rFonts w:ascii="Arial" w:cs="Arial" w:eastAsia="Arial" w:hAnsi="Arial"/>
          <w:sz w:val="16"/>
          <w:szCs w:val="16"/>
          <w:color w:val="auto"/>
        </w:rPr>
      </w:pPr>
    </w:p>
    <w:p>
      <w:pPr>
        <w:ind w:right="380" w:firstLine="464"/>
        <w:spacing w:after="0" w:line="275" w:lineRule="auto"/>
        <w:tabs>
          <w:tab w:leader="none" w:pos="6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171" w:lineRule="exact"/>
        <w:rPr>
          <w:rFonts w:ascii="Arial" w:cs="Arial" w:eastAsia="Arial" w:hAnsi="Arial"/>
          <w:sz w:val="18"/>
          <w:szCs w:val="18"/>
          <w:color w:val="auto"/>
        </w:rPr>
      </w:pPr>
    </w:p>
    <w:p>
      <w:pPr>
        <w:ind w:right="520" w:firstLine="464"/>
        <w:spacing w:after="0" w:line="275" w:lineRule="auto"/>
        <w:tabs>
          <w:tab w:leader="none" w:pos="7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19" w:lineRule="exact"/>
        <w:rPr>
          <w:rFonts w:ascii="Arial" w:cs="Arial" w:eastAsia="Arial" w:hAnsi="Arial"/>
          <w:sz w:val="18"/>
          <w:szCs w:val="18"/>
          <w:color w:val="auto"/>
        </w:rPr>
      </w:pPr>
    </w:p>
    <w:p>
      <w:pPr>
        <w:ind w:right="260" w:firstLine="464"/>
        <w:spacing w:after="0" w:line="275"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 stock option granted under this Plan </w:t>
      </w:r>
      <w:r>
        <w:rPr>
          <w:rFonts w:ascii="Arial" w:cs="Arial" w:eastAsia="Arial" w:hAnsi="Arial"/>
          <w:sz w:val="18"/>
          <w:szCs w:val="18"/>
          <w:u w:val="single" w:color="auto"/>
          <w:color w:val="auto"/>
        </w:rPr>
        <w:t>and, unless the context otherwise requires, any term or provision of this Plan applicable to an</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shall also apply to any Stock Appreciation Right granted under the Plan</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right="140" w:firstLine="464"/>
        <w:spacing w:after="0" w:line="275"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119" w:lineRule="exact"/>
        <w:rPr>
          <w:rFonts w:ascii="Arial" w:cs="Arial" w:eastAsia="Arial" w:hAnsi="Arial"/>
          <w:sz w:val="18"/>
          <w:szCs w:val="18"/>
          <w:color w:val="auto"/>
        </w:rPr>
      </w:pPr>
    </w:p>
    <w:p>
      <w:pPr>
        <w:ind w:right="160" w:firstLine="464"/>
        <w:spacing w:after="0" w:line="310"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Exchange Program</w:t>
      </w:r>
      <w:r>
        <w:rPr>
          <w:rFonts w:ascii="Arial" w:cs="Arial" w:eastAsia="Arial" w:hAnsi="Arial"/>
          <w:sz w:val="16"/>
          <w:szCs w:val="16"/>
          <w:color w:val="auto"/>
        </w:rPr>
        <w:t xml:space="preserve">” means a program in which outstanding Options </w:t>
      </w:r>
      <w:r>
        <w:rPr>
          <w:rFonts w:ascii="Arial" w:cs="Arial" w:eastAsia="Arial" w:hAnsi="Arial"/>
          <w:sz w:val="16"/>
          <w:szCs w:val="16"/>
          <w:u w:val="single" w:color="auto"/>
          <w:color w:val="auto"/>
        </w:rPr>
        <w:t>(including, for the avoidance of doubt, any Stock Appreciation Rights)</w:t>
      </w:r>
      <w:r>
        <w:rPr>
          <w:rFonts w:ascii="Arial" w:cs="Arial" w:eastAsia="Arial" w:hAnsi="Arial"/>
          <w:sz w:val="16"/>
          <w:szCs w:val="16"/>
          <w:color w:val="auto"/>
        </w:rPr>
        <w:t xml:space="preserve"> with an exercise price above the then Fair Market Value of a Share are surrendered in exchange for Options or Stock Appreciation Rights with a lower exercise price, other equity awards or cash, provided that an adjustment pursuant to Section 15 of this Plan shall not be deemed an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-194310</wp:posOffset>
            </wp:positionV>
            <wp:extent cx="1331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77" w:lineRule="exact"/>
        <w:rPr>
          <w:sz w:val="20"/>
          <w:szCs w:val="20"/>
          <w:color w:val="auto"/>
        </w:rPr>
      </w:pPr>
    </w:p>
    <w:p>
      <w:pPr>
        <w:ind w:left="780" w:hanging="31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Optioned Stock</w:t>
      </w:r>
      <w:r>
        <w:rPr>
          <w:rFonts w:ascii="Arial" w:cs="Arial" w:eastAsia="Arial" w:hAnsi="Arial"/>
          <w:sz w:val="16"/>
          <w:szCs w:val="16"/>
          <w:color w:val="auto"/>
        </w:rPr>
        <w:t>” means the Common Stock subject to an Option.</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an Employee, Consultant or Director who holds an outstanding Option.</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w:t>
      </w:r>
      <w:r>
        <w:rPr>
          <w:rFonts w:ascii="Arial" w:cs="Arial" w:eastAsia="Arial" w:hAnsi="Arial"/>
          <w:sz w:val="16"/>
          <w:szCs w:val="16"/>
          <w:color w:val="auto"/>
        </w:rPr>
        <w:t>” means, except as otherwise specified, a section of this Plan.</w:t>
      </w:r>
    </w:p>
    <w:p>
      <w:pPr>
        <w:spacing w:after="0" w:line="194" w:lineRule="exact"/>
        <w:rPr>
          <w:rFonts w:ascii="Arial" w:cs="Arial" w:eastAsia="Arial" w:hAnsi="Arial"/>
          <w:sz w:val="16"/>
          <w:szCs w:val="16"/>
          <w:color w:val="auto"/>
        </w:rPr>
      </w:pPr>
    </w:p>
    <w:p>
      <w:pPr>
        <w:ind w:left="740" w:hanging="27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Common Stock, as adjusted in accordance with Section 15.</w:t>
      </w:r>
    </w:p>
    <w:p>
      <w:pPr>
        <w:spacing w:after="0" w:line="171" w:lineRule="exact"/>
        <w:rPr>
          <w:rFonts w:ascii="Arial" w:cs="Arial" w:eastAsia="Arial" w:hAnsi="Arial"/>
          <w:sz w:val="18"/>
          <w:szCs w:val="18"/>
          <w:color w:val="auto"/>
        </w:rPr>
      </w:pPr>
    </w:p>
    <w:p>
      <w:pPr>
        <w:ind w:right="60" w:firstLine="464"/>
        <w:spacing w:after="0" w:line="326" w:lineRule="auto"/>
        <w:tabs>
          <w:tab w:leader="none" w:pos="793"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 Award</w:t>
      </w:r>
      <w:r>
        <w:rPr>
          <w:rFonts w:ascii="Arial" w:cs="Arial" w:eastAsia="Arial" w:hAnsi="Arial"/>
          <w:sz w:val="15"/>
          <w:szCs w:val="15"/>
          <w:color w:val="auto"/>
        </w:rPr>
        <w:t xml:space="preserve">” </w:t>
      </w:r>
      <w:r>
        <w:rPr>
          <w:rFonts w:ascii="Arial" w:cs="Arial" w:eastAsia="Arial" w:hAnsi="Arial"/>
          <w:sz w:val="15"/>
          <w:szCs w:val="15"/>
          <w:color w:val="auto"/>
          <w:strike w:val="1"/>
        </w:rPr>
        <w:t>shall mean a grant or sale by the Company of a specified number of shares upon terms and conditions determined by the</w:t>
      </w:r>
      <w:r>
        <w:rPr>
          <w:rFonts w:ascii="Arial" w:cs="Arial" w:eastAsia="Arial" w:hAnsi="Arial"/>
          <w:sz w:val="15"/>
          <w:szCs w:val="15"/>
          <w:color w:val="auto"/>
        </w:rPr>
        <w:t xml:space="preserve"> </w:t>
      </w:r>
      <w:r>
        <w:rPr>
          <w:rFonts w:ascii="Arial" w:cs="Arial" w:eastAsia="Arial" w:hAnsi="Arial"/>
          <w:sz w:val="15"/>
          <w:szCs w:val="15"/>
          <w:color w:val="auto"/>
          <w:strike w:val="1"/>
        </w:rPr>
        <w:t>Administrtor.</w:t>
      </w:r>
      <w:r>
        <w:rPr>
          <w:rFonts w:ascii="Arial" w:cs="Arial" w:eastAsia="Arial" w:hAnsi="Arial"/>
          <w:sz w:val="15"/>
          <w:szCs w:val="15"/>
          <w:u w:val="single" w:color="auto"/>
          <w:color w:val="auto"/>
          <w:strike w:val="1"/>
        </w:rPr>
        <w:t>means an award or issuance of Shares or Stock Units made under Section 13 of the Plan, the grant, issuance, retention, vesting and/or transferability</w:t>
      </w:r>
      <w:r>
        <w:rPr>
          <w:rFonts w:ascii="Arial" w:cs="Arial" w:eastAsia="Arial" w:hAnsi="Arial"/>
          <w:sz w:val="15"/>
          <w:szCs w:val="15"/>
          <w:color w:val="auto"/>
          <w:strike w:val="1"/>
        </w:rPr>
        <w:t xml:space="preserve"> </w:t>
      </w:r>
      <w:r>
        <w:rPr>
          <w:rFonts w:ascii="Arial" w:cs="Arial" w:eastAsia="Arial" w:hAnsi="Arial"/>
          <w:sz w:val="15"/>
          <w:szCs w:val="15"/>
          <w:u w:val="single" w:color="auto"/>
          <w:color w:val="auto"/>
          <w:strike w:val="1"/>
        </w:rPr>
        <w:t>of which is subject during specified periods of time to such conditions (including without limitation continued employment or performance conditions) and terms as are determined by the Administrator and expressed in the agreement or other documents evidencing the Award (the “Stock Award Agreement”).</w:t>
      </w:r>
    </w:p>
    <w:p>
      <w:pPr>
        <w:spacing w:after="0" w:line="89" w:lineRule="exact"/>
        <w:rPr>
          <w:rFonts w:ascii="Arial" w:cs="Arial" w:eastAsia="Arial" w:hAnsi="Arial"/>
          <w:sz w:val="15"/>
          <w:szCs w:val="15"/>
          <w:color w:val="auto"/>
        </w:rPr>
      </w:pPr>
    </w:p>
    <w:p>
      <w:pPr>
        <w:ind w:right="500" w:firstLine="464"/>
        <w:spacing w:after="0" w:line="339" w:lineRule="auto"/>
        <w:tabs>
          <w:tab w:leader="none" w:pos="793" w:val="left"/>
        </w:tabs>
        <w:numPr>
          <w:ilvl w:val="0"/>
          <w:numId w:val="4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Stock Unit</w:t>
      </w:r>
      <w:r>
        <w:rPr>
          <w:rFonts w:ascii="Arial" w:cs="Arial" w:eastAsia="Arial" w:hAnsi="Arial"/>
          <w:sz w:val="16"/>
          <w:szCs w:val="16"/>
          <w:u w:val="single" w:color="auto"/>
          <w:color w:val="auto"/>
        </w:rPr>
        <w:t>” means a bookkeeping entry representing an amount equivalent to the Fair Market Value of one Share, payable in cash, property or Shares. Stock Units represent an unfunded and unsecured obligation of the Company, except as otherwise provided for by the Administrator.</w:t>
      </w:r>
    </w:p>
    <w:p>
      <w:pPr>
        <w:spacing w:after="0" w:line="74" w:lineRule="exact"/>
        <w:rPr>
          <w:rFonts w:ascii="Arial" w:cs="Arial" w:eastAsia="Arial" w:hAnsi="Arial"/>
          <w:sz w:val="16"/>
          <w:szCs w:val="16"/>
          <w:u w:val="single" w:color="auto"/>
          <w:color w:val="auto"/>
        </w:rPr>
      </w:pPr>
    </w:p>
    <w:p>
      <w:pPr>
        <w:ind w:firstLine="464"/>
        <w:spacing w:after="0" w:line="275" w:lineRule="auto"/>
        <w:tabs>
          <w:tab w:leader="none" w:pos="715" w:val="left"/>
        </w:tabs>
        <w:numPr>
          <w:ilvl w:val="0"/>
          <w:numId w:val="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u w:val="single" w:color="auto"/>
          <w:color w:val="auto"/>
        </w:rPr>
        <w:t>” means a right that entitles the Grantee to receive, in cash or Shares (as determined by the Administrator), value equal to or otherwise based on the excess of (i) the Fair Market Value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u w:val="single" w:color="auto"/>
          <w:color w:val="auto"/>
        </w:rPr>
        <w:t>a specified number of Shares at the time of exercise over (ii) the aggregate exercise price of the right, as established by the Administrator on the date of grant. Stock Appreciation Rights may be granted to Grantees either alone (freestanding) or in addition to or in tandem with other Options or Stock Awards granted under the Plan and may, but need not, relate to a specific Option granted under the Plan. Any Stock Appreciation Right granted in tandem with an Option may be granted at the same time such Option is granted or at any time thereafter before exercise or expiration of such Option. All Stock Appreciation Rights under the Plan shall be granted subject to the same terms and conditions applicable to Options as set forth in Sections 7 and 9 through 12 of the Plan; provided, however, that Stock Appreciation Rights granted in tandem with a previously granted Option shall have the terms and conditions of such Option. Subject to the provisions of Sections 7 and 9 through 12 of the Plan, the Administrator may impose such other conditions or restrictions on any Stock Appreciation Right as it shall deem appropriate. Stock Appreciation Rights may be settled in Shares or cash as determined by the Administrator</w:t>
      </w:r>
      <w:r>
        <w:rPr>
          <w:rFonts w:ascii="Arial" w:cs="Arial" w:eastAsia="Arial" w:hAnsi="Arial"/>
          <w:sz w:val="16"/>
          <w:szCs w:val="16"/>
          <w:color w:val="auto"/>
        </w:rPr>
        <w:t>.</w:t>
      </w:r>
    </w:p>
    <w:p>
      <w:pPr>
        <w:spacing w:after="0" w:line="112"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hh</w:t>
      </w:r>
      <w:r>
        <w:rPr>
          <w:rFonts w:ascii="Arial" w:cs="Arial" w:eastAsia="Arial" w:hAnsi="Arial"/>
          <w:sz w:val="18"/>
          <w:szCs w:val="18"/>
          <w:u w:val="single" w:color="auto"/>
          <w:color w:val="auto"/>
        </w:rPr>
        <w:t>jj</w:t>
      </w:r>
      <w:r>
        <w:rPr>
          <w:rFonts w:ascii="Arial" w:cs="Arial" w:eastAsia="Arial" w:hAnsi="Arial"/>
          <w:sz w:val="18"/>
          <w:szCs w:val="18"/>
          <w:color w:val="auto"/>
        </w:rPr>
        <w:t>) “</w:t>
      </w:r>
      <w:r>
        <w:rPr>
          <w:rFonts w:ascii="Arial" w:cs="Arial" w:eastAsia="Arial" w:hAnsi="Arial"/>
          <w:sz w:val="18"/>
          <w:szCs w:val="18"/>
          <w:b w:val="1"/>
          <w:bCs w:val="1"/>
          <w:color w:val="auto"/>
        </w:rPr>
        <w:t>Subsidiary</w:t>
      </w:r>
      <w:r>
        <w:rPr>
          <w:rFonts w:ascii="Arial" w:cs="Arial" w:eastAsia="Arial" w:hAnsi="Arial"/>
          <w:sz w:val="18"/>
          <w:szCs w:val="18"/>
          <w:color w:val="auto"/>
        </w:rPr>
        <w:t>” means (i) a “subsidiary corporation” with respect to the Company, whether now or later existing, as defined in Section 424(f) of the Code, or (ii) a limited liability company, whether now or later existing, which would be a “subsidiary corporation” with respect to the Company under Section 424(f) of the Code if it were a corporation.</w:t>
      </w:r>
    </w:p>
    <w:p>
      <w:pPr>
        <w:spacing w:after="0" w:line="138" w:lineRule="exact"/>
        <w:rPr>
          <w:sz w:val="20"/>
          <w:szCs w:val="20"/>
          <w:color w:val="auto"/>
        </w:rPr>
      </w:pPr>
    </w:p>
    <w:p>
      <w:pPr>
        <w:ind w:right="100" w:firstLine="8"/>
        <w:spacing w:after="0" w:line="332" w:lineRule="auto"/>
        <w:tabs>
          <w:tab w:leader="none" w:pos="176" w:val="left"/>
        </w:tabs>
        <w:numPr>
          <w:ilvl w:val="0"/>
          <w:numId w:val="42"/>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Subject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provisions of Section 15 of the Plan, the maximum aggregate number of Shares which may be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12,750,000 Shares of Common Stock. The Shares may be authorized, but unissued, or reacquired Common Stock.</w:t>
      </w:r>
    </w:p>
    <w:p>
      <w:pPr>
        <w:spacing w:after="0" w:line="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 purchased or received or that were cancelled will become available for future grant or sale under the Plan (unless the Plan has terminated). If the Company repurchases Shares which were issued pursuant to the exercise of an Option or grant of a Stock Award, however, those repurchased Shares will not be available for future grant under the Plan.</w:t>
      </w:r>
    </w:p>
    <w:p>
      <w:pPr>
        <w:spacing w:after="0" w:line="113"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460" w:right="300" w:firstLine="443"/>
        <w:spacing w:after="0" w:line="255" w:lineRule="auto"/>
        <w:tabs>
          <w:tab w:leader="none" w:pos="1108" w:val="left"/>
        </w:tabs>
        <w:numPr>
          <w:ilvl w:val="2"/>
          <w:numId w:val="43"/>
        </w:numPr>
        <w:rPr>
          <w:rFonts w:ascii="Arial" w:cs="Arial" w:eastAsia="Arial" w:hAnsi="Arial"/>
          <w:sz w:val="18"/>
          <w:szCs w:val="18"/>
          <w:color w:val="auto"/>
        </w:rPr>
      </w:pPr>
      <w:r>
        <w:rPr>
          <w:rFonts w:ascii="Arial" w:cs="Arial" w:eastAsia="Arial" w:hAnsi="Arial"/>
          <w:sz w:val="18"/>
          <w:szCs w:val="18"/>
          <w:color w:val="auto"/>
        </w:rPr>
        <w:t>Composition of the Administrator. Unless the Board expressly resolves to the contrary, the Plan will be administered only by a Committee, which will then consist solely of persons appointed by 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61" w:lineRule="exact"/>
        <w:rPr>
          <w:rFonts w:ascii="Arial" w:cs="Arial" w:eastAsia="Arial" w:hAnsi="Arial"/>
          <w:sz w:val="18"/>
          <w:szCs w:val="18"/>
          <w:color w:val="auto"/>
        </w:rPr>
      </w:pPr>
    </w:p>
    <w:p>
      <w:pPr>
        <w:ind w:left="460" w:firstLine="443"/>
        <w:spacing w:after="0" w:line="268" w:lineRule="auto"/>
        <w:tabs>
          <w:tab w:leader="none" w:pos="1156" w:val="left"/>
        </w:tabs>
        <w:numPr>
          <w:ilvl w:val="2"/>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Multiple Administrative Bodies</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may be administered by different bodies with respect to Directors, Officers who are not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Consultants who are neither Directors nor Officers.</w:t>
      </w:r>
    </w:p>
    <w:p>
      <w:pPr>
        <w:spacing w:after="0" w:line="132" w:lineRule="exact"/>
        <w:rPr>
          <w:sz w:val="20"/>
          <w:szCs w:val="20"/>
          <w:color w:val="auto"/>
        </w:rPr>
      </w:pPr>
    </w:p>
    <w:p>
      <w:pPr>
        <w:ind w:right="220" w:firstLine="8"/>
        <w:spacing w:after="0" w:line="268"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Powers of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the Plan, and in the case of a Committee, subject to the specific duties delegated by the 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Committee, the Administrator will have the authority, in its discretion: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90" w:lineRule="exact"/>
        <w:rPr>
          <w:rFonts w:ascii="Arial" w:cs="Arial" w:eastAsia="Arial" w:hAnsi="Arial"/>
          <w:sz w:val="18"/>
          <w:szCs w:val="18"/>
          <w:color w:val="auto"/>
        </w:rPr>
      </w:pPr>
    </w:p>
    <w:p>
      <w:pPr>
        <w:ind w:left="460" w:right="160" w:firstLine="443"/>
        <w:spacing w:after="0" w:line="259" w:lineRule="auto"/>
        <w:tabs>
          <w:tab w:leader="none" w:pos="11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to select the Employees, Consultants or Directors to whom Options or Stock Awards may be granted; </w:t>
      </w:r>
      <w:r>
        <w:rPr>
          <w:rFonts w:ascii="Arial" w:cs="Arial" w:eastAsia="Arial" w:hAnsi="Arial"/>
          <w:sz w:val="18"/>
          <w:szCs w:val="18"/>
          <w:color w:val="auto"/>
          <w:strike w:val="1"/>
        </w:rPr>
        <w:t>provided, however, that the Administrator</w:t>
      </w:r>
      <w:r>
        <w:rPr>
          <w:rFonts w:ascii="Arial" w:cs="Arial" w:eastAsia="Arial" w:hAnsi="Arial"/>
          <w:sz w:val="18"/>
          <w:szCs w:val="18"/>
          <w:color w:val="auto"/>
        </w:rPr>
        <w:t xml:space="preserve"> </w:t>
      </w:r>
      <w:r>
        <w:rPr>
          <w:rFonts w:ascii="Arial" w:cs="Arial" w:eastAsia="Arial" w:hAnsi="Arial"/>
          <w:sz w:val="18"/>
          <w:szCs w:val="18"/>
          <w:color w:val="auto"/>
          <w:strike w:val="1"/>
        </w:rPr>
        <w:t>shall have no authority or discretion to grant an Option or Stock Award to any Employee, Consultant or Director who owns more than five percent of the issued and outstanding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20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determine whether and to what extent Options or Stock Awards are granted, and whether Options are intended as Incentive Stock Options or Nonqualified Stock Options;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90" w:lineRule="exact"/>
        <w:rPr>
          <w:rFonts w:ascii="Arial" w:cs="Arial" w:eastAsia="Arial" w:hAnsi="Arial"/>
          <w:sz w:val="18"/>
          <w:szCs w:val="18"/>
          <w:color w:val="auto"/>
        </w:rPr>
      </w:pPr>
    </w:p>
    <w:p>
      <w:pPr>
        <w:ind w:left="460" w:right="100" w:firstLine="443"/>
        <w:spacing w:after="0" w:line="253" w:lineRule="auto"/>
        <w:tabs>
          <w:tab w:leader="none" w:pos="1196"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to determine the terms and conditions, not inconsistent with the terms of this Plan, of any grant of Options or Stock Awards, including, but not limited to, (A)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8"/>
          <w:szCs w:val="18"/>
          <w:i w:val="1"/>
          <w:iCs w:val="1"/>
          <w:color w:val="auto"/>
        </w:rPr>
        <w:t>(1)</w:t>
      </w:r>
      <w:r>
        <w:rPr>
          <w:rFonts w:ascii="Arial" w:cs="Arial" w:eastAsia="Arial" w:hAnsi="Arial"/>
          <w:sz w:val="18"/>
          <w:szCs w:val="18"/>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8"/>
          <w:szCs w:val="18"/>
          <w:i w:val="1"/>
          <w:iCs w:val="1"/>
          <w:color w:val="auto"/>
        </w:rPr>
        <w:t>(2)</w:t>
      </w:r>
      <w:r>
        <w:rPr>
          <w:rFonts w:ascii="Arial" w:cs="Arial" w:eastAsia="Arial" w:hAnsi="Arial"/>
          <w:sz w:val="18"/>
          <w:szCs w:val="18"/>
          <w:color w:val="auto"/>
        </w:rPr>
        <w:t xml:space="preserve"> a right of repurchase in favor of the Company upon termination of the Grantee’s Continuous Status as an Employee, Director or Consultant;</w:t>
      </w:r>
    </w:p>
    <w:p>
      <w:pPr>
        <w:spacing w:after="0" w:line="64" w:lineRule="exact"/>
        <w:rPr>
          <w:rFonts w:ascii="Arial" w:cs="Arial" w:eastAsia="Arial" w:hAnsi="Arial"/>
          <w:sz w:val="18"/>
          <w:szCs w:val="18"/>
          <w:color w:val="auto"/>
        </w:rPr>
      </w:pPr>
    </w:p>
    <w:p>
      <w:pPr>
        <w:ind w:left="1240" w:hanging="337"/>
        <w:spacing w:after="0"/>
        <w:tabs>
          <w:tab w:leader="none" w:pos="12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to institute an Option Exchange Program, but only if such Option Exchange Program has been pre-approved by the Company’s stockholders;</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90" w:lineRule="exact"/>
        <w:rPr>
          <w:rFonts w:ascii="Arial" w:cs="Arial" w:eastAsia="Arial" w:hAnsi="Arial"/>
          <w:sz w:val="18"/>
          <w:szCs w:val="18"/>
          <w:color w:val="auto"/>
        </w:rPr>
      </w:pPr>
    </w:p>
    <w:p>
      <w:pPr>
        <w:ind w:right="500" w:firstLine="464"/>
        <w:spacing w:after="0" w:line="332"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Administrator’s Decision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Administrator’s decisions, determinations and interpretations will be final and binding on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Stock Awards. The Administrator shall not be required to exercise its authority or discretion on a uniform or nondiscriminatory basis.</w:t>
      </w:r>
    </w:p>
    <w:p>
      <w:pPr>
        <w:spacing w:after="0" w:line="85" w:lineRule="exact"/>
        <w:rPr>
          <w:rFonts w:ascii="Arial" w:cs="Arial" w:eastAsia="Arial" w:hAnsi="Arial"/>
          <w:sz w:val="16"/>
          <w:szCs w:val="16"/>
          <w:color w:val="auto"/>
        </w:rPr>
      </w:pPr>
    </w:p>
    <w:p>
      <w:pPr>
        <w:ind w:firstLine="8"/>
        <w:spacing w:after="0" w:line="294"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under this Plan may be Incentive Stock Options or Nonqualified Stock Options, as determined by the Administrator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Nonqualified Stock Options and Stock Awards may be granted to Employees, Consultants and Directors. Incentive 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15" w:lineRule="exact"/>
        <w:rPr>
          <w:rFonts w:ascii="Arial" w:cs="Arial" w:eastAsia="Arial" w:hAnsi="Arial"/>
          <w:sz w:val="16"/>
          <w:szCs w:val="16"/>
          <w:color w:val="auto"/>
        </w:rPr>
      </w:pPr>
    </w:p>
    <w:p>
      <w:pPr>
        <w:ind w:right="20" w:firstLine="8"/>
        <w:spacing w:after="0" w:line="294"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Limitations on Grants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will be designated in the Grant Notice as either an Incentive Stock Option or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However, notwithstanding such designations, if the Shares subject to an Optionee’s Incentive Stock Options (granted under all 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8"/>
        <w:spacing w:after="0" w:line="255"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 on Annual Grants to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after such time as the Company is required to be registered pursuant to Section 12 of the Exchange Act, no</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may receive grants, during any fiscal year of the Company or portion thereof, of Options which, in the aggregate, cover more than 1,500,000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42" w:lineRule="exact"/>
        <w:rPr>
          <w:rFonts w:ascii="Arial" w:cs="Arial" w:eastAsia="Arial" w:hAnsi="Arial"/>
          <w:sz w:val="18"/>
          <w:szCs w:val="18"/>
          <w:color w:val="auto"/>
        </w:rPr>
      </w:pPr>
    </w:p>
    <w:p>
      <w:pPr>
        <w:ind w:right="240" w:firstLine="8"/>
        <w:spacing w:after="0" w:line="256"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Term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21, this Plan will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 described in Section 21. It will continue in effect for a term of twenty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43" w:lineRule="exact"/>
        <w:rPr>
          <w:rFonts w:ascii="Arial" w:cs="Arial" w:eastAsia="Arial" w:hAnsi="Arial"/>
          <w:sz w:val="18"/>
          <w:szCs w:val="18"/>
          <w:color w:val="auto"/>
        </w:rPr>
      </w:pPr>
    </w:p>
    <w:p>
      <w:pPr>
        <w:ind w:right="120" w:firstLine="8"/>
        <w:spacing w:after="0" w:line="298"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i w:val="1"/>
          <w:iCs w:val="1"/>
          <w:u w:val="single" w:color="auto"/>
          <w:color w:val="auto"/>
        </w:rPr>
        <w:t>Term of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each Option will be stated in the Option Agreement;</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in no event may the term be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Option Exercise Price and Consideration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464"/>
        <w:spacing w:after="0" w:line="294"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Shares to be issued pursuant to exercise of an Incentive Stock Option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115" w:lineRule="exact"/>
        <w:rPr>
          <w:rFonts w:ascii="Arial" w:cs="Arial" w:eastAsia="Arial" w:hAnsi="Arial"/>
          <w:sz w:val="16"/>
          <w:szCs w:val="16"/>
          <w:color w:val="auto"/>
        </w:rPr>
      </w:pPr>
    </w:p>
    <w:p>
      <w:pPr>
        <w:ind w:right="240" w:firstLine="464"/>
        <w:spacing w:after="0" w:line="268"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Price of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a Nonqualified Stock Option, the exercise price for Shares to be issued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any such Option will be determined by the Administrator.</w:t>
      </w:r>
    </w:p>
    <w:p>
      <w:pPr>
        <w:spacing w:after="0" w:line="131" w:lineRule="exact"/>
        <w:rPr>
          <w:rFonts w:ascii="Arial" w:cs="Arial" w:eastAsia="Arial" w:hAnsi="Arial"/>
          <w:sz w:val="18"/>
          <w:szCs w:val="18"/>
          <w:color w:val="auto"/>
        </w:rPr>
      </w:pPr>
    </w:p>
    <w:p>
      <w:pPr>
        <w:ind w:right="100" w:firstLine="464"/>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Waiting Period and Exercise Dates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 Option is granted, the Administrator will fix the period within which the Option may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Form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will determine the acceptable form of consideration for exercising an Option, including the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Such consideration may consist partially or entirely of:</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pacing w:after="0" w:line="90" w:lineRule="exact"/>
        <w:rPr>
          <w:rFonts w:ascii="Arial" w:cs="Arial" w:eastAsia="Arial" w:hAnsi="Arial"/>
          <w:sz w:val="18"/>
          <w:szCs w:val="18"/>
          <w:color w:val="auto"/>
        </w:rPr>
      </w:pPr>
    </w:p>
    <w:p>
      <w:pPr>
        <w:ind w:left="460" w:firstLine="443"/>
        <w:spacing w:after="0" w:line="332" w:lineRule="auto"/>
        <w:tabs>
          <w:tab w:leader="none" w:pos="1205" w:val="left"/>
        </w:tabs>
        <w:numPr>
          <w:ilvl w:val="2"/>
          <w:numId w:val="48"/>
        </w:numPr>
        <w:rPr>
          <w:rFonts w:ascii="Arial" w:cs="Arial" w:eastAsia="Arial" w:hAnsi="Arial"/>
          <w:sz w:val="16"/>
          <w:szCs w:val="16"/>
          <w:color w:val="auto"/>
        </w:rPr>
      </w:pPr>
      <w:r>
        <w:rPr>
          <w:rFonts w:ascii="Arial" w:cs="Arial" w:eastAsia="Arial" w:hAnsi="Arial"/>
          <w:sz w:val="16"/>
          <w:szCs w:val="16"/>
          <w:color w:val="auto"/>
          <w:strike w:val="1"/>
        </w:rPr>
        <w:t>other</w:t>
      </w:r>
      <w:r>
        <w:rPr>
          <w:rFonts w:ascii="Arial" w:cs="Arial" w:eastAsia="Arial" w:hAnsi="Arial"/>
          <w:sz w:val="16"/>
          <w:szCs w:val="16"/>
          <w:color w:val="auto"/>
        </w:rPr>
        <w:t xml:space="preserve"> Shares </w:t>
      </w:r>
      <w:r>
        <w:rPr>
          <w:rFonts w:ascii="Arial" w:cs="Arial" w:eastAsia="Arial" w:hAnsi="Arial"/>
          <w:sz w:val="16"/>
          <w:szCs w:val="16"/>
          <w:u w:val="single" w:color="auto"/>
          <w:color w:val="auto"/>
        </w:rPr>
        <w:t>issuable under the Option or owned by the Grantee that are retained or delivered (either actually or by attestation)</w:t>
      </w:r>
      <w:r>
        <w:rPr>
          <w:rFonts w:ascii="Arial" w:cs="Arial" w:eastAsia="Arial" w:hAnsi="Arial"/>
          <w:sz w:val="16"/>
          <w:szCs w:val="16"/>
          <w:color w:val="auto"/>
        </w:rPr>
        <w:t xml:space="preserve"> which have a Fair Market Value on the date of surrender equal to the aggregate exercise price of the Shares as to which an Option will be exercised;</w:t>
      </w:r>
    </w:p>
    <w:p>
      <w:pPr>
        <w:spacing w:after="0" w:line="4" w:lineRule="exact"/>
        <w:rPr>
          <w:rFonts w:ascii="Arial" w:cs="Arial" w:eastAsia="Arial" w:hAnsi="Arial"/>
          <w:sz w:val="16"/>
          <w:szCs w:val="16"/>
          <w:color w:val="auto"/>
        </w:rPr>
      </w:pPr>
    </w:p>
    <w:p>
      <w:pPr>
        <w:ind w:left="460" w:right="520" w:firstLine="443"/>
        <w:spacing w:after="0" w:line="370" w:lineRule="auto"/>
        <w:tabs>
          <w:tab w:leader="none" w:pos="1196" w:val="left"/>
        </w:tabs>
        <w:numPr>
          <w:ilvl w:val="2"/>
          <w:numId w:val="48"/>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171" w:lineRule="exact"/>
        <w:rPr>
          <w:rFonts w:ascii="Arial" w:cs="Arial" w:eastAsia="Arial" w:hAnsi="Arial"/>
          <w:sz w:val="18"/>
          <w:szCs w:val="18"/>
          <w:color w:val="auto"/>
        </w:rPr>
      </w:pPr>
    </w:p>
    <w:p>
      <w:pPr>
        <w:jc w:val="both"/>
        <w:ind w:right="20" w:firstLine="464"/>
        <w:spacing w:after="0" w:line="298"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i w:val="1"/>
          <w:iCs w:val="1"/>
          <w:u w:val="single" w:color="auto"/>
          <w:color w:val="auto"/>
        </w:rPr>
        <w:t>No Repricing without Shareholder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 connection with a change in the Company’s capitalization (as described in Section 15),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may not, without the approval of shareholders, “reprice” any Options or Stock Appreciation Rights. For purposes of this Plan, the term “reprice” means reducing the exercise price of outstanding Options or </w:t>
      </w:r>
      <w:r>
        <w:rPr>
          <w:rFonts w:ascii="Arial" w:cs="Arial" w:eastAsia="Arial" w:hAnsi="Arial"/>
          <w:sz w:val="16"/>
          <w:szCs w:val="16"/>
          <w:u w:val="single" w:color="auto"/>
          <w:color w:val="auto"/>
        </w:rPr>
        <w:t>Stock Appreciation Rights or</w:t>
      </w:r>
      <w:r>
        <w:rPr>
          <w:rFonts w:ascii="Arial" w:cs="Arial" w:eastAsia="Arial" w:hAnsi="Arial"/>
          <w:sz w:val="16"/>
          <w:szCs w:val="16"/>
          <w:color w:val="auto"/>
        </w:rPr>
        <w:t xml:space="preserve"> canceling outstanding Options </w:t>
      </w:r>
      <w:r>
        <w:rPr>
          <w:rFonts w:ascii="Arial" w:cs="Arial" w:eastAsia="Arial" w:hAnsi="Arial"/>
          <w:sz w:val="16"/>
          <w:szCs w:val="16"/>
          <w:u w:val="single" w:color="auto"/>
          <w:color w:val="auto"/>
        </w:rPr>
        <w:t>or Stock Appreciation Rights</w:t>
      </w:r>
      <w:r>
        <w:rPr>
          <w:rFonts w:ascii="Arial" w:cs="Arial" w:eastAsia="Arial" w:hAnsi="Arial"/>
          <w:sz w:val="16"/>
          <w:szCs w:val="16"/>
          <w:color w:val="auto"/>
        </w:rPr>
        <w:t xml:space="preserve"> with a purchase price in excess of Fair Market Value in exchange for cash or new Options or Stock Appreciation Rights with a lower exercise price or other Stock Awards.</w:t>
      </w:r>
    </w:p>
    <w:p>
      <w:pPr>
        <w:spacing w:after="0" w:line="112" w:lineRule="exact"/>
        <w:rPr>
          <w:rFonts w:ascii="Arial" w:cs="Arial" w:eastAsia="Arial" w:hAnsi="Arial"/>
          <w:sz w:val="16"/>
          <w:szCs w:val="16"/>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of Option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260" w:firstLine="464"/>
        <w:spacing w:after="0" w:line="259"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 for Exercise; Rights as a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granted hereunder will be exercisable according to the terms of the Plan and at times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under conditions determined by the Administrator and set forth in the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 Option may not be exercised for a fraction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-1011555</wp:posOffset>
            </wp:positionV>
            <wp:extent cx="13315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31595" cy="889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-736600</wp:posOffset>
            </wp:positionV>
            <wp:extent cx="1331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 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 to the Optioned Stock, notwithstanding the exercise of the Option. Subject to the provisions of Sections 14, 18, and 19, the Company will issue (or cause to be issued) such stock certificate promptly after the Option is 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1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132" w:lineRule="exact"/>
        <w:rPr>
          <w:sz w:val="20"/>
          <w:szCs w:val="20"/>
          <w:color w:val="auto"/>
        </w:rPr>
      </w:pPr>
    </w:p>
    <w:p>
      <w:pPr>
        <w:ind w:firstLine="464"/>
        <w:spacing w:after="0" w:line="288"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Employment or Consulting Relationship or Directorship</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holds exercisable Options on the date his or her Continuous</w:t>
      </w:r>
      <w:r>
        <w:rPr>
          <w:rFonts w:ascii="Arial" w:cs="Arial" w:eastAsia="Arial" w:hAnsi="Arial"/>
          <w:sz w:val="16"/>
          <w:szCs w:val="16"/>
          <w:i w:val="1"/>
          <w:iCs w:val="1"/>
          <w:color w:val="auto"/>
        </w:rPr>
        <w:t xml:space="preserve"> </w:t>
      </w:r>
      <w:r>
        <w:rPr>
          <w:rFonts w:ascii="Arial" w:cs="Arial" w:eastAsia="Arial" w:hAnsi="Arial"/>
          <w:sz w:val="16"/>
          <w:szCs w:val="16"/>
          <w:color w:val="auto"/>
        </w:rPr>
        <w:t>Status as an Employee, Director or Consultant terminates (other than because of termination due to Cause, death or Disability), the Optionee may exercise 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9" w:lineRule="exact"/>
        <w:rPr>
          <w:rFonts w:ascii="Arial" w:cs="Arial" w:eastAsia="Arial" w:hAnsi="Arial"/>
          <w:sz w:val="16"/>
          <w:szCs w:val="16"/>
          <w:color w:val="auto"/>
        </w:rPr>
      </w:pPr>
    </w:p>
    <w:p>
      <w:pPr>
        <w:ind w:right="160" w:firstLine="464"/>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Disability of Optionee</w:t>
      </w:r>
      <w:r>
        <w:rPr>
          <w:rFonts w:ascii="Arial" w:cs="Arial" w:eastAsia="Arial" w:hAnsi="Arial"/>
          <w:sz w:val="18"/>
          <w:szCs w:val="18"/>
          <w:i w:val="1"/>
          <w:iCs w:val="1"/>
          <w:color w:val="auto"/>
        </w:rPr>
        <w:t xml:space="preserve">. </w:t>
      </w:r>
      <w:r>
        <w:rPr>
          <w:rFonts w:ascii="Arial" w:cs="Arial" w:eastAsia="Arial" w:hAnsi="Arial"/>
          <w:sz w:val="18"/>
          <w:szCs w:val="18"/>
          <w:color w:val="auto"/>
        </w:rPr>
        <w:t>If an Optionee holds exercisable Options on the date his or her Continuous Status as an Employee, Director or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because of Disability, the Optionee may exercise the Options that were vested and exercisable as of the date of termination for a period of 12 months following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20" w:lineRule="exact"/>
        <w:rPr>
          <w:sz w:val="20"/>
          <w:szCs w:val="20"/>
          <w:color w:val="auto"/>
        </w:rPr>
      </w:pPr>
    </w:p>
    <w:p>
      <w:pPr>
        <w:ind w:firstLine="464"/>
        <w:spacing w:after="0" w:line="289"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Optionee</w:t>
      </w:r>
      <w:r>
        <w:rPr>
          <w:rFonts w:ascii="Arial" w:cs="Arial" w:eastAsia="Arial" w:hAnsi="Arial"/>
          <w:sz w:val="16"/>
          <w:szCs w:val="16"/>
          <w:color w:val="auto"/>
        </w:rPr>
        <w:t>. If an Optionee holds exercisable Options on the date his or her death, the Optionee’s estate or a person who acquired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Optionee’s estate or a person who acquired the right to exercise the Option by bequest or inheritance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right="740" w:firstLine="464"/>
        <w:spacing w:after="0" w:line="268"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If an Optionee’s Continuous Status as an Employee, Director or Consultant is terminated for Cause, then 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vested Options) held by Optionee shall immediately be terminated and cancelled.</w:t>
      </w:r>
    </w:p>
    <w:p>
      <w:pPr>
        <w:spacing w:after="0" w:line="131" w:lineRule="exact"/>
        <w:rPr>
          <w:rFonts w:ascii="Arial" w:cs="Arial" w:eastAsia="Arial" w:hAnsi="Arial"/>
          <w:sz w:val="18"/>
          <w:szCs w:val="18"/>
          <w:color w:val="auto"/>
        </w:rPr>
      </w:pPr>
    </w:p>
    <w:p>
      <w:pPr>
        <w:ind w:right="80" w:firstLine="464"/>
        <w:spacing w:after="0" w:line="256" w:lineRule="auto"/>
        <w:tabs>
          <w:tab w:leader="none" w:pos="676" w:val="left"/>
        </w:tabs>
        <w:numPr>
          <w:ilvl w:val="1"/>
          <w:numId w:val="53"/>
        </w:numPr>
        <w:rPr>
          <w:rFonts w:ascii="Arial" w:cs="Arial" w:eastAsia="Arial" w:hAnsi="Arial"/>
          <w:sz w:val="18"/>
          <w:szCs w:val="18"/>
          <w:color w:val="auto"/>
        </w:rPr>
      </w:pPr>
      <w:r>
        <w:rPr>
          <w:rFonts w:ascii="Arial" w:cs="Arial" w:eastAsia="Arial" w:hAnsi="Arial"/>
          <w:sz w:val="18"/>
          <w:szCs w:val="18"/>
          <w:i w:val="1"/>
          <w:iCs w:val="1"/>
          <w:u w:val="single" w:color="auto"/>
          <w:color w:val="auto"/>
        </w:rPr>
        <w:t>Disqualifying Dispositions of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If Common Stock acquired upon exercise of any Incentive Stock Option is disposed of in a</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that, under Section 422 of the Code, disqualifies the holder from the application of Section 421(a) of the Code, the holder of the Common Stock immediately before the disposition will comply with any requirements imposed by the Company in order to enable the Company to secure the related income tax deduction to which it is entitled in such event.</w:t>
      </w:r>
    </w:p>
    <w:p>
      <w:pPr>
        <w:spacing w:after="0" w:line="143"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40" w:firstLine="464"/>
        <w:spacing w:after="0" w:line="289"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i w:val="1"/>
          <w:iCs w:val="1"/>
          <w:u w:val="single" w:color="auto"/>
          <w:color w:val="auto"/>
        </w:rPr>
        <w:t>No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may not be sold, pledged, assigned, hypothecated, transferred, or disposed of in any manner other than by will or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 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w:t>
      </w:r>
    </w:p>
    <w:p>
      <w:pPr>
        <w:spacing w:after="0" w:line="118" w:lineRule="exact"/>
        <w:rPr>
          <w:rFonts w:ascii="Arial" w:cs="Arial" w:eastAsia="Arial" w:hAnsi="Arial"/>
          <w:sz w:val="16"/>
          <w:szCs w:val="16"/>
          <w:color w:val="auto"/>
        </w:rPr>
      </w:pPr>
    </w:p>
    <w:p>
      <w:pPr>
        <w:ind w:right="120" w:firstLine="464"/>
        <w:spacing w:after="0" w:line="256"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Designation of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Optionee may file a written designation of a beneficiary who is to receive any Options that remain unexercised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143" w:lineRule="exact"/>
        <w:rPr>
          <w:rFonts w:ascii="Arial" w:cs="Arial" w:eastAsia="Arial" w:hAnsi="Arial"/>
          <w:sz w:val="18"/>
          <w:szCs w:val="18"/>
          <w:color w:val="auto"/>
        </w:rPr>
      </w:pPr>
    </w:p>
    <w:p>
      <w:pPr>
        <w:ind w:right="660" w:firstLine="464"/>
        <w:spacing w:after="0" w:line="268" w:lineRule="auto"/>
        <w:tabs>
          <w:tab w:leader="none" w:pos="695" w:val="left"/>
        </w:tabs>
        <w:numPr>
          <w:ilvl w:val="1"/>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 of No Designation</w:t>
      </w:r>
      <w:r>
        <w:rPr>
          <w:rFonts w:ascii="Arial" w:cs="Arial" w:eastAsia="Arial" w:hAnsi="Arial"/>
          <w:sz w:val="18"/>
          <w:szCs w:val="18"/>
          <w:i w:val="1"/>
          <w:iCs w:val="1"/>
          <w:color w:val="auto"/>
        </w:rPr>
        <w:t xml:space="preserve">. </w:t>
      </w:r>
      <w:r>
        <w:rPr>
          <w:rFonts w:ascii="Arial" w:cs="Arial" w:eastAsia="Arial" w:hAnsi="Arial"/>
          <w:sz w:val="18"/>
          <w:szCs w:val="18"/>
          <w:color w:val="auto"/>
        </w:rPr>
        <w:t>If an Optionee dies and there is no beneficiary validly designated and living at the time of the Optionee’s death,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deliver such Optionee’s Options to the executor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140" w:lineRule="exact"/>
        <w:rPr>
          <w:sz w:val="20"/>
          <w:szCs w:val="20"/>
          <w:color w:val="auto"/>
        </w:rPr>
      </w:pPr>
    </w:p>
    <w:p>
      <w:pPr>
        <w:ind w:right="20" w:firstLine="464"/>
        <w:spacing w:after="0" w:line="291"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Spouse or Dissolution of Marriage</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designates his or her spouse as beneficiary, that designation will be deemed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revoked 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20" w:lineRule="exact"/>
        <w:rPr>
          <w:rFonts w:ascii="Arial" w:cs="Arial" w:eastAsia="Arial" w:hAnsi="Arial"/>
          <w:sz w:val="16"/>
          <w:szCs w:val="16"/>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Awards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jc w:val="both"/>
        <w:ind w:right="60" w:firstLine="464"/>
        <w:spacing w:after="0" w:line="323" w:lineRule="auto"/>
        <w:tabs>
          <w:tab w:leader="none" w:pos="695" w:val="left"/>
        </w:tabs>
        <w:numPr>
          <w:ilvl w:val="1"/>
          <w:numId w:val="56"/>
        </w:numPr>
        <w:rPr>
          <w:rFonts w:ascii="Arial" w:cs="Arial" w:eastAsia="Arial" w:hAnsi="Arial"/>
          <w:sz w:val="15"/>
          <w:szCs w:val="15"/>
          <w:color w:val="auto"/>
        </w:rPr>
      </w:pPr>
      <w:r>
        <w:rPr>
          <w:rFonts w:ascii="Arial" w:cs="Arial" w:eastAsia="Arial" w:hAnsi="Arial"/>
          <w:sz w:val="15"/>
          <w:szCs w:val="15"/>
          <w:i w:val="1"/>
          <w:iCs w:val="1"/>
          <w:u w:val="single" w:color="auto"/>
          <w:color w:val="auto"/>
        </w:rPr>
        <w:t>Grant</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express provisions and limitations of the Plan, the Administrator, in its sole and absolute discretion, may grant Stock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97" w:lineRule="exact"/>
        <w:rPr>
          <w:rFonts w:ascii="Arial" w:cs="Arial" w:eastAsia="Arial" w:hAnsi="Arial"/>
          <w:sz w:val="15"/>
          <w:szCs w:val="15"/>
          <w:color w:val="auto"/>
        </w:rPr>
      </w:pPr>
    </w:p>
    <w:p>
      <w:pPr>
        <w:ind w:firstLine="464"/>
        <w:spacing w:after="0" w:line="289"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in its sole and absolute discretion, may impose restrictions in connection with any Stock Award,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(i) imposing a restricted period during which all or a portion of the Common Stock subject to the Stock Award may not be sold, assigned, transferred, pledged or otherwise encumbered (the “Restricted Period”), (ii) providing for a vesting schedule with respect to such Common Stock such that if a Grantee ceases to be an Employee, Consultant or Director during 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118" w:lineRule="exact"/>
        <w:rPr>
          <w:rFonts w:ascii="Arial" w:cs="Arial" w:eastAsia="Arial" w:hAnsi="Arial"/>
          <w:sz w:val="16"/>
          <w:szCs w:val="16"/>
          <w:color w:val="auto"/>
        </w:rPr>
      </w:pPr>
    </w:p>
    <w:p>
      <w:pPr>
        <w:ind w:firstLine="464"/>
        <w:spacing w:after="0" w:line="289" w:lineRule="auto"/>
        <w:tabs>
          <w:tab w:leader="none" w:pos="695" w:val="left"/>
        </w:tabs>
        <w:numPr>
          <w:ilvl w:val="1"/>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Rights As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of any agreement governing a Stock Award, the Grantee of a Stock Award shall have all the rights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 with respect to the Common Stock issued pursuant to a Stock Award, including the right to vote such Shares </w:t>
      </w:r>
      <w:r>
        <w:rPr>
          <w:rFonts w:ascii="Arial" w:cs="Arial" w:eastAsia="Arial" w:hAnsi="Arial"/>
          <w:sz w:val="16"/>
          <w:szCs w:val="16"/>
          <w:u w:val="single" w:color="auto"/>
          <w:color w:val="auto"/>
        </w:rPr>
        <w:t>only after Shares are issued (as</w:t>
      </w:r>
      <w:r>
        <w:rPr>
          <w:rFonts w:ascii="Arial" w:cs="Arial" w:eastAsia="Arial" w:hAnsi="Arial"/>
          <w:sz w:val="16"/>
          <w:szCs w:val="16"/>
          <w:color w:val="auto"/>
        </w:rPr>
        <w:t xml:space="preserve"> </w:t>
      </w:r>
      <w:r>
        <w:rPr>
          <w:rFonts w:ascii="Arial" w:cs="Arial" w:eastAsia="Arial" w:hAnsi="Arial"/>
          <w:sz w:val="16"/>
          <w:szCs w:val="16"/>
          <w:u w:val="single" w:color="auto"/>
          <w:color w:val="auto"/>
        </w:rPr>
        <w:t>evidenced by the appropriate entry on the books of the Company or of a duly authorized transfer agent of the Company) under a Stock Award</w:t>
      </w:r>
      <w:r>
        <w:rPr>
          <w:rFonts w:ascii="Arial" w:cs="Arial" w:eastAsia="Arial" w:hAnsi="Arial"/>
          <w:sz w:val="16"/>
          <w:szCs w:val="16"/>
          <w:color w:val="auto"/>
        </w:rPr>
        <w:t xml:space="preserve">; provided, however, that </w:t>
      </w:r>
      <w:r>
        <w:rPr>
          <w:rFonts w:ascii="Arial" w:cs="Arial" w:eastAsia="Arial" w:hAnsi="Arial"/>
          <w:sz w:val="16"/>
          <w:szCs w:val="16"/>
          <w:u w:val="single" w:color="auto"/>
          <w:color w:val="auto"/>
        </w:rPr>
        <w:t>(i)</w:t>
      </w:r>
      <w:r>
        <w:rPr>
          <w:rFonts w:ascii="Arial" w:cs="Arial" w:eastAsia="Arial" w:hAnsi="Arial"/>
          <w:sz w:val="16"/>
          <w:szCs w:val="16"/>
          <w:color w:val="auto"/>
        </w:rPr>
        <w:t xml:space="preserve"> dividends or distributions paid with respect to any such Shares which have </w:t>
      </w:r>
      <w:r>
        <w:rPr>
          <w:rFonts w:ascii="Arial" w:cs="Arial" w:eastAsia="Arial" w:hAnsi="Arial"/>
          <w:sz w:val="16"/>
          <w:szCs w:val="16"/>
          <w:u w:val="single" w:color="auto"/>
          <w:color w:val="auto"/>
        </w:rPr>
        <w:t>been issued but which have</w:t>
      </w:r>
      <w:r>
        <w:rPr>
          <w:rFonts w:ascii="Arial" w:cs="Arial" w:eastAsia="Arial" w:hAnsi="Arial"/>
          <w:sz w:val="16"/>
          <w:szCs w:val="16"/>
          <w:color w:val="auto"/>
        </w:rPr>
        <w:t xml:space="preserve"> not vested shall be deposited with the Company and shall be subject to forfeiture until the underlying Shares have vested unless otherwise provided by the Administrator in its sole discretion</w:t>
      </w:r>
      <w:r>
        <w:rPr>
          <w:rFonts w:ascii="Arial" w:cs="Arial" w:eastAsia="Arial" w:hAnsi="Arial"/>
          <w:sz w:val="16"/>
          <w:szCs w:val="16"/>
          <w:u w:val="single" w:color="auto"/>
          <w:color w:val="auto"/>
        </w:rPr>
        <w:t>, and (ii)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Administrator shall specify whether dividends or dividend equivalent amounts shall be paid or accrued with respect to the Shares subject to any Stock Unit and may provide that such dividends are credited in the form of additional Stock Units subject to the same terms and conditions as the Stock Unit award</w:t>
      </w:r>
      <w:r>
        <w:rPr>
          <w:rFonts w:ascii="Arial" w:cs="Arial" w:eastAsia="Arial" w:hAnsi="Arial"/>
          <w:sz w:val="16"/>
          <w:szCs w:val="16"/>
          <w:color w:val="auto"/>
        </w:rPr>
        <w:t>. A Grantee shall not be entitled to interest with respect to the dividends or distributions so deposited.</w:t>
      </w:r>
    </w:p>
    <w:p>
      <w:pPr>
        <w:spacing w:after="0" w:line="118" w:lineRule="exact"/>
        <w:rPr>
          <w:rFonts w:ascii="Arial" w:cs="Arial" w:eastAsia="Arial" w:hAnsi="Arial"/>
          <w:sz w:val="16"/>
          <w:szCs w:val="16"/>
          <w:color w:val="auto"/>
        </w:rPr>
      </w:pPr>
    </w:p>
    <w:p>
      <w:pPr>
        <w:ind w:right="20" w:firstLine="8"/>
        <w:spacing w:after="0" w:line="255" w:lineRule="auto"/>
        <w:tabs>
          <w:tab w:leader="none" w:pos="263"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Withholding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have the right to take whatever steps the Administrator deems necessary or appropriate to comply with all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 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pacing w:after="0" w:line="120"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Changes in Capitalization, Dissolution, Merger or Asset Sale</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60" w:firstLine="464"/>
        <w:spacing w:after="0" w:line="288" w:lineRule="auto"/>
        <w:tabs>
          <w:tab w:leader="none" w:pos="695" w:val="left"/>
        </w:tabs>
        <w:numPr>
          <w:ilvl w:val="1"/>
          <w:numId w:val="57"/>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Changes in 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any required action by the shareholders of the Company, if the outstanding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12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132" w:lineRule="exact"/>
        <w:rPr>
          <w:sz w:val="20"/>
          <w:szCs w:val="20"/>
          <w:color w:val="auto"/>
        </w:rPr>
      </w:pPr>
    </w:p>
    <w:p>
      <w:pPr>
        <w:ind w:right="200" w:firstLine="464"/>
        <w:spacing w:after="0" w:line="255"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Dissolution or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proposed dissolution or liquidation of the Company, to the extent that an Option had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exercised or a Stock Award had not previously vested, it will 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142" w:lineRule="exact"/>
        <w:rPr>
          <w:rFonts w:ascii="Arial" w:cs="Arial" w:eastAsia="Arial" w:hAnsi="Arial"/>
          <w:sz w:val="18"/>
          <w:szCs w:val="18"/>
          <w:color w:val="auto"/>
        </w:rPr>
      </w:pPr>
    </w:p>
    <w:p>
      <w:pPr>
        <w:ind w:firstLine="464"/>
        <w:spacing w:after="0" w:line="286"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i w:val="1"/>
          <w:iCs w:val="1"/>
          <w:u w:val="single" w:color="auto"/>
          <w:color w:val="auto"/>
        </w:rPr>
        <w:t>Corporate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 of Control, the Administrator, may, in its sole discretion, do one or more of the following: (i) shorten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during which Options are exercisable (provided they remain exercisable for at least 30 days after the date notice of such shortening is given to the Optionees); (ii) accelerate any vesting schedule to which an Option or Stock Award is subject; (iii) 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8"/>
        <w:spacing w:after="0" w:line="259" w:lineRule="auto"/>
        <w:tabs>
          <w:tab w:leader="none" w:pos="263"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of an Option or Stock Award will be, for all purposes, the date as of which the Administrator makes the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such Option or Stock Award, or any other, later date determined by the Administrator and specified in the Option Agreement. Notice of the determination will be provided to each Grantee within a reasonable time after the date of grant.</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 of the Plan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at any time amend, alter or suspend or terminate the Plan.</w:t>
      </w:r>
    </w:p>
    <w:p>
      <w:pPr>
        <w:spacing w:after="0" w:line="171" w:lineRule="exact"/>
        <w:rPr>
          <w:rFonts w:ascii="Arial" w:cs="Arial" w:eastAsia="Arial" w:hAnsi="Arial"/>
          <w:sz w:val="18"/>
          <w:szCs w:val="18"/>
          <w:color w:val="auto"/>
        </w:rPr>
      </w:pPr>
    </w:p>
    <w:p>
      <w:pPr>
        <w:ind w:right="40" w:firstLine="464"/>
        <w:spacing w:after="0" w:line="298"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obtain shareholder approval of any Plan amendment that increases the number of Shares for which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112" w:lineRule="exact"/>
        <w:rPr>
          <w:rFonts w:ascii="Arial" w:cs="Arial" w:eastAsia="Arial" w:hAnsi="Arial"/>
          <w:sz w:val="16"/>
          <w:szCs w:val="16"/>
          <w:color w:val="auto"/>
        </w:rPr>
      </w:pPr>
    </w:p>
    <w:p>
      <w:pPr>
        <w:jc w:val="both"/>
        <w:ind w:right="420" w:firstLine="464"/>
        <w:spacing w:after="0" w:line="370" w:lineRule="auto"/>
        <w:tabs>
          <w:tab w:leader="none" w:pos="695" w:val="left"/>
        </w:tabs>
        <w:numPr>
          <w:ilvl w:val="1"/>
          <w:numId w:val="59"/>
        </w:numPr>
        <w:rPr>
          <w:rFonts w:ascii="Arial" w:cs="Arial" w:eastAsia="Arial" w:hAnsi="Arial"/>
          <w:sz w:val="15"/>
          <w:szCs w:val="15"/>
          <w:color w:val="auto"/>
        </w:rPr>
      </w:pPr>
      <w:r>
        <w:rPr>
          <w:rFonts w:ascii="Arial" w:cs="Arial" w:eastAsia="Arial" w:hAnsi="Arial"/>
          <w:sz w:val="15"/>
          <w:szCs w:val="15"/>
          <w:i w:val="1"/>
          <w:iCs w:val="1"/>
          <w:u w:val="single" w:color="auto"/>
          <w:color w:val="auto"/>
        </w:rPr>
        <w:t>Effect of Amendment or Termination</w:t>
      </w:r>
      <w:r>
        <w:rPr>
          <w:rFonts w:ascii="Arial" w:cs="Arial" w:eastAsia="Arial" w:hAnsi="Arial"/>
          <w:sz w:val="15"/>
          <w:szCs w:val="15"/>
          <w:i w:val="1"/>
          <w:iCs w:val="1"/>
          <w:color w:val="auto"/>
        </w:rPr>
        <w:t xml:space="preserve">. </w:t>
      </w:r>
      <w:r>
        <w:rPr>
          <w:rFonts w:ascii="Arial" w:cs="Arial" w:eastAsia="Arial" w:hAnsi="Arial"/>
          <w:sz w:val="15"/>
          <w:szCs w:val="15"/>
          <w:color w:val="auto"/>
        </w:rPr>
        <w:t>No amendment, alteration, suspension or termination of the Plan will impair the rights of a Grantee, unless</w:t>
      </w:r>
      <w:r>
        <w:rPr>
          <w:rFonts w:ascii="Arial" w:cs="Arial" w:eastAsia="Arial" w:hAnsi="Arial"/>
          <w:sz w:val="15"/>
          <w:szCs w:val="15"/>
          <w:i w:val="1"/>
          <w:iCs w:val="1"/>
          <w:color w:val="auto"/>
        </w:rPr>
        <w:t xml:space="preserve"> </w:t>
      </w:r>
      <w:r>
        <w:rPr>
          <w:rFonts w:ascii="Arial" w:cs="Arial" w:eastAsia="Arial" w:hAnsi="Arial"/>
          <w:sz w:val="15"/>
          <w:szCs w:val="15"/>
          <w:color w:val="auto"/>
        </w:rPr>
        <w:t>mutually agreed otherwise between the Grantee and the Administrator. Any such agreement must be in writing and signed by the Grantee and the Company.</w:t>
      </w:r>
    </w:p>
    <w:p>
      <w:pPr>
        <w:spacing w:after="0" w:line="62" w:lineRule="exact"/>
        <w:rPr>
          <w:rFonts w:ascii="Arial" w:cs="Arial" w:eastAsia="Arial" w:hAnsi="Arial"/>
          <w:sz w:val="15"/>
          <w:szCs w:val="15"/>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464"/>
        <w:spacing w:after="0" w:line="291" w:lineRule="auto"/>
        <w:tabs>
          <w:tab w:leader="none" w:pos="695" w:val="left"/>
        </w:tabs>
        <w:numPr>
          <w:ilvl w:val="1"/>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Legal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not be issued in connection with a Stock Award or pursuant to the exercise of an Option unless the exercise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and 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 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120" w:lineRule="exact"/>
        <w:rPr>
          <w:rFonts w:ascii="Arial" w:cs="Arial" w:eastAsia="Arial" w:hAnsi="Arial"/>
          <w:sz w:val="16"/>
          <w:szCs w:val="16"/>
          <w:color w:val="auto"/>
        </w:rPr>
      </w:pPr>
    </w:p>
    <w:p>
      <w:pPr>
        <w:ind w:right="300" w:firstLine="464"/>
        <w:spacing w:after="0" w:line="259"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condition to the exercise of an Option or grant of a Stock Award, the Company may require the person exercising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 or receiving such Stock Award to represent and warrant at the time of any such exercise or receipt that the Shares are being acquired only for investment and without any present intention to sell, transfer, or distribute such Shares.</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Liability of Company</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160" w:firstLine="464"/>
        <w:spacing w:after="0" w:line="259"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Inability to Obtain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cannot, by the exercise of commercially reasonable efforts, obtain authority from any regulatory body</w:t>
      </w:r>
      <w:r>
        <w:rPr>
          <w:rFonts w:ascii="Arial" w:cs="Arial" w:eastAsia="Arial" w:hAnsi="Arial"/>
          <w:sz w:val="18"/>
          <w:szCs w:val="18"/>
          <w:i w:val="1"/>
          <w:iCs w:val="1"/>
          <w:color w:val="auto"/>
        </w:rPr>
        <w:t xml:space="preserve"> </w:t>
      </w:r>
      <w:r>
        <w:rPr>
          <w:rFonts w:ascii="Arial" w:cs="Arial" w:eastAsia="Arial" w:hAnsi="Arial"/>
          <w:sz w:val="18"/>
          <w:szCs w:val="18"/>
          <w:color w:val="auto"/>
        </w:rPr>
        <w:t>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40" w:lineRule="exact"/>
        <w:rPr>
          <w:rFonts w:ascii="Arial" w:cs="Arial" w:eastAsia="Arial" w:hAnsi="Arial"/>
          <w:sz w:val="18"/>
          <w:szCs w:val="18"/>
          <w:color w:val="auto"/>
        </w:rPr>
      </w:pPr>
    </w:p>
    <w:p>
      <w:pPr>
        <w:ind w:right="80" w:firstLine="464"/>
        <w:spacing w:after="0" w:line="256"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Grants Exceeding Allotted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Optioned Stock covered by an Option or Shares subject to a Stock Award exceed, as of the date of grant,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143"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of Participants and Beneficiaries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pay all amounts payable under this Plan only to the Grantee, or beneficiaries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20" w:firstLine="8"/>
        <w:spacing w:after="0" w:line="268"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Reservation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at all times reserve and keep available for issuance a number of Shares sufficient to satisfy this Plan’s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during its term.</w:t>
      </w:r>
    </w:p>
    <w:p>
      <w:pPr>
        <w:spacing w:after="0" w:line="131" w:lineRule="exact"/>
        <w:rPr>
          <w:rFonts w:ascii="Arial" w:cs="Arial" w:eastAsia="Arial" w:hAnsi="Arial"/>
          <w:sz w:val="18"/>
          <w:szCs w:val="18"/>
          <w:color w:val="auto"/>
        </w:rPr>
      </w:pPr>
    </w:p>
    <w:p>
      <w:pPr>
        <w:ind w:firstLine="8"/>
        <w:spacing w:after="0" w:line="255"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Continuance of this Plan will be subject to approval by the shareholders of the Company within 12 months before or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42" w:lineRule="exact"/>
        <w:rPr>
          <w:rFonts w:ascii="Arial" w:cs="Arial" w:eastAsia="Arial" w:hAnsi="Arial"/>
          <w:sz w:val="18"/>
          <w:szCs w:val="18"/>
          <w:color w:val="auto"/>
        </w:rPr>
      </w:pPr>
    </w:p>
    <w:p>
      <w:pPr>
        <w:ind w:right="180" w:firstLine="8"/>
        <w:spacing w:after="0" w:line="294" w:lineRule="auto"/>
        <w:tabs>
          <w:tab w:leader="none" w:pos="263"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Legending Stock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enforce any restrictions imposed upon Common Stock issued in connection with a Stock Award or upon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15" w:lineRule="exact"/>
        <w:rPr>
          <w:rFonts w:ascii="Arial" w:cs="Arial" w:eastAsia="Arial" w:hAnsi="Arial"/>
          <w:sz w:val="16"/>
          <w:szCs w:val="16"/>
          <w:color w:val="auto"/>
        </w:rPr>
      </w:pPr>
    </w:p>
    <w:p>
      <w:pPr>
        <w:ind w:right="260" w:firstLine="8"/>
        <w:spacing w:after="0" w:line="306" w:lineRule="auto"/>
        <w:tabs>
          <w:tab w:leader="none" w:pos="263"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No Employment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this Plan nor any Option or Stock Award will confer upon a Grantee any right with respect to continuing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106" w:lineRule="exact"/>
        <w:rPr>
          <w:rFonts w:ascii="Arial" w:cs="Arial" w:eastAsia="Arial" w:hAnsi="Arial"/>
          <w:sz w:val="16"/>
          <w:szCs w:val="16"/>
          <w:color w:val="auto"/>
        </w:rPr>
      </w:pPr>
    </w:p>
    <w:p>
      <w:pPr>
        <w:ind w:right="220" w:firstLine="8"/>
        <w:spacing w:after="0" w:line="268"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will be governed by, and construed in accordance with the laws of the State of Nevada (without giving effect to conflicts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17, 2011</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and each of them, as proxies for the undersigned, each with full power of substitution, to attend the Annual Meeting of Stockholders of the Company to be held on May 17, 2011 at 3:30 p.m., local time, at Wynn Macau, Rua Cidade de Sintra, NAPE, Macau SAR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“FOR” PROPOSAL NOS. 2, 4, AND 5, “AGAINST” PROPOSAL NO. 6, WILL NOT BE VOTED ON PROPOSAL NO. 3 AND WILL BE VOTED IN THE DISCRETION OF THE PROXIES ON ANY OTHER MATTER AT THE ANNUAL MEETING OR ANY ADJOURNMENT OR POSTPONEMENT THEREOF.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PLEASE VOTE, DATE AND SIGN, AND RETURN PROMPTLY</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 THE ENCLOSED ENVELOPE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 LISTED BELOW:</w:t>
      </w:r>
    </w:p>
    <w:p>
      <w:pPr>
        <w:spacing w:after="0" w:line="218" w:lineRule="exact"/>
        <w:rPr>
          <w:sz w:val="20"/>
          <w:szCs w:val="20"/>
          <w:color w:val="auto"/>
        </w:rPr>
      </w:pPr>
    </w:p>
    <w:p>
      <w:pPr>
        <w:ind w:left="4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elect the following four Class II directors to serve as such until the 2014 Annual Meeting of Stockholders and until their successors are elected and qualified, or until such director’s earlier death, resignation or removal;</w:t>
      </w:r>
    </w:p>
    <w:p>
      <w:pPr>
        <w:sectPr>
          <w:pgSz w:w="11900" w:h="16838" w:orient="portrait"/>
          <w:cols w:equalWidth="0" w:num="1">
            <w:col w:w="11000"/>
          </w:cols>
          <w:pgMar w:left="240" w:top="459" w:right="65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Nominees: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Russell Goldsmith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Kazuo Okada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Allan Zeman</w:t>
      </w:r>
    </w:p>
    <w:p>
      <w:pPr>
        <w:spacing w:after="0" w:line="132" w:lineRule="exact"/>
        <w:rPr>
          <w:sz w:val="20"/>
          <w:szCs w:val="20"/>
          <w:color w:val="auto"/>
        </w:rPr>
      </w:pPr>
    </w:p>
    <w:p>
      <w:pPr>
        <w:sectPr>
          <w:pgSz w:w="11900" w:h="16838" w:orient="portrait"/>
          <w:cols w:equalWidth="0" w:num="2">
            <w:col w:w="1680" w:space="700"/>
            <w:col w:w="8620"/>
          </w:cols>
          <w:pgMar w:left="240" w:top="459" w:right="659" w:bottom="1440" w:gutter="0" w:footer="0" w:header="0"/>
          <w:type w:val="continuous"/>
        </w:sectPr>
      </w:pPr>
    </w:p>
    <w:p>
      <w:pPr>
        <w:ind w:left="260" w:hanging="252"/>
        <w:spacing w:after="0" w:line="207" w:lineRule="exact"/>
        <w:tabs>
          <w:tab w:leader="none" w:pos="26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60" w:hanging="252"/>
        <w:spacing w:after="0"/>
        <w:tabs>
          <w:tab w:leader="none" w:pos="26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approve the advisory resolution on executive compensation;</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DOES NOT MAKE A RECOMMENDATION ON THE FOLLOWING PROPOSAL:</w:t>
      </w:r>
    </w:p>
    <w:p>
      <w:pPr>
        <w:spacing w:after="0" w:line="21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executive compensation;</w:t>
      </w:r>
    </w:p>
    <w:p>
      <w:pPr>
        <w:spacing w:after="0" w:line="139" w:lineRule="exact"/>
        <w:rPr>
          <w:sz w:val="20"/>
          <w:szCs w:val="20"/>
          <w:color w:val="auto"/>
        </w:rPr>
      </w:pPr>
    </w:p>
    <w:p>
      <w:pPr>
        <w:spacing w:after="0" w:line="207" w:lineRule="exact"/>
        <w:tabs>
          <w:tab w:leader="none" w:pos="1560" w:val="left"/>
          <w:tab w:leader="none" w:pos="3080" w:val="left"/>
          <w:tab w:leader="none" w:pos="4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 YEARS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2 YEARS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1 YEAR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approve an amendment to the 2002 Stock Incentive Plan;</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for 2011;</w:t>
      </w:r>
    </w:p>
    <w:p>
      <w:pPr>
        <w:spacing w:after="0" w:line="162"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FOLLOWING PROPOSAL:</w:t>
      </w:r>
    </w:p>
    <w:p>
      <w:pPr>
        <w:spacing w:after="0" w:line="21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vote on a stockholder proposal regarding a director election majority vote standard; and</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94" w:lineRule="exact"/>
        <w:rPr>
          <w:sz w:val="20"/>
          <w:szCs w:val="20"/>
          <w:color w:val="auto"/>
        </w:rPr>
      </w:pPr>
    </w:p>
    <w:p>
      <w:pPr>
        <w:ind w:left="3240" w:hanging="287"/>
        <w:spacing w:after="0"/>
        <w:tabs>
          <w:tab w:leader="none" w:pos="3240"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000"/>
      </w:cols>
      <w:pgMar w:left="240" w:top="459"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lvl w:ilvl="1">
      <w:lvlJc w:val="left"/>
      <w:lvlText w:val="(%2)"/>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Ø"/>
      <w:numFmt w:val="bullet"/>
      <w:start w:val="1"/>
    </w:lvl>
  </w:abstractNum>
  <w:abstractNum w:abstractNumId="5">
    <w:nsid w:val="7724C67E"/>
    <w:multiLevelType w:val="hybridMultilevel"/>
    <w:lvl w:ilvl="0">
      <w:lvlJc w:val="left"/>
      <w:lvlText w:val="(%1)"/>
      <w:numFmt w:val="decimal"/>
      <w:start w:val="5"/>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5"/>
    </w:lvl>
  </w:abstractNum>
  <w:abstractNum w:abstractNumId="10">
    <w:nsid w:val="2D517796"/>
    <w:multiLevelType w:val="hybridMultilevel"/>
    <w:lvl w:ilvl="0">
      <w:lvlJc w:val="left"/>
      <w:lvlText w:val="Ø"/>
      <w:numFmt w:val="bullet"/>
      <w:start w:val="1"/>
    </w:lvl>
  </w:abstractNum>
  <w:abstractNum w:abstractNumId="11">
    <w:nsid w:val="580BD78F"/>
    <w:multiLevelType w:val="hybridMultilevel"/>
    <w:lvl w:ilvl="0">
      <w:lvlJc w:val="left"/>
      <w:lvlText w:val="Ø"/>
      <w:numFmt w:val="bullet"/>
      <w:start w:val="1"/>
    </w:lvl>
  </w:abstractNum>
  <w:abstractNum w:abstractNumId="12">
    <w:nsid w:val="153EA438"/>
    <w:multiLevelType w:val="hybridMultilevel"/>
    <w:lvl w:ilvl="0">
      <w:lvlJc w:val="left"/>
      <w:lvlText w:val="Ø"/>
      <w:numFmt w:val="bullet"/>
      <w:start w:val="1"/>
    </w:lvl>
  </w:abstractNum>
  <w:abstractNum w:abstractNumId="13">
    <w:nsid w:val="3855585C"/>
    <w:multiLevelType w:val="hybridMultilevel"/>
    <w:lvl w:ilvl="0">
      <w:lvlJc w:val="left"/>
      <w:lvlText w:val="Ø"/>
      <w:numFmt w:val="bullet"/>
      <w:start w:val="1"/>
    </w:lvl>
  </w:abstractNum>
  <w:abstractNum w:abstractNumId="14">
    <w:nsid w:val="70A64E2A"/>
    <w:multiLevelType w:val="hybridMultilevel"/>
    <w:lvl w:ilvl="0">
      <w:lvlJc w:val="left"/>
      <w:lvlText w:val="Ø"/>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Ø"/>
      <w:numFmt w:val="bullet"/>
      <w:start w:val="1"/>
    </w:lvl>
  </w:abstractNum>
  <w:abstractNum w:abstractNumId="17">
    <w:nsid w:val="1D4ED43B"/>
    <w:multiLevelType w:val="hybridMultilevel"/>
    <w:lvl w:ilvl="0">
      <w:lvlJc w:val="left"/>
      <w:lvlText w:val="(%1)"/>
      <w:numFmt w:val="decimal"/>
      <w:start w:val="1"/>
    </w:lvl>
    <w:lvl w:ilvl="1">
      <w:lvlJc w:val="left"/>
      <w:lvlText w:val="(%2)"/>
      <w:numFmt w:val="lowerRoman"/>
      <w:start w:val="1"/>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lowerRoman"/>
      <w:start w:val="1"/>
    </w:lvl>
  </w:abstractNum>
  <w:abstractNum w:abstractNumId="20">
    <w:nsid w:val="57E4CCAF"/>
    <w:multiLevelType w:val="hybridMultilevel"/>
    <w:lvl w:ilvl="0">
      <w:lvlJc w:val="left"/>
      <w:lvlText w:val="(%1)"/>
      <w:numFmt w:val="lowerRoman"/>
      <w:start w:val="2"/>
    </w:lvl>
  </w:abstractNum>
  <w:abstractNum w:abstractNumId="21">
    <w:nsid w:val="7A6D8D3C"/>
    <w:multiLevelType w:val="hybridMultilevel"/>
    <w:lvl w:ilvl="0">
      <w:lvlJc w:val="left"/>
      <w:lvlText w:val="(%1)"/>
      <w:numFmt w:val="lowerRoman"/>
      <w:start w:val="1"/>
    </w:lvl>
  </w:abstractNum>
  <w:abstractNum w:abstractNumId="22">
    <w:nsid w:val="4B588F54"/>
    <w:multiLevelType w:val="hybridMultilevel"/>
    <w:lvl w:ilvl="0">
      <w:lvlJc w:val="left"/>
      <w:lvlText w:val="(%1)"/>
      <w:numFmt w:val="lowerRoman"/>
      <w:start w:val="1"/>
    </w:lvl>
  </w:abstractNum>
  <w:abstractNum w:abstractNumId="23">
    <w:nsid w:val="542289EC"/>
    <w:multiLevelType w:val="hybridMultilevel"/>
    <w:lvl w:ilvl="0">
      <w:lvlJc w:val="left"/>
      <w:lvlText w:val="(%1)"/>
      <w:numFmt w:val="decimal"/>
      <w:start w:val="1"/>
    </w:lvl>
    <w:lvl w:ilvl="1">
      <w:lvlJc w:val="left"/>
      <w:lvlText w:val="%2."/>
      <w:numFmt w:val="lowerLetter"/>
      <w:start w:val="1"/>
    </w:lvl>
  </w:abstractNum>
  <w:abstractNum w:abstractNumId="24">
    <w:nsid w:val="6DE91B18"/>
    <w:multiLevelType w:val="hybridMultilevel"/>
    <w:lvl w:ilvl="0">
      <w:lvlJc w:val="left"/>
      <w:lvlText w:val="(%1)"/>
      <w:numFmt w:val="lowerRoman"/>
      <w:start w:val="3"/>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5"/>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3"/>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lowerLetter"/>
      <w:start w:val="2"/>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70C6A529"/>
    <w:multiLevelType w:val="hybridMultilevel"/>
    <w:lvl w:ilvl="0">
      <w:lvlJc w:val="left"/>
      <w:lvlText w:val="(%1)"/>
      <w:numFmt w:val="lowerRoman"/>
      <w:start w:val="3"/>
    </w:lvl>
  </w:abstractNum>
  <w:abstractNum w:abstractNumId="37">
    <w:nsid w:val="520EEDD1"/>
    <w:multiLevelType w:val="hybridMultilevel"/>
    <w:lvl w:ilvl="0">
      <w:lvlJc w:val="left"/>
      <w:lvlText w:val="(%1)"/>
      <w:numFmt w:val="lowerLetter"/>
      <w:start w:val="6"/>
    </w:lvl>
  </w:abstractNum>
  <w:abstractNum w:abstractNumId="38">
    <w:nsid w:val="374A3FE6"/>
    <w:multiLevelType w:val="hybridMultilevel"/>
    <w:lvl w:ilvl="0">
      <w:lvlJc w:val="left"/>
      <w:lvlText w:val="(%1)"/>
      <w:numFmt w:val="lowerLetter"/>
      <w:start w:val="61"/>
    </w:lvl>
    <w:lvl w:ilvl="1">
      <w:lvlJc w:val="left"/>
      <w:lvlText w:val="(%2)"/>
      <w:numFmt w:val="lowerLetter"/>
      <w:start w:val="12"/>
    </w:lvl>
    <w:lvl w:ilvl="2">
      <w:lvlJc w:val="left"/>
      <w:lvlText w:val="(%3)"/>
      <w:numFmt w:val="lowerRoman"/>
      <w:start w:val="1"/>
    </w:lvl>
  </w:abstractNum>
  <w:abstractNum w:abstractNumId="39">
    <w:nsid w:val="4F4EF005"/>
    <w:multiLevelType w:val="hybridMultilevel"/>
    <w:lvl w:ilvl="0">
      <w:lvlJc w:val="left"/>
      <w:lvlText w:val="(%1)"/>
      <w:numFmt w:val="lowerLetter"/>
      <w:start w:val="19"/>
    </w:lvl>
  </w:abstractNum>
  <w:abstractNum w:abstractNumId="40">
    <w:nsid w:val="23F9C13C"/>
    <w:multiLevelType w:val="hybridMultilevel"/>
    <w:lvl w:ilvl="0">
      <w:lvlJc w:val="left"/>
      <w:lvlText w:val="(%1)"/>
      <w:numFmt w:val="lowerLetter"/>
      <w:start w:val="27"/>
    </w:lvl>
  </w:abstractNum>
  <w:abstractNum w:abstractNumId="41">
    <w:nsid w:val="649BB77C"/>
    <w:multiLevelType w:val="hybridMultilevel"/>
    <w:lvl w:ilvl="0">
      <w:lvlJc w:val="left"/>
      <w:lvlText w:val="%1."/>
      <w:numFmt w:val="decimal"/>
      <w:start w:val="3"/>
    </w:lvl>
  </w:abstractNum>
  <w:abstractNum w:abstractNumId="42">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39386575"/>
    <w:multiLevelType w:val="hybridMultilevel"/>
    <w:lvl w:ilvl="0">
      <w:lvlJc w:val="left"/>
      <w:lvlText w:val="(%1)"/>
      <w:numFmt w:val="lowerLetter"/>
      <w:start w:val="2"/>
    </w:lvl>
    <w:lvl w:ilvl="1">
      <w:lvlJc w:val="left"/>
      <w:lvlText w:val="(%2)"/>
      <w:numFmt w:val="lowerRoman"/>
      <w:start w:val="1"/>
    </w:lvl>
  </w:abstractNum>
  <w:abstractNum w:abstractNumId="44">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5">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
    <w:nsid w:val="235BA86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47398C8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8">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9">
    <w:nsid w:val="15B5AF5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0">
    <w:nsid w:val="741226B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decimal"/>
      <w:start w:val="1"/>
    </w:lvl>
    <w:lvl w:ilvl="1">
      <w:lvlJc w:val="left"/>
      <w:lvlText w:val="(%2)"/>
      <w:numFmt w:val="lowerLetter"/>
      <w:start w:val="4"/>
    </w:lvl>
  </w:abstractNum>
  <w:abstractNum w:abstractNumId="53">
    <w:nsid w:val="3F6AB60F"/>
    <w:multiLevelType w:val="hybridMultilevel"/>
    <w:lvl w:ilvl="0">
      <w:lvlJc w:val="left"/>
      <w:lvlText w:val="%1."/>
      <w:numFmt w:val="decimal"/>
      <w:start w:val="12"/>
    </w:lvl>
    <w:lvl w:ilvl="1">
      <w:lvlJc w:val="left"/>
      <w:lvlText w:val="(%2)"/>
      <w:numFmt w:val="lowerLetter"/>
      <w:start w:val="1"/>
    </w:lvl>
  </w:abstractNum>
  <w:abstractNum w:abstractNumId="54">
    <w:nsid w:val="61574095"/>
    <w:multiLevelType w:val="hybridMultilevel"/>
    <w:lvl w:ilvl="0">
      <w:lvlJc w:val="left"/>
      <w:lvlText w:val="%1"/>
      <w:numFmt w:val="decimal"/>
      <w:start w:val="1"/>
    </w:lvl>
    <w:lvl w:ilvl="1">
      <w:lvlJc w:val="left"/>
      <w:lvlText w:val="(%2)"/>
      <w:numFmt w:val="lowerLetter"/>
      <w:start w:val="4"/>
    </w:lvl>
  </w:abstractNum>
  <w:abstractNum w:abstractNumId="55">
    <w:nsid w:val="7E0C57B1"/>
    <w:multiLevelType w:val="hybridMultilevel"/>
    <w:lvl w:ilvl="0">
      <w:lvlJc w:val="left"/>
      <w:lvlText w:val="%1."/>
      <w:numFmt w:val="decimal"/>
      <w:start w:val="13"/>
    </w:lvl>
    <w:lvl w:ilvl="1">
      <w:lvlJc w:val="left"/>
      <w:lvlText w:val="(%2)"/>
      <w:numFmt w:val="lowerLetter"/>
      <w:start w:val="1"/>
    </w:lvl>
  </w:abstractNum>
  <w:abstractNum w:abstractNumId="56">
    <w:nsid w:val="77AE35EB"/>
    <w:multiLevelType w:val="hybridMultilevel"/>
    <w:lvl w:ilvl="0">
      <w:lvlJc w:val="left"/>
      <w:lvlText w:val="%1."/>
      <w:numFmt w:val="decimal"/>
      <w:start w:val="15"/>
    </w:lvl>
    <w:lvl w:ilvl="1">
      <w:lvlJc w:val="left"/>
      <w:lvlText w:val="(%2)"/>
      <w:numFmt w:val="lowerLetter"/>
      <w:start w:val="1"/>
    </w:lvl>
  </w:abstractNum>
  <w:abstractNum w:abstractNumId="57">
    <w:nsid w:val="579BE4F1"/>
    <w:multiLevelType w:val="hybridMultilevel"/>
    <w:lvl w:ilvl="0">
      <w:lvlJc w:val="left"/>
      <w:lvlText w:val="(%1)"/>
      <w:numFmt w:val="lowerLetter"/>
      <w:start w:val="2"/>
    </w:lvl>
  </w:abstractNum>
  <w:abstractNum w:abstractNumId="58">
    <w:nsid w:val="310C50B3"/>
    <w:multiLevelType w:val="hybridMultilevel"/>
    <w:lvl w:ilvl="0">
      <w:lvlJc w:val="left"/>
      <w:lvlText w:val="%1."/>
      <w:numFmt w:val="decimal"/>
      <w:start w:val="16"/>
    </w:lvl>
    <w:lvl w:ilvl="1">
      <w:lvlJc w:val="left"/>
      <w:lvlText w:val="(%2)"/>
      <w:numFmt w:val="lowerLetter"/>
      <w:start w:val="1"/>
    </w:lvl>
  </w:abstractNum>
  <w:abstractNum w:abstractNumId="59">
    <w:nsid w:val="5FF87E05"/>
    <w:multiLevelType w:val="hybridMultilevel"/>
    <w:lvl w:ilvl="0">
      <w:lvlJc w:val="left"/>
      <w:lvlText w:val="%1."/>
      <w:numFmt w:val="decimal"/>
      <w:start w:val="20"/>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1."/>
      <w:numFmt w:val="decimal"/>
      <w:start w:val="3"/>
    </w:lvl>
  </w:abstractNum>
  <w:abstractNum w:abstractNumId="64">
    <w:nsid w:val="1F48EAA1"/>
    <w:multiLevelType w:val="hybridMultilevel"/>
    <w:lvl w:ilvl="0">
      <w:lvlJc w:val="left"/>
      <w:lvlText w:val="%1."/>
      <w:numFmt w:val="decimal"/>
      <w:start w:val="4"/>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decimal"/>
      <w:start w:val="6"/>
    </w:lvl>
  </w:abstractNum>
  <w:abstractNum w:abstractNumId="67">
    <w:nsid w:val="100F8FCA"/>
    <w:multiLevelType w:val="hybridMultilevel"/>
    <w:lvl w:ilvl="0">
      <w:lvlJc w:val="left"/>
      <w:lvlText w:val="%1."/>
      <w:numFmt w:val="decimal"/>
      <w:start w:val="7"/>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2019-12-10T21:45:29Z</dcterms:created>
  <dcterms:modified xsi:type="dcterms:W3CDTF">2019-12-10T21:45:29Z</dcterms:modified>
</cp:coreProperties>
</file>