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As filed with the Securities and Exchange Commission on September 26, 2012</w:t>
      </w:r>
    </w:p>
    <w:p>
      <w:pPr>
        <w:spacing w:after="0" w:line="21" w:lineRule="exact"/>
        <w:rPr>
          <w:sz w:val="24"/>
          <w:szCs w:val="24"/>
          <w:color w:val="auto"/>
        </w:rPr>
      </w:pPr>
    </w:p>
    <w:p>
      <w:pPr>
        <w:ind w:left="8500"/>
        <w:spacing w:after="0"/>
        <w:rPr>
          <w:sz w:val="20"/>
          <w:szCs w:val="20"/>
          <w:color w:val="auto"/>
        </w:rPr>
      </w:pPr>
      <w:r>
        <w:rPr>
          <w:rFonts w:ascii="Arial" w:cs="Arial" w:eastAsia="Arial" w:hAnsi="Arial"/>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2840" w:type="dxa"/>
            <w:vAlign w:val="bottom"/>
          </w:tcPr>
          <w:p>
            <w:pPr>
              <w:jc w:val="center"/>
              <w:ind w:right="1006"/>
              <w:spacing w:after="0"/>
              <w:rPr>
                <w:sz w:val="20"/>
                <w:szCs w:val="20"/>
                <w:color w:val="auto"/>
              </w:rPr>
            </w:pPr>
            <w:r>
              <w:rPr>
                <w:rFonts w:ascii="Arial" w:cs="Arial" w:eastAsia="Arial" w:hAnsi="Arial"/>
                <w:sz w:val="18"/>
                <w:szCs w:val="18"/>
                <w:b w:val="1"/>
                <w:bCs w:val="1"/>
                <w:color w:val="auto"/>
                <w:w w:val="87"/>
              </w:rPr>
              <w:t>Nevada</w:t>
            </w:r>
          </w:p>
        </w:tc>
        <w:tc>
          <w:tcPr>
            <w:tcW w:w="3980" w:type="dxa"/>
            <w:vAlign w:val="bottom"/>
          </w:tcPr>
          <w:p>
            <w:pPr>
              <w:jc w:val="center"/>
              <w:ind w:right="26"/>
              <w:spacing w:after="0"/>
              <w:rPr>
                <w:sz w:val="20"/>
                <w:szCs w:val="20"/>
                <w:color w:val="auto"/>
              </w:rPr>
            </w:pPr>
            <w:r>
              <w:rPr>
                <w:rFonts w:ascii="Arial" w:cs="Arial" w:eastAsia="Arial" w:hAnsi="Arial"/>
                <w:sz w:val="18"/>
                <w:szCs w:val="18"/>
                <w:b w:val="1"/>
                <w:bCs w:val="1"/>
                <w:color w:val="auto"/>
                <w:w w:val="89"/>
              </w:rPr>
              <w:t>7990</w:t>
            </w:r>
          </w:p>
        </w:tc>
        <w:tc>
          <w:tcPr>
            <w:tcW w:w="2240" w:type="dxa"/>
            <w:vAlign w:val="bottom"/>
          </w:tcPr>
          <w:p>
            <w:pPr>
              <w:jc w:val="center"/>
              <w:ind w:left="112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2840" w:type="dxa"/>
            <w:vAlign w:val="bottom"/>
          </w:tcPr>
          <w:p>
            <w:pPr>
              <w:jc w:val="center"/>
              <w:ind w:right="9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240" w:type="dxa"/>
            <w:vAlign w:val="bottom"/>
          </w:tcPr>
          <w:p>
            <w:pPr>
              <w:jc w:val="center"/>
              <w:ind w:left="1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06"/>
              <w:spacing w:after="0"/>
              <w:rPr>
                <w:sz w:val="20"/>
                <w:szCs w:val="20"/>
                <w:color w:val="auto"/>
              </w:rPr>
            </w:pPr>
            <w:r>
              <w:rPr>
                <w:rFonts w:ascii="Arial" w:cs="Arial" w:eastAsia="Arial" w:hAnsi="Arial"/>
                <w:sz w:val="14"/>
                <w:szCs w:val="14"/>
                <w:b w:val="1"/>
                <w:bCs w:val="1"/>
                <w:color w:val="auto"/>
                <w:w w:val="88"/>
              </w:rPr>
              <w:t>incorporation or organization)</w:t>
            </w:r>
          </w:p>
        </w:tc>
        <w:tc>
          <w:tcPr>
            <w:tcW w:w="398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Classification Code Number)</w:t>
            </w:r>
          </w:p>
        </w:tc>
        <w:tc>
          <w:tcPr>
            <w:tcW w:w="2240" w:type="dxa"/>
            <w:vAlign w:val="bottom"/>
          </w:tcPr>
          <w:p>
            <w:pPr>
              <w:jc w:val="center"/>
              <w:ind w:left="1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Capital Corp.</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2840" w:type="dxa"/>
            <w:vAlign w:val="bottom"/>
          </w:tcPr>
          <w:p>
            <w:pPr>
              <w:jc w:val="center"/>
              <w:ind w:right="1006"/>
              <w:spacing w:after="0"/>
              <w:rPr>
                <w:sz w:val="20"/>
                <w:szCs w:val="20"/>
                <w:color w:val="auto"/>
              </w:rPr>
            </w:pPr>
            <w:r>
              <w:rPr>
                <w:rFonts w:ascii="Arial" w:cs="Arial" w:eastAsia="Arial" w:hAnsi="Arial"/>
                <w:sz w:val="18"/>
                <w:szCs w:val="18"/>
                <w:b w:val="1"/>
                <w:bCs w:val="1"/>
                <w:color w:val="auto"/>
                <w:w w:val="87"/>
              </w:rPr>
              <w:t>Nevada</w:t>
            </w:r>
          </w:p>
        </w:tc>
        <w:tc>
          <w:tcPr>
            <w:tcW w:w="3980" w:type="dxa"/>
            <w:vAlign w:val="bottom"/>
          </w:tcPr>
          <w:p>
            <w:pPr>
              <w:jc w:val="center"/>
              <w:ind w:right="26"/>
              <w:spacing w:after="0"/>
              <w:rPr>
                <w:sz w:val="20"/>
                <w:szCs w:val="20"/>
                <w:color w:val="auto"/>
              </w:rPr>
            </w:pPr>
            <w:r>
              <w:rPr>
                <w:rFonts w:ascii="Arial" w:cs="Arial" w:eastAsia="Arial" w:hAnsi="Arial"/>
                <w:sz w:val="18"/>
                <w:szCs w:val="18"/>
                <w:b w:val="1"/>
                <w:bCs w:val="1"/>
                <w:color w:val="auto"/>
                <w:w w:val="89"/>
              </w:rPr>
              <w:t>7990</w:t>
            </w:r>
          </w:p>
        </w:tc>
        <w:tc>
          <w:tcPr>
            <w:tcW w:w="2240" w:type="dxa"/>
            <w:vAlign w:val="bottom"/>
          </w:tcPr>
          <w:p>
            <w:pPr>
              <w:jc w:val="center"/>
              <w:ind w:left="1126"/>
              <w:spacing w:after="0"/>
              <w:rPr>
                <w:sz w:val="20"/>
                <w:szCs w:val="20"/>
                <w:color w:val="auto"/>
              </w:rPr>
            </w:pPr>
            <w:r>
              <w:rPr>
                <w:rFonts w:ascii="Arial" w:cs="Arial" w:eastAsia="Arial" w:hAnsi="Arial"/>
                <w:sz w:val="18"/>
                <w:szCs w:val="18"/>
                <w:b w:val="1"/>
                <w:bCs w:val="1"/>
                <w:color w:val="auto"/>
                <w:w w:val="87"/>
              </w:rPr>
              <w:t>46-0484992</w:t>
            </w:r>
          </w:p>
        </w:tc>
      </w:tr>
      <w:tr>
        <w:trPr>
          <w:trHeight w:val="149"/>
        </w:trPr>
        <w:tc>
          <w:tcPr>
            <w:tcW w:w="2840" w:type="dxa"/>
            <w:vAlign w:val="bottom"/>
          </w:tcPr>
          <w:p>
            <w:pPr>
              <w:jc w:val="center"/>
              <w:ind w:right="9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240" w:type="dxa"/>
            <w:vAlign w:val="bottom"/>
          </w:tcPr>
          <w:p>
            <w:pPr>
              <w:jc w:val="center"/>
              <w:ind w:left="1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06"/>
              <w:spacing w:after="0"/>
              <w:rPr>
                <w:sz w:val="20"/>
                <w:szCs w:val="20"/>
                <w:color w:val="auto"/>
              </w:rPr>
            </w:pPr>
            <w:r>
              <w:rPr>
                <w:rFonts w:ascii="Arial" w:cs="Arial" w:eastAsia="Arial" w:hAnsi="Arial"/>
                <w:sz w:val="14"/>
                <w:szCs w:val="14"/>
                <w:b w:val="1"/>
                <w:bCs w:val="1"/>
                <w:color w:val="auto"/>
                <w:w w:val="88"/>
              </w:rPr>
              <w:t>incorporation or organization)</w:t>
            </w:r>
          </w:p>
        </w:tc>
        <w:tc>
          <w:tcPr>
            <w:tcW w:w="398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Classification Code Number)</w:t>
            </w:r>
          </w:p>
        </w:tc>
        <w:tc>
          <w:tcPr>
            <w:tcW w:w="2240" w:type="dxa"/>
            <w:vAlign w:val="bottom"/>
          </w:tcPr>
          <w:p>
            <w:pPr>
              <w:jc w:val="center"/>
              <w:ind w:left="1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 Maddox</w:t>
      </w:r>
    </w:p>
    <w:p>
      <w:pPr>
        <w:jc w:val="center"/>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Gregg A. Noel,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46"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17"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260" w:firstLine="342"/>
        <w:spacing w:after="0" w:line="168"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46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300" w:type="dxa"/>
            <w:vAlign w:val="bottom"/>
            <w:gridSpan w:val="2"/>
          </w:tcPr>
          <w:p>
            <w:pPr>
              <w:spacing w:after="0"/>
              <w:rPr>
                <w:sz w:val="20"/>
                <w:szCs w:val="20"/>
                <w:color w:val="auto"/>
              </w:rPr>
            </w:pPr>
            <w:r>
              <w:rPr>
                <w:rFonts w:ascii="Arial" w:cs="Arial" w:eastAsia="Arial" w:hAnsi="Arial"/>
                <w:sz w:val="14"/>
                <w:szCs w:val="14"/>
                <w:color w:val="auto"/>
                <w:w w:val="92"/>
              </w:rPr>
              <w:t>Large accelerated filer</w:t>
            </w:r>
          </w:p>
        </w:tc>
        <w:tc>
          <w:tcPr>
            <w:tcW w:w="288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color w:val="auto"/>
              </w:rPr>
              <w:t>Accelerated filer</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300" w:type="dxa"/>
            <w:vAlign w:val="bottom"/>
            <w:gridSpan w:val="2"/>
          </w:tcPr>
          <w:p>
            <w:pPr>
              <w:spacing w:after="0"/>
              <w:rPr>
                <w:sz w:val="20"/>
                <w:szCs w:val="20"/>
                <w:color w:val="auto"/>
              </w:rPr>
            </w:pPr>
            <w:r>
              <w:rPr>
                <w:rFonts w:ascii="Arial" w:cs="Arial" w:eastAsia="Arial" w:hAnsi="Arial"/>
                <w:sz w:val="14"/>
                <w:szCs w:val="14"/>
                <w:color w:val="auto"/>
                <w:w w:val="99"/>
              </w:rPr>
              <w:t>Non-accelerated filer</w:t>
            </w:r>
          </w:p>
        </w:tc>
        <w:tc>
          <w:tcPr>
            <w:tcW w:w="2880" w:type="dxa"/>
            <w:vAlign w:val="bottom"/>
          </w:tcPr>
          <w:p>
            <w:pPr>
              <w:ind w:left="80"/>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(Do not check if a smaller reporting company)</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color w:val="auto"/>
                <w:w w:val="95"/>
              </w:rPr>
              <w:t>Smaller reporting company</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0" w:type="dxa"/>
            <w:vAlign w:val="bottom"/>
          </w:tcPr>
          <w:p>
            <w:pPr>
              <w:spacing w:after="0"/>
              <w:rPr>
                <w:sz w:val="18"/>
                <w:szCs w:val="18"/>
                <w:color w:val="auto"/>
              </w:rPr>
            </w:pPr>
          </w:p>
        </w:tc>
        <w:tc>
          <w:tcPr>
            <w:tcW w:w="7020" w:type="dxa"/>
            <w:vAlign w:val="bottom"/>
            <w:gridSpan w:val="7"/>
          </w:tcPr>
          <w:p>
            <w:pPr>
              <w:ind w:left="340"/>
              <w:spacing w:after="0"/>
              <w:rPr>
                <w:sz w:val="20"/>
                <w:szCs w:val="20"/>
                <w:color w:val="auto"/>
              </w:rPr>
            </w:pPr>
            <w:r>
              <w:rPr>
                <w:rFonts w:ascii="Arial" w:cs="Arial" w:eastAsia="Arial" w:hAnsi="Arial"/>
                <w:sz w:val="14"/>
                <w:szCs w:val="14"/>
                <w:color w:val="auto"/>
                <w:w w:val="89"/>
              </w:rPr>
              <w:t>If applicable, place an X in the box to designate the appropriate rule provision relied upon in conducting this transaction:</w:t>
            </w: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160" w:type="dxa"/>
            <w:vAlign w:val="bottom"/>
            <w:gridSpan w:val="2"/>
          </w:tcPr>
          <w:p>
            <w:pPr>
              <w:ind w:left="340"/>
              <w:spacing w:after="0" w:line="161" w:lineRule="exact"/>
              <w:rPr>
                <w:sz w:val="20"/>
                <w:szCs w:val="20"/>
                <w:color w:val="auto"/>
              </w:rPr>
            </w:pPr>
            <w:r>
              <w:rPr>
                <w:rFonts w:ascii="Arial" w:cs="Arial" w:eastAsia="Arial" w:hAnsi="Arial"/>
                <w:sz w:val="14"/>
                <w:szCs w:val="14"/>
                <w:color w:val="auto"/>
                <w:w w:val="92"/>
              </w:rPr>
              <w:t xml:space="preserve">Exchange Act Rule 13e-4(i) (Cross Border Issuer Tender Offer) </w:t>
            </w:r>
            <w:r>
              <w:rPr>
                <w:rFonts w:ascii="MS PGothic" w:cs="MS PGothic" w:eastAsia="MS PGothic" w:hAnsi="MS PGothic"/>
                <w:sz w:val="14"/>
                <w:szCs w:val="14"/>
                <w:color w:val="auto"/>
                <w:w w:val="92"/>
              </w:rPr>
              <w:t>☐</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ind w:left="340"/>
              <w:spacing w:after="0"/>
              <w:rPr>
                <w:sz w:val="20"/>
                <w:szCs w:val="20"/>
                <w:color w:val="auto"/>
              </w:rPr>
            </w:pPr>
            <w:r>
              <w:rPr>
                <w:rFonts w:ascii="Arial" w:cs="Arial" w:eastAsia="Arial" w:hAnsi="Arial"/>
                <w:sz w:val="14"/>
                <w:szCs w:val="14"/>
                <w:color w:val="auto"/>
                <w:w w:val="88"/>
              </w:rPr>
              <w:t>Exchange Act Rule 14d-1(d) (Cross Border Third-Party Tender Offer)</w:t>
            </w:r>
          </w:p>
        </w:tc>
        <w:tc>
          <w:tcPr>
            <w:tcW w:w="2860" w:type="dxa"/>
            <w:vAlign w:val="bottom"/>
            <w:gridSpan w:val="5"/>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36"/>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w w:val="98"/>
              </w:rPr>
              <w:t>CALCULATION OF REGISTRATION FEE</w:t>
            </w: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Borders>
              <w:right w:val="single" w:sz="8" w:color="auto"/>
            </w:tcBorders>
          </w:tcPr>
          <w:p>
            <w:pPr>
              <w:jc w:val="center"/>
              <w:ind w:right="214"/>
              <w:spacing w:after="0" w:line="117" w:lineRule="exact"/>
              <w:rPr>
                <w:sz w:val="20"/>
                <w:szCs w:val="20"/>
                <w:color w:val="auto"/>
              </w:rPr>
            </w:pPr>
            <w:r>
              <w:rPr>
                <w:rFonts w:ascii="Arial" w:cs="Arial" w:eastAsia="Arial" w:hAnsi="Arial"/>
                <w:sz w:val="12"/>
                <w:szCs w:val="12"/>
                <w:b w:val="1"/>
                <w:bCs w:val="1"/>
                <w:color w:val="auto"/>
                <w:w w:val="97"/>
              </w:rPr>
              <w:t>Proposed</w:t>
            </w:r>
          </w:p>
        </w:tc>
        <w:tc>
          <w:tcPr>
            <w:tcW w:w="1320" w:type="dxa"/>
            <w:vAlign w:val="bottom"/>
          </w:tcPr>
          <w:p>
            <w:pPr>
              <w:jc w:val="center"/>
              <w:ind w:left="314"/>
              <w:spacing w:after="0" w:line="117" w:lineRule="exact"/>
              <w:rPr>
                <w:sz w:val="20"/>
                <w:szCs w:val="20"/>
                <w:color w:val="auto"/>
              </w:rPr>
            </w:pPr>
            <w:r>
              <w:rPr>
                <w:rFonts w:ascii="Arial" w:cs="Arial" w:eastAsia="Arial" w:hAnsi="Arial"/>
                <w:sz w:val="12"/>
                <w:szCs w:val="12"/>
                <w:b w:val="1"/>
                <w:bCs w:val="1"/>
                <w:color w:val="auto"/>
                <w:w w:val="97"/>
              </w:rPr>
              <w:t>Proposed</w:t>
            </w:r>
          </w:p>
        </w:tc>
        <w:tc>
          <w:tcPr>
            <w:tcW w:w="280" w:type="dxa"/>
            <w:vAlign w:val="bottom"/>
            <w:tcBorders>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Amount</w:t>
            </w:r>
          </w:p>
        </w:tc>
        <w:tc>
          <w:tcPr>
            <w:tcW w:w="380" w:type="dxa"/>
            <w:vAlign w:val="bottom"/>
            <w:gridSpan w:val="2"/>
          </w:tcPr>
          <w:p>
            <w:pPr>
              <w:spacing w:after="0"/>
              <w:rPr>
                <w:sz w:val="12"/>
                <w:szCs w:val="12"/>
                <w:color w:val="auto"/>
              </w:rPr>
            </w:pPr>
          </w:p>
        </w:tc>
        <w:tc>
          <w:tcPr>
            <w:tcW w:w="1220" w:type="dxa"/>
            <w:vAlign w:val="bottom"/>
            <w:tcBorders>
              <w:right w:val="single" w:sz="8" w:color="auto"/>
            </w:tcBorders>
          </w:tcPr>
          <w:p>
            <w:pPr>
              <w:jc w:val="center"/>
              <w:ind w:right="234"/>
              <w:spacing w:after="0" w:line="149" w:lineRule="exact"/>
              <w:rPr>
                <w:sz w:val="20"/>
                <w:szCs w:val="20"/>
                <w:color w:val="auto"/>
              </w:rPr>
            </w:pPr>
            <w:r>
              <w:rPr>
                <w:rFonts w:ascii="Arial" w:cs="Arial" w:eastAsia="Arial" w:hAnsi="Arial"/>
                <w:sz w:val="14"/>
                <w:szCs w:val="14"/>
                <w:b w:val="1"/>
                <w:bCs w:val="1"/>
                <w:color w:val="auto"/>
                <w:w w:val="92"/>
              </w:rPr>
              <w:t>Maximum</w:t>
            </w:r>
          </w:p>
        </w:tc>
        <w:tc>
          <w:tcPr>
            <w:tcW w:w="1320" w:type="dxa"/>
            <w:vAlign w:val="bottom"/>
          </w:tcPr>
          <w:p>
            <w:pPr>
              <w:jc w:val="center"/>
              <w:ind w:left="294"/>
              <w:spacing w:after="0" w:line="149" w:lineRule="exact"/>
              <w:rPr>
                <w:sz w:val="20"/>
                <w:szCs w:val="20"/>
                <w:color w:val="auto"/>
              </w:rPr>
            </w:pPr>
            <w:r>
              <w:rPr>
                <w:rFonts w:ascii="Arial" w:cs="Arial" w:eastAsia="Arial" w:hAnsi="Arial"/>
                <w:sz w:val="14"/>
                <w:szCs w:val="14"/>
                <w:b w:val="1"/>
                <w:bCs w:val="1"/>
                <w:color w:val="auto"/>
                <w:w w:val="92"/>
              </w:rPr>
              <w:t>Maximum</w:t>
            </w:r>
          </w:p>
        </w:tc>
        <w:tc>
          <w:tcPr>
            <w:tcW w:w="280" w:type="dxa"/>
            <w:vAlign w:val="bottom"/>
            <w:tcBorders>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8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Title of each Class of</w:t>
            </w:r>
          </w:p>
        </w:tc>
        <w:tc>
          <w:tcPr>
            <w:tcW w:w="3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to be</w:t>
            </w:r>
          </w:p>
        </w:tc>
        <w:tc>
          <w:tcPr>
            <w:tcW w:w="380" w:type="dxa"/>
            <w:vAlign w:val="bottom"/>
            <w:gridSpan w:val="2"/>
          </w:tcPr>
          <w:p>
            <w:pPr>
              <w:spacing w:after="0"/>
              <w:rPr>
                <w:sz w:val="12"/>
                <w:szCs w:val="12"/>
                <w:color w:val="auto"/>
              </w:rPr>
            </w:pPr>
          </w:p>
        </w:tc>
        <w:tc>
          <w:tcPr>
            <w:tcW w:w="1220" w:type="dxa"/>
            <w:vAlign w:val="bottom"/>
            <w:tcBorders>
              <w:right w:val="single" w:sz="8" w:color="auto"/>
            </w:tcBorders>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320" w:type="dxa"/>
            <w:vAlign w:val="bottom"/>
          </w:tcPr>
          <w:p>
            <w:pPr>
              <w:jc w:val="center"/>
              <w:ind w:left="294"/>
              <w:spacing w:after="0" w:line="149" w:lineRule="exact"/>
              <w:rPr>
                <w:sz w:val="20"/>
                <w:szCs w:val="20"/>
                <w:color w:val="auto"/>
              </w:rPr>
            </w:pPr>
            <w:r>
              <w:rPr>
                <w:rFonts w:ascii="Arial" w:cs="Arial" w:eastAsia="Arial" w:hAnsi="Arial"/>
                <w:sz w:val="14"/>
                <w:szCs w:val="14"/>
                <w:b w:val="1"/>
                <w:bCs w:val="1"/>
                <w:color w:val="auto"/>
                <w:w w:val="86"/>
              </w:rPr>
              <w:t>Aggregate</w:t>
            </w:r>
          </w:p>
        </w:tc>
        <w:tc>
          <w:tcPr>
            <w:tcW w:w="280" w:type="dxa"/>
            <w:vAlign w:val="bottom"/>
            <w:tcBorders>
              <w:right w:val="single" w:sz="8" w:color="auto"/>
            </w:tcBorders>
          </w:tcPr>
          <w:p>
            <w:pPr>
              <w:spacing w:after="0"/>
              <w:rPr>
                <w:sz w:val="12"/>
                <w:szCs w:val="12"/>
                <w:color w:val="auto"/>
              </w:rPr>
            </w:pPr>
          </w:p>
        </w:tc>
        <w:tc>
          <w:tcPr>
            <w:tcW w:w="13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8"/>
              </w:rPr>
              <w:t>Amount of</w:t>
            </w:r>
          </w:p>
        </w:tc>
        <w:tc>
          <w:tcPr>
            <w:tcW w:w="2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84"/>
              </w:rPr>
              <w:t>Securities to be Registered</w:t>
            </w: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380" w:type="dxa"/>
            <w:vAlign w:val="bottom"/>
            <w:tcBorders>
              <w:bottom w:val="single" w:sz="8" w:color="auto"/>
            </w:tcBorders>
            <w:gridSpan w:val="2"/>
          </w:tcPr>
          <w:p>
            <w:pPr>
              <w:spacing w:after="0"/>
              <w:rPr>
                <w:sz w:val="15"/>
                <w:szCs w:val="15"/>
                <w:color w:val="auto"/>
              </w:rPr>
            </w:pPr>
          </w:p>
        </w:tc>
        <w:tc>
          <w:tcPr>
            <w:tcW w:w="1220" w:type="dxa"/>
            <w:vAlign w:val="bottom"/>
            <w:tcBorders>
              <w:bottom w:val="single" w:sz="8" w:color="auto"/>
              <w:right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8"/>
              </w:rPr>
              <w:t>Per Security</w:t>
            </w:r>
          </w:p>
        </w:tc>
        <w:tc>
          <w:tcPr>
            <w:tcW w:w="1320" w:type="dxa"/>
            <w:vAlign w:val="bottom"/>
            <w:tcBorders>
              <w:bottom w:val="single" w:sz="8" w:color="auto"/>
            </w:tcBorders>
          </w:tcPr>
          <w:p>
            <w:pPr>
              <w:jc w:val="center"/>
              <w:ind w:left="294"/>
              <w:spacing w:after="0"/>
              <w:rPr>
                <w:sz w:val="20"/>
                <w:szCs w:val="20"/>
                <w:color w:val="auto"/>
              </w:rPr>
            </w:pPr>
            <w:r>
              <w:rPr>
                <w:rFonts w:ascii="Arial" w:cs="Arial" w:eastAsia="Arial" w:hAnsi="Arial"/>
                <w:sz w:val="14"/>
                <w:szCs w:val="14"/>
                <w:b w:val="1"/>
                <w:bCs w:val="1"/>
                <w:color w:val="auto"/>
                <w:w w:val="90"/>
              </w:rPr>
              <w:t>Offering Price</w:t>
            </w:r>
          </w:p>
        </w:tc>
        <w:tc>
          <w:tcPr>
            <w:tcW w:w="28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tcPr>
          <w:p>
            <w:pPr>
              <w:jc w:val="center"/>
              <w:ind w:left="212"/>
              <w:spacing w:after="0"/>
              <w:rPr>
                <w:sz w:val="20"/>
                <w:szCs w:val="20"/>
                <w:color w:val="auto"/>
              </w:rPr>
            </w:pPr>
            <w:r>
              <w:rPr>
                <w:rFonts w:ascii="Arial" w:cs="Arial" w:eastAsia="Arial" w:hAnsi="Arial"/>
                <w:sz w:val="14"/>
                <w:szCs w:val="14"/>
                <w:b w:val="1"/>
                <w:bCs w:val="1"/>
                <w:color w:val="auto"/>
                <w:w w:val="87"/>
              </w:rPr>
              <w:t>Registration Fee</w:t>
            </w:r>
          </w:p>
        </w:tc>
        <w:tc>
          <w:tcPr>
            <w:tcW w:w="200" w:type="dxa"/>
            <w:vAlign w:val="bottom"/>
            <w:tcBorders>
              <w:bottom w:val="single" w:sz="8" w:color="auto"/>
            </w:tcBorders>
          </w:tcPr>
          <w:p>
            <w:pPr>
              <w:spacing w:after="0"/>
              <w:rPr>
                <w:sz w:val="15"/>
                <w:szCs w:val="15"/>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color w:val="auto"/>
              </w:rPr>
              <w:t>5.375% First Mortgage Notes due 2022</w:t>
            </w:r>
          </w:p>
        </w:tc>
        <w:tc>
          <w:tcPr>
            <w:tcW w:w="880" w:type="dxa"/>
            <w:vAlign w:val="bottom"/>
            <w:tcBorders>
              <w:bottom w:val="single" w:sz="8" w:color="auto"/>
              <w:right w:val="single" w:sz="8" w:color="auto"/>
            </w:tcBorders>
            <w:gridSpan w:val="2"/>
          </w:tcPr>
          <w:p>
            <w:pPr>
              <w:spacing w:after="0"/>
              <w:rPr>
                <w:sz w:val="12"/>
                <w:szCs w:val="12"/>
                <w:color w:val="auto"/>
              </w:rPr>
            </w:pPr>
          </w:p>
        </w:tc>
        <w:tc>
          <w:tcPr>
            <w:tcW w:w="160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86"/>
              </w:rPr>
              <w:t>$900,000,000</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jc w:val="center"/>
              <w:ind w:right="234"/>
              <w:spacing w:after="0" w:line="143" w:lineRule="exact"/>
              <w:rPr>
                <w:sz w:val="20"/>
                <w:szCs w:val="20"/>
                <w:color w:val="auto"/>
              </w:rPr>
            </w:pPr>
            <w:r>
              <w:rPr>
                <w:rFonts w:ascii="Arial" w:cs="Arial" w:eastAsia="Arial" w:hAnsi="Arial"/>
                <w:sz w:val="14"/>
                <w:szCs w:val="14"/>
                <w:color w:val="auto"/>
                <w:w w:val="89"/>
              </w:rPr>
              <w:t>100%</w:t>
            </w:r>
          </w:p>
        </w:tc>
        <w:tc>
          <w:tcPr>
            <w:tcW w:w="1320" w:type="dxa"/>
            <w:vAlign w:val="bottom"/>
            <w:tcBorders>
              <w:bottom w:val="single" w:sz="8" w:color="auto"/>
            </w:tcBorders>
          </w:tcPr>
          <w:p>
            <w:pPr>
              <w:jc w:val="center"/>
              <w:ind w:left="314"/>
              <w:spacing w:after="0" w:line="143" w:lineRule="exact"/>
              <w:rPr>
                <w:sz w:val="20"/>
                <w:szCs w:val="20"/>
                <w:color w:val="auto"/>
              </w:rPr>
            </w:pPr>
            <w:r>
              <w:rPr>
                <w:rFonts w:ascii="Arial" w:cs="Arial" w:eastAsia="Arial" w:hAnsi="Arial"/>
                <w:sz w:val="14"/>
                <w:szCs w:val="14"/>
                <w:color w:val="auto"/>
                <w:w w:val="87"/>
              </w:rPr>
              <w:t>$900,000,000(1)</w:t>
            </w:r>
          </w:p>
        </w:tc>
        <w:tc>
          <w:tcPr>
            <w:tcW w:w="28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jc w:val="center"/>
              <w:ind w:left="212"/>
              <w:spacing w:after="0" w:line="143" w:lineRule="exact"/>
              <w:rPr>
                <w:sz w:val="20"/>
                <w:szCs w:val="20"/>
                <w:color w:val="auto"/>
              </w:rPr>
            </w:pPr>
            <w:r>
              <w:rPr>
                <w:rFonts w:ascii="Arial" w:cs="Arial" w:eastAsia="Arial" w:hAnsi="Arial"/>
                <w:sz w:val="14"/>
                <w:szCs w:val="14"/>
                <w:color w:val="auto"/>
                <w:w w:val="87"/>
              </w:rPr>
              <w:t>$103,140.00</w:t>
            </w:r>
          </w:p>
        </w:tc>
        <w:tc>
          <w:tcPr>
            <w:tcW w:w="20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84"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457(f)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40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September 26,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Capital Corp.</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Offer to Exchange $900,000,000 of their outstanding</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5.375% First Mortgage Notes due 2022</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(CUSIPs 983130 AS4 and U98347 AH7)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for</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5.375% First Mortgage Notes due 2022</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(CUSIP 983130 AT2)</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that have been registered under the Securities Act of 1933, as amended</w:t>
      </w:r>
    </w:p>
    <w:p>
      <w:pPr>
        <w:spacing w:after="0" w:line="156" w:lineRule="exact"/>
        <w:rPr>
          <w:sz w:val="20"/>
          <w:szCs w:val="20"/>
          <w:color w:val="auto"/>
        </w:rPr>
      </w:pPr>
    </w:p>
    <w:p>
      <w:pPr>
        <w:ind w:left="460"/>
        <w:spacing w:after="0"/>
        <w:tabs>
          <w:tab w:leader="none" w:pos="640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5"/>
          <w:szCs w:val="15"/>
          <w:b w:val="1"/>
          <w:bCs w:val="1"/>
          <w:color w:val="auto"/>
        </w:rPr>
        <w:t>, 2012, unless we extend the exchange offer.</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refer to the registered notes offered in this exchange offer as the “new notes.” We refer to all outstanding $900,000,000 aggregate principal amount of our 5.375% first mortgage notes due 2022 issued on March 12, 2012 as the “old notes.” The old notes were issued under an indenture, dated as of March 12, 2012.</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The old notes are, and, upon consummation of the exchange offer, the new notes will be, pari passu with our outstanding 7.875% first mortgage notes due 2017 (the “2017 notes”), our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our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the exchange offer:</w:t>
      </w:r>
    </w:p>
    <w:p>
      <w:pPr>
        <w:spacing w:after="0" w:line="90" w:lineRule="exact"/>
        <w:rPr>
          <w:sz w:val="20"/>
          <w:szCs w:val="20"/>
          <w:color w:val="auto"/>
        </w:rPr>
      </w:pPr>
    </w:p>
    <w:p>
      <w:pPr>
        <w:ind w:left="900" w:right="2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exchange the new notes for all outstanding old notes that are validly tendered pursuant to the exchange offer and not properly withdrawn prior to the expiration of the exchange offer.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of the exchange offer.</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the new notes are substantially identical to those of the old notes, except that the transfer restrictions, registration rights and liquidated damages provisions relating to the old notes will not apply to the new notes.</w:t>
      </w:r>
    </w:p>
    <w:p>
      <w:pPr>
        <w:spacing w:after="0" w:line="5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established trading market for the new notes.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SEC no-action letter (publicly available May 13,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0"/>
          <w:szCs w:val="20"/>
          <w:color w:val="auto"/>
        </w:rPr>
      </w:pPr>
    </w:p>
    <w:p>
      <w:pPr>
        <w:ind w:right="4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140"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2012</w:t>
            </w: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this prospectus.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20" w:type="dxa"/>
            <w:vAlign w:val="bottom"/>
            <w:gridSpan w:val="8"/>
          </w:tcPr>
          <w:p>
            <w:pPr>
              <w:ind w:left="2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SPECIAL NOTE REGARDING FORWARD-LOOKING STATEMENTS</w:t>
              </w:r>
            </w:hyperlink>
          </w:p>
        </w:tc>
        <w:tc>
          <w:tcPr>
            <w:tcW w:w="466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RATIO OF EARNINGS TO FIXED CHARGES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SELECTED CONSOLIDATED FINANCIAL DATA</w:t>
              </w:r>
            </w:hyperlink>
          </w:p>
        </w:tc>
        <w:tc>
          <w:tcPr>
            <w:tcW w:w="612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BUSINESS</w:t>
              </w:r>
            </w:hyperlink>
          </w:p>
        </w:tc>
        <w:tc>
          <w:tcPr>
            <w:tcW w:w="7800" w:type="dxa"/>
            <w:vAlign w:val="bottom"/>
            <w:tcBorders>
              <w:top w:val="single" w:sz="8" w:color="0000EE"/>
            </w:tcBorders>
            <w:gridSpan w:val="22"/>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MANAGEMENT</w:t>
              </w:r>
            </w:hyperlink>
          </w:p>
        </w:tc>
        <w:tc>
          <w:tcPr>
            <w:tcW w:w="860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72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FURTHER INFORMATION CONCERNING THE BOARD OF DIRECTORS OF WYNN RESORTS</w:t>
              </w:r>
            </w:hyperlink>
          </w:p>
        </w:tc>
        <w:tc>
          <w:tcPr>
            <w:tcW w:w="26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64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DIRECTOR AND EXECUTIVE OFFICER COMPENSATION AND OTHER MATTERS</w:t>
              </w:r>
            </w:hyperlink>
          </w:p>
        </w:tc>
        <w:tc>
          <w:tcPr>
            <w:tcW w:w="348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COMPENSATION DISCUSSION AND ANALYSIS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37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2011 SUMMARY COMPENSATION TABLE</w:t>
              </w:r>
            </w:hyperlink>
          </w:p>
        </w:tc>
        <w:tc>
          <w:tcPr>
            <w:tcW w:w="612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POTENTIAL PAYMENTS UPON TERMINATION OR CHANGE IN CONTROL</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SECURITY OWNERSHIP OF CERTAIN BENEFICIAL OWNERS AND MANAGEMENT</w:t>
              </w:r>
            </w:hyperlink>
          </w:p>
        </w:tc>
        <w:tc>
          <w:tcPr>
            <w:tcW w:w="330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47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CERTAIN RELATIONSHIPS AND RELATED TRANSACTIONS</w:t>
              </w:r>
            </w:hyperlink>
          </w:p>
        </w:tc>
        <w:tc>
          <w:tcPr>
            <w:tcW w:w="5120" w:type="dxa"/>
            <w:vAlign w:val="bottom"/>
            <w:gridSpan w:val="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THE EXCHANGE OFFER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DESCRIPTION OF THE NEW NOTES</w:t>
              </w:r>
            </w:hyperlink>
          </w:p>
        </w:tc>
        <w:tc>
          <w:tcPr>
            <w:tcW w:w="70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DESCRIPTION OF CERTAIN INDEBTEDNESS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7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72">
              <w:r>
                <w:rPr>
                  <w:rFonts w:ascii="Arial" w:cs="Arial" w:eastAsia="Arial" w:hAnsi="Arial"/>
                  <w:sz w:val="18"/>
                  <w:szCs w:val="18"/>
                  <w:color w:val="0000EE"/>
                  <w:w w:val="94"/>
                </w:rPr>
                <w:t>MATERIAL UNITED STATES FEDERAL INCOME TAX CONSIDERATIONS</w:t>
              </w:r>
            </w:hyperlink>
          </w:p>
        </w:tc>
        <w:tc>
          <w:tcPr>
            <w:tcW w:w="4120" w:type="dxa"/>
            <w:vAlign w:val="bottom"/>
            <w:gridSpan w:val="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PLAN OF DISTRIBUTION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96"/>
        </w:trPr>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LEGAL MATTERS</w:t>
              </w:r>
            </w:hyperlink>
          </w:p>
        </w:tc>
        <w:tc>
          <w:tcPr>
            <w:tcW w:w="7880" w:type="dxa"/>
            <w:vAlign w:val="bottom"/>
            <w:gridSpan w:val="1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846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WHERE YOU CAN FIND MORE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20"/>
        </w:trPr>
        <w:tc>
          <w:tcPr>
            <w:tcW w:w="3720" w:type="dxa"/>
            <w:vAlign w:val="bottom"/>
            <w:gridSpan w:val="1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75">
              <w:r>
                <w:rPr>
                  <w:rFonts w:ascii="Arial" w:cs="Arial" w:eastAsia="Arial" w:hAnsi="Arial"/>
                  <w:sz w:val="18"/>
                  <w:szCs w:val="18"/>
                  <w:color w:val="0000EE"/>
                  <w:w w:val="94"/>
                </w:rPr>
                <w:t>INDEX TO CONSOLIDATED FINANCIAL STATEMENTS</w:t>
              </w:r>
            </w:hyperlink>
          </w:p>
        </w:tc>
        <w:tc>
          <w:tcPr>
            <w:tcW w:w="55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81"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that a natural disaster may have on the travel and leisure industry;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military conflicts in the Middle East and any future security alerts and/or terrorist attacks.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11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i w:val="1"/>
          <w:iCs w:val="1"/>
          <w:color w:val="auto"/>
        </w:rPr>
        <w:t>The new notes will be jointly issued by Wynn Las Vegas, LLC, a Nevada limited liability company, and its wholly owned subsidiary, Wynn Las Vegas Capital Corp., a Nevada corporation (“Wynn Capital”). Wynn Las Vegas, LLC and Wynn Capital together are hereinafter referred to as the “Issuers.” Unless the context otherwise requires, all references in this prospectus to the “Company,” “we,” “us” or “our,” or similar terms, refer to Wynn Las Vegas, LLC and its consolidated subsidiaries (other than Wynn Completion Guarantor, LLC). The 5.375% first mortgage notes due 2022 are sometimes referred to herein as the “notes,” which term, except with respect to discussions of income tax consequences and unless the context otherwise requires, includes the new notes and the old notes. The sole member of Wynn Las Vegas, LLC is Wynn Resorts Holdings, LLC, a Nevada limited liability company (“Wynn Holdings”), and the sole member of Wynn Holdings is Wynn Resorts, Limited, a Nevada corporation (“Wynn Resorts”).</w:t>
      </w: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Wynn Las Vegas was expanded with the opening of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4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4,750 hotel rooms and suites, 220 table games, 2,430 slot machines and a poker room in approximately 186,000 square feet of casino gaming space (including a sky casino and private gaming salons), casual and fine dining in 35 food and beverage outlets, two spas and salons, lounges, meeting facilities and approximately 94,000 square feet of retail space promenade featuring boutiques from Alexander McQueen, Brioni, Cartier, Chanel, Dior, Graff, Hermès, Loro Piana, Louis Vuitton, Manolo Blahnik, Oscar de la Renta, Vertu and others. Our Las Vegas operations also offer three nightclubs, a beach club, two spas and salons, a Ferrari and Maserati automobile dealership, wedding chapels, an 18-hole golf course, approximately 283,000 square feet of meeting space, a specially designed theater presenting “Le Rêve,” a water-based theatrical production, and an Encore Theater currently presenting Garth Brooks and other headliner entertainment acts. We believe that the unique experience of our resort drives the significant visitation experienced since opening. For the sixth consecutive year, The Tower Suites at Wynn Las Vegas has received both the Forbes five-star and AAA five-diamond distinctions. The Spa at Wynn Las Vegas earned five-star recognition from Forbes for the fourth year in a row. For the third consecutive year, the Encore Tower Suites has received both the Forbes five-star and AAA five-diamond distinctions. The Spa at Encore also earned five-star recognition from Forbes for the third year in a row. The Spa at Wynn Las Vegas and the Spa at Encore are two of the only four spas in Las Vegas to be recognized with the Forbes five-star award.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9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7294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color w:val="auto"/>
        </w:rPr>
        <w:t>We believe that Stephen A.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43" w:lineRule="exact"/>
        <w:rPr>
          <w:sz w:val="20"/>
          <w:szCs w:val="20"/>
          <w:color w:val="auto"/>
        </w:rPr>
      </w:pPr>
    </w:p>
    <w:p>
      <w:pPr>
        <w:ind w:left="200" w:right="200" w:firstLine="443"/>
        <w:spacing w:after="0" w:line="294" w:lineRule="auto"/>
        <w:rPr>
          <w:sz w:val="20"/>
          <w:szCs w:val="20"/>
          <w:color w:val="auto"/>
        </w:rPr>
      </w:pPr>
      <w:r>
        <w:rPr>
          <w:rFonts w:ascii="Arial" w:cs="Arial" w:eastAsia="Arial" w:hAnsi="Arial"/>
          <w:sz w:val="16"/>
          <w:szCs w:val="16"/>
          <w:color w:val="auto"/>
        </w:rPr>
        <w:t>Our resort is designed and built to provide a premium experience.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16" w:lineRule="exact"/>
        <w:rPr>
          <w:sz w:val="20"/>
          <w:szCs w:val="20"/>
          <w:color w:val="auto"/>
        </w:rPr>
      </w:pPr>
    </w:p>
    <w:p>
      <w:pPr>
        <w:jc w:val="both"/>
        <w:ind w:left="200" w:right="14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affiliate, the senior management of which has significant experience in all major construction disciplines.</w:t>
      </w:r>
    </w:p>
    <w:p>
      <w:pPr>
        <w:spacing w:after="0" w:line="26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September 2012, we terminated our credit facility and, in accordance with the respective indentures:</w:t>
      </w:r>
    </w:p>
    <w:p>
      <w:pPr>
        <w:spacing w:after="0" w:line="90" w:lineRule="exact"/>
        <w:rPr>
          <w:sz w:val="20"/>
          <w:szCs w:val="20"/>
          <w:color w:val="auto"/>
        </w:rPr>
      </w:pPr>
    </w:p>
    <w:p>
      <w:pPr>
        <w:ind w:left="1060" w:right="400" w:hanging="323"/>
        <w:spacing w:after="0" w:line="357" w:lineRule="auto"/>
        <w:tabs>
          <w:tab w:leader="none" w:pos="106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the liens (other than the first priority pledge by Wynn Holdings of its equity interests in Wynn Las Vegas, LLC (the “Holdings pledge”)) securing, and the subsidiary guarantees of,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old notes were released; and</w:t>
      </w:r>
    </w:p>
    <w:p>
      <w:pPr>
        <w:ind w:left="1060" w:right="20" w:hanging="323"/>
        <w:spacing w:after="0" w:line="25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terminated certain lease and access agreements then existing between Wynn Las Vegas, LLC and Wynn Golf, LLC, a Nevada limited liability company (“Wynn Golf”), and distributed to Wynn Holdings (which distributed to Wynn Resorts) (i) all of the equity interests in Wynn Golf (which owns the Wynn Las Vegas golf course land, the related water rights and certain other water rights related to ancillary uses), and (ii) $700 million in cash.</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also entered into lease agreements with Wynn Golf pursuant to which we lease the Wynn Las Vegas golf course land and water rights.</w:t>
      </w:r>
    </w:p>
    <w:p>
      <w:pPr>
        <w:spacing w:after="0" w:line="194"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 xml:space="preserve">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are now unsecured (except by the Holdings pledge) and are not guaranteed by our subsidiaries. Under certain circumstances, as further described under “Description of the New Notes—Release and Reinstatement of Liens and Guarantees,” we may be required in the future to grant liens to again secure such notes (and the new notes) or certain of our restricted subsidiaries may be required to provide guarantees of such notes (and the new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340" w:type="dxa"/>
            <w:vAlign w:val="bottom"/>
            <w:tcBorders>
              <w:top w:val="single" w:sz="8" w:color="auto"/>
              <w:left w:val="single" w:sz="8" w:color="auto"/>
            </w:tcBorders>
          </w:tcPr>
          <w:p>
            <w:pPr>
              <w:spacing w:after="0"/>
              <w:rPr>
                <w:sz w:val="24"/>
                <w:szCs w:val="24"/>
                <w:color w:val="auto"/>
              </w:rPr>
            </w:pPr>
          </w:p>
        </w:tc>
        <w:tc>
          <w:tcPr>
            <w:tcW w:w="3400" w:type="dxa"/>
            <w:vAlign w:val="bottom"/>
            <w:tcBorders>
              <w:top w:val="single" w:sz="8" w:color="auto"/>
            </w:tcBorders>
          </w:tcPr>
          <w:p>
            <w:pPr>
              <w:ind w:left="1640"/>
              <w:spacing w:after="0"/>
              <w:rPr>
                <w:sz w:val="20"/>
                <w:szCs w:val="20"/>
                <w:color w:val="auto"/>
              </w:rPr>
            </w:pPr>
            <w:r>
              <w:rPr>
                <w:rFonts w:ascii="Arial" w:cs="Arial" w:eastAsia="Arial" w:hAnsi="Arial"/>
                <w:sz w:val="18"/>
                <w:szCs w:val="18"/>
                <w:b w:val="1"/>
                <w:bCs w:val="1"/>
                <w:color w:val="auto"/>
              </w:rPr>
              <w:t>The Exchange Offer</w:t>
            </w:r>
          </w:p>
        </w:tc>
        <w:tc>
          <w:tcPr>
            <w:tcW w:w="3260" w:type="dxa"/>
            <w:vAlign w:val="bottom"/>
            <w:tcBorders>
              <w:top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Notes</w:t>
            </w: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0"/>
              </w:rPr>
              <w:t>5.375% First Mortgage Notes due 2022, which we issued on March 12, 2012. The old notes were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rPr>
              <w:t>issued under the indenture, dated as of March 12, 2012. The old notes are, and, upon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2"/>
              </w:rPr>
              <w:t>consummation of the exchange offer, the new notes will be, pari passu with the 2017 notes, the</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Notes</w:t>
            </w: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4"/>
              </w:rPr>
              <w:t>5.375% First Mortgage Notes due 2022, the issuance of which has been registered under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9"/>
              </w:rPr>
              <w:t>old notes, except that the transfer restrictions, registration rights and liquidated damages</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provisions relating to the old notes do not apply to the new notes.</w:t>
            </w: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Notes</w:t>
            </w: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rPr>
              <w:t>We are offering to issue up to $900,000,000 aggregate principal amount of new notes in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2"/>
              </w:rPr>
              <w:t>exchange for a like principal amount of old notes to satisfy our obligations under the registration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rPr>
              <w:t>rights agreement that we entered into when the old notes were issued in transactions</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6"/>
              </w:rPr>
              <w:t>consummated in reliance upon the exemptions from registration provided by Rule 144A and</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Regulation S under the Securities Act.</w:t>
            </w: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The exchange offer will expire at 5:00 p.m., New York City time, on</w:t>
            </w:r>
          </w:p>
        </w:tc>
        <w:tc>
          <w:tcPr>
            <w:tcW w:w="1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2012, unless</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340" w:type="dxa"/>
            <w:vAlign w:val="bottom"/>
            <w:tcBorders>
              <w:left w:val="single" w:sz="8" w:color="auto"/>
            </w:tcBorders>
          </w:tcPr>
          <w:p>
            <w:pPr>
              <w:spacing w:after="0"/>
              <w:rPr>
                <w:sz w:val="24"/>
                <w:szCs w:val="24"/>
                <w:color w:val="auto"/>
              </w:rPr>
            </w:pPr>
          </w:p>
        </w:tc>
        <w:tc>
          <w:tcPr>
            <w:tcW w:w="6660" w:type="dxa"/>
            <w:vAlign w:val="bottom"/>
            <w:gridSpan w:val="2"/>
          </w:tcPr>
          <w:p>
            <w:pPr>
              <w:ind w:left="1100"/>
              <w:spacing w:after="0"/>
              <w:rPr>
                <w:sz w:val="20"/>
                <w:szCs w:val="20"/>
                <w:color w:val="auto"/>
              </w:rPr>
            </w:pPr>
            <w:r>
              <w:rPr>
                <w:rFonts w:ascii="Arial" w:cs="Arial" w:eastAsia="Arial" w:hAnsi="Arial"/>
                <w:sz w:val="18"/>
                <w:szCs w:val="18"/>
                <w:color w:val="auto"/>
                <w:w w:val="92"/>
              </w:rPr>
              <w:t>• you are not our “affiliate,” as defined in Rule 405 under the Securities Act;</w:t>
            </w:r>
          </w:p>
        </w:tc>
        <w:tc>
          <w:tcPr>
            <w:tcW w:w="1460" w:type="dxa"/>
            <w:vAlign w:val="bottom"/>
            <w:tcBorders>
              <w:right w:val="single" w:sz="8" w:color="auto"/>
            </w:tcBorders>
          </w:tcPr>
          <w:p>
            <w:pPr>
              <w:spacing w:after="0"/>
              <w:rPr>
                <w:sz w:val="24"/>
                <w:szCs w:val="24"/>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 any new notes you receive in the exchange offer are being acquired by you in the ordinary</w:t>
            </w:r>
          </w:p>
        </w:tc>
      </w:tr>
      <w:tr>
        <w:trPr>
          <w:trHeight w:val="222"/>
        </w:trPr>
        <w:tc>
          <w:tcPr>
            <w:tcW w:w="3340" w:type="dxa"/>
            <w:vAlign w:val="bottom"/>
            <w:tcBorders>
              <w:left w:val="single" w:sz="8" w:color="auto"/>
            </w:tcBorders>
          </w:tcPr>
          <w:p>
            <w:pPr>
              <w:spacing w:after="0"/>
              <w:rPr>
                <w:sz w:val="19"/>
                <w:szCs w:val="19"/>
                <w:color w:val="auto"/>
              </w:rPr>
            </w:pPr>
          </w:p>
        </w:tc>
        <w:tc>
          <w:tcPr>
            <w:tcW w:w="3400" w:type="dxa"/>
            <w:vAlign w:val="bottom"/>
          </w:tcPr>
          <w:p>
            <w:pPr>
              <w:ind w:left="1280"/>
              <w:spacing w:after="0"/>
              <w:rPr>
                <w:sz w:val="20"/>
                <w:szCs w:val="20"/>
                <w:color w:val="auto"/>
              </w:rPr>
            </w:pPr>
            <w:r>
              <w:rPr>
                <w:rFonts w:ascii="Arial" w:cs="Arial" w:eastAsia="Arial" w:hAnsi="Arial"/>
                <w:sz w:val="18"/>
                <w:szCs w:val="18"/>
                <w:color w:val="auto"/>
              </w:rPr>
              <w:t>course of your business;</w:t>
            </w:r>
          </w:p>
        </w:tc>
        <w:tc>
          <w:tcPr>
            <w:tcW w:w="326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3"/>
              </w:rPr>
              <w:t>• at the time of the commencement of the exchange offer, neither you nor, to your knowledge,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0"/>
              </w:rPr>
              <w:t>anyone receiving new notes from you, has any arrangement or understanding with any person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2"/>
              </w:rPr>
              <w:t>to participate in the distribution, as defined in the Securities Act, of the new notes in violation</w:t>
            </w:r>
          </w:p>
        </w:tc>
      </w:tr>
      <w:tr>
        <w:trPr>
          <w:trHeight w:val="222"/>
        </w:trPr>
        <w:tc>
          <w:tcPr>
            <w:tcW w:w="3340" w:type="dxa"/>
            <w:vAlign w:val="bottom"/>
            <w:tcBorders>
              <w:left w:val="single" w:sz="8" w:color="auto"/>
            </w:tcBorders>
          </w:tcPr>
          <w:p>
            <w:pPr>
              <w:spacing w:after="0"/>
              <w:rPr>
                <w:sz w:val="19"/>
                <w:szCs w:val="19"/>
                <w:color w:val="auto"/>
              </w:rPr>
            </w:pPr>
          </w:p>
        </w:tc>
        <w:tc>
          <w:tcPr>
            <w:tcW w:w="3400" w:type="dxa"/>
            <w:vAlign w:val="bottom"/>
          </w:tcPr>
          <w:p>
            <w:pPr>
              <w:ind w:left="1280"/>
              <w:spacing w:after="0"/>
              <w:rPr>
                <w:sz w:val="20"/>
                <w:szCs w:val="20"/>
                <w:color w:val="auto"/>
              </w:rPr>
            </w:pPr>
            <w:r>
              <w:rPr>
                <w:rFonts w:ascii="Arial" w:cs="Arial" w:eastAsia="Arial" w:hAnsi="Arial"/>
                <w:sz w:val="18"/>
                <w:szCs w:val="18"/>
                <w:color w:val="auto"/>
              </w:rPr>
              <w:t>of the Securities Act;</w:t>
            </w:r>
          </w:p>
        </w:tc>
        <w:tc>
          <w:tcPr>
            <w:tcW w:w="326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4"/>
              </w:rPr>
              <w:t>• if you are a broker-dealer, you will receive the new notes for your own account in exchange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5"/>
              </w:rPr>
              <w:t>for old notes that were acquired by you as a result of your market-making or other trading</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1"/>
              </w:rPr>
              <w:t>activities and that you will deliver a prospectus in connection with any resale of the new notes</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9"/>
              </w:rPr>
              <w:t>you receive; for further information regarding resales of the new notes by participating</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rPr>
              <w:t>broker-dealers, see the discussion under the caption “Plan of Distribution”; and</w:t>
            </w: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6"/>
              </w:rPr>
              <w:t>• if you are not a broker-dealer, you are not engaged in, and do not intend to engage in, the</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280"/>
              <w:spacing w:after="0"/>
              <w:rPr>
                <w:sz w:val="20"/>
                <w:szCs w:val="20"/>
                <w:color w:val="auto"/>
              </w:rPr>
            </w:pPr>
            <w:r>
              <w:rPr>
                <w:rFonts w:ascii="Arial" w:cs="Arial" w:eastAsia="Arial" w:hAnsi="Arial"/>
                <w:sz w:val="18"/>
                <w:szCs w:val="18"/>
                <w:color w:val="auto"/>
              </w:rPr>
              <w:t>distribution of the new notes, as defined in the Securities Act.</w:t>
            </w: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Withdrawal; Non-Acceptance</w:t>
            </w: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3"/>
              </w:rPr>
              <w:t>You may withdraw any old notes tendered in the exchange offer at any time prior to 5:00 p.m.,</w:t>
            </w:r>
          </w:p>
        </w:tc>
      </w:tr>
      <w:tr>
        <w:trPr>
          <w:trHeight w:val="216"/>
        </w:trPr>
        <w:tc>
          <w:tcPr>
            <w:tcW w:w="3340" w:type="dxa"/>
            <w:vAlign w:val="bottom"/>
            <w:tcBorders>
              <w:left w:val="single" w:sz="8" w:color="auto"/>
            </w:tcBorders>
          </w:tcPr>
          <w:p>
            <w:pPr>
              <w:spacing w:after="0"/>
              <w:rPr>
                <w:sz w:val="18"/>
                <w:szCs w:val="18"/>
                <w:color w:val="auto"/>
              </w:rPr>
            </w:pPr>
          </w:p>
        </w:tc>
        <w:tc>
          <w:tcPr>
            <w:tcW w:w="3400" w:type="dxa"/>
            <w:vAlign w:val="bottom"/>
          </w:tcPr>
          <w:p>
            <w:pPr>
              <w:ind w:left="1060"/>
              <w:spacing w:after="0"/>
              <w:rPr>
                <w:sz w:val="20"/>
                <w:szCs w:val="20"/>
                <w:color w:val="auto"/>
              </w:rPr>
            </w:pPr>
            <w:r>
              <w:rPr>
                <w:rFonts w:ascii="Arial" w:cs="Arial" w:eastAsia="Arial" w:hAnsi="Arial"/>
                <w:sz w:val="18"/>
                <w:szCs w:val="18"/>
                <w:color w:val="auto"/>
              </w:rPr>
              <w:t>New York City time, on</w:t>
            </w:r>
          </w:p>
        </w:tc>
        <w:tc>
          <w:tcPr>
            <w:tcW w:w="47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 2012, which date we may extend if we extend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2"/>
              </w:rPr>
              <w:t>exchange offer. If we decide for any reason not to accept any old notes tendered for exchange,</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the old notes will be returned to the registered holder at our</w:t>
            </w:r>
          </w:p>
        </w:tc>
        <w:tc>
          <w:tcPr>
            <w:tcW w:w="1460" w:type="dxa"/>
            <w:vAlign w:val="bottom"/>
            <w:tcBorders>
              <w:right w:val="single" w:sz="8" w:color="auto"/>
            </w:tcBorders>
          </w:tcPr>
          <w:p>
            <w:pPr>
              <w:spacing w:after="0"/>
              <w:rPr>
                <w:sz w:val="19"/>
                <w:szCs w:val="19"/>
                <w:color w:val="auto"/>
              </w:rPr>
            </w:pPr>
          </w:p>
        </w:tc>
      </w:tr>
      <w:tr>
        <w:trPr>
          <w:trHeight w:val="161"/>
        </w:trPr>
        <w:tc>
          <w:tcPr>
            <w:tcW w:w="3340" w:type="dxa"/>
            <w:vAlign w:val="bottom"/>
            <w:tcBorders>
              <w:left w:val="single" w:sz="8" w:color="auto"/>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r>
      <w:tr>
        <w:trPr>
          <w:trHeight w:val="359"/>
        </w:trPr>
        <w:tc>
          <w:tcPr>
            <w:tcW w:w="3340" w:type="dxa"/>
            <w:vAlign w:val="bottom"/>
          </w:tcPr>
          <w:p>
            <w:pPr>
              <w:spacing w:after="0"/>
              <w:rPr>
                <w:sz w:val="24"/>
                <w:szCs w:val="24"/>
                <w:color w:val="auto"/>
              </w:rPr>
            </w:pPr>
          </w:p>
        </w:tc>
        <w:tc>
          <w:tcPr>
            <w:tcW w:w="3400" w:type="dxa"/>
            <w:vAlign w:val="bottom"/>
          </w:tcPr>
          <w:p>
            <w:pPr>
              <w:ind w:left="2340"/>
              <w:spacing w:after="0"/>
              <w:rPr>
                <w:sz w:val="20"/>
                <w:szCs w:val="20"/>
                <w:color w:val="auto"/>
              </w:rPr>
            </w:pPr>
            <w:r>
              <w:rPr>
                <w:rFonts w:ascii="Arial" w:cs="Arial" w:eastAsia="Arial" w:hAnsi="Arial"/>
                <w:sz w:val="18"/>
                <w:szCs w:val="18"/>
                <w:color w:val="auto"/>
              </w:rPr>
              <w:t>3</w:t>
            </w:r>
          </w:p>
        </w:tc>
        <w:tc>
          <w:tcPr>
            <w:tcW w:w="32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56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w w:val="95"/>
              </w:rPr>
              <w:t>expense promptly after the expiration or termination of the exchange offer. In the case of old</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0"/>
              </w:rPr>
              <w:t>notes tendered by book-entry transfer into the exchange agent’s account at The Depository Trust</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Company (“DTC”), any withdrawn or unaccepted old notes will be credited to the tendering</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holder’s account at DTC. For further information regarding the withdrawal of tendered old notes,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3"/>
              </w:rPr>
              <w:t>see “The Exchange Offer—Terms of the Exchange Offer; Period for Tendering Old Notes” and</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“The Exchange Offer—Withdrawal Rights.”</w:t>
            </w:r>
          </w:p>
        </w:tc>
      </w:tr>
      <w:tr>
        <w:trPr>
          <w:trHeight w:val="304"/>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Conditions to the Exchange Offer</w:t>
            </w: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the expiration of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4"/>
              </w:rPr>
              <w:t>• the exchange offer violates any applicable law or applicable interpretation of the staff of the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SEC;</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an action or proceeding shall have been instituted or threatened in any court or by any</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5"/>
              </w:rPr>
              <w:t>governmental agency that might materially impair our ability to proceed with the exchange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we do not receive all the governmental approvals that we believe are necessary to</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 there has been proposed, adopted, or enacted any law, statute, rule or regulation that, in our</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3"/>
              </w:rPr>
              <w:t>reasonable judgment, would materially impair our ability to consummate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89"/>
              </w:rPr>
              <w:t>We may waive any of the above conditions in our reasonable discretion. See the discussion below</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under the caption “The Exchange Offer—Conditions to the Exchange Offer” for more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information regarding the conditions to the exchange offer.</w:t>
            </w:r>
          </w:p>
        </w:tc>
      </w:tr>
      <w:tr>
        <w:trPr>
          <w:trHeight w:val="291"/>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Procedures for Tendering Old Notes</w:t>
            </w: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Unless you comply with the procedure described below under the caption “The Exchange Offer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—Guaranteed Delivery Procedures,” you must do one of the following on or prior to the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8"/>
              </w:rPr>
              <w:t>• tender your old notes by sending (i) the certificates for your old notes (in proper form for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transfer), (ii) a properly completed and duly executed letter of transmittal and (iii) all other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documents required by the letter of transmittal to U.S. Bank National Association, as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1"/>
              </w:rPr>
              <w:t>exchange agent, at one of the addresses listed below under the caption “The Exchange Offer</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—Exchange Agent”; or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9"/>
              </w:rPr>
              <w:t>• tender your old notes by using the book-entry transfer procedures described below and</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9"/>
              </w:rPr>
              <w:t>transmitting a properly completed and duly executed letter of transmittal, or an agent’s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0"/>
              </w:rPr>
              <w:t>message instead of the letter of transmittal, to the exchange agent. For a book-entry transfer to</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constitute a valid tender of your old notes in the exchange offer, U.S. Bank National</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Association, as exchange agent, must receive a confirmation of book-entry transfer of your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old notes into the exchange agent’s account at DTC prior to the expiration or termination of</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exchange offer. For more</w:t>
            </w:r>
          </w:p>
        </w:tc>
      </w:tr>
      <w:tr>
        <w:trPr>
          <w:trHeight w:val="161"/>
        </w:trPr>
        <w:tc>
          <w:tcPr>
            <w:tcW w:w="3560" w:type="dxa"/>
            <w:vAlign w:val="bottom"/>
            <w:tcBorders>
              <w:left w:val="single" w:sz="8" w:color="auto"/>
              <w:bottom w:val="single" w:sz="8" w:color="auto"/>
            </w:tcBorders>
          </w:tcPr>
          <w:p>
            <w:pPr>
              <w:spacing w:after="0"/>
              <w:rPr>
                <w:sz w:val="13"/>
                <w:szCs w:val="13"/>
                <w:color w:val="auto"/>
              </w:rPr>
            </w:pPr>
          </w:p>
        </w:tc>
        <w:tc>
          <w:tcPr>
            <w:tcW w:w="7900" w:type="dxa"/>
            <w:vAlign w:val="bottom"/>
            <w:tcBorders>
              <w:bottom w:val="single" w:sz="8" w:color="auto"/>
              <w:right w:val="single" w:sz="8" w:color="auto"/>
            </w:tcBorders>
          </w:tcPr>
          <w:p>
            <w:pPr>
              <w:spacing w:after="0"/>
              <w:rPr>
                <w:sz w:val="13"/>
                <w:szCs w:val="13"/>
                <w:color w:val="auto"/>
              </w:rPr>
            </w:pPr>
          </w:p>
        </w:tc>
      </w:tr>
      <w:tr>
        <w:trPr>
          <w:trHeight w:val="359"/>
        </w:trPr>
        <w:tc>
          <w:tcPr>
            <w:tcW w:w="3560" w:type="dxa"/>
            <w:vAlign w:val="bottom"/>
          </w:tcPr>
          <w:p>
            <w:pPr>
              <w:spacing w:after="0"/>
              <w:rPr>
                <w:sz w:val="24"/>
                <w:szCs w:val="24"/>
                <w:color w:val="auto"/>
              </w:rPr>
            </w:pPr>
          </w:p>
        </w:tc>
        <w:tc>
          <w:tcPr>
            <w:tcW w:w="7900" w:type="dxa"/>
            <w:vAlign w:val="bottom"/>
          </w:tcPr>
          <w:p>
            <w:pPr>
              <w:ind w:left="21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35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2355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20" w:right="220"/>
        <w:spacing w:after="0" w:line="289" w:lineRule="auto"/>
        <w:rPr>
          <w:sz w:val="20"/>
          <w:szCs w:val="20"/>
          <w:color w:val="auto"/>
        </w:rPr>
      </w:pPr>
      <w:r>
        <w:rPr>
          <w:rFonts w:ascii="Arial" w:cs="Arial" w:eastAsia="Arial" w:hAnsi="Arial"/>
          <w:sz w:val="16"/>
          <w:szCs w:val="16"/>
          <w:color w:val="auto"/>
        </w:rPr>
        <w:t>information regarding the use of book-entry transfer procedures, including a description of the required agent’s message, see the discussion below under the caption “The Exchange Offer— 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ectPr>
          <w:pgSz w:w="11900" w:h="16838" w:orient="portrait"/>
          <w:cols w:equalWidth="0" w:num="1">
            <w:col w:w="11460"/>
          </w:cols>
          <w:pgMar w:left="240" w:top="459" w:right="199" w:bottom="1440" w:gutter="0" w:footer="0" w:header="0"/>
        </w:sectPr>
      </w:pPr>
    </w:p>
    <w:p>
      <w:pPr>
        <w:spacing w:after="0" w:line="3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you are a registered holder of old notes and wish to tender your old notes in the exchange offer, but:</w:t>
      </w:r>
    </w:p>
    <w:p>
      <w:pPr>
        <w:spacing w:after="0" w:line="51"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 the old notes are not immediately available;</w:t>
      </w:r>
    </w:p>
    <w:p>
      <w:pPr>
        <w:spacing w:after="0" w:line="90" w:lineRule="exact"/>
        <w:rPr>
          <w:sz w:val="20"/>
          <w:szCs w:val="20"/>
          <w:color w:val="auto"/>
        </w:rPr>
      </w:pPr>
    </w:p>
    <w:p>
      <w:pPr>
        <w:ind w:left="4620" w:right="380" w:hanging="179"/>
        <w:spacing w:after="0" w:line="268" w:lineRule="auto"/>
        <w:tabs>
          <w:tab w:leader="none" w:pos="4600" w:val="left"/>
        </w:tabs>
        <w:rPr>
          <w:sz w:val="20"/>
          <w:szCs w:val="20"/>
          <w:color w:val="auto"/>
        </w:rPr>
      </w:pPr>
      <w:r>
        <w:rPr>
          <w:rFonts w:ascii="Arial" w:cs="Arial" w:eastAsia="Arial" w:hAnsi="Arial"/>
          <w:sz w:val="18"/>
          <w:szCs w:val="18"/>
          <w:color w:val="auto"/>
        </w:rPr>
        <w:t>•</w:t>
        <w:tab/>
        <w:t>time will not permit your old notes or other required documents to reach the exchange agent before the expiration or termination of the exchange offer; or</w:t>
      </w:r>
    </w:p>
    <w:p>
      <w:pPr>
        <w:spacing w:after="0" w:line="51" w:lineRule="exact"/>
        <w:rPr>
          <w:sz w:val="20"/>
          <w:szCs w:val="20"/>
          <w:color w:val="auto"/>
        </w:rPr>
      </w:pPr>
    </w:p>
    <w:p>
      <w:pPr>
        <w:ind w:left="4620" w:right="980" w:hanging="179"/>
        <w:spacing w:after="0" w:line="268" w:lineRule="auto"/>
        <w:tabs>
          <w:tab w:leader="none" w:pos="4600" w:val="left"/>
        </w:tabs>
        <w:rPr>
          <w:sz w:val="20"/>
          <w:szCs w:val="20"/>
          <w:color w:val="auto"/>
        </w:rPr>
      </w:pPr>
      <w:r>
        <w:rPr>
          <w:rFonts w:ascii="Arial" w:cs="Arial" w:eastAsia="Arial" w:hAnsi="Arial"/>
          <w:sz w:val="18"/>
          <w:szCs w:val="18"/>
          <w:color w:val="auto"/>
        </w:rPr>
        <w:t>•</w:t>
        <w:tab/>
        <w:t>the procedure for book-entry transfer cannot be completed prior to the expiration or termination of the exchange offer;</w:t>
      </w:r>
    </w:p>
    <w:p>
      <w:pPr>
        <w:spacing w:after="0" w:line="51" w:lineRule="exact"/>
        <w:rPr>
          <w:sz w:val="20"/>
          <w:szCs w:val="20"/>
          <w:color w:val="auto"/>
        </w:rPr>
      </w:pPr>
    </w:p>
    <w:p>
      <w:pPr>
        <w:ind w:left="4400" w:right="48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460"/>
          </w:cols>
          <w:pgMar w:left="240" w:top="459" w:right="199" w:bottom="1440" w:gutter="0" w:footer="0" w:header="0"/>
          <w:type w:val="continuous"/>
        </w:sectPr>
      </w:pPr>
    </w:p>
    <w:p>
      <w:pPr>
        <w:spacing w:after="0" w:line="5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37"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400" w:right="28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8580" w:type="dxa"/>
            <w:vAlign w:val="bottom"/>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304"/>
        </w:trPr>
        <w:tc>
          <w:tcPr>
            <w:tcW w:w="2880" w:type="dxa"/>
            <w:vAlign w:val="bottom"/>
          </w:tcPr>
          <w:p>
            <w:pPr>
              <w:ind w:left="200"/>
              <w:spacing w:after="0"/>
              <w:rPr>
                <w:sz w:val="20"/>
                <w:szCs w:val="20"/>
                <w:color w:val="auto"/>
              </w:rPr>
            </w:pPr>
            <w:r>
              <w:rPr>
                <w:rFonts w:ascii="Arial" w:cs="Arial" w:eastAsia="Arial" w:hAnsi="Arial"/>
                <w:sz w:val="18"/>
                <w:szCs w:val="18"/>
                <w:color w:val="auto"/>
              </w:rPr>
              <w:t>Exchange Agent</w:t>
            </w:r>
          </w:p>
        </w:tc>
        <w:tc>
          <w:tcPr>
            <w:tcW w:w="8580" w:type="dxa"/>
            <w:vAlign w:val="bottom"/>
          </w:tcPr>
          <w:p>
            <w:pPr>
              <w:ind w:left="1520"/>
              <w:spacing w:after="0"/>
              <w:rPr>
                <w:sz w:val="20"/>
                <w:szCs w:val="20"/>
                <w:color w:val="auto"/>
              </w:rPr>
            </w:pPr>
            <w:r>
              <w:rPr>
                <w:rFonts w:ascii="Arial" w:cs="Arial" w:eastAsia="Arial" w:hAnsi="Arial"/>
                <w:sz w:val="18"/>
                <w:szCs w:val="18"/>
                <w:color w:val="auto"/>
                <w:w w:val="93"/>
              </w:rPr>
              <w:t>U.S. Bank National Association is the exchange agent for the exchange offer. You can find the</w:t>
            </w:r>
          </w:p>
        </w:tc>
      </w:tr>
      <w:tr>
        <w:trPr>
          <w:trHeight w:val="216"/>
        </w:trPr>
        <w:tc>
          <w:tcPr>
            <w:tcW w:w="2880" w:type="dxa"/>
            <w:vAlign w:val="bottom"/>
          </w:tcPr>
          <w:p>
            <w:pPr>
              <w:spacing w:after="0"/>
              <w:rPr>
                <w:sz w:val="18"/>
                <w:szCs w:val="18"/>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w w:val="92"/>
              </w:rPr>
              <w:t>address and telephone number of the exchange agent below under the caption, “The Exchange</w:t>
            </w:r>
          </w:p>
        </w:tc>
      </w:tr>
      <w:tr>
        <w:trPr>
          <w:trHeight w:val="222"/>
        </w:trPr>
        <w:tc>
          <w:tcPr>
            <w:tcW w:w="2880" w:type="dxa"/>
            <w:vAlign w:val="bottom"/>
          </w:tcPr>
          <w:p>
            <w:pPr>
              <w:spacing w:after="0"/>
              <w:rPr>
                <w:sz w:val="19"/>
                <w:szCs w:val="19"/>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Offer—Exchange Agent.”</w:t>
            </w:r>
          </w:p>
        </w:tc>
      </w:tr>
      <w:tr>
        <w:trPr>
          <w:trHeight w:val="161"/>
        </w:trPr>
        <w:tc>
          <w:tcPr>
            <w:tcW w:w="2880" w:type="dxa"/>
            <w:vAlign w:val="bottom"/>
            <w:tcBorders>
              <w:bottom w:val="single" w:sz="8" w:color="auto"/>
            </w:tcBorders>
          </w:tcPr>
          <w:p>
            <w:pPr>
              <w:spacing w:after="0"/>
              <w:rPr>
                <w:sz w:val="13"/>
                <w:szCs w:val="13"/>
                <w:color w:val="auto"/>
              </w:rPr>
            </w:pPr>
          </w:p>
        </w:tc>
        <w:tc>
          <w:tcPr>
            <w:tcW w:w="8580" w:type="dxa"/>
            <w:vAlign w:val="bottom"/>
            <w:tcBorders>
              <w:bottom w:val="single" w:sz="8" w:color="auto"/>
            </w:tcBorders>
          </w:tcPr>
          <w:p>
            <w:pPr>
              <w:spacing w:after="0"/>
              <w:rPr>
                <w:sz w:val="13"/>
                <w:szCs w:val="13"/>
                <w:color w:val="auto"/>
              </w:rPr>
            </w:pPr>
          </w:p>
        </w:tc>
      </w:tr>
      <w:tr>
        <w:trPr>
          <w:trHeight w:val="359"/>
        </w:trPr>
        <w:tc>
          <w:tcPr>
            <w:tcW w:w="2880" w:type="dxa"/>
            <w:vAlign w:val="bottom"/>
          </w:tcPr>
          <w:p>
            <w:pPr>
              <w:spacing w:after="0"/>
              <w:rPr>
                <w:sz w:val="24"/>
                <w:szCs w:val="24"/>
                <w:color w:val="auto"/>
              </w:rPr>
            </w:pPr>
          </w:p>
        </w:tc>
        <w:tc>
          <w:tcPr>
            <w:tcW w:w="8580" w:type="dxa"/>
            <w:vAlign w:val="bottom"/>
          </w:tcPr>
          <w:p>
            <w:pPr>
              <w:ind w:left="28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60"/>
          </w:cols>
          <w:pgMar w:left="240" w:top="459" w:right="1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8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Resales</w:t>
            </w:r>
          </w:p>
        </w:tc>
        <w:tc>
          <w:tcPr>
            <w:tcW w:w="862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18"/>
                <w:szCs w:val="18"/>
                <w:color w:val="auto"/>
                <w:w w:val="93"/>
              </w:rPr>
              <w:t>Based on interpretations by the staff of the SEC, as set forth in no-action letters issued to third</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parties, we believe that the new notes issued in the exchange offer may be offered for resale,</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resold or otherwise transferred by you without compliance with the registration and prospectus</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acquiring the new notes in the ordinary course of your business;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not participating, do not intend to participate and have no arrangement or</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understanding with any person to participate, in a distribution of the new notes; and</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not an affiliate of ours.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2"/>
              </w:rPr>
              <w:t>If you are an affiliate of ours, are engaged in or intend to engage in or have any arrangement or</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understanding with any person to participate in, the distribution of new notes: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cannot rely on the applicable interpretations of the staff of the SEC;</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will not be entitled to tender your old notes in the exchange offer; and</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5"/>
              </w:rPr>
              <w:t>• you must comply with the registration requirements of the Securities Act in connection with</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any resale transaction.</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1"/>
              </w:rPr>
              <w:t>Each broker or dealer that receives new notes for its own account in exchange for old notes that</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were acquired as a result of market-making or other trading activities must acknowledge that it</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will comply with the registration and prospectus delivery requirements of the Securities Act in</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1"/>
              </w:rPr>
              <w:t>connection with any offer, resale or other transfer of the new notes issued in the exchange offer,</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including information with respect to any selling holder required by the Securities Act in</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connection with any resale of the new notes.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Furthermore, any broker-dealer that acquired any of its old notes directly from us: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6"/>
              </w:rPr>
              <w:t>• may not rely on the applicable interpretation of the staff of the SEC’s position contained in</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Exxon Capital Holdings Corp., SEC no-action letter (publicly available May 13, 1988),</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Morgan Stanley &amp; Co. Incorporated, SEC no-action letter (publicly available June 5, 1991)</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and Shearman &amp; Sterling, SEC no-action letter (publicly available July 2, 1993); and</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1"/>
              </w:rPr>
              <w:t>• must also be named as a selling noteholder in connection with the registration and prospectus</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delivery requirements of the Securities Act relating to any resale transaction.</w:t>
            </w:r>
          </w:p>
        </w:tc>
      </w:tr>
      <w:tr>
        <w:trPr>
          <w:trHeight w:val="291"/>
        </w:trPr>
        <w:tc>
          <w:tcPr>
            <w:tcW w:w="28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Broker-Dealers</w:t>
            </w: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Each broker-dealer that receives new notes for its own account pursuant to the exchange offer</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must acknowledge that it will deliver a prospectus in connection with any resale of such new</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notes. The letter of transmittal states that by so acknowledging and delivering a prospectus, a</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broker-dealer will not be deemed to admit that it is an “underwriter” within the meaning of the</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2"/>
              </w:rPr>
              <w:t>Securities Act. This prospectus, as it may be amended or supplemented from time to time, may</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be used by a broker-</w:t>
            </w:r>
          </w:p>
        </w:tc>
      </w:tr>
      <w:tr>
        <w:trPr>
          <w:trHeight w:val="161"/>
        </w:trPr>
        <w:tc>
          <w:tcPr>
            <w:tcW w:w="2840" w:type="dxa"/>
            <w:vAlign w:val="bottom"/>
            <w:tcBorders>
              <w:left w:val="single" w:sz="8" w:color="auto"/>
              <w:bottom w:val="single" w:sz="8" w:color="auto"/>
            </w:tcBorders>
          </w:tcPr>
          <w:p>
            <w:pPr>
              <w:spacing w:after="0"/>
              <w:rPr>
                <w:sz w:val="13"/>
                <w:szCs w:val="13"/>
                <w:color w:val="auto"/>
              </w:rPr>
            </w:pPr>
          </w:p>
        </w:tc>
        <w:tc>
          <w:tcPr>
            <w:tcW w:w="8620" w:type="dxa"/>
            <w:vAlign w:val="bottom"/>
            <w:tcBorders>
              <w:bottom w:val="single" w:sz="8" w:color="auto"/>
              <w:right w:val="single" w:sz="8" w:color="auto"/>
            </w:tcBorders>
          </w:tcPr>
          <w:p>
            <w:pPr>
              <w:spacing w:after="0"/>
              <w:rPr>
                <w:sz w:val="13"/>
                <w:szCs w:val="13"/>
                <w:color w:val="auto"/>
              </w:rPr>
            </w:pPr>
          </w:p>
        </w:tc>
      </w:tr>
      <w:tr>
        <w:trPr>
          <w:trHeight w:val="359"/>
        </w:trPr>
        <w:tc>
          <w:tcPr>
            <w:tcW w:w="2840" w:type="dxa"/>
            <w:vAlign w:val="bottom"/>
          </w:tcPr>
          <w:p>
            <w:pPr>
              <w:spacing w:after="0"/>
              <w:rPr>
                <w:sz w:val="24"/>
                <w:szCs w:val="24"/>
                <w:color w:val="auto"/>
              </w:rPr>
            </w:pPr>
          </w:p>
        </w:tc>
        <w:tc>
          <w:tcPr>
            <w:tcW w:w="8620" w:type="dxa"/>
            <w:vAlign w:val="bottom"/>
          </w:tcPr>
          <w:p>
            <w:pPr>
              <w:ind w:left="284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120"/>
        <w:spacing w:after="0" w:line="303" w:lineRule="auto"/>
        <w:rPr>
          <w:sz w:val="20"/>
          <w:szCs w:val="20"/>
          <w:color w:val="auto"/>
        </w:rPr>
      </w:pPr>
      <w:r>
        <w:rPr>
          <w:rFonts w:ascii="Arial" w:cs="Arial" w:eastAsia="Arial" w:hAnsi="Arial"/>
          <w:sz w:val="15"/>
          <w:szCs w:val="15"/>
          <w:color w:val="auto"/>
        </w:rPr>
        <w:t>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30th business day after the registration statement containing this prospectus is declared effective, and (ii) 180 days following the 10th business day after the exchange offer expires, we will make this prospectus available to any broker-dealer for use in connection with any such resale. See “Plan of Distribution” beginning on page 169 for more information.</w:t>
      </w:r>
    </w:p>
    <w:p>
      <w:pPr>
        <w:spacing w:after="0" w:line="2" w:lineRule="exact"/>
        <w:rPr>
          <w:sz w:val="20"/>
          <w:szCs w:val="20"/>
          <w:color w:val="auto"/>
        </w:rPr>
      </w:pPr>
    </w:p>
    <w:p>
      <w:pPr>
        <w:ind w:left="4400" w:hanging="4197"/>
        <w:spacing w:after="0" w:line="259" w:lineRule="auto"/>
        <w:tabs>
          <w:tab w:leader="none" w:pos="4380" w:val="left"/>
        </w:tabs>
        <w:rPr>
          <w:sz w:val="20"/>
          <w:szCs w:val="20"/>
          <w:color w:val="auto"/>
        </w:rPr>
      </w:pPr>
      <w:r>
        <w:rPr>
          <w:rFonts w:ascii="Arial" w:cs="Arial" w:eastAsia="Arial" w:hAnsi="Arial"/>
          <w:sz w:val="18"/>
          <w:szCs w:val="18"/>
          <w:color w:val="auto"/>
        </w:rPr>
        <w:t>Registration Rights Agreement for the old notes</w:t>
      </w:r>
      <w:r>
        <w:rPr>
          <w:sz w:val="20"/>
          <w:szCs w:val="20"/>
          <w:color w:val="auto"/>
        </w:rPr>
        <w:tab/>
      </w:r>
      <w:r>
        <w:rPr>
          <w:rFonts w:ascii="Arial" w:cs="Arial" w:eastAsia="Arial" w:hAnsi="Arial"/>
          <w:sz w:val="18"/>
          <w:szCs w:val="18"/>
          <w:color w:val="auto"/>
        </w:rPr>
        <w:t>When we issued the old notes on March 12, 2012,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ind w:left="4620" w:hanging="176"/>
        <w:spacing w:after="0"/>
        <w:tabs>
          <w:tab w:leader="none" w:pos="4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 the exchange offer registration statement with the SEC on or prior to October 8, 2012;</w:t>
      </w:r>
    </w:p>
    <w:p>
      <w:pPr>
        <w:spacing w:after="0" w:line="113" w:lineRule="exact"/>
        <w:rPr>
          <w:rFonts w:ascii="Arial" w:cs="Arial" w:eastAsia="Arial" w:hAnsi="Arial"/>
          <w:sz w:val="16"/>
          <w:szCs w:val="16"/>
          <w:color w:val="auto"/>
        </w:rPr>
      </w:pPr>
    </w:p>
    <w:p>
      <w:pPr>
        <w:ind w:left="4620" w:right="140" w:hanging="176"/>
        <w:spacing w:after="0" w:line="268" w:lineRule="auto"/>
        <w:tabs>
          <w:tab w:leader="none" w:pos="4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all commercially reasonable efforts to cause the exchange offer registration statement to be declared effective no later than January 6, 2013;</w:t>
      </w:r>
    </w:p>
    <w:p>
      <w:pPr>
        <w:spacing w:after="0" w:line="50" w:lineRule="exact"/>
        <w:rPr>
          <w:rFonts w:ascii="Arial" w:cs="Arial" w:eastAsia="Arial" w:hAnsi="Arial"/>
          <w:sz w:val="18"/>
          <w:szCs w:val="18"/>
          <w:color w:val="auto"/>
        </w:rPr>
      </w:pPr>
    </w:p>
    <w:p>
      <w:pPr>
        <w:jc w:val="both"/>
        <w:ind w:left="4620" w:hanging="176"/>
        <w:spacing w:after="0" w:line="306" w:lineRule="auto"/>
        <w:tabs>
          <w:tab w:leader="none" w:pos="4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use all commercially reasonable efforts to consummate the exchange offer within 30 business days after the date on which the exchange offer registration statement is declared effective, or, if later, within 10 business days after the exchange offer expires;</w:t>
      </w:r>
    </w:p>
    <w:p>
      <w:pPr>
        <w:spacing w:after="0" w:line="25" w:lineRule="exact"/>
        <w:rPr>
          <w:rFonts w:ascii="Arial" w:cs="Arial" w:eastAsia="Arial" w:hAnsi="Arial"/>
          <w:sz w:val="16"/>
          <w:szCs w:val="16"/>
          <w:color w:val="auto"/>
        </w:rPr>
      </w:pPr>
    </w:p>
    <w:p>
      <w:pPr>
        <w:ind w:left="4620" w:right="20" w:hanging="176"/>
        <w:spacing w:after="0" w:line="259" w:lineRule="auto"/>
        <w:tabs>
          <w:tab w:leader="none" w:pos="4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620" w:right="140" w:hanging="176"/>
        <w:spacing w:after="0" w:line="290" w:lineRule="auto"/>
        <w:tabs>
          <w:tab w:leader="none" w:pos="4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fail to meet our registration obligations, we will pay liquidated damages in an amount equal to $0.05 per week per $1,000 of the principal amount of old notes held by a holder for each day that we default on our registration obligations during the first 90-day period immediately following the occurrence of such default, increasing by an additional $0.05 per week per $1,000 of the principal amount of old notes for each subsequent 90-day period our registration obligations are not met, up to a maximum of liquidated damages equal to $0.50 per week per $1,000 of the principal amount of old notes.</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firstLine="443"/>
        <w:spacing w:after="0" w:line="298" w:lineRule="auto"/>
        <w:rPr>
          <w:sz w:val="20"/>
          <w:szCs w:val="20"/>
          <w:color w:val="auto"/>
        </w:rPr>
      </w:pPr>
      <w:r>
        <w:rPr>
          <w:rFonts w:ascii="Arial" w:cs="Arial" w:eastAsia="Arial" w:hAnsi="Arial"/>
          <w:sz w:val="16"/>
          <w:szCs w:val="16"/>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see “The Exchange Offer—Consequences of Exchanging or Failing to Exchange Old Notes.”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7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The terms of the new notes and those of the old notes are substantially identical, except that the transfer restrictions, registration rights and liquidated damages provisions relating to the old notes do not apply to the new notes. For a more complete understanding of the new notes, see “Description of the New Notes” in this prospectus.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tcPr>
          <w:p>
            <w:pPr>
              <w:ind w:left="1280"/>
              <w:spacing w:after="0"/>
              <w:rPr>
                <w:sz w:val="20"/>
                <w:szCs w:val="20"/>
                <w:color w:val="auto"/>
              </w:rPr>
            </w:pPr>
            <w:r>
              <w:rPr>
                <w:rFonts w:ascii="Arial" w:cs="Arial" w:eastAsia="Arial" w:hAnsi="Arial"/>
                <w:sz w:val="18"/>
                <w:szCs w:val="18"/>
                <w:color w:val="auto"/>
              </w:rPr>
              <w:t>$900,000,000 aggregate principal amount of 5.375% First Mortgage Notes due 2022.</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tcPr>
          <w:p>
            <w:pPr>
              <w:ind w:left="1280"/>
              <w:spacing w:after="0"/>
              <w:rPr>
                <w:sz w:val="20"/>
                <w:szCs w:val="20"/>
                <w:color w:val="auto"/>
              </w:rPr>
            </w:pPr>
            <w:r>
              <w:rPr>
                <w:rFonts w:ascii="Arial" w:cs="Arial" w:eastAsia="Arial" w:hAnsi="Arial"/>
                <w:sz w:val="18"/>
                <w:szCs w:val="18"/>
                <w:color w:val="auto"/>
              </w:rPr>
              <w:t>March 15, 2022.</w:t>
            </w:r>
          </w:p>
        </w:tc>
      </w:tr>
      <w:tr>
        <w:trPr>
          <w:trHeight w:val="304"/>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tcPr>
          <w:p>
            <w:pPr>
              <w:ind w:left="1280"/>
              <w:spacing w:after="0"/>
              <w:rPr>
                <w:sz w:val="20"/>
                <w:szCs w:val="20"/>
                <w:color w:val="auto"/>
              </w:rPr>
            </w:pPr>
            <w:r>
              <w:rPr>
                <w:rFonts w:ascii="Arial" w:cs="Arial" w:eastAsia="Arial" w:hAnsi="Arial"/>
                <w:sz w:val="18"/>
                <w:szCs w:val="18"/>
                <w:color w:val="auto"/>
                <w:w w:val="91"/>
              </w:rPr>
              <w:t>None; however, under certain circumstances, as further described under “Description of the New</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Notes—Release and Reinstatement of Liens and Guarantees,” certain of our restricted</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subsidiaries may be required to provide guarantees of the new notes.</w:t>
            </w:r>
          </w:p>
        </w:tc>
      </w:tr>
      <w:tr>
        <w:trPr>
          <w:trHeight w:val="297"/>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tcPr>
          <w:p>
            <w:pPr>
              <w:ind w:left="1280"/>
              <w:spacing w:after="0"/>
              <w:rPr>
                <w:sz w:val="20"/>
                <w:szCs w:val="20"/>
                <w:color w:val="auto"/>
              </w:rPr>
            </w:pPr>
            <w:r>
              <w:rPr>
                <w:rFonts w:ascii="Arial" w:cs="Arial" w:eastAsia="Arial" w:hAnsi="Arial"/>
                <w:sz w:val="18"/>
                <w:szCs w:val="18"/>
                <w:color w:val="auto"/>
              </w:rPr>
              <w:t>5.375% per year.</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tcPr>
          <w:p>
            <w:pPr>
              <w:ind w:left="1280"/>
              <w:spacing w:after="0"/>
              <w:rPr>
                <w:sz w:val="20"/>
                <w:szCs w:val="20"/>
                <w:color w:val="auto"/>
              </w:rPr>
            </w:pPr>
            <w:r>
              <w:rPr>
                <w:rFonts w:ascii="Arial" w:cs="Arial" w:eastAsia="Arial" w:hAnsi="Arial"/>
                <w:sz w:val="18"/>
                <w:szCs w:val="18"/>
                <w:color w:val="auto"/>
              </w:rPr>
              <w:t>March 15 and September 15 of each year, beginning on September 15, 2012.</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tcPr>
          <w:p>
            <w:pPr>
              <w:ind w:left="1280"/>
              <w:spacing w:after="0"/>
              <w:rPr>
                <w:sz w:val="20"/>
                <w:szCs w:val="20"/>
                <w:color w:val="auto"/>
              </w:rPr>
            </w:pPr>
            <w:r>
              <w:rPr>
                <w:rFonts w:ascii="Arial" w:cs="Arial" w:eastAsia="Arial" w:hAnsi="Arial"/>
                <w:sz w:val="18"/>
                <w:szCs w:val="18"/>
                <w:color w:val="auto"/>
              </w:rPr>
              <w:t>The new notes:</w:t>
            </w:r>
          </w:p>
        </w:tc>
      </w:tr>
      <w:tr>
        <w:trPr>
          <w:trHeight w:val="31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rPr>
              <w:t>• will be general obligations of the Issuers;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2"/>
              </w:rPr>
              <w:t>• will be unsecured (except by the Holdings pledge, which pledge also secures the 2017 notes,</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8"/>
              </w:rPr>
              <w:t>• will rank pari passu in right of payment with all other senior indebtedness of the Issuers,</w:t>
            </w:r>
          </w:p>
        </w:tc>
      </w:tr>
      <w:tr>
        <w:trPr>
          <w:trHeight w:val="216"/>
        </w:trPr>
        <w:tc>
          <w:tcPr>
            <w:tcW w:w="3120" w:type="dxa"/>
            <w:vAlign w:val="bottom"/>
          </w:tcPr>
          <w:p>
            <w:pPr>
              <w:spacing w:after="0"/>
              <w:rPr>
                <w:sz w:val="18"/>
                <w:szCs w:val="18"/>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w w:val="96"/>
              </w:rPr>
              <w:t xml:space="preserve">including the 2017 notes, the 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1"/>
                <w:szCs w:val="11"/>
                <w:color w:val="auto"/>
                <w:w w:val="96"/>
              </w:rPr>
              <w:t>8</w:t>
            </w:r>
            <w:r>
              <w:rPr>
                <w:rFonts w:ascii="Arial" w:cs="Arial" w:eastAsia="Arial" w:hAnsi="Arial"/>
                <w:sz w:val="18"/>
                <w:szCs w:val="18"/>
                <w:color w:val="auto"/>
                <w:w w:val="96"/>
              </w:rPr>
              <w:t xml:space="preserve">% 2020 notes, the 7 </w:t>
            </w:r>
            <w:r>
              <w:rPr>
                <w:rFonts w:ascii="Arial" w:cs="Arial" w:eastAsia="Arial" w:hAnsi="Arial"/>
                <w:sz w:val="11"/>
                <w:szCs w:val="11"/>
                <w:color w:val="auto"/>
                <w:w w:val="96"/>
              </w:rPr>
              <w:t>3</w:t>
            </w:r>
            <w:r>
              <w:rPr>
                <w:rFonts w:ascii="Arial" w:cs="Arial" w:eastAsia="Arial" w:hAnsi="Arial"/>
                <w:sz w:val="18"/>
                <w:szCs w:val="18"/>
                <w:color w:val="auto"/>
                <w:w w:val="96"/>
              </w:rPr>
              <w:t>/</w:t>
            </w:r>
            <w:r>
              <w:rPr>
                <w:rFonts w:ascii="Arial" w:cs="Arial" w:eastAsia="Arial" w:hAnsi="Arial"/>
                <w:sz w:val="11"/>
                <w:szCs w:val="11"/>
                <w:color w:val="auto"/>
                <w:w w:val="96"/>
              </w:rPr>
              <w:t>4</w:t>
            </w:r>
            <w:r>
              <w:rPr>
                <w:rFonts w:ascii="Arial" w:cs="Arial" w:eastAsia="Arial" w:hAnsi="Arial"/>
                <w:sz w:val="18"/>
                <w:szCs w:val="18"/>
                <w:color w:val="auto"/>
                <w:w w:val="96"/>
              </w:rPr>
              <w:t>% 2020 notes and the old notes,</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without giving effect to collateral arrangements;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2"/>
              </w:rPr>
              <w:t>• will be effectively subordinated to any secured indebtedness of the Issuers to the extent of the</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value of the Issuers’ assets securing such indebtedness;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rPr>
              <w:t>• will rank senior in right of payment to the obligations of the Issuers with respect to any</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indebtedness subordinated to the notes; and</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4"/>
              </w:rPr>
              <w:t>• will be structurally subordinated to any indebtedness and other liabilities, including preferred</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stock, of any of our subsidiaries.</w:t>
            </w:r>
          </w:p>
        </w:tc>
      </w:tr>
      <w:tr>
        <w:trPr>
          <w:trHeight w:val="291"/>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As of June 30, 2012, the Issuers’ subsidiaries had approximately $34.7 million of indebtedness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5"/>
              </w:rPr>
              <w:t>and other liabilities, to which the new notes will be structurally subordinated. As of the date of</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this</w:t>
            </w:r>
          </w:p>
        </w:tc>
      </w:tr>
      <w:tr>
        <w:trPr>
          <w:trHeight w:val="161"/>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8340" w:type="dxa"/>
            <w:vAlign w:val="bottom"/>
          </w:tcPr>
          <w:p>
            <w:pPr>
              <w:ind w:left="25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20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w w:val="89"/>
              </w:rPr>
              <w:t xml:space="preserve">prospectus, the Issuers have no secured indebtedness (other than the 2017 notes, the 7 </w:t>
            </w:r>
            <w:r>
              <w:rPr>
                <w:rFonts w:ascii="Arial" w:cs="Arial" w:eastAsia="Arial" w:hAnsi="Arial"/>
                <w:sz w:val="11"/>
                <w:szCs w:val="11"/>
                <w:color w:val="auto"/>
                <w:w w:val="89"/>
              </w:rPr>
              <w:t>7</w:t>
            </w:r>
            <w:r>
              <w:rPr>
                <w:rFonts w:ascii="Arial" w:cs="Arial" w:eastAsia="Arial" w:hAnsi="Arial"/>
                <w:sz w:val="18"/>
                <w:szCs w:val="18"/>
                <w:color w:val="auto"/>
                <w:w w:val="89"/>
              </w:rPr>
              <w:t>/</w:t>
            </w:r>
            <w:r>
              <w:rPr>
                <w:rFonts w:ascii="Arial" w:cs="Arial" w:eastAsia="Arial" w:hAnsi="Arial"/>
                <w:sz w:val="11"/>
                <w:szCs w:val="11"/>
                <w:color w:val="auto"/>
                <w:w w:val="89"/>
              </w:rPr>
              <w:t>8</w:t>
            </w:r>
            <w:r>
              <w:rPr>
                <w:rFonts w:ascii="Arial" w:cs="Arial" w:eastAsia="Arial" w:hAnsi="Arial"/>
                <w:sz w:val="18"/>
                <w:szCs w:val="18"/>
                <w:color w:val="auto"/>
                <w:w w:val="89"/>
              </w:rPr>
              <w:t>% 2020</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0"/>
              </w:rPr>
              <w:t xml:space="preserve">notes, the 7 </w:t>
            </w:r>
            <w:r>
              <w:rPr>
                <w:rFonts w:ascii="Arial" w:cs="Arial" w:eastAsia="Arial" w:hAnsi="Arial"/>
                <w:sz w:val="11"/>
                <w:szCs w:val="11"/>
                <w:color w:val="auto"/>
                <w:w w:val="90"/>
              </w:rPr>
              <w:t>3</w:t>
            </w:r>
            <w:r>
              <w:rPr>
                <w:rFonts w:ascii="Arial" w:cs="Arial" w:eastAsia="Arial" w:hAnsi="Arial"/>
                <w:sz w:val="18"/>
                <w:szCs w:val="18"/>
                <w:color w:val="auto"/>
                <w:w w:val="90"/>
              </w:rPr>
              <w:t>/</w:t>
            </w:r>
            <w:r>
              <w:rPr>
                <w:rFonts w:ascii="Arial" w:cs="Arial" w:eastAsia="Arial" w:hAnsi="Arial"/>
                <w:sz w:val="11"/>
                <w:szCs w:val="11"/>
                <w:color w:val="auto"/>
                <w:w w:val="90"/>
              </w:rPr>
              <w:t>4</w:t>
            </w:r>
            <w:r>
              <w:rPr>
                <w:rFonts w:ascii="Arial" w:cs="Arial" w:eastAsia="Arial" w:hAnsi="Arial"/>
                <w:sz w:val="18"/>
                <w:szCs w:val="18"/>
                <w:color w:val="auto"/>
                <w:w w:val="90"/>
              </w:rPr>
              <w:t>% 2020 notes and the notes, each of which is secured only by the Holdings pledge,</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and capital leases).</w:t>
            </w:r>
          </w:p>
        </w:tc>
      </w:tr>
      <w:tr>
        <w:trPr>
          <w:trHeight w:val="304"/>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Security</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9"/>
              </w:rPr>
              <w:t>None (except for the Holdings pledge); however, under certain circumstances, as further</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described under “Description of the New Notes—Release and Reinstatement of Liens and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Guarantees,” we may be required in the future to grant liens to secure the new notes.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Optional Redemption after Qualified Equity Offerings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3"/>
              </w:rPr>
              <w:t>At any time prior to March 15, 2015, we may, on one or more occasions, redeem up to 35% of</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the outstanding new notes at a redemption price of 105.375% of the principal amount, plus</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2"/>
              </w:rPr>
              <w:t>• at least 65% of the aggregate principal amount of notes issued under the indenture governing</w:t>
            </w:r>
          </w:p>
        </w:tc>
      </w:tr>
      <w:tr>
        <w:trPr>
          <w:trHeight w:val="222"/>
        </w:trPr>
        <w:tc>
          <w:tcPr>
            <w:tcW w:w="4200" w:type="dxa"/>
            <w:vAlign w:val="bottom"/>
            <w:tcBorders>
              <w:lef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the notes remains outstanding immediately after the occurrence of such redemption; and</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the redemption occurs within 60 days of the closing of the qualified equity offering.</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3"/>
              </w:rPr>
              <w:t>Except pursuant to a qualified equity offering, we cannot redeem the new notes until March 15,</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4"/>
              </w:rPr>
              <w:t>2017. On or after March 15, 2017, we may redeem some or all of the new notes at a premium</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declining ratably to zero, plus accrued and unpaid interest.</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The new notes will be subject to redemption requirements imposed by gaming laws and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9"/>
              </w:rPr>
              <w:t>If a change of control occurs, we must offer to repurchase the new notes at 101% of their</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principal amount, plus accrued and unpaid interest.</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2"/>
              </w:rPr>
              <w:t xml:space="preserve">we may be required to offer to repurchase the notes, the 2017 notes, the 7 </w:t>
            </w:r>
            <w:r>
              <w:rPr>
                <w:rFonts w:ascii="Arial" w:cs="Arial" w:eastAsia="Arial" w:hAnsi="Arial"/>
                <w:sz w:val="11"/>
                <w:szCs w:val="11"/>
                <w:color w:val="auto"/>
                <w:w w:val="92"/>
              </w:rPr>
              <w:t>7</w:t>
            </w:r>
            <w:r>
              <w:rPr>
                <w:rFonts w:ascii="Arial" w:cs="Arial" w:eastAsia="Arial" w:hAnsi="Arial"/>
                <w:sz w:val="18"/>
                <w:szCs w:val="18"/>
                <w:color w:val="auto"/>
                <w:w w:val="92"/>
              </w:rPr>
              <w:t>/</w:t>
            </w:r>
            <w:r>
              <w:rPr>
                <w:rFonts w:ascii="Arial" w:cs="Arial" w:eastAsia="Arial" w:hAnsi="Arial"/>
                <w:sz w:val="11"/>
                <w:szCs w:val="11"/>
                <w:color w:val="auto"/>
                <w:w w:val="92"/>
              </w:rPr>
              <w:t>8</w:t>
            </w:r>
            <w:r>
              <w:rPr>
                <w:rFonts w:ascii="Arial" w:cs="Arial" w:eastAsia="Arial" w:hAnsi="Arial"/>
                <w:sz w:val="18"/>
                <w:szCs w:val="18"/>
                <w:color w:val="auto"/>
                <w:w w:val="92"/>
              </w:rPr>
              <w:t>% 2020 notes, the</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repay indebtedness under any credit facility on a pro rata basis.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The indenture governing the notes contains covenants restricting our and our restricted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subsidiaries’ ability to:</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pay dividends or distributions or repurchase equity;</w:t>
            </w:r>
          </w:p>
        </w:tc>
      </w:tr>
      <w:tr>
        <w:trPr>
          <w:trHeight w:val="297"/>
        </w:trPr>
        <w:tc>
          <w:tcPr>
            <w:tcW w:w="4200" w:type="dxa"/>
            <w:vAlign w:val="bottom"/>
            <w:tcBorders>
              <w:left w:val="single" w:sz="8" w:color="auto"/>
            </w:tcBorders>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incur additional debt;</w:t>
            </w:r>
          </w:p>
        </w:tc>
      </w:tr>
      <w:tr>
        <w:trPr>
          <w:trHeight w:val="297"/>
        </w:trPr>
        <w:tc>
          <w:tcPr>
            <w:tcW w:w="4200" w:type="dxa"/>
            <w:vAlign w:val="bottom"/>
            <w:tcBorders>
              <w:left w:val="single" w:sz="8" w:color="auto"/>
            </w:tcBorders>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make investments;</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create liens on assets to secure debt;</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enter into transactions with affiliates;</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issue stock of, or member’s interests in, subsidiaries;</w:t>
            </w:r>
          </w:p>
        </w:tc>
      </w:tr>
      <w:tr>
        <w:trPr>
          <w:trHeight w:val="161"/>
        </w:trPr>
        <w:tc>
          <w:tcPr>
            <w:tcW w:w="4200" w:type="dxa"/>
            <w:vAlign w:val="bottom"/>
            <w:tcBorders>
              <w:left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900" w:type="dxa"/>
            <w:vAlign w:val="bottom"/>
            <w:tcBorders>
              <w:bottom w:val="single" w:sz="8" w:color="auto"/>
              <w:right w:val="single" w:sz="8" w:color="auto"/>
            </w:tcBorders>
          </w:tcPr>
          <w:p>
            <w:pPr>
              <w:spacing w:after="0"/>
              <w:rPr>
                <w:sz w:val="13"/>
                <w:szCs w:val="13"/>
                <w:color w:val="auto"/>
              </w:rPr>
            </w:pPr>
          </w:p>
        </w:tc>
      </w:tr>
      <w:tr>
        <w:trPr>
          <w:trHeight w:val="359"/>
        </w:trPr>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tcPr>
          <w:p>
            <w:pPr>
              <w:jc w:val="right"/>
              <w:ind w:right="561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2860" w:type="dxa"/>
            <w:vAlign w:val="bottom"/>
            <w:tcBorders>
              <w:top w:val="single" w:sz="8" w:color="auto"/>
              <w:left w:val="single" w:sz="8" w:color="auto"/>
            </w:tcBorders>
          </w:tcPr>
          <w:p>
            <w:pPr>
              <w:spacing w:after="0"/>
              <w:rPr>
                <w:sz w:val="24"/>
                <w:szCs w:val="24"/>
                <w:color w:val="auto"/>
              </w:rPr>
            </w:pPr>
          </w:p>
        </w:tc>
        <w:tc>
          <w:tcPr>
            <w:tcW w:w="8600" w:type="dxa"/>
            <w:vAlign w:val="bottom"/>
            <w:tcBorders>
              <w:top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 enter into sale-leaseback transactions;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engage in other businesses;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merge or consolidate with another company;</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transfer and sell assets;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issue disqualified stock;</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create dividend and other payment restrictions affecting subsidiaries; and</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designate restricted and unrestricted subsidiaries.</w:t>
            </w:r>
          </w:p>
        </w:tc>
      </w:tr>
      <w:tr>
        <w:trPr>
          <w:trHeight w:val="297"/>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New notes issued in book-entry form will be issued to Cede &amp; Co. as nominee of DTC.</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laws of the State of New York.</w:t>
            </w:r>
          </w:p>
        </w:tc>
      </w:tr>
      <w:tr>
        <w:trPr>
          <w:trHeight w:val="304"/>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You should refer to the section entitled “Risk Factors,” beginning on page 11, for a discussion of</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certain risks involved in investing in the new notes.</w:t>
            </w:r>
          </w:p>
        </w:tc>
      </w:tr>
      <w:tr>
        <w:trPr>
          <w:trHeight w:val="161"/>
        </w:trPr>
        <w:tc>
          <w:tcPr>
            <w:tcW w:w="286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right w:val="single" w:sz="8" w:color="auto"/>
            </w:tcBorders>
          </w:tcPr>
          <w:p>
            <w:pPr>
              <w:spacing w:after="0"/>
              <w:rPr>
                <w:sz w:val="13"/>
                <w:szCs w:val="13"/>
                <w:color w:val="auto"/>
              </w:rPr>
            </w:pPr>
          </w:p>
        </w:tc>
      </w:tr>
      <w:tr>
        <w:trPr>
          <w:trHeight w:val="359"/>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June 30, 2012, we had total outstanding debt of approximately $3.1 billion. In addition, our indentures permit us to incur additional indebtedness in the future if certain conditions are met. Our substantial indebtedness could have important consequences. For example:</w:t>
      </w:r>
    </w:p>
    <w:p>
      <w:pPr>
        <w:spacing w:after="0" w:line="59" w:lineRule="exact"/>
        <w:rPr>
          <w:sz w:val="20"/>
          <w:szCs w:val="20"/>
          <w:color w:val="auto"/>
        </w:rPr>
      </w:pPr>
    </w:p>
    <w:p>
      <w:pPr>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the right to petition a court to appoint a receiver for us or for substantially all of our assets;</w:t>
      </w:r>
    </w:p>
    <w:p>
      <w:pPr>
        <w:spacing w:after="0" w:line="59"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conditions;</w:t>
      </w:r>
    </w:p>
    <w:p>
      <w:pPr>
        <w:spacing w:after="0" w:line="25" w:lineRule="exact"/>
        <w:rPr>
          <w:rFonts w:ascii="Arial" w:cs="Arial" w:eastAsia="Arial" w:hAnsi="Arial"/>
          <w:sz w:val="16"/>
          <w:szCs w:val="16"/>
          <w:color w:val="auto"/>
        </w:rPr>
      </w:pPr>
    </w:p>
    <w:p>
      <w:pPr>
        <w:ind w:left="900" w:right="2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and high unemployment due to the current adverse economic and industry conditions, and could fail to generate sufficient cash to fund our liquidity needs and/or fail to satisfy the financial and other restrictive covenants to which we are subject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 and</w:t>
      </w:r>
    </w:p>
    <w:p>
      <w:pPr>
        <w:spacing w:after="0" w:line="5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if we fail to pay our debts generally as they become due, unsecured creditors that we fail to pay may initiate involuntary bankruptcy proceedings against us, subject to the requirements of the United States Bankruptcy Code, as amended (the “Bankruptcy Code”), and such bankruptcy proceedings will delay or impair the repayment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w:t>
      </w:r>
    </w:p>
    <w:p>
      <w:pPr>
        <w:spacing w:after="0" w:line="10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Under the terms of the indentures governing the notes, we may, subject to certain limitations, be permitted to incur additional indebtedness, including secured and unsecured senior and subordinated indebtedness. If we incur additional indebtedness, the risks described above will be exacerbated.</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various rating agencies provide us or Wynn Resorts with a credit rating or ratings outlook. Any adverse rating agency actions could make it more difficult for us to obtain additional financing on acceptable terms.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indentures contain certain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require us to satisfy various covenants. Future indebtedness or other contracts, including any credit facility that we may enter into in the future, could contain covenants more restrictive than those contained in our indentures and could also contain financial maintenance covenants which require us to maintain minimum financial ratios.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indentures contain restrictions on our ability to engage in certain transactions and may limit our ability to respond to changing business and economic conditions. The indentures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there were an event of default under one of our indentures,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Wynn Las Vegas also competes, to some extent, with other hotel/casino facilities in Nevada, throughout the United States and elsewhere in the world.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1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our table games revenue at Wynn Las Vegas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high unemployment, the current housing foreclosure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operations of Wynn Las Vegas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For example, the conduct of Kazuo Okada (who is currently a member of Wynn Resorts’ Board of Directors and who was formerly the largest beneficial owner of Wynn Resorts’ shares) and his affiliates could result in regulatory investigations, including investigations by Nevada regulatory authorities, which could have adverse consequences to the Company. As described elsewhere in this prospectus, 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Based on the Freeh Report, the Board of Directors of Wynn Resorts determined that Aruze USA, Inc., Universal Entertainment Corporation and Mr. Okada are “Unsuitable Persons” under Article VII of Wynn Resorts’ articles of incorporation. Based on Wynn Resorts’ Board of Directors’ finding of unsuitability, on February 18, 2012, Wynn Resorts redeemed and canceled Aruze USA, Inc.’s 24,549,222 shares of Wynn Resorts’ common stock and issued a promissory note pursuant to the terms of Article VII of the Wynn Resorts’ Articles of Incorporation in payment therefor.</w:t>
      </w:r>
    </w:p>
    <w:p>
      <w:pPr>
        <w:spacing w:after="0" w:line="12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Any such investigations could result in actions by regulators against Wynn Resorts or its subsidiaries, which could have adverse consequences to the Company. In addition, investigations by Nevada regulatory authorities relating to the Company’s gaming licenses could possibly have a negative impact on such gaming licenses and on the Company’s ability to bid successfully for new gaming market opportunities.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2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resort offers. Changes in consumer preferences or discretionary consumer spending could harm our business. Terrorist activities in the United States and elsewhere, military conflicts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and business conventions could significantly harm our operations. In particular, because our business relies heavily upon premium customers, particularly international customers, factors resulting in a decreased propensity to travel internationally could have a negative impact on our operations.</w:t>
      </w:r>
    </w:p>
    <w:p>
      <w:pPr>
        <w:spacing w:after="0" w:line="8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currently have insurance coverage for terrorist acts included in our commercial property insurance policy with respect to Wynn Las Vegas, not to exceed $1.75 billion. However, these types of acts could expose us to losses that exceed our coverage and could have a significant negative impact on our operations.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increase, we may not be able to maintain the insurance coverage we currently have or otherwise be able to maintain adequate insurance protection.</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trademarks and/or service marks, our business or results of operations could be harmed.</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have sublicensed certain Wynn-related trademarks and service marks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intent to use the marks.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Wynn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intellectual property assets, including the word and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11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Our ultimate parent company is Wynn Resorts. Currently, Mr. Wynn and Elaine P. Wynn own 10,026,708 shares and 9,742,150 shares, respectively, or together approximately 19.7%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USA, Inc. owned 24,549,222 shares of Wynn Resorts’ outstanding common stock. On February 18, 2012, Wynn Resorts redeemed all of the shares of Wynn Resorts’ common stock held by Aruze USA, Inc., a company controlled by Mr. Okada, who is currently a member of Wynn Resorts’ Board of Directors. However, in their Schedule 13D filings, Mr. Okada and his affiliates report continued ownership of such shares because they believe the purported redemption is contrary to law and will be determined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pursuant to the pending litigation between, among others, Aruze USA, Inc. and Wynn Resorts, regarding Aruze USA, Inc.’s stockholder status and rights. Wynn Resorts has received a letter from Aruze USA, Inc. purportedly notifying Wynn Resorts of Aruze USA, Inc.’s intent to nominate two individuals for election as directors at the 2012 Annual Meeting, which is scheduled for November 2, 2012, in opposition to Wynn Resorts’ recommended nominees. On August 31, 2012, Aruze USA, Inc. filed a motion in state court seeking, among other things, a preliminary injunction that would prohibit Wynn Resorts from barring or preventing Aruze USA, Inc. from exercising rights as a stockholder of Wynn Resorts and an order that Aruze USA, Inc.’s purported nominees be presented to the stockholders of Wynn Resorts and voted on (including by Aruze USA, Inc. as a stockholder) at the 2012 Annual Meeting of Stockholders (scheduled for November 2, 2012), which would, in effect, require Wynn Resorts to re-issue shares to Aruze USA, Inc. For additional information on the redemption,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Amended and Restated Stockholders Agreement, dated as of January 6, 2010, by and among Stephen A. Wynn, Elaine P. Wynn and Aruze USA, Inc. (the “Amended and Restated Stockholders Agreement”), Mr. Wynn and Elaine P. Wynn have agreed to vote the shares of Wynn Resorts’ common stock held by them subject to the terms of the Amended and Restated Stockholders Agreement in a manner so as to elect to the Board of Directors of Wynn Resorts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Wynn Resorts’ board of directors. In addition, with stated exceptions, the agreement requires the written consent of the other party prior to any party selling any shares of Wynn Resorts’ common stock that it owns. In June 2012, in connection with the ongoing litigation with Kazuo Okada, Elaine P. Wynn asserted a cross claim against Mr. Wynn and Kazuo Okada with respect to the Amended and Restated Stockholders Agreement. If Elaine P. Wynn prevails in her claim, Mr. Wynn would not beneficially own or control Elaine P. Wynn’s shares and a change in control may result under the indentures governing the 2017</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Mr. Wynn is opposing Elaine P. Wynn’s cross claim. See “Description of the New Notes— Repurchase at the Option of Holders—Change of Control.” See also “Management—Directors—Class I Directors (Terms expire at the 2012 Annual Meeting of Stockholders, which is scheduled for November 2, 2012)—Elaine P. Wynn,” for information regarding litigation filed by Elaine P. Wynn.</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laws or regulations could have a negative impact on us.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are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we have implemented to deter prohibited practices may not be effective in prohibiting our employees, contractors or agents from violating or circumventing our policies and the law. If our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As described elsewhere in this prospectus, on February 18, 2012, Wynn Resorts’ Gaming Compliance Committee concluded an investigation after receiving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resorts could have a negative effect on our results of operations.</w:t>
      </w:r>
    </w:p>
    <w:p>
      <w:pPr>
        <w:spacing w:after="0" w:line="12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previously disclosed, in May 2011, Wynn Macau, Limited,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2012 donation has been made.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Mr. Kazuo Okada whose stated objection was to the length of time over which the donation would occur, not its propriety.</w:t>
      </w:r>
    </w:p>
    <w:p>
      <w:pPr>
        <w:spacing w:after="0" w:line="14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Also as previously disclosed, Mr. Okada commenced litigation on January 11, 2012, in Nevada seeking to compel Wynn Resorts to produce information relating to the donation to the University of Macau, among other things.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19, 2012, Wynn Resorts filed a complaint in Nevada state court against Mr. Okada and other entities alleging, among other things, breach of fiduciary duty in connection with alleged violations of the FCPA.</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(who is currently a member of Wynn Resorts’ Board of Directors and who was formerly the largest beneficial owner of Wynn Resorts’ shares) and his affiliates could have adverse consequences to the Company.</w:t>
      </w:r>
    </w:p>
    <w:p>
      <w:pPr>
        <w:spacing w:after="0" w:line="51" w:lineRule="exact"/>
        <w:rPr>
          <w:sz w:val="20"/>
          <w:szCs w:val="20"/>
          <w:color w:val="auto"/>
        </w:rPr>
      </w:pPr>
    </w:p>
    <w:p>
      <w:pPr>
        <w:ind w:right="660" w:firstLine="456"/>
        <w:spacing w:after="0" w:line="335" w:lineRule="auto"/>
        <w:rPr>
          <w:sz w:val="20"/>
          <w:szCs w:val="20"/>
          <w:color w:val="auto"/>
        </w:rPr>
      </w:pPr>
      <w:r>
        <w:rPr>
          <w:rFonts w:ascii="Arial" w:cs="Arial" w:eastAsia="Arial" w:hAnsi="Arial"/>
          <w:sz w:val="15"/>
          <w:szCs w:val="15"/>
          <w:color w:val="auto"/>
        </w:rPr>
        <w:t>As described elsewhere in this prospectus, on February 18, 2012, Wynn Resorts’ Gaming Compliance Committee concluded an investigation after receiving the Freeh Report detailing a pattern of misconduct by Aruze USA, Inc., at the time a stockholder of Wynn Resorts, Universal Entertainment Corporation, Aruze USA, Inc.’s parent company, and Kazuo Okada, the majority shareholder of Universal Entertainment Corporation, who</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is also a member of Wynn Resorts’ Board of Directors and was at the time a director of Wynn Macau, Limited. See “Management—Directors—Class III Directors (Terms expire at the 2014 Annual Meeting of Stockholders)—Kazuo Okada,” the Notes to Condensed Consolidated Financial Statements, Note 10, “Commitments and Contingencies,” and the Notes to Consolidated Financial Statements, Note 16 “Subsequent Events,” each included in this prospectus. Wynn Resorts provided the Freeh Report to appropriate regulators and law enforcement agencies and is cooperating with related investigations that such regulators and agencies have undertaken. The conduct of Mr. Okada and his affiliates and any resulting regulatory investigations could have adverse consequences to the Company.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w:t>
      </w:r>
    </w:p>
    <w:p>
      <w:pPr>
        <w:spacing w:after="0" w:line="20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5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There has been widespread publicity of the findings in the Freeh Report, Wynn Resorts’ board of directors’ “unsuitability” finding with respect to Mr. Okada, Aruze USA, Inc. and Universal Entertainment Corporation, the redemption of Aruze USA, Inc.’s shares and related litigation, including related federal and state derivative actions and a cross claim filed by Elaine P. Wynn. The actions, litigation, and publicity could reduce demand for shares of Wynn Resorts and thereby have a negative impact on the trading prices of its shares. The disputes may also lead to additional scrutiny from gaming regulators, which could lead to investigations relating to, and possibly a negative impact on, the Company’s gaming licenses, and possibly have a negative impact on the Company’s ability to bid successfully for new gaming market opportunities.</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r>
        <w:rPr>
          <w:rFonts w:ascii="Arial" w:cs="Arial" w:eastAsia="Arial" w:hAnsi="Arial"/>
          <w:sz w:val="18"/>
          <w:szCs w:val="18"/>
          <w:i w:val="1"/>
          <w:iCs w:val="1"/>
          <w:color w:val="auto"/>
        </w:rPr>
        <w:t>.</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notes are not secured by any assets (other than the pledged equity interests in Wynn Las Vegas, LLC) and will be effectively subordinated to any secured indebtedness to the extent of any other assets securing such indebtedness.</w:t>
      </w:r>
    </w:p>
    <w:p>
      <w:pPr>
        <w:spacing w:after="0" w:line="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Our obligations under the notes are unsecured (except by the Holdings pledge). We currently do not have any secured indebtedness (other than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05" w:lineRule="auto"/>
        <w:rPr>
          <w:sz w:val="20"/>
          <w:szCs w:val="20"/>
          <w:color w:val="auto"/>
        </w:rPr>
      </w:pPr>
      <w:r>
        <w:rPr>
          <w:rFonts w:ascii="Arial" w:cs="Arial" w:eastAsia="Arial" w:hAnsi="Arial"/>
          <w:sz w:val="15"/>
          <w:szCs w:val="15"/>
          <w:color w:val="auto"/>
        </w:rPr>
        <w:t>each of which is secured only by the Holdings pledge, and capital leases). However, under certain circumstances, we may incur in the future secured indebtedness, including (i) capital lease obligations, mortgage financings and purchase money obligations, in an amount not to exceed $100 million, and</w:t>
      </w:r>
    </w:p>
    <w:p>
      <w:pPr>
        <w:ind w:firstLine="8"/>
        <w:spacing w:after="0" w:line="288"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other indebtedness in an amount not to exceed $100 million, without being required to further secure the notes with our assets securing such indebtedness, and, in such event, the notes would be effectively subordinated to such secured indebtedness to the extent of the value of such assets. If we are declared bankrupt or insolvent, or if we default under any of our future secured indebtedness, the lenders under such secured indebtedness could declare all of the funds borrowed thereunder, together with accrued interest, immediately due and payable. Lenders under such secured indebtedness would be entitled to be paid in full from the assets (if other than the pledged equity interests in Wynn Las Vegas, LLC) securing that secured indebtedness before any payment may be made with respect to the notes, even if an event of default existed at such time under the indenture governing the notes. As a result, in such case, your claims with respect to the notes may not be fully satisfied.</w:t>
      </w:r>
    </w:p>
    <w:p>
      <w:pPr>
        <w:spacing w:after="0" w:line="2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a default occurs with respect to the notes, the value of the pledged equity interests in Wynn Las Vegas, LLC may not be sufficient to repay the holders of the notes and other indebtedness secured by such pledge.</w:t>
      </w:r>
    </w:p>
    <w:p>
      <w:pPr>
        <w:spacing w:after="0" w:line="5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As of September 19, 2012, we had approximately $3.1 billion aggregate principal amount of 2017 notes,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notes outstanding, each of which is secured only by the Holdings pledge. In addition, we may be permitted to incur additional indebtedness that could also be secured by the equity interests held by Wynn Holdings in Wynn Las Vegas, LLC. The value of the pledged equity interests in Wynn Las Vegas, LLC in the event of liquidation will depend on market and economic conditions, the availability of buyers and other factors. We cannot assure you that the proceeds from the sale of the pledged equity interests in Wynn Las Vegas, LLC would be sufficient to satisfy our obligations under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notes or any other future indebtedness secured by the Holdings pledge. To the extent that the net proceeds from any sale of the pledged equity interests in Wynn Las Vegas, LLC are insufficient to satisfy amounts due under the notes and any other indebtedness secured by the Holdings pledge, including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holders of the notes will participate with holders of our unsecured indebtedness (including holders of any secured indebtedness not paid in full from the net proceeds of their collateral) in the net proceeds of any of our remaining assets. As a result, your claims with respect to the notes may not be fully satisfied.</w:t>
      </w:r>
    </w:p>
    <w:p>
      <w:pPr>
        <w:spacing w:after="0" w:line="20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and the Holdings pledge, and to require noteholders to return payments received from us or Wynn Holdings.</w:t>
      </w:r>
    </w:p>
    <w:p>
      <w:pPr>
        <w:spacing w:after="0" w:line="5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creditors and the creditors of Wynn Holdings could challenge the issuers’ issuance of the notes or Wynn Holdings’ grant of the Holdings pledge, respectively, as fraudulent conveyances or on other grounds. Under the federal bankruptcy law and similar provisions of state fraudulent transfer laws, the issuance of notes and the grant of the Holdings pledge, could be avoided (that is, cancelled) as fraudulent transfers if a court determined that the issuers, at the time they issued the notes, or the pledgor, at the time it granted the Holdings pledge:</w:t>
      </w:r>
    </w:p>
    <w:p>
      <w:pPr>
        <w:spacing w:after="0" w:line="3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issued the notes or granted the Holdings pledge, as the case may be, with the intent to hinder, delay or defraud its existing or future creditors; or</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issuance of the notes or the grant of the Holdings pledge, as the case may be, and if the issuers or pledgor: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were insolvent or rendered insolvent at the time the notes were issued or the Holdings pledge was granted, as the case may be;</w:t>
      </w:r>
    </w:p>
    <w:p>
      <w:pPr>
        <w:spacing w:after="0" w:line="113" w:lineRule="exact"/>
        <w:rPr>
          <w:rFonts w:ascii="Arial" w:cs="Arial" w:eastAsia="Arial" w:hAnsi="Arial"/>
          <w:sz w:val="16"/>
          <w:szCs w:val="16"/>
          <w:color w:val="auto"/>
        </w:rPr>
      </w:pPr>
    </w:p>
    <w:p>
      <w:pPr>
        <w:ind w:left="1480" w:right="12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were engaged in a business or transaction for which the issuers’ or pledgor’s remaining assets, as the case may be, constituted unreasonably small capital;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intended to incur, or believed that they would incur, debts beyond their ability to pay such debts generally as they mature.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the notes or the Holdings pledge were avoided or limited under fraudulent transfer or other laws, any claim you may make against us or Wynn Holdings, as the case may be, for amounts payable on the notes would be unenforceable to the extent of such avoidance or limitation. Moreover, the court could order you to return any payments previously made by us or Wynn Holdings.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party would be considered insolvent if:</w:t>
      </w:r>
    </w:p>
    <w:p>
      <w:pPr>
        <w:spacing w:after="0" w:line="51"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notes or the Holdings pledge.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may limit your ability to collect on the notes.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 bankruptcy case were to be commenced by or against us prior to the repayment of the notes, your ability to receive repayment of the notes is likely to be significantly impaired by applicable bankruptcy law. Under the Bankruptcy Code, the commencement of a bankruptcy case acts as an “automatic stay” of virtually all actions by creditors to collect pre-bankruptcy debts. Factors that may bear on the recovery by the holders of the notes in these circumstances, among other, would include: (i) a debtor in a bankruptcy case does not have the ability to compel performance of a “financial accommodation”; (ii) creditors with secured claims and claims providing a priority of payment under the Bankruptcy Code would have a higher priority of payment than the notes; (iii) the holders of other unsecured debt will be entitled to share ratably with the holders of the notes in any proceeds distributed in an insolvency, liquidation, reorganization, dissolution or other winding up, and; (iv) the cost and delay of a bankruptcy case could reduce our value. Moreover, in a bankruptcy proceeding, the bankruptcy court would have broad discretion to approve transactions that could disadvantage the holders of the notes. For example, under certain circumstances, a bankruptcy court could approve a motion for the sale of our assets over the objections of holders of the notes or approve the modification of the terms of the notes under a confirmed plan of reorganization. Therefore, in the event of our bankruptcy, it is impossible to predict how long payments under the notes would be delayed, whether there would be sufficient funds to pay the notes in full, or whether the terms and conditions of the notes or any rights of the holders of the notes could be altered in a bankruptcy case without the notes trustee’s or your consent.</w:t>
      </w:r>
    </w:p>
    <w:p>
      <w:pPr>
        <w:spacing w:after="0" w:line="2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Bankruptcy and gaming laws may significantly impair your rights to repossess and dispose of the pledged equity interests in Wynn Las Vegas, LLC securing the notes and to otherwise collect on any amounts due thereunder.</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If a bankruptcy case were to be commenced by or against Wynn Holdings prior to the repossession and disposition of the pledged equity interests in Wynn Las Vegas, LLC securing the notes, the right of the notes trustee to repossess and dispose of such equity interests upon the occurrence of an event of default under the applicable indenture is likely to be significantly impaired by applicable bankruptcy law. The commencement of any such bankruptcy proceedings would expose the holders of the notes to additional risks, including, without limitation, additional restrictions on exercising rights against the pledged equity interests in Wynn Las Vegas, LLC and on otherwise pursuing or obtaining repayment of the notes. For example, the “automatic stay” under applicable bankruptcy law prohibits secured creditors, such as the holders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from repossessing their security from a debtor in a bankruptcy case, or from disposing of collateral in their possession, without bankruptcy court approval.</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Bankruptcy Code contemplates that secured creditors will be paid in full. If a bankruptcy proceeding is commenced by or against Wynn Holdings, we cannot assure you that the bankruptcy court would find that the value of the pledged equity interests in Wynn Las Vegas, LLC exceeds the amount outstanding under the notes. Indeed, under the Bankruptcy Code, distribution to our equity holders is subordinated to the claims of our creditors. Therefore, there can be no assurance that a bankruptcy court would find that the collateral had any value. Accordingly, there can be no assurances, pending or following the completion of the bankruptcy proceeding commenced by or against Wynn Holdings, with respect to the following: whether and when any payments under the notes would be made; whether or when the notes trustee could foreclose upon or sell the pledged equity interests in Wynn Las Vegas, LLC; and whether the terms and conditions of the notes or any rights of the holders of the notes could be altered in a bankruptcy case without the notes trustee’s or your consent.</w:t>
      </w:r>
    </w:p>
    <w:p>
      <w:pPr>
        <w:spacing w:after="0" w:line="12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Furthermore, as a result of applicable gaming laws and regulations, the notes trustee must obtain prior approval from, and may be required to be licensed by, the Nevada gaming authorities before the notes trustee can foreclose on the pledged equity interests in Wynn Las Vegas, LLC. In addition, in any foreclosure sale of the pledged equity interests in Wynn Las Vegas, LLC, the purchaser would need to obtain prior approval from the Nevada gaming authorities and be licensed or found suitable under the Nevada gaming laws and regulations. Because potential purchasers must satisfy these gaming regulatory requirements, the number of potential purchasers in a foreclosure sale could be less than in foreclosures of other types of facilities, and this requirement may delay the sale of, and may reduce the sales price for, the pledged equity interests in Wynn Las Vegas, LLC.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experience certain specific change of control events, subject to certain exceptions, we will be required to offer to repurchase all outstanding notes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101% of their principal amount, plus accrued and unpaid interest to the date of repurchase. We have similar offer to repurchase obligations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Should Stephen A. Wynn, together with certain related parties, in the aggregate beneficially owns a lesser percentage of the outstanding common stock of Wynn Resorts than are beneficially owned by any other person, a change of control will have occurred. In connection with the ongoing litigation with Kazuo Okada, Elaine P. Wynn has asserted a cross claim against Stephen A. Wynn and Kazuo Okada with respect to the Amended and Restated Stockholders Agreement. If Elaine P. Wynn prevails in her claim, Stephen A. Wynn would not beneficially own or control Elaine P. Wynn’s shares and a change in control may result under the indentures governing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Stephen A. Wynn is opposing Elaine P. Wynn’s cross-claim.</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cannot assure you that we will have available funds sufficient to pay the change of control purchase price for any or all of the notes (or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that might be delivered by holders of such notes seeking to accept the change of control offer. A failure to pay any such change of control purchase price would result in an event of default under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and/or the notes, which could adversely effect our business or results of operations.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Change of Control.” See also “Management—Directors—Class I Directors (Terms expire at the 2012 Annual Meeting of Stockholders, which is scheduled for November 2, 2012)—Elaine P. Wynn,” for information regarding litigation filed by Elaine P. Wynn.</w:t>
      </w:r>
    </w:p>
    <w:p>
      <w:pPr>
        <w:spacing w:after="0" w:line="2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Bankruptcy Code. If a bankruptcy court concludes that substantive consolidation of us with any affiliated party referred to in this paragraph is warranted, holders of the notes should expect payments on the notes to be delayed and/or reduced.</w:t>
      </w:r>
    </w:p>
    <w:p>
      <w:pPr>
        <w:spacing w:after="0" w:line="197" w:lineRule="exact"/>
        <w:rPr>
          <w:sz w:val="20"/>
          <w:szCs w:val="20"/>
          <w:color w:val="auto"/>
        </w:rPr>
      </w:pPr>
    </w:p>
    <w:p>
      <w:pPr>
        <w:ind w:right="580"/>
        <w:spacing w:after="0" w:line="357" w:lineRule="auto"/>
        <w:rPr>
          <w:sz w:val="20"/>
          <w:szCs w:val="20"/>
          <w:color w:val="auto"/>
        </w:rPr>
      </w:pPr>
      <w:r>
        <w:rPr>
          <w:rFonts w:ascii="Arial" w:cs="Arial" w:eastAsia="Arial" w:hAnsi="Arial"/>
          <w:sz w:val="15"/>
          <w:szCs w:val="15"/>
          <w:b w:val="1"/>
          <w:bCs w:val="1"/>
          <w:i w:val="1"/>
          <w:iCs w:val="1"/>
          <w:color w:val="auto"/>
        </w:rPr>
        <w:t>Our subsidiaries likely will not be able to contribute to any payments with respect to the notes. In addition, the notes are not guaranteed by any of our subsidiaries and, as a result, the creditors of our subsidiaries could collect on their claims, ahead of the notes, from our subsidiaries’ assets.</w:t>
      </w:r>
    </w:p>
    <w:p>
      <w:pPr>
        <w:ind w:right="180" w:firstLine="456"/>
        <w:spacing w:after="0" w:line="318" w:lineRule="auto"/>
        <w:rPr>
          <w:sz w:val="20"/>
          <w:szCs w:val="20"/>
          <w:color w:val="auto"/>
        </w:rPr>
      </w:pPr>
      <w:r>
        <w:rPr>
          <w:rFonts w:ascii="Arial" w:cs="Arial" w:eastAsia="Arial" w:hAnsi="Arial"/>
          <w:sz w:val="15"/>
          <w:szCs w:val="15"/>
          <w:color w:val="auto"/>
        </w:rPr>
        <w:t>Although the assets of our subsidiaries are important to our operations, they are not expected to generate significant cash flows. As such, you should not expect any of our subsidiaries to contribute to any payments of principal, interest or other amounts required to be made on the notes. In addition, 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operation of “Wynn Macau,” which includes “Encore at Wynn Macau,” are parties to financing or other agreements that restrict their ability to make any payments or distributions to Wynn Resorts.</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none of our subsidiaries guarantee the notes, the notes are not supported by the assets of such subsidiaries, except to the extent of the value of our equity interests in those subsidiaries. Meanwhile, creditors of our subsidiaries have a direct claim against those subsidiaries’ assets, which would reduce or possibly eliminate the value of our interest in those subsidiaries. As of June 30, 2012, the Issuers’ subsidiaries had approximately $34.7 million of indebtedness and other liabilities, to which the notes are structurally subordinated. In addition, our subsidiaries have no obligation, contingent or otherwise, to pay amounts due under the notes or to make any funds available to pay those amounts, whether by dividend, distribution, loan or other payments, and legal and contractual limitations may further limit our ability to obtain cash from our subsidiaries. In the event of a bankruptcy, liquidation, reorganization or other winding up of any of our subsidiaries, holders of indebtedness and trade creditors of our subsidiaries will generally be entitled to payment of their claims from the assets of our subsidiaries before any assets are made available for distribution to us. Accordingly, there may be insufficient funds to satisfy claims of noteholders.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Unrestricted subsidiaries will generally not be subject to the covenants under the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notes indenture grants us the power to redeem the notes that you own or control if any gaming authority requires you, or a beneficial owner of the notes, to be licensed, qualified or found suitable under any applicable gaming law and:</w:t>
      </w:r>
    </w:p>
    <w:p>
      <w:pPr>
        <w:spacing w:after="0" w:line="51" w:lineRule="exact"/>
        <w:rPr>
          <w:sz w:val="20"/>
          <w:szCs w:val="20"/>
          <w:color w:val="auto"/>
        </w:rPr>
      </w:pPr>
    </w:p>
    <w:p>
      <w:pPr>
        <w:ind w:left="900" w:right="2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or such beneficial owner fail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 foregoing circumstances, under the notes indenture, we may redeem, and if required by the applicable gaming authority, we must redeem, your notes to the extent required by the gaming authority or deemed necessary or advisable by us. The redemption price will be equal to:</w:t>
      </w:r>
    </w:p>
    <w:p>
      <w:pPr>
        <w:spacing w:after="0" w:line="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as applicable, and (2) the price that you or the beneficial owner paid for the notes, as applicable, in either case, together with accrued and unpaid interest on the notes, as applicable.</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other requirements under applicable gaming laws. If you purchase, acquire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39" w:lineRule="exact"/>
        <w:rPr>
          <w:sz w:val="20"/>
          <w:szCs w:val="20"/>
          <w:color w:val="auto"/>
        </w:rPr>
      </w:pPr>
    </w:p>
    <w:p>
      <w:pPr>
        <w:ind w:left="900" w:right="3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as applicable, and (2) the price that you or the beneficial owner paid for the notes, as applicable, in either case, together with accrued and unpaid interest on the notes, as applicable.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notify the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also provides that as soon as you are required to sell your notes as a result of a gaming authority action, you will, to the extent required by applicable gaming laws, have no further right:</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new notes are a new issue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00" w:hanging="325"/>
        <w:spacing w:after="0" w:line="357"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 See “The Exchange Offer—Procedures for Tendering Old Notes” and “The Exchange Offer—Consequences of Exchanging or Failing to Exchange Old Notes.”</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six months ended June 30, 2012 and the years ended December 31, 2011, 2010, 2009, 2008 and 2007,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For the Six</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46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Year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 (1)</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(80,617)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(79,468)</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 (331,351)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(284,944)</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(195,762)</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The selected data presented below as of and for the six months ended June 30, 2012 and 2011 is derived from our unaudited consolidated financial statements. The selected data presented below as of and for the years ended December 31, 2011, 2010, 2009, 2008 and 2007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8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2010</w:t>
            </w: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6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Consolidated Statement of Operations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revenues(1)</w:t>
            </w:r>
          </w:p>
        </w:tc>
        <w:tc>
          <w:tcPr>
            <w:tcW w:w="1280" w:type="dxa"/>
            <w:vAlign w:val="bottom"/>
            <w:gridSpan w:val="5"/>
          </w:tcPr>
          <w:p>
            <w:pPr>
              <w:jc w:val="right"/>
              <w:ind w:right="160"/>
              <w:spacing w:after="0"/>
              <w:rPr>
                <w:sz w:val="20"/>
                <w:szCs w:val="20"/>
                <w:color w:val="auto"/>
              </w:rPr>
            </w:pPr>
            <w:r>
              <w:rPr>
                <w:rFonts w:ascii="Arial" w:cs="Arial" w:eastAsia="Arial" w:hAnsi="Arial"/>
                <w:sz w:val="18"/>
                <w:szCs w:val="18"/>
                <w:color w:val="auto"/>
              </w:rPr>
              <w:t>$708,864</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$786,051</w:t>
            </w:r>
          </w:p>
        </w:tc>
        <w:tc>
          <w:tcPr>
            <w:tcW w:w="1260" w:type="dxa"/>
            <w:vAlign w:val="bottom"/>
            <w:gridSpan w:val="3"/>
          </w:tcPr>
          <w:p>
            <w:pPr>
              <w:jc w:val="right"/>
              <w:ind w:right="122"/>
              <w:spacing w:after="0"/>
              <w:rPr>
                <w:sz w:val="20"/>
                <w:szCs w:val="20"/>
                <w:color w:val="auto"/>
              </w:rPr>
            </w:pPr>
            <w:r>
              <w:rPr>
                <w:rFonts w:ascii="Arial" w:cs="Arial" w:eastAsia="Arial" w:hAnsi="Arial"/>
                <w:sz w:val="18"/>
                <w:szCs w:val="18"/>
                <w:color w:val="auto"/>
              </w:rPr>
              <w:t>$1,481,895</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w w:val="99"/>
              </w:rPr>
              <w:t>$1,296,556</w:t>
            </w:r>
          </w:p>
        </w:tc>
        <w:tc>
          <w:tcPr>
            <w:tcW w:w="1260" w:type="dxa"/>
            <w:vAlign w:val="bottom"/>
          </w:tcPr>
          <w:p>
            <w:pPr>
              <w:jc w:val="right"/>
              <w:ind w:right="179"/>
              <w:spacing w:after="0"/>
              <w:rPr>
                <w:sz w:val="20"/>
                <w:szCs w:val="20"/>
                <w:color w:val="auto"/>
              </w:rPr>
            </w:pPr>
            <w:r>
              <w:rPr>
                <w:rFonts w:ascii="Arial" w:cs="Arial" w:eastAsia="Arial" w:hAnsi="Arial"/>
                <w:sz w:val="18"/>
                <w:szCs w:val="18"/>
                <w:color w:val="auto"/>
              </w:rPr>
              <w:t>$1,230,120</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w w:val="93"/>
              </w:rPr>
              <w:t>$1,099,891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1,295,851</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2,479</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346</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72,373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280" w:type="dxa"/>
            <w:vAlign w:val="bottom"/>
            <w:gridSpan w:val="5"/>
          </w:tcPr>
          <w:p>
            <w:pPr>
              <w:jc w:val="right"/>
              <w:ind w:right="160"/>
              <w:spacing w:after="0"/>
              <w:rPr>
                <w:sz w:val="20"/>
                <w:szCs w:val="20"/>
                <w:color w:val="auto"/>
              </w:rPr>
            </w:pPr>
            <w:r>
              <w:rPr>
                <w:rFonts w:ascii="Arial" w:cs="Arial" w:eastAsia="Arial" w:hAnsi="Arial"/>
                <w:sz w:val="18"/>
                <w:szCs w:val="18"/>
                <w:color w:val="auto"/>
              </w:rPr>
              <w:t>23,964</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97,783</w:t>
            </w:r>
          </w:p>
        </w:tc>
        <w:tc>
          <w:tcPr>
            <w:tcW w:w="1260" w:type="dxa"/>
            <w:vAlign w:val="bottom"/>
            <w:gridSpan w:val="3"/>
          </w:tcPr>
          <w:p>
            <w:pPr>
              <w:jc w:val="right"/>
              <w:ind w:right="122"/>
              <w:spacing w:after="0"/>
              <w:rPr>
                <w:sz w:val="20"/>
                <w:szCs w:val="20"/>
                <w:color w:val="auto"/>
              </w:rPr>
            </w:pPr>
            <w:r>
              <w:rPr>
                <w:rFonts w:ascii="Arial" w:cs="Arial" w:eastAsia="Arial" w:hAnsi="Arial"/>
                <w:sz w:val="18"/>
                <w:szCs w:val="18"/>
                <w:color w:val="auto"/>
              </w:rPr>
              <w:t>101,319</w:t>
            </w:r>
          </w:p>
        </w:tc>
        <w:tc>
          <w:tcPr>
            <w:tcW w:w="1040" w:type="dxa"/>
            <w:vAlign w:val="bottom"/>
          </w:tcPr>
          <w:p>
            <w:pPr>
              <w:jc w:val="right"/>
              <w:spacing w:after="0"/>
              <w:rPr>
                <w:sz w:val="20"/>
                <w:szCs w:val="20"/>
                <w:color w:val="auto"/>
              </w:rPr>
            </w:pPr>
            <w:r>
              <w:rPr>
                <w:rFonts w:ascii="Arial" w:cs="Arial" w:eastAsia="Arial" w:hAnsi="Arial"/>
                <w:sz w:val="18"/>
                <w:szCs w:val="18"/>
                <w:color w:val="auto"/>
              </w:rPr>
              <w:t>(81,314)</w:t>
            </w:r>
          </w:p>
        </w:tc>
        <w:tc>
          <w:tcPr>
            <w:tcW w:w="1260" w:type="dxa"/>
            <w:vAlign w:val="bottom"/>
          </w:tcPr>
          <w:p>
            <w:pPr>
              <w:jc w:val="right"/>
              <w:ind w:right="119"/>
              <w:spacing w:after="0"/>
              <w:rPr>
                <w:sz w:val="20"/>
                <w:szCs w:val="20"/>
                <w:color w:val="auto"/>
              </w:rPr>
            </w:pPr>
            <w:r>
              <w:rPr>
                <w:rFonts w:ascii="Arial" w:cs="Arial" w:eastAsia="Arial" w:hAnsi="Arial"/>
                <w:sz w:val="18"/>
                <w:szCs w:val="18"/>
                <w:color w:val="auto"/>
              </w:rPr>
              <w:t>(144,279)</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(58,616)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199,825</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(88,630)</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(95,632)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(348,329)</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(309,870)</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(129,794)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00" w:type="dxa"/>
            <w:vAlign w:val="bottom"/>
            <w:shd w:val="clear" w:color="auto" w:fill="CCEEFF"/>
          </w:tcPr>
          <w:p>
            <w:pPr>
              <w:spacing w:after="0"/>
              <w:rPr>
                <w:sz w:val="18"/>
                <w:szCs w:val="18"/>
                <w:color w:val="auto"/>
              </w:rPr>
            </w:pPr>
          </w:p>
        </w:tc>
      </w:tr>
      <w:tr>
        <w:trPr>
          <w:trHeight w:val="351"/>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As of June 30,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940" w:type="dxa"/>
            <w:vAlign w:val="bottom"/>
          </w:tcPr>
          <w:p>
            <w:pPr>
              <w:jc w:val="right"/>
              <w:ind w:right="34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6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7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771,928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138,475</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  201,399</w:t>
            </w:r>
          </w:p>
        </w:tc>
        <w:tc>
          <w:tcPr>
            <w:tcW w:w="1040" w:type="dxa"/>
            <w:vAlign w:val="bottom"/>
          </w:tcPr>
          <w:p>
            <w:pPr>
              <w:jc w:val="right"/>
              <w:spacing w:after="0"/>
              <w:rPr>
                <w:sz w:val="20"/>
                <w:szCs w:val="20"/>
                <w:color w:val="auto"/>
              </w:rPr>
            </w:pPr>
            <w:r>
              <w:rPr>
                <w:rFonts w:ascii="Arial" w:cs="Arial" w:eastAsia="Arial" w:hAnsi="Arial"/>
                <w:sz w:val="18"/>
                <w:szCs w:val="18"/>
                <w:color w:val="auto"/>
              </w:rPr>
              <w:t>$   52,540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   66,354</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  123,315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146,521</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6,368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23,973</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4,579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4,492,031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4,071,147</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4,035,398</w:t>
            </w:r>
          </w:p>
        </w:tc>
        <w:tc>
          <w:tcPr>
            <w:tcW w:w="1040" w:type="dxa"/>
            <w:vAlign w:val="bottom"/>
          </w:tcPr>
          <w:p>
            <w:pPr>
              <w:jc w:val="right"/>
              <w:spacing w:after="0"/>
              <w:rPr>
                <w:sz w:val="20"/>
                <w:szCs w:val="20"/>
                <w:color w:val="auto"/>
              </w:rPr>
            </w:pPr>
            <w:r>
              <w:rPr>
                <w:rFonts w:ascii="Arial" w:cs="Arial" w:eastAsia="Arial" w:hAnsi="Arial"/>
                <w:sz w:val="18"/>
                <w:szCs w:val="18"/>
                <w:color w:val="auto"/>
              </w:rPr>
              <w:t>4,108,516</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4,254,324</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4,584,271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3,647,256</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3,260,632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2,721,040</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2,632,164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2,730,738</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2,638,083</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2,897,328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2,034,603</w:t>
            </w:r>
          </w:p>
        </w:tc>
        <w:tc>
          <w:tcPr>
            <w:tcW w:w="100" w:type="dxa"/>
            <w:vAlign w:val="bottom"/>
            <w:shd w:val="clear" w:color="auto" w:fill="CCEEFF"/>
          </w:tcPr>
          <w:p>
            <w:pPr>
              <w:spacing w:after="0"/>
              <w:rPr>
                <w:sz w:val="18"/>
                <w:szCs w:val="18"/>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Member’s equity</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924,376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1,101,843</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1,010,307</w:t>
            </w:r>
          </w:p>
        </w:tc>
        <w:tc>
          <w:tcPr>
            <w:tcW w:w="1040" w:type="dxa"/>
            <w:vAlign w:val="bottom"/>
          </w:tcPr>
          <w:p>
            <w:pPr>
              <w:jc w:val="right"/>
              <w:spacing w:after="0"/>
              <w:rPr>
                <w:sz w:val="20"/>
                <w:szCs w:val="20"/>
                <w:color w:val="auto"/>
              </w:rPr>
            </w:pPr>
            <w:r>
              <w:rPr>
                <w:rFonts w:ascii="Arial" w:cs="Arial" w:eastAsia="Arial" w:hAnsi="Arial"/>
                <w:sz w:val="18"/>
                <w:szCs w:val="18"/>
                <w:color w:val="auto"/>
              </w:rPr>
              <w:t>1,098,502</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1,385,553</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1,257,563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1,375,020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Encore opened on December 22,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long-term debt, interest rate swap and long-term amounts due to affiliates.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December 2008, we expanded Wynn Las Vegas with the opening of Encore at Wynn Las Vegas. Wynn Las Vegas, located at the intersection of the Las Vegas Strip and Sands Avenue, occupies approximately 215 acres of land (of which approximately 140 acres comprise the Wynn Las Vegas golf course, which we lease from Wynn Resorts) fronting the Las Vegas Strip and utilizes approximately 18 additional acres across Sands Avenue, a portion of which is improved with an employee parking garage, and approximately 5 acres adjacent to the Wynn Las Vegas golf course on which an office building is located.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Approximately 94,000 square feet of high-end, brand-name retail shopping, including stores and boutiques by Alexander McQueen, Brioni, Cartier, Chanel, Dior, Graff, Hermès, Loro Piana, Louis Vuitton, Manolo Blahnik, Oscar de la Renta, Vertu and others;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During the six months ended June 30, 2012, the economic environment in the Las Vegas gaming, hotel, tourism, and convention markets were stable compared to 2011. For the six months ended June 30, 2012, the average daily room rate increased 4.3%, visitation increased 2.4% to 19.9 million visitors, and Las Vegas Strip revenues decreased 0.6%, all as compared to the prior year period. For the six months ended June 30, 2012, our financial results were adversely impacted by a lower than normal table games win percentage. While we experienced a decrease in occupancy rate over the prior year period, we were able to achieve an increase in average daily rate as we adjusted rates in an effort to attract customers who would take advantage of all aspects of our resort.</w:t>
      </w:r>
    </w:p>
    <w:p>
      <w:pPr>
        <w:spacing w:after="0" w:line="10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2011, the economic environment in the gaming, hotel, tourism and convention markets in Las Vegas began to improve with increased levels of gaming revenue, visitation and hotel room demand. For the year ended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the average daily room rate increased 10.7%, visitation increased 4.3% to 38.9 million visitors,</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and Las Vegas Strip gaming revenues increased 5.1%, all as compared to the year ended December 31, 2010. While these gaming and hotel statistics have increased from prior year levels, uncertainty still exists in the Las Vegas market. For the year ended December 31, 2011, we benefited from a higher than normal table games win percentage, improved ADR and increased visitation resulting in an increase in all revenue streams including entertainment, food and beverage. While we experienced a decrease in occupancy rate over the prior year, we were able to achieve an increase in average daily rate as we adjusted rates in an effort to attract a higher quality customer who would take advantage of all aspects of our resort.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a net loss for the three months ended June 30, 2012 of $53.2 million, compared to a net loss of $1.5 million recorded for the three months ended June 30, 2011. This decrease was primarily a result of decreased departmental profits, especially in the casino department ($57.3 million) where we experienced lower than normal table games win and hold, significantly lower than that achieved in the prior year quarter. We also recorded a loss on retirement of debt of $4.8 million for the six months ended June 30, 2012 related to an amendment of our bank credit facilities. See below for a more detailed discussion regarding our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a net loss for the year ended December 31, 2011 of $95.6 million, which represents an improvement of $252.7 million from the net loss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$348.3 million recorded for the year ended December 31, 2010. This improvement is primarily due to an increase in departmental profits, especially in the casino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department and the hotel department. See below for a more detailed discussion regarding our results.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our operational performance for the periods in which a Condensed Consolidated Statement of Operations and Comprehensive Loss or a Consolidated Statement of Operations and Comprehensive Loss is presented. Below are definitions of the gaming statistics discussed:</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recorded as casino revenue.</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June 30, 2012 compared to the three months ended June 30,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revenues for the three months ended June 30, 2012, are composed of $98.6 million in casino revenues (28.5% of total net revenues) and $247.1 million of net non-casino revenues (71.5% of total net revenues). Net revenues for the three months ended June 30, 2011, were comprised of $158.3 million in casino revenues (40.5% of total net revenues) and $232.7 million of net non-casino revenues (59.5% of total net revenues).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$59.7 million (37.7%) to $98.6 million for the three months ended June 30, 2012, compared to $158.3 million for the three months ended June 30, 2011, due to a significant decrease in our table games win percentage. Our table games win percentage (before discounts) for the three months ended June 30, 2012, was 15.0%, which was below the expected range of 21% to 24%; and was significantly lower than the 27.6% experienced in the prior year quarter. Drop increased $40.9 million (7.6%) to $575.6 million during the three months ended June 30, 2012, compared to $534.7 million in the prior year quarter. Slot machine handle increased $22.2 million (3.2%) to $707.8 million compared to $685.6 million in the prior year quarter; however slot machine win of $40.5 million was flat compared to the prior year quarter.</w:t>
      </w:r>
    </w:p>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three months ended June 30, 2012, room revenues were $96.2 million, which represents a $5.1 million (5.6%) increase over the $91.1 million generated in the three months ended June 30, 2011. We experienced an increase in ADR during the three months ended June 30, 2012, compared to the three months ended June 30, 2011, and a decrease in occupancy rate of 1.6 percentage points. ADR has increased as we adjusted rates in an effort to attract customers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$ 254</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$ 240</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80"/>
              <w:spacing w:after="0"/>
              <w:rPr>
                <w:sz w:val="20"/>
                <w:szCs w:val="20"/>
                <w:color w:val="auto"/>
              </w:rPr>
            </w:pPr>
            <w:r>
              <w:rPr>
                <w:rFonts w:ascii="Arial" w:cs="Arial" w:eastAsia="Arial" w:hAnsi="Arial"/>
                <w:sz w:val="18"/>
                <w:szCs w:val="18"/>
                <w:color w:val="auto"/>
              </w:rPr>
              <w:t>87.6%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Other non-gaming revenues for the three months ended June 30, 2012, included food and beverage revenues of $138.4 million, retail revenues of $21 million, entertainment revenues of $18.1 million, and other revenues from outlets, including the spa and salon, of $17.2 million. Other non-casino revenues for the three months ended June 30, 2011, included: food and beverage revenues of $126 million, retail revenues of $22.9 million, entertainment revenues of $19 million, and other revenues from outlets such as the spa and salon, of $16.8 million. Food and beverage revenues increased primarily due to business in our beach club and nightclubs. Retail revenues decreased as we reconfigured the Encore retail area and are in the process of rebranding several retail outlets. Entertainment revenues decreased over the prior year quarter primarily due to a loss of revenues from the Sinatra “Dance with Me” show, which ended its run on April 23, 2011.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months ended June 30, 2012, departmental expenses included casino expenses of $67.3 million, room expense of $32.6 million, food and beverage expenses of $79.7 million, and entertainment, retail and other expenses of $34.5 million. Also included are general and administrative expenses of $58.3 million and a $0.3 million credit taken to provision for doubtful accounts receivable. For the three months ended June 30, 2011, departmental expenses included casino expense of $69.7 million, room expense of $31.2 million, food and beverage expense of $70.4 million, and entertainment, retail and other expense of $36.9 million. Also included are general and administrative expenses of approximately $55.7 million and approximately $3.8 million charged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provision for doubtful accounts receivable. Food and beverage expenses increased over prior year quarter primarily due to additional nightclub promotional costs. General and administrative expenses increased over the prior year quarter primarily due to higher advertising costs. During the quarter ended June 30, 2012, we recorded an adjustment to our reserve estimates for casino accounts receivable based on the results of historical collection patterns and current collection trends. This change in estimate was the primary factor that resulted in a $0.3 million credit to the provision for doubtful accounts for the quarter ended June 30,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$5.2 million for the three months ended June 30, 2012, compared to $5.9 million for the three months ended June 30,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for the three months ended June 30, 2012 was $62.8 million compared to $66.3 million for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2012, were $2.2 million compared to $2.6 million for the three months ended June 30, 2011. Property charges and other for the three months ended June 30, 2012 and 2011, related to miscellaneous renovations and abandonments at our resort complex.</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expense was $58.5 million for the three months ended June 30, 2012, compared to $50.3 million for the three months ended June 30, 2011. No interest was capitalized during either period. Interest expense increased approximately $8.2 million primarily due to the issuance of the $900 million 5 3/8% first mortgage notes in March 2012, offset by the reduction of $370.9 million in term loan borrowings as described in Note 6 to our Condensed Consolidated Notes to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We recorded a gain of approximately $1.3 million for the three months ended June 30, 2012, resulting from the increase in the fair value of our interest rate swap during this period. In June 2012, we terminated the interest rate swap for a payment of $2.4 million. We recorded a gain of $27,000 for the three months ended June 30, 2011, resulting from the increase in the fair value of our interest rate swap from March 31, 2011 to June 30, 2011.</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 In September 2012, we terminated the Wynn Las Vegas Credit Agreement.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June 30, 2012 compared to the six months ended June 30,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six months ended June 30, 2012, are composed of $256.3 million in casino revenues (36.2% of total net revenues) and $452.6 million of net non-casino revenues (63.8% of total net revenues). Net revenues for the six months ended June 30, 2011, were comprised of $352.5 million in casino revenues (44.8% of total net revenues) and $433.5 million of net non-casino revenues (55.2% of total net revenues).</w:t>
      </w:r>
    </w:p>
    <w:p>
      <w:pPr>
        <w:spacing w:after="0" w:line="10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$96.2 million (27.3%) to $256.3 million for the six months ended June 30, 2012, compared to $352.5 million for the six months ended June 30, 2011, due to a decrease in our table</w:t>
      </w:r>
    </w:p>
    <w:p>
      <w:pPr>
        <w:spacing w:after="0"/>
        <w:rPr>
          <w:sz w:val="20"/>
          <w:szCs w:val="20"/>
          <w:color w:val="auto"/>
        </w:rPr>
      </w:pPr>
      <w:r>
        <w:rPr>
          <w:rFonts w:ascii="Arial" w:cs="Arial" w:eastAsia="Arial" w:hAnsi="Arial"/>
          <w:sz w:val="16"/>
          <w:szCs w:val="16"/>
          <w:color w:val="auto"/>
        </w:rPr>
        <w:t>games win percentage. Our table games win percentage (before discounts) for the six months ended June 30, 2012, was 19.2%, which was below the expected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range of 21% to 24%; and was significantly lower than the 29.1% experienced in the prior year period. Drop increased $61.4 million (5.3%) to $1,230.1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2012, compared to $1,168.7 million in the prior year period. Slot machine handle increased $22.4 million (1.6%)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$1,426.7 million compared to $1,404.3 million in the prior year period; however slot machine win decreased $0.5 million (0.6%) to $83.5 million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lower hold.</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six months ended June 30, 2012, room revenues were $183.5 million, which represents a $4.5 million (2.5%) increase over the $179 million generated in the six months ended June 30, 2011. We experienced an increase in ADR during the six months ended June 30, 2012, compared to the six months ended June 30, 2011, and a decrease in occupancy rate of 5 percentage points. ADR has increased as we adjusted rates in an effort to attract customers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6"/>
              </w:rPr>
              <w:t>Six Months</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4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$ 254</w:t>
            </w:r>
          </w:p>
        </w:tc>
        <w:tc>
          <w:tcPr>
            <w:tcW w:w="7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$ 240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20" w:type="dxa"/>
            <w:vAlign w:val="bottom"/>
            <w:gridSpan w:val="3"/>
          </w:tcPr>
          <w:p>
            <w:pPr>
              <w:jc w:val="right"/>
              <w:ind w:right="572"/>
              <w:spacing w:after="0"/>
              <w:rPr>
                <w:sz w:val="20"/>
                <w:szCs w:val="20"/>
                <w:color w:val="auto"/>
              </w:rPr>
            </w:pPr>
            <w:r>
              <w:rPr>
                <w:rFonts w:ascii="Arial" w:cs="Arial" w:eastAsia="Arial" w:hAnsi="Arial"/>
                <w:sz w:val="18"/>
                <w:szCs w:val="18"/>
                <w:color w:val="auto"/>
              </w:rPr>
              <w:t>83.5%</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88.5%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$ 212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Other non-gaming revenues for the six months ended June 30, 2012, included food and beverage revenues of $247.3 million, retail revenues of $41.2 million, entertainment revenues of $39.1 million, and other revenues from outlets, including the spa and salon, of $32.4 million. Other non-casino revenues for the six months ended June 30, 2011, included: food and beverage revenues of $232.1 million, retail revenues of $43 million, entertainment revenues of $39.7 million, and other revenues from outlets such as the spa and salon, of $31.4 million. Food and beverage revenues increased primarily due to business in our beach club and nightclubs. Entertainment revenues decreased over the prior year period primarily due to a loss of revenues from the Sinatra “Dance with Me” show, which ended its run on April 23, 2011.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2012, departmental expenses included casino expenses of $146.3 million, room expense of $61.8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$145 million, and entertainment, retail and other expenses of $71.5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$113.5 million and $4 million charged as a provision for doubtful accounts receivable. For the six months ended June 30, 2011, departmental expenses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casino expense of $154.2 million, room expense of $61 million, food and beverage expense of $131.5 million, and entertainment, retail and other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$74.6 million. Also included are general and administrative expenses of approximately $110 million and approximately $8.5 million charged as a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doubtful accounts receivable. Food and beverage expenses increased over the prior year period primarily due to additional nightclub promotional costs.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administrative expenses increased over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prior year period primarily due to higher advertising costs. The provision for doubtful accounts decreased during the six months ended June 30, 2012 as we recorded an adjustment to our reserve estimates for casino accounts receivable based on the results of historical collection patterns and current collection trends.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$10.6 million for the six months ended June 30, 2012, compared to $11.8 million for the six months ended June 30,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six months ended June 30, 2012 was $126.2 million compared to $132 million for the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six months ended June 30, 2012, were $5.9 million compared to $4.6 million for the six months ended June 30,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Property charges and other for the six months ended June 30, 2012 and 2011, related to miscellaneous renovations and abandonments at our resort complex.</w:t>
      </w:r>
    </w:p>
    <w:p>
      <w:pPr>
        <w:spacing w:after="0" w:line="1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expense was $110.6 million for the six months ended June 30, 2012, compared to $100.6 million for the six months ended June 30, 2011. No interest was capitalized during either period. Interest expense increased approximately $10 million primarily due to the issuance of the $900 million 5 3/8% first mortgage notes in March 2012, offset by the reduction of $370.9 million in term loan borrowings as described in Note 6 to our Condensed Consolidated Notes to Financial Statements.</w:t>
      </w:r>
    </w:p>
    <w:p>
      <w:pPr>
        <w:spacing w:after="0" w:line="14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We recorded a gain of approximately $2.3 million for the six months ended June 30, 2012, resulting from the increase in the fair value of our interest rate swap during this period. In June 2012, we terminated the interest rate swap for a payment of $2.4 million. We recorded a gain of approximately $1.4 million for the six months ended June 30, 2011, resulting from the increase in the fair value of our interest rate swap from December 31, 2010 to June 30, 2011.</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March 12, 2012, we entered into an eighth amendment to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 In September 2012, we terminated the Wynn Las Vegas Credit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2011 compared to the year ended December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revenues for the year ended December 31, 2011 are comprised of $625.2 million in casino revenues (42.2% of total net revenues) and $856.7 million of net non-casino revenues (57.8% of total net revenues).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for the year ended December 31, 2010 were comprised of $534.3 million in casino revenues (41.2% of total net revenues) and $762.3 million of net non-casino revenues (58.8% of total net revenues).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$90.9 million (17%) to $625.2 million for the year ended December 31, 2011, compared to $534.3 million for the year ended December 31, 2010. For the year ended December 31, 2011, we experienced a 9.9% increase in drop and an increase in the average table games win percentage compared to the prior year. Our average table games win percentage (before discounts) of 24.9% was above the expected range of 21% to 24% for the year ended December 31, 2011. For the year ended December 31, 2010, our average table games win percentage (before discounts) was 22.2%. Slot machine handle increased slightly compared to the prior year; however, slot machine win increased 7.0% as more play shifted to higher hold slot machines.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year ended December 31, 2011, room revenues were $354 million, which represents a $45.6 million (14.8%) increase over the $308.4 million generated in the year ended December 31, 2010. We experienced an increase in room rates during the year ended December 31, 2011, compared to the prior year, with a 1.9 percentage point decrease in occupancy rate. We were able to achieve an increase in ADR as we adjusted rates to attract a high quality customer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$ 210</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86.1%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non-casino revenues for the year ended December 31, 2011, included food and beverage revenues of $454.7 million, retail revenues of $87.3 million, entertainment revenues of $82.2 million, and other revenues from outlets such as the spa and salon of $60.1 million. Other non-gaming revenues for the year ended December 31, 2010, included food and beverage revenues of $417.2 million, retail revenues of $83.1 million, entertainment revenues of $72 million, and other revenues from outlets, including the spa and salon, of $58.9 million. The increase in food and beverage revenue is due primarily to business in our nightclubs including the full year of operations of the Encore Beach Club and Surrender Nightclub which opened in May 2010, and increases in our catering and restaurant business that we experienced with the improving tourism and convention markets during 2011. Entertainment revenues increased over the prior year primarily due to revenue from Garth Brooks who performs in the Encore Theater, and the Sinatra “Dance with Me” show which ended its run on April 23, 2011.</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2011, departmental expenses included casino expenses of $298.2 million, room expenses of $122.2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$264.9 million, and entertainment, retail and other expenses of $147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$225.5 million and $20.3 million charged as a provision for doubtful accounts receivable. For the year ended December 31, 2010, departmental expenses included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casino expenses of $288.3 million, room expenses of $119.4 million, food and beverage expenses of $256.2 million, and entertainment, retail and other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$145.3 million. Also included are general and administrative expenses of $237.7 million and $15.7 million charged as a provision for doubtful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Casino expense increased as a result of increased gaming revenue. Although our room revenues increased 14.8%, room expenses increased only 2.3% as the revenue increase was driven primarily by increased ADR.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Food and beverage expenses increased commensurate with the increase in revenues. General and administrative expenses decreased primarily as a result of lower property tax expense and reduced utility costs. The provision for doubtful accounts receivable increased for the year ended December 31, 2011, primarily due to a higher casino revenue base, compared to the prior year.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$22.2 million for the year ended December 31, 2011, compared to $19.5 million for the year ended December 31, 2010, as revenues increased.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 ended December 31, 2011, we incurred no pre-opening costs. Pre-opening costs incurred for the year ended December 31, 2010 of $2.5 million were related to the Encore Beach Club and Surrender Nightclub which opened in May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2011 was $263.6 million compared to $274.3 million for the year ended December 31, 2010. This decrease is primarily due to assets with a 5-year life being fully depreciated as of April 2010 at Wynn Las Vegas, offset by depreciation of the assets of the Encore Beach Club which were placed into service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year ended December 31, 2011, were $16.6 million compared to $19 million for the year ended December 31, 2010. Property charges and other for the year ended December 31, 2011, include miscellaneous renovations and abandonments at our resort, including modifications of the Encore retail esplanade, the closure of the Blush nightclub and the write off of certain off-site golf memberships. Property charges and other for the year ended December 31, 2011 also includes the write off of costs related to the Sinatra “Dance with Me” show that ended its run earlier in the year.</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2010, include a contract termination payment of $14.9 million related to a management contract for certain of the nightclubs at Wynn Las Vegas and miscellaneous renovations and abandonments.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expense was $201.3 million, net of capitalized interest of $0, for the year ended December 31, 2011, compared to $193.4 million, net of capitalized interest of $0.6 million for the year ended December 31, 2010. Our interest expense increased compared to the prior year primarily due to higher interest rates on the first mortgage notes and the Wynn Las Vegas term loan facilities. This increase was partially offset by reduced outstanding balances on the Wynn Las Vegas revolving credit facilities.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 gain of $3.8 million for the year ended December 31, 2011, resulting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increase in the fair value of our interest rate swap from December 31, 2010 to December 31, 2011. We recorded an expense of $4.2 million for the year ended December 31, 2010, resulting from the decrease in the fair value of our interest rate swap from December 31, 2009 to December 31, 2010. This swap will mature in November 2012.</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April 2010 we completed an exchange offer for a portion of our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2014 (the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2010 compared to the year ended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2010 are comprised of $534.3 million in casino revenues (41.2% of total net revenues) and $762.3 million of net non-casino revenues (58.8% of total net revenues). Net revenues for the year ended December 31, 2009 were comprised of $505.8 million in casino revenues (41.1% of total net revenues) and $724.3 million of net non-casino revenues (58.9% of total net revenues).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$28.5 million (5.6%) to $534.3 million for the year ended December 31, 2010, compared to $505.8 million for the year ended December 31, 2009. For the year ended December 31, 2010, we experienced a 3.4% increase in drop and an increase in the average table games win percentage compared to the prior year. Our average table games win percentage (before discounts) of 22.2% was within the expected range of 21% to 24% for the year ended December 31, 2010. For the year ended December 31, 2009, our average table games win percentage (before discounts) was 20.2%. Slot handle decreased 18.3% for the year ended December 31, 2010 as compared to 2009; however slot win, net of free play and progressive accruals only decreased 6.9% compared to the prior year as more play shifted to higher hold machines.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year ended December 31, 2010, room revenues were approximately $308.4 million, which represents a $12.7 million (4%) decrease compared to the $321.2 million generated in the year ended December 31, 2009. We continued to experience a decrease in room rates during the year ended December 31, 2010, compared to the year ended December 31, 2009. We believe this is due to the current economic conditions in which we operate in the U.S. and the increased capacity in the Las Vegas market including the opening of a new large scale casino hotel in Las Vegas in December 2009. Also, due to our remodel of the rooms and suites at Wynn Las Vegas beginning in July 2010, we had 3.8% fewer room nights available during the year ended December 31, 2010 which contributed to a decrease in room revenues compared to the prior year. The room remodel was completed in January 2011 and the suite remodel was completed in May 2011. See the table below for key operating measures related to our room revenue.</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$ 210</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$ 217</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88.0%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85.2%</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Other non-casino revenues for the year ended December 31, 2010 included food and beverage revenues of approximately $417.2 million, retail revenues of approximately $83.1 million, entertainment revenues of approximately $72 million, and other revenues from outlets such as the spa and salon, of approximately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$58.9 million. Other non-gaming revenues for the year ended December 31, 2009 included food and beverage revenues of approximately $385.8 million, retail revenues of approximately $85.8 million, entertainment revenues of approximately $57.1 million, and other revenues from outlets, including the spa and salon, of approximately $60.5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the year ended December 31, 2010, departmental expenses included casino expenses of $288.3 million, room expenses of $119.4 million, food and beverage expenses of $256.2 million, and entertainment, retail and other expenses of $145.3 million. Also included are general and administrative expenses of approximately $237.7 million and approximately $15.7 million charged as a provision for doubtful accounts receivable. During the year ended December 31, 2009, departmental expenses included casino expenses of $275.3 million, room expenses of $109.2 million, food and beverage expenses of $239.8 million, and entertainment, retail and other expenses of $133.8 million. Also included are general and administrative expenses of approximately $246.8 million and approximately $12.4 million charged as a provision for doubtful accounts receivable. The increase in casino and room expenses was primarily attributable to additional customer acquisition and marketing costs. Food and beverage expenses increased commensurate with the increase in revenue.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Entertainment, retail and other expenses increased primarily as a result of performances by Garth Brooks in the Encore Theater at Wynn Las Vegas as noted above. General and administrative expenses decreased as a result of lower advertising expenses and our cost savings initiatives offset partially by higher repairs and replacement expenses associated with general property maintenance.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$19.5 million for the year ended December 31, 2010, compared to $18.4 million for the year ended December 31, 2009.</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the year ended December 31, 2010, we incurred $2.5 million of pre-opening costs. We incurred $0.3 million of preopening costs for the year ended December 31, 2009. Pre-opening costs incurred for the year ended December 31, 2010, were related the Encore Beach Club and Surrender Nightclub which opened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2010 was $274.3 million compared to $313.8 million for the year ended December 31, 2009. This decrease is primarily due to assets with a 5-year life being fully depreciated as of April 2010 at Wynn Las Vegas, off set by depreciation of the assets of the Encore Beach Club which were placed into service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2010, were $19 million compared to $24.5 million for the year ended December 31, 2009. Property charges and other for the year ended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include a contract termination payment of $14.9 million related to a management contract for certain of the nightclubs at our resorts, as well as miscellaneous renovations and abandonments at Wynn Las Vegas and Encore.</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charge of $16.7 million for the abandonment of the front porte-cochere at Encore to make way for the Encore Beach Club, the write-off of $5.3 million of aircraft purchase deposits and $2.5 million related to miscellaneous renovations and abandonments.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Interest expense was $193.4 million, net of capitalized interest of $0.6 million, for the year ended December 31, 2010, compared to $157.2 million for the year ended December 31, 2009. There was no interest capitalized during the year ended December 31, 2009. Interest expense increased $36.2 million primarily due to increased interest related to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issued in October 2009, a higher rate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as discussed below, and offset partially by reductions in amounts outstanding under the Wynn Las Vegas bank credit facilities compared to the prior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year. We recorded an expense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$4.2 million for the year ended December 31, 2010, resulting from the decrease in the fair value of our interest rate swap from December 31, 2009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We recorded an expense of approximately $4.2 million for the year ended December 31, 2009, resulting from the decrease in the fair value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interest rate swap from August 2009 (the date we entered into the agreement) to December 31, 2009.</w:t>
      </w:r>
    </w:p>
    <w:p>
      <w:pPr>
        <w:spacing w:after="0" w:line="165"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April 2010 we completed an exchange offer for a portion of our outstanding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188" w:lineRule="exact"/>
        <w:rPr>
          <w:sz w:val="20"/>
          <w:szCs w:val="20"/>
          <w:color w:val="auto"/>
        </w:rPr>
      </w:pPr>
    </w:p>
    <w:p>
      <w:pPr>
        <w:jc w:val="right"/>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right"/>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cash provided by operations for the six months ended June 30, 2012, was $73.7 million compared to $137.6 million provided by operations for the six months ended June 30, 2011. This decrease is primarily due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income as a result of decreased casino department profitability offset by beneficial changes in working capital.</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Net cash provided by operations for the year ended December 31, 2011 was $228 million compared to $104.6 million provided by operations for the year ended December 31, 2010. This increase is primarily due to the increase in operating income as a result of increased casino and rooms department profitability. Cash flow from operations were negatively impacted by a $50.4 million increase in cash paid for interest as our interest payment dates changed with the debt transactions we completed last year and ordinary changes in working capital.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September 2012, we terminated the Wynn Las Vegas Credit Agreement and, in accordance with the respective indentures, the liens (other than the Holdings pledge) securing, and the subsidiary guarantees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old notes were released. Also in September 2012, Wynn Las Vegas, LLC made a distribution payment to Wynn Resorts of $700 million, thus reducing the available cash at Wynn Las Vegas, LLC. As of September 19, 2012, we had approximately $67 million of cash and cash equivalents available for use without restriction, including for operations, debt service and retirement, new development activities, enhancements to Wynn Las Vegas and general corporate purposes. See “Summary—Recent Developments.” We require a certain amount of cash on hand for operations. We anticipate such funds, together with cash generated from operations, will satisfy our liquidity needs for the next 12 months. Except for scheduled quarterly payments on one note payable, we have no debt maturities until July 2017.</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June 30, 2012, we had $771.9 million of cash and cash equivalents available for use without restriction, including for operations, debt service and retirement, new development activities, enhancements to Wynn Las Vegas and general corporate purposes. Our cash balance increased as a result of the issuance of the $900 million first mortgage notes in March 2012. As of June 30, 2012, we had $84.2 million available to draw under the Wynn Las Vegas Credit Agreement.</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December 31, 2011, we had approximately $201.4 million of cash and cash equivalents available for use without restriction, including for operations, debt service and retirement, new development activities, enhancements to Wynn Las Vegas and general corporate purposes. As of December 31, 2011, we had $351.1 million of availability under the Wynn Las Vegas Credit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Capital expenditures were approximately $23.2 million for the six months ended June 30, 2012, and related primarily to general property maintenance. Capital expenditures were approximately $34.8 million for the six months ended June 30, 2011 and related primarily to the room and suite remodel that began in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Capital expenditures were approximately $65.2 million for the year ended December 31, 2011, and were primarily related to the room and suite remodel at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the new high limit slot salon, the new Tower Suites lobby and lounge and other property remodels. Capital expenditures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$157.1 million for the year ended December 31, 2010, and were related primarily to the Wynn Las Vegas room and suite remodel and the Encore Beach Club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Surrender Nightclub. Capital expenditures were approximately $245 million for the year ended December 31, 2009 and were almost entirely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Encore.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we had the following first mortgage notes outstanding: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7.875% First Mortgage Notes due 2017</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October 2009, we issued, in a private offering, $500 million aggregate principal amount of 7.875% first mortgage notes due November 1, 2017 at a price of 97.823% of the principal amount. We pay interest on the 2017 notes on May 1st and November 1st of each year. Commencing November 1, 2013, the 2017 notes are redeemable at our option at a price equal to 103.938% of the principal amount redeemed and the premium over the principal amount declines ratably on November 1st of each year thereafter to zero on or after November 1, 2015. The 2017 notes are unsecured (except by the Holdings pledge). Our obligations under the 2017 notes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The 2017 notes are not guaranteed by any of our subsidiaries. The indenture governing the 2017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 xml:space="preserve">In April 2010, we issued, in a private offering, $382 million aggregate principal amount of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first mortgage notes due May 1, 2020.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were issued pursuant to an exchange offer for previously issued notes that were to mature in December 2014. We pay interest on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on May 1st and November 1st of each year. Commencing May 1, 2015,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are redeemable at our option at a price equal to 103.938% of the principal amount redeemed and the premium over the principal amount declines ratably on May 1st of each year thereafter to zero on or after May 1, 2018. The</w:t>
      </w:r>
    </w:p>
    <w:p>
      <w:pPr>
        <w:spacing w:after="0" w:line="3"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 xml:space="preserve">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are unsecured (except by the Holdings pledge). Our obligations under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rank pari passu in right of payment with the 2017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and the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are not guaranteed by any of our subsidiaries. The indenture governing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4</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 xml:space="preserve">In August 2010, we issued $1.32 billion aggregate principal amount of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first mortgage notes due August 15, 2020.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were issued at par.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refinanced our previous note issue that was to mature in December 2014. We pay interest on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on February 15th and August 15th of each year. Commencing August 15, 2015,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are redeemable at our option at a price equal to 103.875% of the principal amount redeemed and the premium over the principal amount declines ratably on August 15th of each year thereafter to zero on or after August 15, 2018. The</w:t>
      </w:r>
    </w:p>
    <w:p>
      <w:pPr>
        <w:spacing w:after="0" w:line="3"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 xml:space="preserve">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unsecured (except by the Holdings pledge). Our obligations under the 7¾% 2020 notes rank pari passu in right of payment with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and the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not guaranteed by any of our subsidiaries. The indenture governing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5.375% First Mortgage Notes due 2022</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12, 2012, we issued $900 million aggregate principal amount of old notes. The old notes mature on March 15, 2022 and bear interest at the rate of 5.375% per year. We pay interest on the old notes on March 15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and September 15 of each year. Commencing March 15, 2017, the old notes will become redeemable at our option at a price equal to 102.688% of the principal amount redeemed and declining ratably on March 15 of each year thereafter to 100.000% on or after March 15, 2020. The old notes are unsecured (except by the Holdings pledge). Our obligations under the old notes rank pari passu in right of payment with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The old notes are not guaranteed by any of our subsidiaries. The indenture governing the old notes contains covenants limiting our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designate restricted and unrestricted subsidiaries and other specified types of transactions.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Credit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17, 2012, we terminated the Wynn Las Vegas Credit Agreement. See “Summary—Recent Developments.”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Parent Company contributions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years ended December 31, 2010 and 2009, Wynn Resorts made cash capital contributions to us in the amount of $50 million and $413 million, respectively. The proceeds from these contributions were used to fund construction costs of Encore paid during 2009 and to fund paydowns of our outstanding debt.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2012, we had outstanding letters of credit totaling $15.8 million.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2011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0"/>
              </w:rPr>
              <w:t>Payments Due By Period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75"/>
              </w:rPr>
              <w:t>Less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Than</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 to 3</w:t>
            </w: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 to 5</w:t>
            </w:r>
          </w:p>
        </w:tc>
        <w:tc>
          <w:tcPr>
            <w:tcW w:w="42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1 Year</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5 Years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$254.6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$2,230.7</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$2,608.2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343.5</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503.9</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1,362.8</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2.8</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338.3</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465.3</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612.6</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2,737.6</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4,153.8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2011. Actual rates will vary.</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noted above, in March 2012, we issued the old notes, repaid all amounts outstanding under the term loan facilities totaling $370.9 million and reduced our revolving facilities to $100 million. In June 2012, we terminated our interest rate swap agreement as described below. In September 2012, we terminated the Wynn Las Vegas Credit Agreement. Otherwise, there have been no other material changes from the above table relating to our contractual obligations or off-balance sheet arrangements.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 xml:space="preserve">We are restricted under the indentures governing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notes from making certain “restricted payments” as defined in the indentures. These restricted payments include the payment of dividends or distributions to any direct or indirect holders of equity interests in Wynn Las Vegas, LLC. These restricted payments may not be made until certain other financial and non-financial criteria have been satisfied.</w:t>
      </w:r>
    </w:p>
    <w:p>
      <w:pPr>
        <w:spacing w:after="0" w:line="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If we experience certain specific change of control events, subject to certain exceptions, we will be required under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to offer to repurchase all outstanding notes at 101% of their principal amount, plus accrued and unpaid interest to the date of repurchase. For example, the indenture governing the notes provide that if Stephen A. Wynn, together with certain related parties, in the aggregate beneficially owns a lesser percentage of the outstanding common stock of Wynn Resorts than are beneficially owned by any other person, a change of control will have occurred. In connection with the ongoing litigation with Kazuo Okada, Elaine P. Wynn has asserted a cross claim against Stephen A. Wynn and Kazuo Okada with respect to the Amended and Restated Stockholders Agreement. If Elaine P. Wynn prevails in her claim, Stephen A. Wynn would not beneficially own or control Elaine P. Wynn’s shares and a change in control may result under the indenture governing the notes. We cannot assure you that we will have available funds sufficient to pay the change of control purchase price for any or all of the notes that might be delivered by holders of the notes seeking to accept the change of control offer. See “Description of the New Notes—Repurchase at the Option of Holders—Change of Control.” See also “Management— Directors—Class I Directors (Terms expire at the 2012 Annual Meeting of Stockholders, which is scheduled for November 2, 2012)—Elaine P. Wynn,” for information regarding litigation filed by Elaine P. Wynn.</w:t>
      </w:r>
    </w:p>
    <w:p>
      <w:pPr>
        <w:spacing w:after="0" w:line="12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In September 2012, Wynn Las Vegas, LLC made a distribution payment to Wynn Resorts of $700 million, thus reducing the available cash at Wynn Las Vegas, LLC. As of September 19, 2012, we had approximately $67 million of cash and cash equivalents available for use without restriction, including for operations, debt service and retirement, new development activities, enhancements to Wynn Las Vegas and general corporate purposes. See “Summary—Recent Developments.” We cannot be sure that we will generate sufficient cash flow from operations or that future borrowings that are available to us, if any, will be sufficient to enable us to service and repay Wynn Las Vegas, LLC’s indebtedness and to fund our other liquidity needs. We cannot be sure that we will be able to refinance any of our indebtedness on acceptable terms or at all. Certain legal matters may also impact our liquidity. See the Notes to Condensed Consolidated Financial Statements, Note 10, “Commitments and Contingencies,” included in this prospectus.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begin recognizing depreciation expense on the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June 30, 2012, December 31, 2011 and 2010, approximately 70%, 75% and 75%,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156,414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156,469</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139,932</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54,354</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56,190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43,440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32.5%</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26.1%</w:t>
            </w: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r>
    </w:tbl>
    <w:p>
      <w:pPr>
        <w:spacing w:after="0" w:line="15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quarter ended June 30, 2012, the Company recorded an adjustment to its reserve estimates for casino accounts receivable based on the results of historical collection patterns and current collection trends. This adjustment benefited operating income and net loss by $9.6 million for the three and six months ended June 30, 2012. This change in estimate was the primary factor that resulted in a $0.3 million credit to the provision for doubtful accounts for the quarter ended June 30, 2012.</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Changes in the fair value of this interest rate swap have and will continue to be recorded as an increase/ (decrease) in swap fair value in our Condensed Consolidated Statements of Operations as the swap does not qualify for hedge accounting.</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our interest rate swap contract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Expected term represents the estimated average time between the option’s grant date and its exercise date. For the year ended December 31, 2011, no stock options were granted.</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six months ended June 30, 2012 and 2011, the Company recorded $2.7 million and $4.4 million, respectively, in share based compensation with a corresponding credit to contributed capital. For the years ended December 31, 2011 and 2010, the Company recorded $7.4 million and $11.3 million, respectively, in stock-based compensation with a corresponding credit to contributed capital.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Self-Insurance Reserves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we consider historical loss experience and make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 Loyalty Program</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offer a slot club program whereby customers may earn points based on their level of play that may be redeemed for free credits which must be replayed in the slot machine. We accrue a liability based on the points earned times the redemption value, less an estimate for breakage, and record a related reduction in casino revenue.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Slot Machine Jackpots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do not accrue a liability for base jackpots because we have the ability to avoid payment of such amounts as our slot machines can legally be removed from the gaming floor without payment of the base amount. When we are unable to avoid payment of the jackpot (i.e. the incremental amount on a progressive machine) due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legal requirements, the jackpot is accrued as the obligation becomes unavoidable. This liability is accrued over the time period in which the incremental progressive jackpot amount is generated with a related reduction in casino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did not have a material impact on our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June 30, 2012, our primary exposure to market risk was interest rate risk associated with our debt facilities that bear interest based on floating rates. On September 17, 2012, we terminated the Wynn Las Vegas Credit Agreement, and are no longer exposed to interest rate risk. See “Summary—Recent Developments” and “Management’s Discussion and Analysis of Financial Condition and Results of Operations—Liquidity and Capital Resources—Financing Activities.” We do not use derivative financial instruments, other financial instruments or derivative commodity instruments for trading or speculative purposes.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provides estimated future cash flow and related weighted average interest rates by expected maturity date, as derived from our best estimates of repayments at December 31, 2011 on our expected long-term indebtedness but does not give effect to the issuance and sale of the old notes and the use of proceeds from the offering of the old notes. However, we cannot predict the LIBOR rate that will be in effect in the future. Actual rates will vary. The one-month LIBOR rate at December 31, 2011 of 0.295% was used for all variable rate calculations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7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w w:val="96"/>
              </w:rPr>
              <w:t>2012</w:t>
            </w:r>
          </w:p>
        </w:tc>
        <w:tc>
          <w:tcPr>
            <w:tcW w:w="9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w w:val="89"/>
              </w:rPr>
              <w:t>2015</w:t>
            </w:r>
          </w:p>
        </w:tc>
        <w:tc>
          <w:tcPr>
            <w:tcW w:w="800" w:type="dxa"/>
            <w:vAlign w:val="bottom"/>
            <w:tcBorders>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Thereafter</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Fixed rate</w:t>
            </w:r>
          </w:p>
        </w:tc>
        <w:tc>
          <w:tcPr>
            <w:tcW w:w="700" w:type="dxa"/>
            <w:vAlign w:val="bottom"/>
          </w:tcPr>
          <w:p>
            <w:pPr>
              <w:jc w:val="right"/>
              <w:ind w:right="316"/>
              <w:spacing w:after="0"/>
              <w:rPr>
                <w:sz w:val="20"/>
                <w:szCs w:val="20"/>
                <w:color w:val="auto"/>
              </w:rPr>
            </w:pPr>
            <w:r>
              <w:rPr>
                <w:rFonts w:ascii="Arial" w:cs="Arial" w:eastAsia="Arial" w:hAnsi="Arial"/>
                <w:sz w:val="18"/>
                <w:szCs w:val="18"/>
                <w:color w:val="auto"/>
                <w:w w:val="84"/>
              </w:rPr>
              <w:t>$ —</w:t>
            </w:r>
          </w:p>
        </w:tc>
        <w:tc>
          <w:tcPr>
            <w:tcW w:w="900" w:type="dxa"/>
            <w:vAlign w:val="bottom"/>
          </w:tcPr>
          <w:p>
            <w:pPr>
              <w:jc w:val="right"/>
              <w:ind w:right="336"/>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86"/>
              </w:rPr>
              <w:t>2,202.0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2,202.0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Variable rate</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w w:val="84"/>
              </w:rPr>
              <w:t>$89.4</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$32.1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9"/>
              <w:spacing w:after="0"/>
              <w:rPr>
                <w:sz w:val="20"/>
                <w:szCs w:val="20"/>
                <w:color w:val="auto"/>
              </w:rPr>
            </w:pPr>
            <w:r>
              <w:rPr>
                <w:rFonts w:ascii="Arial" w:cs="Arial" w:eastAsia="Arial" w:hAnsi="Arial"/>
                <w:sz w:val="18"/>
                <w:szCs w:val="18"/>
                <w:color w:val="auto"/>
                <w:w w:val="88"/>
              </w:rPr>
              <w:t>253.2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28.7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406.2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3.15%</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6"/>
              </w:rPr>
              <w:t>1.55%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2"/>
              </w:rPr>
              <w:t>1.55%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June 2012, we terminated our only outstanding interest rate swap agreement for a payment of $2.4 million. This interest rate swap was intended to hedge a portion of the underlying interest rate risk on borrowings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under the Wynn Las Vegas Credit Agreement, which was terminated on September 17, 2012. Under this swap agreement, we paid a fixed interest rate of 2.485% on borrowings of $250 million incurred under the Wynn Las Vegas Credit Agreement in exchange for receipts on the same amount at a variable interest rate based on the applicable LIBOR at the time of payment. This interest rate swap fixed the interest rate on $250 million of borrowings under the Wynn Las Vegas Credit Agreement at approximately 5.485%. Changes in the fair value of this interest rate swap prior to termination were recorded as an increase (decrease) in swap fair value in our Condensed Consolidated Statements of Operations and Comprehensive Loss as the swap did not qualify for hedge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our long-term debt was essentially based on fixed rates, including the notional amount of our swap.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Wynn Las Vegas was expanded with the opening of Encore in April 2008. Wynn Capital is a wholly owned subsidiary of Wynn Las Vegas, LLC, incorporated on June 3, 2002, solely for the purpose of obtaining financing for Wynn Las Vegas. Wynn Capital is authorized to issue 2,000 shares of common stock, par value $0.01. At June 30, 2012, the Company owned the one share that was issued and outstanding. Wynn Capital has neither any significant net assets nor any operating activity. Its sole function is to serve as the co-issuer of the mortgage notes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4,750 hotel rooms and suites, 220 table games, 2,430 slot machines and a poker room in approximately 186,000 square feet of casino gaming space (including a sky casino and private gaming salons), casual and fine dining in 35 food and beverage outlets, two spas and salons, lounges, meeting facilities and approximately 94,000 square feet of retail space promenade featuring boutiques from Alexander McQueen, Brioni, Cartier, Chanel, Dior, Graff, Hermès, Loro Piana, Louis Vuitton, Manolo Blahnik, Oscar de la Renta, Vertu and others. Our Las Vegas Operations also offers three nightclubs, a beach club, two spas and salons, a Ferrari and Maserati automobile dealership, wedding chapels, an 18-hole golf course, approximately 283,000 square feet of meeting space, a specially designed theater presenting “Le Rêve,” a water-based theatrical production, and an Encore Theater presenting Garth Brooks and other headliner entertainment acts. We believe that the unique experience of our resort drives the significant visitation experienced since opening.</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sixth consecutive year, The Tower Suites at Wynn Las Vegas has received both the Forbes five-star and AAA five-diamond distinctions. The Spa at Wynn Las Vegas earned five-star recognition from Forbes for the fourth year in a row. For the third consecutive year, the Encore Tower Suites has received both the Forbes five-star and AAA five-diamond distinctions. The Spa at Encore also earned five-star recognition from Forbes for the third year in a row. The Spa at Wynn Las Vegas and the Spa at Encore are two of the only four spas in Las Vegas to be recognized with the Forbes five-star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resort complex.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believe that Stephen A.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resort is designed and built to provide a premium experience.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affiliate, the senior management of which has significant experience in all major construction disciplines.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Las Vegas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is located on the Las Vegas Strip and competes with other high-quality resorts and hotel casinos on the Strip, those in downtown Las Vegas, as well as a large number of hotels in and near Las Vegas. Many competing properties draw a significant number of visitors and directly compete with our operations. Resorts located on or near the Las Vegas Strip compete with other Las Vegas Strip hotels and with other hotel casinos in Las Vegas on the basis of overall atmosphere, range of amenities, level of service, price, location, entertainment, themes and size, among other factors. We seek to differentiate Wynn Las Vegas from other major Las Vegas resorts by concentrating on our fundamental elements of design, atmosphere, personal service and luxury.</w:t>
      </w:r>
    </w:p>
    <w:p>
      <w:pPr>
        <w:spacing w:after="0" w:line="14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Wynn Las Vegas also competes, to some extent, with other hotel/casino facilities in Nevada and throughout the Unites States, casino resorts throughout Asia and elsewhere in the world.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During the six months ended June 30, 2012, the economic environment in the Las Vegas gaming, hotel, tourism, and convention markets were stable compared to 2011. For the six months ended June 30, 2012, the average daily room rate increased 4.3%, visitation increased 2.4% to 19.9 million visitors, and Las Vegas Strip revenues decreased 0.6%, all as compared to the prior year period. For the six months ended June 30, 2012, our financial results were adversely impacted by a lower than normal table games win percentage. While we experienced a decrease in occupancy rate over the prior year period, we were able to achieve an increase in average daily rate as we adjusted rates in an effort to attract customers who would take advantage of all aspects of our resort.</w:t>
      </w:r>
    </w:p>
    <w:p>
      <w:pPr>
        <w:spacing w:after="0" w:line="100"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During 2011, the economic environment in the gaming, hotel, tourism and convention markets in Las Vegas began to improve with increased levels of gaming revenue, visitation and hotel room demand. For the year ended December 31, 2011, the average daily room rate increased 10.7%, visitation increased</w:t>
      </w:r>
    </w:p>
    <w:p>
      <w:pPr>
        <w:ind w:right="60"/>
        <w:spacing w:after="0" w:line="254" w:lineRule="auto"/>
        <w:rPr>
          <w:sz w:val="20"/>
          <w:szCs w:val="20"/>
          <w:color w:val="auto"/>
        </w:rPr>
      </w:pPr>
      <w:r>
        <w:rPr>
          <w:rFonts w:ascii="Arial" w:cs="Arial" w:eastAsia="Arial" w:hAnsi="Arial"/>
          <w:sz w:val="18"/>
          <w:szCs w:val="18"/>
          <w:color w:val="auto"/>
        </w:rPr>
        <w:t>4.3% to 38.9 million visitors, and Las Vegas Strip gaming revenues increased 5.1%, all as compared to the year ended December 31, 2010. For the year ended December 31, 2010, the average daily room rate increased 2%, visitation increased 2.7% to 37.3 million visitors, and Las Vegas Strip gaming revenues increased 4.5%, all as compared to the year ended December 31, 2009. While these gaming and hotel statistics have increased from prior year levels, uncertainty still exists in the Las Vegas market.</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year ended December 31, 2011, we benefited from a higher than normal table games win percentage, improved ADR and increased visitation resulting in an increase in all revenue streams including entertainment, food and beverage. While we experienced a decrease in occupancy rate over the prior year, we were able to achieve an increase in average daily rate as we adjusted rates in an effort to attract a higher quality customer who would take advantage of all aspects of our resort.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in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in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more than 5% stockholder or member of, or receive any percentage of the profits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2011,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this prospectus or the investment merits of the securities. Any representation to the contrary is unlawful.</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A live entertainment tax also is imposed on admission charges and sales of food, beverages and merchandise where live entertainment is furnished. 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i w:val="1"/>
          <w:iCs w:val="1"/>
          <w:color w:val="auto"/>
        </w:rPr>
        <w:t xml:space="preserve">Determination of Unsuitability of Kazuo Okada and Affiliates and Redemption of Aruze USA, Inc. and Related Matters. </w:t>
      </w:r>
      <w:r>
        <w:rPr>
          <w:rFonts w:ascii="Arial" w:cs="Arial" w:eastAsia="Arial" w:hAnsi="Arial"/>
          <w:sz w:val="15"/>
          <w:szCs w:val="15"/>
          <w:color w:val="auto"/>
        </w:rPr>
        <w:t>For example, the conduct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Kazuo Okada (who is currently a member of Wynn Resorts’ Board of Directors and who was formerly the largest beneficial owner of Wynn Resorts’ shares) and his affiliates could result in regulatory investigations, including investigations by the Nevada Gaming Authorities, which could have adverse consequences to the Company. As described elsewhere in this prospectus, on February 18, 2012, Wynn Resorts’ Gaming Compliance Committee concluded an investigation after receiving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Based on the Freeh Report, the Board of Directors of Wynn Resorts determined that Aruze USA, Inc., Universal Entertainment Corporation and Mr. Okada are “Unsuitable Persons” under Article VII of Wynn Resorts’ articles of incorporation. The Board of Directors of Wynn Resorts was unanimous (other than Mr. Okada) in its determination. The Board of Directors of Wynn Resorts also requested that Mr. Okada resign as a director of Wynn Resorts (under Nevada corporation law, a board of directors does not have the power to remove a director)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and recommended that Mr. Okada be removed as a member of the board of directors of Wynn Macau, Limited. In addition, on February 18, 2012, Mr. Okada was removed from the board of directors of Wynn Capital.</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Based on Wynn Resorts’ Board of Directors’ finding of unsuitability, on February 18, 2012, Wynn Resorts redeemed and canceled Aruze USA, Inc.’s 24,549,222 shares of Wynn Resorts’ common stock and issued a promissory note pursuant to the terms of Article VII of the Wynn Resorts’ Articles of Incorporation in payment therefor.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 which could have adverse consequences to the Company. In addition, investigations by the Nevada Gaming Authorities relating to the Company’s gaming licenses could possibly have a negative impact on such gaming licenses and on the Company’s ability to bid successfully for new gaming market opportunities.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we had a total of approximately 9,650 full-time equivalent employees.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2006, we entered into a ten year collective bargaining agreement with the Culinary and Bartenders Union local covering approximately 5,600 of our employees. We also entered into a ten year collective bargaining agreement with the Transportation Workers Union in November 2010, which covers the table games dealers at Wynn Las Vegas. Certain other unions may seek to organize the workers at Wynn Las Vegas. Unionization, pressure to unionize, or other forms of collective bargaining could increase our labor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 xml:space="preserve">Among our most important marks are our trademarks and service marks that use the name “WYNN.” Wynn Holdings has registered with the U.S. PTO and various foreign patent and trademark registries, a variety of the WYNN-related trademarks and service marks in connection with a variety of goods and services. These marks include “WYNN LAS VEGAS” and “ENCORE.” Some of the applications are based upon ongoing use and others are based upon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intent to use the marks.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Wynn Holdings has been successful in demonstrating to the PTO such secondary meaning for the Wynn name in certain of the applications based upon factors including Mr. Wynn’s prominence as a resort developer.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LAS VEGAS” and “ENCORE.” Some of the applications are based upon ongoing use and others are based upon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intent to use the marks.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acknowledged Wynn Holdings’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Las Vegas Land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own approximately 93 acres of land on or near the Las Vegas Strip. This consists of approximately 75 acres at the northeast corner of the intersection of Las Vegas Boulevard and Sands Avenue on which Wynn Las Vegas is located and approximately 18 acres located across from the Wynn Las Vegas site at Koval Lane and Sands Avenue, a portion of which is improved with an employee parking garage.</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lease from Wynn Resorts, through Wynn Golf, the approximately 140 acres of land on which the Wynn Las Vegas golf course is located. See “Summary—Recent Developments.”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Las Vegas Well Water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lease from Wynn Resorts, through Wynn Golf, the water rights related to the Wynn Las Vegas golf course land and certain other water rights related to ancillary uses. As a result, we have the right to use approximately 834 acre feet of permitted and certificated water rights for the irrigation, operation and maintenance of the Wynn Las Vegas golf course, as well as the right to use approximately 151.5 acre feet of permitted and certificated water rights at Wynn Las Vegas. See “Summary—Recent Developments”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August 15, 2012.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r>
      <w:tr>
        <w:trPr>
          <w:trHeight w:val="203"/>
        </w:trPr>
        <w:tc>
          <w:tcPr>
            <w:tcW w:w="5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70</w:t>
            </w:r>
          </w:p>
        </w:tc>
        <w:tc>
          <w:tcPr>
            <w:tcW w:w="554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77</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80</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Executive Vice President-Chief Administration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President, Wynn Macau, Limited</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Marilyn Spiegel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0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Gansmo</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Senior Vice President and Chief Financial Officer, Wynn Resorts</w:t>
            </w:r>
          </w:p>
        </w:tc>
      </w:tr>
      <w:tr>
        <w:trPr>
          <w:trHeight w:val="224"/>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(Macau), S.A.</w:t>
            </w:r>
          </w:p>
        </w:tc>
      </w:tr>
    </w:tbl>
    <w:p>
      <w:pPr>
        <w:spacing w:after="0" w:line="15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At the 2012 Annual Meeting of Stockholders, which is scheduled for November 2, 2012, four Class I directors are to be elected. On September 10, 2012, Mr. Moran advised Wynn Resorts’ Nominating and Corporate Governance Committee of his determination not to stand for re-election to the Board of Directors of Wynn Resorts in favor of retirement from the Board of Directors of Wynn Resorts. At the recommendation of the Nominating and Corporate Governance Committee of Wynn Resorts, the Board of Directors of Wynn Resorts has nominated Linda Chen, Marc D. Schorr and Elaine P. Wynn to continue as Class I directors, and J. Edward (Ted) Virtue to fill the Class I director vacancy upon Mr. Moran’s retirement, in each case to serve until the 2015 Annual Meeting of Stockholders and until his or her successor is elected and qualified, or until such director’s earlier death, resignation or removal.</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current directors and the non-director executive officers and certain key management personnel of Wynn Resorts, as well as the new director nominee.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Wynn Resorts has received a letter from Aruze USA, Inc., a company controlled by Kazuo Okada, who is currently a member of Wynn Resorts’ Board of Directors, purportedly notifying Wynn Resorts of Aruze USA,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Inc.’s intent to nominate two individuals for election as directors at the 2012 Annual Meeting of Stockholders in opposition to Wynn Resorts’ recommended nominees. As discussed elsewhere in this prospectus, Wynn Resorts believes that Aruze USA, Inc. is not eligible to nominate director candidates for election at the 2012 Annual Meeting of Stockholders. Furthermore, Wynn Resorts does not view these purported nominations as creating a proxy solicitation by Aruze USA, Inc., as Wynn Resorts has redeemed the common shares previously held by Aruze USA, Inc. and therefore believes that Aruze USA, Inc. is not eligible to nominate director candidates for election at the 2012 Annual Meeting of Stockholders. As discussed elsewhere in this prospectus, Aruze USA, Inc. and Wynn Resorts are currently involved in litigation regarding Aruze USA, Inc.’s stockholder status and rights. On August 31, 2012, Aruze USA, Inc. filed a motion in state court seeking, among other things, a preliminary injunction that would prohibit Wynn Resorts from barring or preventing Aruze USA, Inc. from exercising rights as a stockholder and an order that its purported nominees be presented to Wynn Resorts’ stockholders and voted on (including by Aruze USA, Inc. as a stockholder) at the 2012 Annual Meeting of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 Directors (Terms expire at the 2012 Annual Meeting of Stockholders, which is scheduled for November 2, 2012)</w:t>
      </w:r>
    </w:p>
    <w:p>
      <w:pPr>
        <w:spacing w:after="0" w:line="84"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45, has served as a Director of Wynn Resorts since October 2007. Ms. Chen has been an Executive Director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Wynn Macau, Limited, a majority owned subsidiary of Wynn Resorts, since September 2009. Ms. Chen serves as the President of Wynn International Marketing, Limited, a wholly-owned indirect subsidiary of Wynn Resorts,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w:t>
      </w:r>
    </w:p>
    <w:p>
      <w:pPr>
        <w:spacing w:after="0" w:line="11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Ms. Chen’s insight and experience as the primary marketing executive for Wynn Resorts contribute to the Board’s ability to evaluate and make informed decisions that affect Wynn Resorts’ global operations. Ms. Chen’s experience becomes ever more important to Wynn Resorts and its stockholders as the percentage of Wynn Resorts’ operational revenue and profits generated from its Macau operations increases.</w:t>
      </w:r>
    </w:p>
    <w:p>
      <w:pPr>
        <w:spacing w:after="0" w:line="18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80, has served as a Director of Wynn Resorts since October 2002. Mr. Moran is the retired Chairman of the Dyson-Kissner-Moran Corporation. Dyson-Kissner-Moran is a private holding company headquartered in New York City whose international portfolio of companies in over 20 countries has included business engaged in manufacturing, retailing, distribution, financial services, and real estate development. During his business career, Mr. Moran has served as a Director of over 30 corporations and philanthropic organizations. Mr. Moran serves as a Director of the John A. Moran Eye Center at the University of Utah; a Trustee of the George and Barbara Bush Endowment for Innovative Cancer Research at M.D. Anderson Cancer Center at the University of Texas; and an Honorary Trustee of the Metropolitan Museum of Art in New York City.</w:t>
      </w:r>
    </w:p>
    <w:p>
      <w:pPr>
        <w:spacing w:after="0" w:line="11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With his extensive knowledge of Wynn Resorts’ background, development and financing arrangements and his experience in the financial and equity markets, Mr. Moran provides the Board insight that is important to its oversight of Wynn Resorts’ financial structure. His guidance in the evaluation of capital deployment and management of Wynn Resorts’ balance sheet is especially valuable. In addition, he brings to the Board experience in political and public policy matters.</w:t>
      </w:r>
    </w:p>
    <w:p>
      <w:pPr>
        <w:spacing w:after="0" w:line="137"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64, has served as a Director of Wynn Resorts since July 2010. He also serves as Chief Operating Officer of Wynn Resorts,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held since June 2002. Mr. Schorr has served as a Non-Executive Director of Wynn Macau, Limited since September 2009 and is also an officer of several of Wynn Resorts’ other subsidiaries. Mr. Schorr has over 32 years of experience in the casino gaming industry.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When electing Mr. Schorr to the Board of Directors, the electing directors considered his extensive operating experience, particularly his marketing expertise and ability to effectively manage operating costs. These qualifications have been particularly valuable to Wynn Resorts as it has navigated the difficult economic environment of the past several years. In addition, Mr. Schorr brings first-hand operational knowledge to the Board, enhancing their ability to oversee the operations of Wynn Resorts.</w:t>
      </w:r>
    </w:p>
    <w:p>
      <w:pPr>
        <w:spacing w:after="0" w:line="13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Ms. Wynn, 70, has served as a Director of Wynn Resorts since October 2002. Ms. Wynn has been a strong advocate of programs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children at risk of dropping out of school. Since 1995 she has co-chaired the Greater Las Vegas After-School All Stars, an organization that provides thousands of children with high quality educational, recreational and cultural after-school programs. A past member of the Executive Board of the Consortium for Policy Research in Education, Ms. Wynn has served on the State of Nevada Council to Establish Academic Standards and chaired for 8 years the UNLV Foundation (the private fundraising arm of University of Nevada, Las Vegas). She is the founding chairman of Communities in Schools of Nevada and was appointed in 2009 as Chairman of the national board of Communities in Schools, the oldest, most successful stay-in-school organization in America. In 2011, Ms. Wynn was appointed by Nevada’s governor to co-chair a Blue Ribbon Education Reform Task Force that resulted in the enactment of ambitious new reform legislation.</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Ms. Wynn has also been a strong supporter of the arts. She established the Elaine Wynn Studio for Arts Education at The Smith Center for the Performing Arts in Las Vegas and is a member of the Board of the Los Angeles County Museum of Art. In 2012, Ms. Wynn was re-appointed to the Kennedy Center for the Performing Arts Board of Trustees. She also serves on the Library of Congress Trust Fund Board.</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Ms. Wynn’s experience in the gaming and hospitality businesses during her tenure as a director of Wynn Resorts and Mirage Resorts has been valuable to the Board of Directors of Wynn Resorts and important in the continued development of the Wynn brand. In addition, her philanthropic and community efforts as well as her history of assisting Wynn Resorts on such matters have been important to Wynn Resorts’ Board of Directors’ strategic and brand vision.</w:t>
      </w:r>
    </w:p>
    <w:p>
      <w:pPr>
        <w:spacing w:after="0" w:line="10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On January 6, 2010, Elaine P. Wynn, Aruze USA, Inc. and Stephen A. Wynn entered into the Amended and Restated Stockholders Agreement which contains covenants and provisions relating to voting agreements (including endorsement of director candidates including Ms. Wynn), preemptive rights, rights of first refusal, tag-along rights and certain other instructions. On February 18, 2012, Wynn Resorts redeemed all of the shares previously owned by Aruze USA, Inc. (as more particularly described in Mr. Okada’s biographical information below) and commenced litigation against Mr. Okada, Universal Entertainment Corporation and Aruze USA, Inc. On June 19, 2012, Elaine Wynn asserted a cross claim against Stephen A. Wynn and Aruze USA, Inc. in the Aruze litigation (described below) seeking a declaration that (1) any and all of Elaine P. Wynn’s duties under the Amended and Restated Stockholders Agreement be discharged;</w:t>
      </w:r>
    </w:p>
    <w:p>
      <w:pPr>
        <w:spacing w:after="0" w:line="1"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Amended and Restated Stockholders Agreement is subject to rescission and is rescinded; (3) the Amended and Restated Stockholders Agreement is an</w:t>
      </w:r>
    </w:p>
    <w:p>
      <w:pPr>
        <w:spacing w:after="0" w:line="3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unreasonable restraint on alienation in violation of public policy; and/or (4) the restrictions on sale of shares shall be construed as inapplicable to Elaine P. Wynn.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the notes provide that if Stephen A. Wynn, together with certain related parties, in the aggregate beneficially owns a lesser percentage of the outstanding common stock of Wynn Resorts than are beneficially owned by any other person, a change of control will have occurred. If Elaine P. Wynn prevails in her cross claim, Stephen A. Wynn would not beneficially own or control Elaine P. Wynn’s shares and a change in control may result under the debt documents of Wynn Resorts. Under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the occurrence of a change of control requires that Wynn Resorts make an offer (unless such notes have been previously called for redemption) to each holder to repurchase all or any part of such holder’s notes at a purchase price equal to 101% of the aggregate principal amount thereof plus accrued and unpaid interest on such notes purchased, if any, to the date of repurchase. Mr. Wynn is opposing Ms. Wynn’s cross claim.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II Directors (Terms expire at the 2013 Annual Meeting of Stockholders)</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70, has served as Chairman and Chief Executive Officer of Wynn Resorts since June 2002. Mr. Wynn has been an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the Chairman of the Board of Directors, Chief Executive Officer and President of Wynn Macau, Limited, a majority owned subsidiary of Wynn Resorts since September 2009. Mr. Wynn has also served as Director, Chairman and Chief Executive Officer of Wynn Resorts (Macau) since October 2001. From April 2000 to September 2002, Mr. Wynn was the managing member of Valvino Lamore, LLC, the predecessor and a current wholly owned subsidiary of Wynn Resorts. Mr. Wynn also serves as an officer and/or director of several subsidiaries of Wynn Resorts. Mr. Wynn served as Chairman, President and Chief Executive Officer of Mirage Resorts, Inc. and its predecessor, Golden Nugget Inc., between 1973 and 2000. Mr. Wynn developed and opened The Mirage, Treasure Island and Bellagio in 1989, 1993 and 1998, respectively.</w:t>
      </w:r>
    </w:p>
    <w:p>
      <w:pPr>
        <w:spacing w:after="0" w:line="119"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Wynn Resorts’ casino resorts provides a distinct advantage over other gaming enterprises. As founder, Chairman and Chief Executive Officer, he has a unique perspective into the operations and vision for Wynn Resorts.</w:t>
      </w:r>
    </w:p>
    <w:p>
      <w:pPr>
        <w:spacing w:after="0" w:line="1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77, has served as a Director of Wynn Resorts since October 2007. Dr. Irani became Executive Chairman of Occidental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Petroleum Corporation, an international oil and gas exploration and production company as well as a major North American chemical manufacturer, in May 2011 after serving as Chairman and Chief Executive Officer from 1990 to 2011. He has been a director of Occidental since 1984 and served as President and Chief Operating Officer of Occidental from 1984 to 1990. Dr. Irani is a director of the American Petroleum Institute. He is a member of the California Business Roundtable, The Conference Board, the Council on Foreign Relations, the National Association of Manufacturers, the National Committee on United States-China Relations, the National Petroleum Council and Sigma Xi—The Scientific Research Society. He is the U.S. Chairman of the U.S.-U.A.E. Business Council. Dr. Irani is a Trustee of the University of Southern California, Co-Chair of the Board of the American University of Beirut and a member of the Lebanese American University Board of Trustees. He is a member of the Board of Governors of Town Hall Los Angeles and the Los Angeles World Affairs Council, and serves on the Advisory Board of RAND’s Center for Middle East Public Policy and the Atlantic Council’s International Advisory Board.</w:t>
      </w:r>
    </w:p>
    <w:p>
      <w:pPr>
        <w:spacing w:after="0" w:line="11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After the opening of Wynn Macau in 2006, Wynn Resorts sought additional representation on the Board by executives with experience in managing international operations and with keen insight into issues relevant to companies with global operations, which are of increasing importance to Wynn Resorts. Dr. Irani was elected to the Board of Directors in 2007 as a result of that extensive international experience gained from serving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73, has served as a Director of Wynn Resorts since December 2002. Mr. Shoemaker was the Chairman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First Boston Inc. and First Boston Corp. from April 1983 until his retirement in January 1989, at the time of its sale to Credit Suisse Bank. Mr. Shoemaker currently serves as a member of the board of directors of Frontier Bank, Western Community Bank Shares, and Huntsman Chemical Co.</w:t>
      </w:r>
    </w:p>
    <w:p>
      <w:pPr>
        <w:spacing w:after="0" w:line="10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development, strategy, financing arrangements and operations since its formation and his deep experience as a financial executive serving as the Chairman of First Boston, Mr. Shoemaker contributes to the Board’s oversight of Wynn Resorts’ financial matters. Mr. Shoemaker’s experience in this respect has been especially valuable to Wynn Resorts during the recent financial crisis, and enables him to provide strong leadership.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59,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and audit committee of MGM Mirage.</w:t>
      </w:r>
    </w:p>
    <w:p>
      <w:pPr>
        <w:spacing w:after="0" w:line="103" w:lineRule="exact"/>
        <w:rPr>
          <w:sz w:val="20"/>
          <w:szCs w:val="20"/>
          <w:color w:val="auto"/>
        </w:rPr>
      </w:pPr>
    </w:p>
    <w:p>
      <w:pPr>
        <w:jc w:val="both"/>
        <w:ind w:right="32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and marketing areas beginning as casino controller and ultimately managing a resort casino property in Atlantic City, N.J. The Board is benefited by Mr. Wayson’s first hand experience in operations and utilizes his knowledge of the business, especially in the finance and marketing areas, to identify, manage and monitor risk.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III Directors (Terms expire at the 2014 Annual Meeting of Stockholders)</w:t>
      </w:r>
    </w:p>
    <w:p>
      <w:pPr>
        <w:spacing w:after="0" w:line="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62, has served as a Director of Wynn Resorts since May 2008. Mr. Goldsmith has served as Chairman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City National Bank, a provider of a wide range of banking, investing and trust services, since October 1995. Additionally, during this time he also has served as Chief Executive Officer and since May 2005 as President of its publicly held parent company, City National Corporation, which is listed on the New York Stock Exchange (CYN) and headquartered in Los Angeles, California. He has been a director of both the bank and its parent company since 1978.</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From 2008 to 2011, Mr. Goldsmith was a member of the 12-member Federal Advisory Council, which advises the Board of Governors of the Federal Reserve System, representing the Twelfth Federal Reserve District. Mr. Goldsmith chairs the Mid-Size Bank Coalition of America, which is composed of 29 mid-sized banks in 41 states and the District of Columbia. He also chairs the Los Angeles Coalition for the Economy &amp; Jobs, an independent organization of leading economic stakeholders representing business, labor, higher education and the nonprofit sectors. Mr. Goldsmith also serves on the board of trustees of the Harvard-Westlake School and is a member of the Council on Foreign Relations.</w:t>
      </w:r>
    </w:p>
    <w:p>
      <w:pPr>
        <w:spacing w:after="0" w:line="11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Wynn Resorts’ Board. His recent service on the Federal Reserve Board’s Advisory Council has brought additional perspective on the macroeconomic and public policy issues facing Wynn Resorts.</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Governor Miller, 67, has served as a Director of Wynn Resorts since October 2002 and as the Chairman of Wynn Las Vegas, LLC’s</w:t>
      </w:r>
      <w:r>
        <w:rPr>
          <w:rFonts w:ascii="Arial" w:cs="Arial" w:eastAsia="Arial" w:hAnsi="Arial"/>
          <w:sz w:val="16"/>
          <w:szCs w:val="16"/>
          <w:b w:val="1"/>
          <w:bCs w:val="1"/>
          <w:color w:val="auto"/>
        </w:rPr>
        <w:t xml:space="preserve"> </w:t>
      </w:r>
      <w:r>
        <w:rPr>
          <w:rFonts w:ascii="Arial" w:cs="Arial" w:eastAsia="Arial" w:hAnsi="Arial"/>
          <w:sz w:val="16"/>
          <w:szCs w:val="16"/>
          <w:color w:val="auto"/>
        </w:rPr>
        <w:t>Gaming Compliance Committee and as Wynn Resorts’ Compliance Director. In that role, he recently led Wynn Resorts’ Board of Directors’ independent investigation of Aruze USA, Inc., which is discussed below. In June 2010, he founded Robert J. Miller Consulting, a company that provides assistance in establishing relationships with and building partnerships between private and government entities on the local, state, national and international level. Governor Miller also currently serves as a Senior Advisor to Dutko Worldwide, a multidisciplinary governmental affairs strategy and management firm. Governor Miller was a partner of the Nevada law firm of Jones Vargas from 2000 to 2005. He has been a partner in Nevada Rose, LLC, since November 2004. From January 1989 until January 1999, Governor Miller served as Governor of the State of Nevada, and, from 1987 to 1989, he served as Lieutenant Governor of the State of Nevada. Governor Miller also serves as a director of International Game Technology (IGT).</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Governor Miller’s extensive experience in regulatory and legal compliance matters and in Nevada and federal government and politics brings unique expertise and insight into state regulatory and public policy issues that directly impact Wynn Resorts’ operations. In addition, his legal background and knowledge of Nevada gaming regulation support his service as Chair of Wynn Resorts’ Gaming Compliance Committee and as Compliance Director, which roles are important to maintaining the regulatory structure and probity of Wynn Resorts. In addition to serving the longest period as a Governor of the State of Nevada, Governor Miller has long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standing experience in law enforcement including terms as an elected judge, police attorney, and elected district attorney during which term he served as the President of the National District Attorneys Association.</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69, has served as a Director of Wynn Resorts since October 2002. Mr. Okada also served as a Non-Executive Director of Wynn</w:t>
      </w:r>
      <w:r>
        <w:rPr>
          <w:rFonts w:ascii="Arial" w:cs="Arial" w:eastAsia="Arial" w:hAnsi="Arial"/>
          <w:sz w:val="16"/>
          <w:szCs w:val="16"/>
          <w:b w:val="1"/>
          <w:bCs w:val="1"/>
          <w:color w:val="auto"/>
        </w:rPr>
        <w:t xml:space="preserve"> </w:t>
      </w:r>
      <w:r>
        <w:rPr>
          <w:rFonts w:ascii="Arial" w:cs="Arial" w:eastAsia="Arial" w:hAnsi="Arial"/>
          <w:sz w:val="16"/>
          <w:szCs w:val="16"/>
          <w:color w:val="auto"/>
        </w:rPr>
        <w:t>Macau, Limited, a majority owned subsidiary of Wynn Resorts from September 2009 until his removal in February of 2012. In 1969, Mr. Okada founded Universal Lease Co. Ltd., which, in 1998, became Aruze Corp., a company listed on the Japanese Association of Securities Dealers Automated Quotation Securities Exchange. In November 2009, Aruze Corp. changed its name to Universal Entertainment Corporation, which is a Japanese manufacturer of pachislot and pachinko machines, amusement machines, and video games for domestic sales. Mr. Okada currently serves as Director and Chairman of the Board of Universal Entertainment Corporation and as Director, President, Secretary and Treasurer of Aruze USA, Inc., which is a wholly owned subsidiary of Universal Entertainment Corporation and prior to the redemption described below owned approximately 19.7% of Wynn Resorts. In 1983, Mr. Okada also founded Universal Distributing of Nevada, Inc., which changed its name to Aruze Gaming America, Inc. in 2005. Aruze Gaming America, Inc. is a manufacturer and distributor of gaming machines and devices in the United States and is expanding its sales business in Asia, Australia and South Africa. Mr. Okada currently serves as director, President, Secretary and Treasurer of Aruze Gaming America, Inc.</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Persons” under Article VII of Wynn Resorts’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Capital.</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and issued a promissory note pursuant to the terms of Article VII of Wynn Resorts’ Articles of Incorporation in payment therefor. After authorizing on February 18, 2012 the redemption of 24,549,222 shares then held by Aruze USA, Inc., the Board of Directors of Wynn Resorts took certain actions to protect Wynn Resorts and its operations from any influence of an “Unsuitable Person,” including placing limitations on the provision of certain operating information to “Unsuitable Persons,” evaluating whether to seek the removal of Mr. Okada from the Board of Directors of Wynn Resorts, and formation of an Executive Committee of Wynn Resorts’ Board of Directors to manage the business and affairs of Wynn Resorts during the period between each annual meeting. The Charter of the Executive Committee provides that “Unsuitable Persons” are not permitted to serve on the Executive Committee. All members of the Board of Directors of Wynn Resorts, other than Mr. Okada, were appointed to the Executive Committee on February 18, 2012. For additional information on the share redemption, see “Certain Relationships and Related Transactions—Share Redemption.”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of Directors (other than Mr. Okada) and Kim Sinatra, Wynn Resorts’ general counsel. Among other relief, the counterclaim seeks a declaration that the redemption of Aruze USA, Inc.’s shares was void, an injunction restoring Aruze USA, Inc.’s share ownership, damages in an unspecified amount and rescission of the Amended and Restated Stockholders Agreement. Wynn Resorts’ claim of February 19, 2012, was removed to federal court by the Okada Parties. On March 29, 2012, Wynn Resorts filed a motion to remand the action to state court and to request an extension to answer the denial of Wynn Resorts’ claims and the Okada Parties’ counterclaims. The motion to remand was granted and Wynn Resorts’ request for related attorneys’ fees was also granted. The case is now pending in the state court, which has determined that this action will be coordinated with Mr. Okada’s inspection action, which is discussed below. The Okada Parties have filed a notice of intent to commence a separate federal securities action for the securities counterclaims previously asserted. On August 31, 2012, the Okada Parties filed a Motion for Preliminary Injunction with the state court. This motion seeks a preliminary injunction that would prohibit Wynn Resorts from barring or preventing Aruze USA, Inc. from exercising rights as a stockholder and an order that its purported nominees be presented to Wynn Resorts’ stockholders and voted on (including by Aruze USA, Inc. as a stockholder) at the 2012 Annual Meeting of Stockholders (scheduled for November 2, 2012), which would, in effect, require Wynn Resorts to re-issue shares to Aruze, USA Inc. Wynn Resorts and the other counter-defendants filed papers in opposition to the Okada Parties’ motion for a preliminary injunction on September 20, 2012. A hearing has been scheduled for October 2, 2012. See “—Directors—Class I Directors (Terms expire at the 2012 Annual Meeting of Stockholders, which is scheduled for November 2, 2012)—Elaine P. Wynn,” for information regarding a related cross claim asserted by Elaine P. Wynn.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Okada from its board of directors.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August 28, 2012, Mr. Okada, Universal Entertainment Corporation and Okada Holdings filed a complaint in Tokyo District Court against Wynn Resorts, all members of the Board of Directors of Wynn Resorts (other than Mr. Okada) and Kim Sinatra, the general counsel of Wynn Resorts, alleging that the press release issued by Wynn Resorts with respect to the redemption has damaged plaintiffs’ social evaluation and credibility. The plaintiffs seek damages and legal fees from the defendants.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August 31, 2012, Wynn Resorts received a letter from Aruze USA, Inc. purportedly notifying Wynn Resorts of Aruze USA, Inc.’s intent to nominate two individuals for election as directors pursuant to Section 2.13 of Wynn Resorts’ Fourth Amended and Restated Bylaws. Section 2.13 provides for nominations by stockholders. As a result of Wynn Resorts’ Board of Directors’ determination on February 18, 2012, that all of Mr. Okada, Aruze USA, Inc. and Universal Entertainment Corporation are “Unsuitable Persons” as defined in the Articles of Incorporation of Wynn Resorts, and the subsequent redemption of all shares previously owned by Aruze USA, Inc., Wynn Resorts believes that Aruze USA, Inc. is not eligible to make such nominations.</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Wynn Resorts provided the Freeh Report to appropriate regulators and law enforcement agencies and is cooperating with related investigations that such regulators and agencies have undertaken. The Executive Committee of Wynn Resorts continues to monitor such investigations and may decide at some future point to call a special meeting of the stockholders of Wynn Resorts for the purpose of removing Mr. Okada as a director of Wynn Resorts, if it considers such action to be desirable and in the best interests of Wynn Resorts and its stockholders. See Notes to Condensed Consolidated Financial Statements, Note 10 “Commitments and Contingencies,” included in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Dr. Zeman, 64, has served as a Director of Wynn Resorts since October 2002. He is also Vice Chairman and has served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Limited, a majority owned subsidiary of Wynn Resorts, since September 2009. Dr. Zeman founded The Colby International Group in 1975 to source and export fashion apparel to North America. In late 2000, The Colby International Group merged with Li &amp; Fung Limited. Dr. Zeman is the Chairman of Lan Kwai Fong Holdings Limited, a company engaged in property investment and development in Hong Kong since July 1996. He is also the owner of Paradise Properties Group, a property developer in Thailand. Dr. Zeman is also Chairman of Ocean Park, a major theme park in Hong Kong. Dr. Zeman is Vice Patron of Hong Kong Community Chest and serves as a director of the “Star” Ferry Company, Limited. Dr. Zeman also serves as an independent non-executive director of Pacific Century Premium Developments Limited, Sino Land Company Limited and Tsim Sha Tsui Properties Limited, all of which are listed on the Hong Kong Stock Exchange. Dr. Zeman is a member of the Food Business Task Force for Business Facilitation Advisory Committee, the Consultation Panel of the West Kowloon Cultural District Authority (“WKCDA”), WKCDA Development Committee, WKCDA Investment Committee, and WKCDA Performing Arts Committee (of which Dr. Zeman is the Chairman). In 2001, Dr. Zeman joined the Richard Ivey School of Business’ Asian Advisory Board. In 2001, Dr. Zeman was appointed a Justice of the Peace. He was awarded the Gold Bauhinia Star in 2004 and the Grand Bauhinia Medal in 2011.</w:t>
      </w:r>
    </w:p>
    <w:p>
      <w:pPr>
        <w:spacing w:after="0" w:line="12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Dr. Zeman, a Hong Kong citizen and successful Hong Kong entrepreneur, has been a guiding force in the development of Wynn Resorts’ Macau operations and the continued operation and strategic focus of Wynn Macau. His personal business experience in China and extensive knowledge of Wynn Resorts’ history, development and marketing strategy in Asia contribute to the Board’s oversight of these aspects of Wynn Resorts’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 Director Nominee</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J. Edward (Ted) Virtue. </w:t>
      </w:r>
      <w:r>
        <w:rPr>
          <w:rFonts w:ascii="Arial" w:cs="Arial" w:eastAsia="Arial" w:hAnsi="Arial"/>
          <w:sz w:val="18"/>
          <w:szCs w:val="18"/>
          <w:color w:val="auto"/>
        </w:rPr>
        <w:t>Mr. Virtue, 52, is the Chief Executive Officer of MidOcean Partners, a private investment firm that specializes in middle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the U.S. Prior to his current position, from 1999 to February of 2003, Mr. Virtue was Chief Executive Officer of DB Capital Partners, the captive merchant bank of Deutsche Bank and had oversight for the bank’s $35 billion direct investment portfolio. Mr. Virtue also served on the Deutsche Bank Executive Board. Prior to Deutsche Bank’s acquisition of Bankers Trust Company (“Bankers Trust”), Mr. Virtue was President of BT Alex. Brown Incorporated and Executive Vice President and Head of Global Finance at Bankers Trust. Representative boards that Mr. Virtue has served on include Bushnell, Kinetics Group, Noveon, and Vitaquest International.</w:t>
      </w:r>
    </w:p>
    <w:p>
      <w:pPr>
        <w:spacing w:after="0" w:line="1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When considering the potential candidacy of Mr. Virtue, the Nominating and Corporate Governance Committee of Wynn Resorts considered Mr. Virtue’s extensive financial experience as a fund manager and business investor, including experience in the gaming, hospitality and consumer products industries. The continuing challenges of global economic uncertainty require sophisticated and diverse experience in capital markets, which the Nominating and Corporate Governance Committee of Wynn Resorts determined Mr. Virtue provided. Additionally, the Nominating and Corporate Governance Committee of Wynn Resorts relied upon Mr. Virtue’s long standing experience in the gaming and hospitality industries, as both an advisor and investor.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held since September 2002. Mr. Strzemp served as Wynn Resorts’ Treasurer from March 2003 to March 2006.</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Wynn Resorts’ Chief Financial Officer and Treasurer. Prior to his promotion in March 2008, Mr. Maddox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Senior Vice President of Business Development and Treasurer, positions he held since January 2007 and May 2006, respectively. From September 2005 to December 31, 2006, Mr. Maddox served as the Senior Vice President of Business Development for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Wynn Las Vegas, LLC. From March 2003 to September 2005, Mr. Maddox was the Chief Financial Officer of Wynn Resorts (Macau), S.A. From May 2002 through March 2003, Mr. Maddox was Wynn Resorts’ Treasurer and Vice President—Investor Relations. Mr. Maddox also serves as an officer of several of Wynn Resorts’ subsidiaries. Prior to joining Wynn Resorts in 2002, Mr. Maddox served as Director of Finance, Executive Director of Finance and Vice President of Finance for Caesars Entertainment, Inc. (formerly Park Place Entertainment, Inc.). Before joining Park Place Entertainment, Mr. Maddox worked as an investment banker for Bank of America Securities in the Mergers and Acquisitions Department.</w:t>
      </w:r>
    </w:p>
    <w:p>
      <w:pPr>
        <w:spacing w:after="0" w:line="11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General Counsel and Secretary of Wynn Resorts, a position she has held since February 2006. She joined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2004 as Senior Vice President and General Counsel of its development activities. She also serves as an officer of several of Wynn Resorts’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3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has been an Executive Director of Wynn Macau, Limited since September 2009. Mr. Coughlan is also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Wynn Resorts (Macau) S.A., a position he has held since July 2007. In this role, he is responsible for the operation of Wynn Macau and Encore at Wynn Macau. Prior to becoming President of Wynn Macau, Mr. Coughlan was Director of Hotel Operations—Worldwide for Wynn Resorts. Mr. Coughlan has over 30 years of hospitality experience with leading hotels across Asia, Europe and the United States. Before joining Wynn Resorts, he spent 10 years with The Peninsula Group, including posts as General Manager of The Peninsula Hong Kong from September 2004 to January 2007, and General Manager of The Peninsula Bangkok from September 1999 to August 2004.</w:t>
      </w:r>
    </w:p>
    <w:p>
      <w:pPr>
        <w:spacing w:after="0" w:line="139"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b w:val="1"/>
          <w:bCs w:val="1"/>
          <w:color w:val="auto"/>
        </w:rPr>
        <w:t xml:space="preserve">Marilyn Spiegel. </w:t>
      </w:r>
      <w:r>
        <w:rPr>
          <w:rFonts w:ascii="Arial" w:cs="Arial" w:eastAsia="Arial" w:hAnsi="Arial"/>
          <w:sz w:val="15"/>
          <w:szCs w:val="15"/>
          <w:color w:val="auto"/>
        </w:rPr>
        <w:t>Mrs. Spiegel is the President of Wynn Las Vegas, LLC, owner and operator of Wynn Las Vegas and Encore Las Vegas where she</w:t>
      </w:r>
      <w:r>
        <w:rPr>
          <w:rFonts w:ascii="Arial" w:cs="Arial" w:eastAsia="Arial" w:hAnsi="Arial"/>
          <w:sz w:val="15"/>
          <w:szCs w:val="15"/>
          <w:b w:val="1"/>
          <w:bCs w:val="1"/>
          <w:color w:val="auto"/>
        </w:rPr>
        <w:t xml:space="preserve"> </w:t>
      </w:r>
      <w:r>
        <w:rPr>
          <w:rFonts w:ascii="Arial" w:cs="Arial" w:eastAsia="Arial" w:hAnsi="Arial"/>
          <w:sz w:val="15"/>
          <w:szCs w:val="15"/>
          <w:color w:val="auto"/>
        </w:rPr>
        <w:t>oversees the day-to-day operations of the properties. She assumed this position in December 2010. Prior to joining Wynn Resorts, Mrs. Spiegel held various executive positions with Caesars Entertainment Corporation (formerly Harrah’s Entertainment, Inc.), a gaming and hospitality company. From January 2004 to November 2010, Mrs. Spiegel was the General Manager and Regional President of five Caesars Entertainment Las Vegas properties including most recently Bally’s, Paris and Planet Hollywood. Mrs. Spiegel also served in other executive positions at Harrah’s Entertainment, Inc., including Senior Vice President and General Manager of Harrah’s Las Vegas and the Rio All Suite Hotel and Casino, Senior Vice President of Human Resources, Senior Vice President and General Manager of Harrah’s Shreveport Hotel &amp; Casino in Louisiana and Vice President of Human Resources for the company’s Southern Nevada operations.</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Mrs. Spiegel began working for Harrah’s Entertainment, Inc. in 1988. Mrs. Spiegel is a member of the Las Vegas Visitors and Convention Bureau board of directors.</w:t>
      </w:r>
    </w:p>
    <w:p>
      <w:pPr>
        <w:spacing w:after="0" w:line="132"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Senior Vice President and Chief Financial Officer of Wynn Las Vegas, LLC, a position he has held since April 2009.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overseeing the finance and accounting areas, Mr. Peterson is responsible for the operations of the cage, credit, collections, gaming and non-gaming revenue audit, purchasing and the warehouse/receiving departments. From June 2005 to April 2009, Mr. Peterson was the Vice President and Chief Financial Officer for Wynn Resorts (Macau), S.A. From September 2002 to June 2005, Mr. Peterson was the Vice President of Finance and Treasurer of Wynn Las Vegas, LLC and from December 2000 to September 2002, Mr. Peterson was Assistant Vice President of Finance of Wynn Resorts Holdings, LLC.</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Senior Vice President—Chief Financial Officer of Wynn Resorts (Macau) S.A., a position he has held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2009. Prior to taking this position, Mr. Gansmo was the Director—Finance of Wynn Resorts (Macau) S.A., a position he assumed in January 2007. Mr. Gansmo is responsible for the management and administration of Wynn Resorts (Macau) S.A.’s finance division. Before joining Wynn Resorts (Macau) S.A., Mr. Gansmo worked at Wynn Resorts, where he served as the Director of Financial Reporting from November 2002. Prior to joining Wynn Resorts, Mr. Gansmo practiced as a certified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public accountant with firms in Las Vegas, Washington and California, including KPMG Peat Marwick, Arthur Andersen, and Deloitte and Touche.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Seven of the twelve members of Wynn Resorts’ Board of Directors are independent under the listing standards of The NASDAQ Stock Market LLC (“NASDAQ”). In addition, Wynn Resorts’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Resorts’ Board of Directors has determined that the following directors and director nominee are independent under the NASDAQ listing standards and that they also meet the additional, heightened independence criteria applicable to audit committee members under the NASDAQ listing standards: Messrs. Goldsmith, Irani, Miller, Moran, Shoemaker, Virtue, Wayson and Zeman. Based upon information requested from each director concerning his or her background, employment and affiliations, Wynn Resorts’ Board of Directors has affirmatively determined that none of the independent directors has a material relationship with Wynn Resorts. In assessing independence, Wynn Resorts’ Board of Directors considered all relevant facts and circumstances, including any direct or indirect relationship between Wynn Resorts and the director or his or her immediate family member.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Mr. Virtue, the Nominating and Corporate Governance Committee of Wynn Resorts considered that Mr. Wynn, Ms. Wynn,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Messrs. Schorr, Maddox and Strzemp had invested in MidOcean Partners, a private investment firm of which Mr. Virtue serves as Chief Executive Officer.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Corporate Governance Committee of Wynn Resorts determined that in order for Mr. Virtue to be nominated as an independent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(Messrs. Wynn, Schorr, Maddox and Strzemp) would be required to sever their relationship with MidOcean and Ms. Wynn could, in her discretion,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sever her relationship or require that Mr. Virtue disclaim any fee income or profit participation related to her account. Mr. Wynn has liquidated his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Messrs. Schorr, Maddox and Strzemp have requested orderly liquidation which will be complete by September 30, 2012. Ms. Wynn’s account is also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process of orderly liquidation which is scheduled for completion by not later than October 31, 2012. Until the full liquidation of Ms. Wynn’s account, Mr. Virtue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not participate in any fee income or profit participation related to Ms. Wynn’s account.</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None of the independent directors has any economic relationship with Wynn Resorts other than receipt of his director’s compensation. None of the independent directors is engaged in any related party transaction with Wynn Resorts. Mr. Wynn, Ms. Wynn, Mr. Okada, Mr. Schorr and Ms. Chen have been determined not to be independent.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On February 18, 2012, the Board of Directors of Wynn Resorts formed an Executive Committee consisting of all members of Wynn Resorts’ Board of Directors other than Mr. Okada. This action was taken in the wake of Wynn Resorts’ Board of Directors’ determination that Mr. Okada was an “Unsuitable Person” under Wynn Resorts’ Articles of Incorporation. Since February 18, 2012, the Executive Committee of Wynn Resorts has met 8 times.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Resorts’ Board of Directors also has standing committees: the Audit Committee, the Compensation Committee, and the Nominating and Corporate Governance Committee. Each of these committees consists entirely of directors whom Wynn Resorts’ Board of Directors has determined to be independent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NASDAQ listing standards for audit committee members. The current membership and functions of each of Wynn Resorts’ Board of Directors’ committees are listed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428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14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9"/>
              </w:rPr>
              <w:t>Audit</w:t>
            </w:r>
          </w:p>
        </w:tc>
        <w:tc>
          <w:tcPr>
            <w:tcW w:w="178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6"/>
              </w:rPr>
              <w:t>Compensation</w:t>
            </w:r>
          </w:p>
        </w:tc>
        <w:tc>
          <w:tcPr>
            <w:tcW w:w="1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Governance Committee</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9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9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Chair</w:t>
            </w: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144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9"/>
              </w:rPr>
              <w:t>X</w:t>
            </w:r>
          </w:p>
        </w:tc>
        <w:tc>
          <w:tcPr>
            <w:tcW w:w="17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92"/>
              </w:rPr>
              <w:t>Chair</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44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9"/>
              </w:rPr>
              <w:t>X</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Number of meetings during 2011</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87"/>
              </w:rPr>
              <w:t>Eleven</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3"/>
              </w:rPr>
              <w:t>Five</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Four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Governor Miller serves as Chairman of Wynn Resorts’ Gaming Compliance Committee and as Wynn Resorts’ Compliance Director. The Gaming Compliance Committee is a committee comprised of Messrs. Miller, Schorr and Strzemp, and its purpose is to assist Wynn Resorts in maintaining the highest level of regulatory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members of the Compensation Committee are appointed by the Board of Directors of Wynn Resorts each year. The members of the Compensation Committee serving in 2011 were Messrs. Goldsmith, Irani, Moran, Shoemaker and Wayson.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2011.</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75"/>
              </w:rPr>
              <w:t>Fees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Earned or</w:t>
            </w:r>
          </w:p>
        </w:tc>
        <w:tc>
          <w:tcPr>
            <w:tcW w:w="10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Paid in</w:t>
            </w: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6"/>
              </w:rPr>
              <w:t>Cash ($)</w:t>
            </w:r>
          </w:p>
        </w:tc>
        <w:tc>
          <w:tcPr>
            <w:tcW w:w="100" w:type="dxa"/>
            <w:vAlign w:val="bottom"/>
          </w:tcPr>
          <w:p>
            <w:pPr>
              <w:spacing w:after="0"/>
              <w:rPr>
                <w:sz w:val="14"/>
                <w:szCs w:val="14"/>
                <w:color w:val="auto"/>
              </w:rPr>
            </w:pPr>
          </w:p>
        </w:tc>
        <w:tc>
          <w:tcPr>
            <w:tcW w:w="58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w w:val="89"/>
              </w:rPr>
              <w:t>($)(1)(3)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121,500</w:t>
            </w: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w w:val="85"/>
              </w:rPr>
              <w:t>$173,912</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16,250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311,662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118,500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324,912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172,000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106,500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123,000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136,500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70,500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121,500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900" w:right="1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set forth in this column reflect the aggregate grant date fair value of 3,600 stock option awards granted to each non-employee director, other than Mr. Okada and Elaine P. Wynn, on May 16, 2011, computed in accordance with accounting standards for stock-based compensation. See Wynn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Resorts’ Annual Report on Form 10-K for the year ended December 31, 2011, Note 14 to the Consolidated Financial Statements for assumptions used in computing fair value.</w:t>
      </w:r>
    </w:p>
    <w:p>
      <w:pPr>
        <w:spacing w:after="0" w:line="24" w:lineRule="exact"/>
        <w:rPr>
          <w:sz w:val="20"/>
          <w:szCs w:val="20"/>
          <w:color w:val="auto"/>
        </w:rPr>
      </w:pPr>
    </w:p>
    <w:p>
      <w:pPr>
        <w:ind w:left="900" w:right="540" w:hanging="446"/>
        <w:spacing w:after="0" w:line="317"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Governor Miller, as a member of the Board of Directors, receives a $50,000 annual retainer for his service as the Chairman of Wynn Resorts’ Gaming Compliance Committee and a $20,000 annual retainer for his service as Wynn Resorts’ Compliance Director.</w:t>
      </w:r>
    </w:p>
    <w:p>
      <w:pPr>
        <w:ind w:left="900" w:right="80" w:hanging="446"/>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aggregate number of outstanding option awards for each director at December 31, 2011 is as follows: Mr. Goldsmith 27,600, Dr. Irani and Governor Miller 28,600 each, Messrs. Moran, Shoemaker and Wayson 48,600 each and Mr. Zeman 38,600. The aggregate number of outstanding stock awards for each director at December 31, 2011 is as follows: Mr. Goldsmith 2,500, and Messrs. Irani, Miller, Moran, Shoemaker, Wayson and Zeman 5,000 each. Mr. Okada and Elaine P. Wynn have not previously been granted equity awards for their service as directors.</w:t>
      </w:r>
    </w:p>
    <w:p>
      <w:pPr>
        <w:spacing w:after="0" w:line="4" w:lineRule="exact"/>
        <w:rPr>
          <w:rFonts w:ascii="Arial" w:cs="Arial" w:eastAsia="Arial" w:hAnsi="Arial"/>
          <w:sz w:val="16"/>
          <w:szCs w:val="16"/>
          <w:color w:val="auto"/>
        </w:rPr>
      </w:pPr>
    </w:p>
    <w:p>
      <w:pPr>
        <w:ind w:left="900" w:right="8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Other Compensation” consists of cash dividends accrued on nonvested stock, which is paid if and when the stock vests. Dividends that are accrued on nonvested stock are reported as compensation because the value of dividends was not previously reflected in the accounting expense for these awards when they were granted, as Wynn Resorts did not regularly pay dividends at that time.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2011 consisted of a grant of 3,600 stock options. All directors are provided complimentary room, food and beverage privileges at Wynn Resorts’ properties and are reimbursed for any other out of pocket expenses related to attendance at meetings. Directors from time to time may receive other benefits, although the aggregate incremental cost of any such benefits and perquisites did not exceed $10,000 for any director in 2011. Wynn Resorts does not provide non-equity incentive plan awards or deferred compensation or retirement plans for non-employee directors.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section explains the executive compensation program of Wynn Resorts as it relates to the following “named executive officers” whose compensation information is presented in the tables following this discussion in accordance with SEC rules:</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Stephen A. Wynn</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Marc D. Schorr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Linda Chen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Kim Sinatra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of Wynn International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165" w:lineRule="exact"/>
        <w:rPr>
          <w:sz w:val="20"/>
          <w:szCs w:val="20"/>
          <w:color w:val="auto"/>
        </w:rPr>
      </w:pPr>
    </w:p>
    <w:p>
      <w:pPr>
        <w:sectPr>
          <w:pgSz w:w="11900" w:h="16838" w:orient="portrait"/>
          <w:cols w:equalWidth="0" w:num="2">
            <w:col w:w="4380" w:space="720"/>
            <w:col w:w="6260"/>
          </w:cols>
          <w:pgMar w:left="240" w:top="459" w:right="299" w:bottom="1440" w:gutter="0" w:footer="0" w:header="0"/>
          <w:type w:val="continuous"/>
        </w:sectPr>
      </w:pPr>
    </w:p>
    <w:p>
      <w:pPr>
        <w:ind w:right="260" w:firstLine="456"/>
        <w:spacing w:after="0" w:line="268" w:lineRule="auto"/>
        <w:rPr>
          <w:sz w:val="20"/>
          <w:szCs w:val="20"/>
          <w:color w:val="auto"/>
        </w:rPr>
      </w:pPr>
      <w:r>
        <w:rPr>
          <w:rFonts w:ascii="Arial" w:cs="Arial" w:eastAsia="Arial" w:hAnsi="Arial"/>
          <w:sz w:val="18"/>
          <w:szCs w:val="18"/>
          <w:color w:val="auto"/>
        </w:rPr>
        <w:t>The Compensation Committee of the Wynn Resorts’ Board of Directors has responsibility for establishing, developing and administering our executive compensation program.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Wynn Resorts completed another year of outstanding performance in 2011, posting record net revenues, operating income, net income, earnings per share and EBITDA. Wynn Resorts set a company record in 2011 with $1.6 billion in Adjusted Property EBITDA, up 40.7% from 2010. Wynn Resorts did not achieve this Adjusted Property EBITDA growth through risky balance sheet expansion. Instead, Wynn Resorts achieved these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Adjusted Property EBITDA results during a period when it also reduced its debt from $4.3 billion in 2008 to $3.2 billion in 2011.</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1"/>
              </w:rPr>
              <w:t>Increase</w:t>
            </w:r>
          </w:p>
        </w:tc>
        <w:tc>
          <w:tcPr>
            <w:tcW w:w="14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5,269.8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4,184.7</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Income ($ millions)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1,008.2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625.3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160.6%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278.3%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1,635.3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1,163.0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operating and balance sheet management success has contributed to significant returns for Wynn Resorts’ stockholders. Our total stockholder return was 12.3% for this past year, 49.2% over the past 5 years and 1,048% since our inception in 2002. Thus, $100 invested in Wynn Resorts at its inception would be worth $1,148 at the end of 2011. This performance for stockholders is unmatched in the gaming and resort industry and far exceeds the results of the S&amp;P 500 during this period.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graph illustrates the compound average annual growth rate of share price growth adjusted for dividends and splits for Wynn Resorts, Las Vegas Sands, MGM Resorts International, a Gaming industry index (Las Vegas Sands, MGM, Crown, Penn National, Melco Crown, and Boyd, weighted by current market capitalization) and the S&amp;P 500. The Compounded Annual Growth Rate (“CAGRs”) for Las Vegas Sands (12/16/2004), Melco Crown (12/19/2006), and Crown Limited (3/25/2008) were measured from the date of their initial public offerings (“IPOs”) and the CAGRs for all others was measured from the October 25, 2002, IPO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3978910" cy="2426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7891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Standard &amp; Poors Capital IQ.</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the formation of Wynn Resorts, we set out to develop and operate the premier casino resort in each jurisdiction in which we operate, and to develop and expand the “Wynn” brand while delivering successful operating and financial performance. Today the Wynn brand has become synonymous with luxury in the gaming industry. Wynn Las Vegas and Wynn Macau both have received the coveted Forbes five-star distinction.</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Compensation Committee believes that our compensation program has been instrumental in supporting achievement of our branding success and our strong financial and stockholder value performance. The program emphasizes pay for performance and total compensation. It is designed to help recruit, retain and motivate a</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highly talented team of executives with the requisite set of skills and experience to successfully lead Wynn Resorts in creating value for our stockholders.</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of the named executive officers of Wynn Resorts consists primarily of base salary, annual cash incentives, and periodic grants of equity in the form of stock options and restricted stock. As a result, the vast majority of their total compensation is tied to the financial and share price performance of Wynn Resorts. Historically, Mr. Wynn has not received equity incentives, relying on his significant equity ownership as a founding stockholder to realize increases in value created for Wynn Resorts’ stockholders. For the past three years, Mr. Wynn received 64% of his total compensation in the form of annual cash incentives. The other named executive officers as a group received 73% of their total compensation in the form of annual and long-term incentives that are tied to the operating results and stock price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107315</wp:posOffset>
            </wp:positionV>
            <wp:extent cx="1475105" cy="1818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75105" cy="181800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107315</wp:posOffset>
            </wp:positionV>
            <wp:extent cx="2238375" cy="1818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3837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consideration of our outstanding performance, the Compensation Committee made the following compensation changes for the named executed officers in 2011:</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the base salary for Mr. Wynn.</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EBITDA of Wynn Resorts that far exceeded our goals, awarded the named executive officers annual incentive awards at maximum levels for 2011 performance.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Determined no additional equity awards were necessary during 2011 (none were made in 2010 either), in light of the significant grants awarded to Wynn Resorts’ most senior executive officers in 2009.</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Established a $10 million cash retention award for Ms. Chen, payable in ten years, in recognition of her contribution and continued importance to our Macau resort.</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his contribution to the extraordinary performance of Wynn Macau for 2011, the Wynn Macau, Limited Board of Directors awarded Mr. Wynn a $2 million discretionary bonus.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Philosophy and Objectives</w:t>
      </w:r>
    </w:p>
    <w:p>
      <w:pPr>
        <w:spacing w:after="0" w:line="96" w:lineRule="exact"/>
        <w:rPr>
          <w:sz w:val="20"/>
          <w:szCs w:val="20"/>
          <w:color w:val="auto"/>
        </w:rPr>
      </w:pPr>
    </w:p>
    <w:p>
      <w:pPr>
        <w:ind w:right="260" w:firstLine="456"/>
        <w:spacing w:after="0" w:line="357" w:lineRule="auto"/>
        <w:rPr>
          <w:sz w:val="20"/>
          <w:szCs w:val="20"/>
          <w:color w:val="auto"/>
        </w:rPr>
      </w:pPr>
      <w:r>
        <w:rPr>
          <w:rFonts w:ascii="Arial" w:cs="Arial" w:eastAsia="Arial" w:hAnsi="Arial"/>
          <w:sz w:val="15"/>
          <w:szCs w:val="15"/>
          <w:color w:val="auto"/>
        </w:rPr>
        <w:t>The Compensation Committee believes that stockholder interests are best advanced by attracting and retaining a high-performing management team. To promote this objective, the Compensation Committee was guided by the following underlying principles in developing our executive compensation program:</w:t>
      </w: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Top talent</w:t>
      </w:r>
      <w:r>
        <w:rPr>
          <w:rFonts w:ascii="Arial" w:cs="Arial" w:eastAsia="Arial" w:hAnsi="Arial"/>
          <w:sz w:val="16"/>
          <w:szCs w:val="16"/>
          <w:color w:val="auto"/>
        </w:rPr>
        <w:t>—The program should be designed to gain a long-term commitment from the proven, successful executives that lead our success.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Focus on total compensation</w:t>
      </w:r>
      <w:r>
        <w:rPr>
          <w:rFonts w:ascii="Arial" w:cs="Arial" w:eastAsia="Arial" w:hAnsi="Arial"/>
          <w:sz w:val="18"/>
          <w:szCs w:val="18"/>
          <w:color w:val="auto"/>
        </w:rPr>
        <w:t>—Compensation opportunities should be considered in the context of total compensation relative to the pay practices of</w:t>
      </w:r>
      <w:r>
        <w:rPr>
          <w:rFonts w:ascii="Arial" w:cs="Arial" w:eastAsia="Arial" w:hAnsi="Arial"/>
          <w:sz w:val="18"/>
          <w:szCs w:val="18"/>
          <w:i w:val="1"/>
          <w:iCs w:val="1"/>
          <w:color w:val="auto"/>
        </w:rPr>
        <w:t xml:space="preserve"> </w:t>
      </w:r>
      <w:r>
        <w:rPr>
          <w:rFonts w:ascii="Arial" w:cs="Arial" w:eastAsia="Arial" w:hAnsi="Arial"/>
          <w:sz w:val="18"/>
          <w:szCs w:val="18"/>
          <w:color w:val="auto"/>
        </w:rPr>
        <w:t>major gaming companies and other competitors for key talent.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Pay-for-performance</w:t>
      </w:r>
      <w:r>
        <w:rPr>
          <w:rFonts w:ascii="Arial" w:cs="Arial" w:eastAsia="Arial" w:hAnsi="Arial"/>
          <w:sz w:val="18"/>
          <w:szCs w:val="18"/>
          <w:color w:val="auto"/>
        </w:rPr>
        <w:t>—A high proportion of total compensation should be at risk and tied to achievement of annual operating goals and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Long-term performance orientation</w:t>
      </w:r>
      <w:r>
        <w:rPr>
          <w:rFonts w:ascii="Arial" w:cs="Arial" w:eastAsia="Arial" w:hAnsi="Arial"/>
          <w:sz w:val="18"/>
          <w:szCs w:val="18"/>
          <w:color w:val="auto"/>
        </w:rPr>
        <w:t>—The mix of incentives provided should motivate long-term sustainable growth in the value of the brand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Stockholder alignment</w:t>
      </w:r>
      <w:r>
        <w:rPr>
          <w:rFonts w:ascii="Arial" w:cs="Arial" w:eastAsia="Arial" w:hAnsi="Arial"/>
          <w:sz w:val="18"/>
          <w:szCs w:val="18"/>
          <w:color w:val="auto"/>
        </w:rPr>
        <w:t>—Long-term incentives should be provided periodically in Wynn Resorts’ equity to encourage executives to plan and 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perspective of stockholders.</w:t>
      </w:r>
    </w:p>
    <w:p>
      <w:pPr>
        <w:spacing w:after="0" w:line="132"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Our compensation program is simple in design and provides only a limited number of perquisites and executive benefits. We do not provide supplemental retirement benefits to our executives. The Compensation Committee regularly evaluates the compensation arrangements of Wynn Resorts to assess whether they are appropriately structured to support these objectives and are effective in enabling Wynn Resorts to attract and retain superior employees in key positions.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Program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Element</w:t>
            </w:r>
          </w:p>
        </w:tc>
        <w:tc>
          <w:tcPr>
            <w:tcW w:w="8780" w:type="dxa"/>
            <w:vAlign w:val="bottom"/>
          </w:tcPr>
          <w:p>
            <w:pPr>
              <w:spacing w:after="0"/>
              <w:rPr>
                <w:sz w:val="20"/>
                <w:szCs w:val="20"/>
                <w:color w:val="auto"/>
              </w:rPr>
            </w:pPr>
            <w:r>
              <w:rPr>
                <w:rFonts w:ascii="Arial" w:cs="Arial" w:eastAsia="Arial" w:hAnsi="Arial"/>
                <w:sz w:val="14"/>
                <w:szCs w:val="14"/>
                <w:b w:val="1"/>
                <w:bCs w:val="1"/>
                <w:i w:val="1"/>
                <w:iCs w:val="1"/>
                <w:color w:val="auto"/>
              </w:rPr>
              <w:t>Role and Purpose</w:t>
            </w:r>
          </w:p>
        </w:tc>
      </w:tr>
      <w:tr>
        <w:trPr>
          <w:trHeight w:val="201"/>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i w:val="1"/>
                <w:iCs w:val="1"/>
                <w:color w:val="auto"/>
              </w:rPr>
              <w:t>Base salary</w:t>
            </w:r>
          </w:p>
        </w:tc>
        <w:tc>
          <w:tcPr>
            <w:tcW w:w="220" w:type="dxa"/>
            <w:vAlign w:val="bottom"/>
          </w:tcPr>
          <w:p>
            <w:pPr>
              <w:spacing w:after="0"/>
              <w:rPr>
                <w:sz w:val="17"/>
                <w:szCs w:val="17"/>
                <w:color w:val="auto"/>
              </w:rPr>
            </w:pPr>
          </w:p>
        </w:tc>
        <w:tc>
          <w:tcPr>
            <w:tcW w:w="8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i w:val="1"/>
                <w:iCs w:val="1"/>
                <w:color w:val="auto"/>
              </w:rPr>
              <w:t>Provide competitive foundation for total compensation</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Recognize executive’s demonstrated sustained performance, capabilities, job scope and experience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Annual incentives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Motivate and reward achievement of annual EBITDA targets, which drive the valuation of our stock</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7"/>
              </w:rPr>
              <w:t>Enforce accountability for individual performance through discretionary reductions in awards as deemed appropriate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Discretionary bonus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6"/>
              </w:rPr>
              <w:t>Make periodic awards for superior contributions to the enterprise as determined in the discretion of the Compensation</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Committee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Long-term incentives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Align executives with stockholders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91"/>
              </w:rPr>
              <w:t>Make periodic grants with long-term vesting to encourage a long-term value perspective and executive retention</w:t>
            </w:r>
          </w:p>
        </w:tc>
      </w:tr>
      <w:tr>
        <w:trPr>
          <w:trHeight w:val="222"/>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restricted stock)</w:t>
            </w:r>
          </w:p>
        </w:tc>
        <w:tc>
          <w:tcPr>
            <w:tcW w:w="8780" w:type="dxa"/>
            <w:vAlign w:val="bottom"/>
          </w:tcPr>
          <w:p>
            <w:pPr>
              <w:spacing w:after="0"/>
              <w:rPr>
                <w:sz w:val="19"/>
                <w:szCs w:val="19"/>
                <w:color w:val="auto"/>
              </w:rPr>
            </w:pPr>
          </w:p>
        </w:tc>
      </w:tr>
      <w:tr>
        <w:trPr>
          <w:trHeight w:val="223"/>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Deferred compensation</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Permit executives to participate in Wynn Resorts’ 401(k) plan to facilitate retirement savings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Security benefits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7"/>
              </w:rPr>
              <w:t>Consistent with the requirement of the Board of Directors of Wynn Resorts that Mr. Wynn travel privately for security</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5"/>
              </w:rPr>
              <w:t>reasons, provide him with access to Wynn Resorts’ aircraft for both personal and business travel, as well as a car and a</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driver (and security when necessary)</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Foreign living expenses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90"/>
              </w:rPr>
              <w:t>Consistent with competitive practice in Macau, provide Ms. Chen with a car and driver, certain housing and living</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expenses and assistance with tax preparation</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Executive benefits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Promote executive health through supplemental health benefits</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Provide for executives’ families in the event of death through supplemental life insurance policies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Executive perquisites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9"/>
              </w:rPr>
              <w:t>Offer industry-competitive discounts and complimentary privileges with respect to the resorts and aircraft of Wynn</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Resorts as described below</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Committee sets all elements of compensation for the Chief Executive Officer and Chief Operating Officer based upon consideration of their respective contributions to the development and operating performance of Wynn Resorts. Annually, the Compensation Committee reviews compensation data of those with whom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Wynn Resorts competes for talent. The Compensation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Compensation Committee. The Compensation Committee reviews the recommendations and makes final decisions regarding compensation for all of Wynn Resorts’ most senior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the authority to retain compensation consulting firms exclusively to assist it in the evaluation of executive officer and employee compensation and benefit programs. During 2011, the Compensation Committee retained Pay Governance LLC, a nationally-recognized independent compensation consulting firm, to assist in performing its duties. In 2011, Pay Governance LLC assisted with a review of certain benefits awarded to our Chief Executive Officer and advised the Compensation Committee with respect to compensation trends and best practices, competitive pay levels, equity grant practices and competitive levels, and proxy disclosure. While our advisor regularly consults with management in performing work requested by the Compensation Committee, Pay Governance LLC did not perform any separate additional services for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determining base salary, target annual incentives and guidelines for equity awards, the Compensation Committee uses the named executive officers’ current level of compensation as the starting point. Wynn Resorts’ compensation decisions consider the scope and complexity of the functions executives oversee, the contribution of those functions to Wynn Resorts’ overall performance, their experience and capabilities, and individual performance, taking into consideration the compensation practices of Wynn Resorts’ peers in order to obtain a general understanding of competitive compensation practices. In addition, wealth accumulation is considered when making equity grants to increase the alignment between the interest of Wynn Resorts’ senior executives and those of Wynn Resorts’ stockholders.</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Compensation Committee reviews total compensation annually, along with the value from past equity awards, to assess the need for change to current compensation. While cash bonuses and annual cash incentive compensation awards are considered annually on the basis of Wynn Resorts’ and individual performance, reviews of base salary and equity incentives are conducted only on a periodic basis or in recognition of notable contributions to value creation for Wynn Resorts’ stockholders. The Compensation Committee retains the discretion to adjust actual bonus amounts paid based on a variety of factors, including corporate, property level and individual performance, as well as general macroeconomic conditions.</w:t>
      </w:r>
    </w:p>
    <w:p>
      <w:pPr>
        <w:spacing w:after="0" w:line="11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Compensation Committee believes that the companies in its peer group are those companies with which Wynn Resorts competes for talent and stockholder investment. Please refer to the discussion below under “Peer Group” for a more detailed discussion of our use of peer group data.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Advisory Resolution Approving Our Executive Compensation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At the May 17, 2011, Annual Meeting of Stockholders, our advisory resolution on executive compensation was approved by the stockholders. Although this approval was non-binding, the Board of Directors of Wynn Resorts and the Compensation Committee considered the voting results in evaluating our executive compensation program for the current year. The Board of Directors of Wynn Resorts and the Compensation Committee also consider the other factors discussed in this Compensation Discussion and Analysis. Following such consideration, the Board of Directors of Wynn Resorts determined not to make any changes to our compensation program based on the advisory resolution voting result. In addition, at that same meeting, approximately 71% of the votes cast regarding the frequency proposal voted in favor of holding future advisory votes on executive compensation every three years. The Board of Directors of Wynn Resorts has determined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follow this decision by stockholders. Accordingly, the next advisory resolution on executive compensation will be voted on by stockholders at the 2014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Wynn Resorts does not use a specific formula or weighting for allocating among the elements of its total compensation program including base salary, cash bonus awards, and long term compensation. Instead it offers what the Compensation Committee views to be effective for attracting and retaining key leaders while motivating management to maximize long term value of Wynn Resorts for its stockholders.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deemed necessary due to competitive reasons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to reflect sustained performance, capabilities, experience and changes in responsibility or other extraordinary circumstances. Companies in the gaming business typically have total compensation packages that may be higher than many of their non-gaming counterparts due to certain regulatory and other extraordinary demands. Wynn Resorts’ rapid expansion in the last six years and its operations in widely separated geographic locations has required that named executive officers provide extraordinary levels of financial, development and operating expertise. These efforts have resulted in industry-leading product and impressive financial performance, including returns to stockholders exceeding industry averages. Thus, in fulfilling Wynn Resorts’ goal of attracting and retaining high-quality and experienced executives, Wynn Resorts has paid base salary levels for its named executive officers that may exceed the peer group median. Prior to an increase in 2011, Mr. Wynn’s base salary had not been increased since 2008, other than restoring a 15% reduction that was applied to certain corporate executives in 2009 and 2010. Base salary increases for 2011 are indicated in the following table: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Executive</w:t>
            </w:r>
          </w:p>
        </w:tc>
        <w:tc>
          <w:tcPr>
            <w:tcW w:w="546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2011 Salary</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2010 Salary</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4,000,000</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3,250,000</w:t>
            </w:r>
          </w:p>
        </w:tc>
        <w:tc>
          <w:tcPr>
            <w:tcW w:w="64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6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6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Wynn Resorts’ named executive officers participate in the Wynn Resorts Annual Performance-Based Incentive Plan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(the “Incentive Plan”). Within 90 days after the commencement of the year, the Compensation Committee identifies the executive officers who will participate in the Incentive Plan for that year and establishes the annual performance criteria. The Incentive Plan provides that the maximum annual incentive is 250% of base salary for Mr. Wynn and 200% of base salary for the other named executive officer participants.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For 2011, the Compensation Committee selected adjusted property EBITDA on a consolidated basis as the appropriate criterion and, in the course of such determination, concluded that the achievement of the performance criterion was substantially uncertain. Adjusted property EBITDA is a non-GAAP measure calculated at the segment level and reported in the footnotes to Wynn Resorts’ audited consolidated financial statements. This criterion is a reflection on the operating performance of Wynn Resorts’ assets and directly influences return to stockholders. In addition, management and stockholders use adjusted property EBITDA to value Wynn Resorts and its assets. Given the challenging economic environment an adjusted property EBITDA target of $1 billion on a consolidated basis was established for maximum Plan funding. Actual performance of $1.6 billion significantly exceeded the target and all participants were awarded the maximum incentive allowed under the Incentive Plan. While the Compensation Committee has the discretion to reduce individual awards from this maximum level based on other company and individual performance and any other considerations it may deem appropriate, it did not exercise that discretion with respect to 2011 owing to the outstanding Wynn Resorts’ EBITDA results.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the Compensation Committee approved the $2 million discretionary bonus paid to Mr. Wynn outside the Incentive Plan, which was awarded by the Wynn Macau, Limited Board of Directors for his contribution to the extraordinary performance of Wynn Macau for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Long-term Incentives. </w:t>
      </w:r>
      <w:r>
        <w:rPr>
          <w:rFonts w:ascii="Arial" w:cs="Arial" w:eastAsia="Arial" w:hAnsi="Arial"/>
          <w:sz w:val="16"/>
          <w:szCs w:val="16"/>
          <w:color w:val="auto"/>
        </w:rPr>
        <w:t>Wynn Resorts makes only periodic (not annual) equity grants to executives, with the last grant in 2009.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uses grants under the 2002 Stock Plan to attract qualified individuals to work for Wynn Resorts and align executives with the perspective of stockholders, and makes additional grants periodically to existing officers to reward extraordinary performance and encourage retention with Wynn Resorts. Periodic grants to named executive officers are typically made with long term vesting dates to assure retention of talent deemed important to Wynn Resorts’ continued prosperity. From time to time, Wynn Resorts also has granted long-term cash retention awards to reward extraordinary performance and encourage retention. The underlying philosophy behind this approach is to retain senior management for the long term, thereby building a talent base to drive sustained company performance and growth. As in 2010, the Compensation Committee determined not to make any grants during 2011 to the named executive officers in light of significant grants awarded to Wynn Resorts’ most senior officers in 2009.</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Mr. Wynn, the founder, Chairman and Chief Executive Officer of Wynn Resorts who owns 10% of Wynn Resorts’ outstanding stock, has not participated in Wynn Resorts’ equity incentive plans. This differs from the chief executive officer compensation at most of the companies included in the peer group.</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2011, Ms. Chen was granted a $10 million cash retention award which vests in full on July 27, 2021, subject to certain provisions. This retention award was awarded to Ms. Chen for her current and expected future contributions to the success of Wynn Resorts and to provide an incentive to her to remain an employee of Wynn Resorts. If Ms. Chen’s employment is terminated without “Cause” (as such term is defined in the Agreement) prior to the vesting date by Wynn Resorts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is forfeited in full and no compensation is paid under the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believes that it is appropriate to offer competitive cash and equity compensation packages to executive officers in order to attract and retain top executive talent. The compensation peer group allows the Compensation Committee to monitor the compensation practices of our primary competitors for executive talent, although the Compensation Committee also takes into account the gaming industry’s extensive regulatory requirements and other demands. However, the Compensation Committee does not utilize this information to target any specific pay percentile for Wynn Resorts’ executive officers. Instead, the Compensation Committee uses this information as a general overview of market practices and to ensure that it makes informed decisions on executive pay packages in the interest of attracting and retaining highly-qualified executive talent.</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To help evaluate overall 2011 compensation, the Compensation Committee reviewed the peer group established in 2010 to confirm it remained appropriate in light of the growth in Wynn Resorts’ market capitalization and revenues and the competitive market for key executive talent.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2011 Executive Compensation Peer Group</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Gaming &amp; Resorts</w:t>
            </w:r>
          </w:p>
        </w:tc>
        <w:tc>
          <w:tcPr>
            <w:tcW w:w="3460" w:type="dxa"/>
            <w:vAlign w:val="bottom"/>
            <w:gridSpan w:val="2"/>
          </w:tcPr>
          <w:p>
            <w:pPr>
              <w:ind w:left="740"/>
              <w:spacing w:after="0"/>
              <w:rPr>
                <w:sz w:val="20"/>
                <w:szCs w:val="20"/>
                <w:color w:val="auto"/>
              </w:rPr>
            </w:pPr>
            <w:r>
              <w:rPr>
                <w:rFonts w:ascii="Arial" w:cs="Arial" w:eastAsia="Arial" w:hAnsi="Arial"/>
                <w:sz w:val="14"/>
                <w:szCs w:val="14"/>
                <w:b w:val="1"/>
                <w:bCs w:val="1"/>
                <w:color w:val="auto"/>
              </w:rPr>
              <w:t>Travel, Hospitality &amp; Resorts</w:t>
            </w:r>
          </w:p>
        </w:tc>
        <w:tc>
          <w:tcPr>
            <w:tcW w:w="3040" w:type="dxa"/>
            <w:vAlign w:val="bottom"/>
          </w:tcPr>
          <w:p>
            <w:pPr>
              <w:ind w:left="1000"/>
              <w:spacing w:after="0"/>
              <w:rPr>
                <w:sz w:val="20"/>
                <w:szCs w:val="20"/>
                <w:color w:val="auto"/>
              </w:rPr>
            </w:pPr>
            <w:r>
              <w:rPr>
                <w:rFonts w:ascii="Arial" w:cs="Arial" w:eastAsia="Arial" w:hAnsi="Arial"/>
                <w:sz w:val="14"/>
                <w:szCs w:val="14"/>
                <w:b w:val="1"/>
                <w:bCs w:val="1"/>
                <w:color w:val="auto"/>
              </w:rPr>
              <w:t>Lifestyle Products</w:t>
            </w:r>
          </w:p>
        </w:tc>
      </w:tr>
      <w:tr>
        <w:trPr>
          <w:trHeight w:val="196"/>
        </w:trPr>
        <w:tc>
          <w:tcPr>
            <w:tcW w:w="20" w:type="dxa"/>
            <w:vAlign w:val="bottom"/>
          </w:tcPr>
          <w:p>
            <w:pPr>
              <w:spacing w:after="0"/>
              <w:rPr>
                <w:sz w:val="17"/>
                <w:szCs w:val="17"/>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Las Vegas Sands Corp.</w:t>
            </w:r>
          </w:p>
        </w:tc>
        <w:tc>
          <w:tcPr>
            <w:tcW w:w="320" w:type="dxa"/>
            <w:vAlign w:val="bottom"/>
          </w:tcPr>
          <w:p>
            <w:pPr>
              <w:spacing w:after="0"/>
              <w:rPr>
                <w:sz w:val="17"/>
                <w:szCs w:val="17"/>
                <w:color w:val="auto"/>
              </w:rPr>
            </w:pPr>
          </w:p>
        </w:tc>
        <w:tc>
          <w:tcPr>
            <w:tcW w:w="3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Carnival plc</w:t>
            </w:r>
          </w:p>
        </w:tc>
        <w:tc>
          <w:tcPr>
            <w:tcW w:w="300" w:type="dxa"/>
            <w:vAlign w:val="bottom"/>
          </w:tcPr>
          <w:p>
            <w:pPr>
              <w:spacing w:after="0"/>
              <w:rPr>
                <w:sz w:val="17"/>
                <w:szCs w:val="17"/>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Estee Lauder Companies</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MGM Resorts International</w:t>
            </w: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Hyatt Hotels Corporation</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Ralph Lauren Corporation</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Marriott International</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Starbucks Corporation</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priceline.com</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Tiffany &amp; Co.</w:t>
            </w:r>
          </w:p>
        </w:tc>
      </w:tr>
      <w:tr>
        <w:trPr>
          <w:trHeight w:val="228"/>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Starwood Hotels &amp; Resorts</w:t>
            </w:r>
          </w:p>
        </w:tc>
        <w:tc>
          <w:tcPr>
            <w:tcW w:w="304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Pr>
          <w:p>
            <w:pPr>
              <w:ind w:left="116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11 companies in the peer group generally had 2011 revenue, market capitalization and total enterprise value (as of December 31, 2011) in a relevant range around those of Wynn Resorts as set forth below (amounts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Enterprise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8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Value</w:t>
            </w:r>
          </w:p>
        </w:tc>
        <w:tc>
          <w:tcPr>
            <w:tcW w:w="7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5"/>
                <w:szCs w:val="15"/>
                <w:color w:val="auto"/>
              </w:rPr>
            </w:pPr>
          </w:p>
        </w:tc>
        <w:tc>
          <w:tcPr>
            <w:tcW w:w="390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Company</w:t>
            </w:r>
          </w:p>
        </w:tc>
        <w:tc>
          <w:tcPr>
            <w:tcW w:w="3140" w:type="dxa"/>
            <w:vAlign w:val="bottom"/>
          </w:tcPr>
          <w:p>
            <w:pPr>
              <w:ind w:left="1060"/>
              <w:spacing w:after="0"/>
              <w:rPr>
                <w:sz w:val="20"/>
                <w:szCs w:val="20"/>
                <w:color w:val="auto"/>
              </w:rPr>
            </w:pPr>
            <w:r>
              <w:rPr>
                <w:rFonts w:ascii="Arial" w:cs="Arial" w:eastAsia="Arial" w:hAnsi="Arial"/>
                <w:sz w:val="14"/>
                <w:szCs w:val="14"/>
                <w:b w:val="1"/>
                <w:bCs w:val="1"/>
                <w:color w:val="auto"/>
              </w:rPr>
              <w:t>Business Segment</w:t>
            </w:r>
          </w:p>
        </w:tc>
      </w:tr>
      <w:tr>
        <w:trPr>
          <w:trHeight w:val="203"/>
        </w:trPr>
        <w:tc>
          <w:tcPr>
            <w:tcW w:w="1200" w:type="dxa"/>
            <w:vAlign w:val="bottom"/>
            <w:tcBorders>
              <w:top w:val="single" w:sz="8" w:color="CCEEFF"/>
            </w:tcBorders>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5"/>
              </w:rPr>
              <w:t>$34,296</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$ 33,276</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$12,186</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Starbucks Corporation</w:t>
            </w:r>
          </w:p>
        </w:tc>
        <w:tc>
          <w:tcPr>
            <w:tcW w:w="46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30,231</w:t>
            </w:r>
          </w:p>
        </w:tc>
        <w:tc>
          <w:tcPr>
            <w:tcW w:w="640" w:type="dxa"/>
            <w:vAlign w:val="bottom"/>
          </w:tcPr>
          <w:p>
            <w:pPr>
              <w:jc w:val="right"/>
              <w:spacing w:after="0"/>
              <w:rPr>
                <w:sz w:val="20"/>
                <w:szCs w:val="20"/>
                <w:color w:val="auto"/>
              </w:rPr>
            </w:pPr>
            <w:r>
              <w:rPr>
                <w:rFonts w:ascii="Arial" w:cs="Arial" w:eastAsia="Arial" w:hAnsi="Arial"/>
                <w:sz w:val="18"/>
                <w:szCs w:val="18"/>
                <w:color w:val="auto"/>
              </w:rPr>
              <w:t>36,361</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9,411</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Las Vegas Sands Corp.</w:t>
            </w:r>
          </w:p>
        </w:tc>
        <w:tc>
          <w:tcPr>
            <w:tcW w:w="314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7,160</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Carnival plc</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Cruise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23,284</w:t>
            </w:r>
          </w:p>
        </w:tc>
        <w:tc>
          <w:tcPr>
            <w:tcW w:w="640" w:type="dxa"/>
            <w:vAlign w:val="bottom"/>
          </w:tcPr>
          <w:p>
            <w:pPr>
              <w:jc w:val="right"/>
              <w:spacing w:after="0"/>
              <w:rPr>
                <w:sz w:val="20"/>
                <w:szCs w:val="20"/>
                <w:color w:val="auto"/>
              </w:rPr>
            </w:pPr>
            <w:r>
              <w:rPr>
                <w:rFonts w:ascii="Arial" w:cs="Arial" w:eastAsia="Arial" w:hAnsi="Arial"/>
                <w:sz w:val="18"/>
                <w:szCs w:val="18"/>
                <w:color w:val="auto"/>
              </w:rPr>
              <w:t>23,149</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4,356</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priceline.com</w:t>
            </w:r>
          </w:p>
        </w:tc>
        <w:tc>
          <w:tcPr>
            <w:tcW w:w="3140" w:type="dxa"/>
            <w:vAlign w:val="bottom"/>
          </w:tcPr>
          <w:p>
            <w:pPr>
              <w:spacing w:after="0"/>
              <w:rPr>
                <w:sz w:val="20"/>
                <w:szCs w:val="20"/>
                <w:color w:val="auto"/>
              </w:rPr>
            </w:pPr>
            <w:r>
              <w:rPr>
                <w:rFonts w:ascii="Arial" w:cs="Arial" w:eastAsia="Arial" w:hAnsi="Arial"/>
                <w:sz w:val="18"/>
                <w:szCs w:val="18"/>
                <w:color w:val="auto"/>
              </w:rPr>
              <w:t>Travel</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21,630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21,844</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9,443</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Estee Lauder Companies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13,820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15,775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5,270</w:t>
            </w:r>
          </w:p>
        </w:tc>
        <w:tc>
          <w:tcPr>
            <w:tcW w:w="4100" w:type="dxa"/>
            <w:vAlign w:val="bottom"/>
            <w:gridSpan w:val="3"/>
          </w:tcPr>
          <w:p>
            <w:pPr>
              <w:ind w:left="200"/>
              <w:spacing w:after="0"/>
              <w:rPr>
                <w:sz w:val="20"/>
                <w:szCs w:val="20"/>
                <w:color w:val="auto"/>
              </w:rPr>
            </w:pPr>
            <w:r>
              <w:rPr>
                <w:rFonts w:ascii="Arial" w:cs="Arial" w:eastAsia="Arial" w:hAnsi="Arial"/>
                <w:sz w:val="18"/>
                <w:szCs w:val="18"/>
                <w:b w:val="1"/>
                <w:bCs w:val="1"/>
                <w:color w:val="auto"/>
              </w:rPr>
              <w:t>Wynn Resorts Ltd.</w:t>
            </w:r>
          </w:p>
        </w:tc>
        <w:tc>
          <w:tcPr>
            <w:tcW w:w="3140" w:type="dxa"/>
            <w:vAlign w:val="bottom"/>
          </w:tcPr>
          <w:p>
            <w:pPr>
              <w:spacing w:after="0"/>
              <w:rPr>
                <w:sz w:val="20"/>
                <w:szCs w:val="20"/>
                <w:color w:val="auto"/>
              </w:rPr>
            </w:pPr>
            <w:r>
              <w:rPr>
                <w:rFonts w:ascii="Arial" w:cs="Arial" w:eastAsia="Arial" w:hAnsi="Arial"/>
                <w:sz w:val="18"/>
                <w:szCs w:val="18"/>
                <w:b w:val="1"/>
                <w:bCs w:val="1"/>
                <w:color w:val="auto"/>
              </w:rPr>
              <w:t>Gaming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12,721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6,664</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Ralph Lauren Corporation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9,776</w:t>
            </w:r>
          </w:p>
        </w:tc>
        <w:tc>
          <w:tcPr>
            <w:tcW w:w="640" w:type="dxa"/>
            <w:vAlign w:val="bottom"/>
          </w:tcPr>
          <w:p>
            <w:pPr>
              <w:jc w:val="right"/>
              <w:spacing w:after="0"/>
              <w:rPr>
                <w:sz w:val="20"/>
                <w:szCs w:val="20"/>
                <w:color w:val="auto"/>
              </w:rPr>
            </w:pPr>
            <w:r>
              <w:rPr>
                <w:rFonts w:ascii="Arial" w:cs="Arial" w:eastAsia="Arial" w:hAnsi="Arial"/>
                <w:sz w:val="18"/>
                <w:szCs w:val="18"/>
                <w:color w:val="auto"/>
              </w:rPr>
              <w:t>11,845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12,317</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Marriott International</w:t>
            </w:r>
          </w:p>
        </w:tc>
        <w:tc>
          <w:tcPr>
            <w:tcW w:w="3140" w:type="dxa"/>
            <w:vAlign w:val="bottom"/>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5,624</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Starwood Hotels &amp; Resorts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8,412</w:t>
            </w:r>
          </w:p>
        </w:tc>
        <w:tc>
          <w:tcPr>
            <w:tcW w:w="640" w:type="dxa"/>
            <w:vAlign w:val="bottom"/>
          </w:tcPr>
          <w:p>
            <w:pPr>
              <w:jc w:val="right"/>
              <w:spacing w:after="0"/>
              <w:rPr>
                <w:sz w:val="20"/>
                <w:szCs w:val="20"/>
                <w:color w:val="auto"/>
              </w:rPr>
            </w:pPr>
            <w:r>
              <w:rPr>
                <w:rFonts w:ascii="Arial" w:cs="Arial" w:eastAsia="Arial" w:hAnsi="Arial"/>
                <w:sz w:val="18"/>
                <w:szCs w:val="18"/>
                <w:color w:val="auto"/>
              </w:rPr>
              <w:t>8,682</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3,643</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Tiffany &amp; Co.</w:t>
            </w:r>
          </w:p>
        </w:tc>
        <w:tc>
          <w:tcPr>
            <w:tcW w:w="3140" w:type="dxa"/>
            <w:vAlign w:val="bottom"/>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3,698</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Hyatt Hotels Corporation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5,099</w:t>
            </w:r>
          </w:p>
        </w:tc>
        <w:tc>
          <w:tcPr>
            <w:tcW w:w="640" w:type="dxa"/>
            <w:vAlign w:val="bottom"/>
          </w:tcPr>
          <w:p>
            <w:pPr>
              <w:jc w:val="right"/>
              <w:spacing w:after="0"/>
              <w:rPr>
                <w:sz w:val="20"/>
                <w:szCs w:val="20"/>
                <w:color w:val="auto"/>
              </w:rPr>
            </w:pPr>
            <w:r>
              <w:rPr>
                <w:rFonts w:ascii="Arial" w:cs="Arial" w:eastAsia="Arial" w:hAnsi="Arial"/>
                <w:sz w:val="18"/>
                <w:szCs w:val="18"/>
                <w:color w:val="auto"/>
              </w:rPr>
              <w:t>16,705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7,849</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MGM Resorts International</w:t>
            </w:r>
          </w:p>
        </w:tc>
        <w:tc>
          <w:tcPr>
            <w:tcW w:w="314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i w:val="1"/>
                <w:iCs w:val="1"/>
                <w:color w:val="auto"/>
              </w:rPr>
              <w:t>51%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48%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27%</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Wynn Resorts Percentile Rank</w:t>
            </w:r>
          </w:p>
        </w:tc>
        <w:tc>
          <w:tcPr>
            <w:tcW w:w="3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data source: Standard &amp; Poors Capital IQ.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162(m) of the Internal Revenue Code of 1986, as amended (the “Code”) prevents publicly traded companies from receiving a tax deduction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compensation paid to the chief executive officer and three other highest-paid executive officers (other than the chief financial officer)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 in any taxable year, unless the compensation qualifies as “performance-based.” Wynn Resorts’ policy with respect to qualifying compensation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executive officers for tax deductibility purposes is that executive compensation plans will be designed and implemented to maximize tax deductibility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overall objectives of the compensation program. However, the Compensation Committee may elect to provide non-deductible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it determines that to be advisable to achieve its compensation objectives of attracting or retaining key executives, or where achieving maximum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deductibility would be considered disadvantageous to the best interests of Wynn Resorts. Salaries over $1,000,000, perquisites, restricted stock grants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discretionary bonuses do not qualify as performance-based compensation under Section 162(m).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Resorts typically enters into employment agreements with its executives to advance its objectives of providing for a long-term commitment by and relationship with talented and experienced executives. Consistent with the extended vesting terms in equity awards, the terms and conditions of these agreements are described in the chart following the 2011 Summary Compensation table.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employment agreements for the named executive officers specify their base salary, provide for a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and Ms. Chen’s payments are limited to 4 years’ salary and bonus in certain circumstances. The employment agreements and the terms of equity awards also provide that vesting of some or all of an executive’s equity awards will accelerate upon such event. If termination occurs after a change in control, the employment agreements also provide for a tax gross-up. The Compensation Committee has determined that these arrangements are appropriate compensation to its senior management and are necessary to retain talent in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highly competitive industry. Additional information regarding payments under these provisions is provided under the heading “Potential Payments Made Upon Termination or a Change of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Wynn Resorts also provides certain of its named executive officers with executive benefits. The primary executive benefits include certain health insurance coverage, life insurance premiums, discounts and complimentary privileges with respect to Wynn Resorts’ resorts which are described in the footnotes to the “2011 Summary Compensation Table.” In addition, Messrs. Wynn and Schorr have access to Wynn Resorts’ aircraft pursuant to time sharing agreements described in “Certain Relationships and Related Transactions—Aircraft Arrangements.” For security purposes, the Board of Directors requires Mr. Wynn to travel on Wynn Resorts’ aircraft for both personal and business travel, and Wynn Resorts provides cars and a driver (and security when necessary) for his personal use. Consistent with competitive practice in Macau, Ms. Chen receives a car and driver, certain housing and living expenses and assistance with tax preparation.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Mr. Wynn is employed by Wynn Resorts pursuant to an employment agreement dated October 4, 2002, which was last amended on February 24, 2011 solely to reflect the change in his salary and has a term expiring in 2020. Mr. Wynn, a holder of approximately 10.0% of Wynn Resorts’ common stock, has not received any equity awards as part of his compensation as Chief Executive Officer of Wynn Resorts. Effective February 24, 2011, Mr. Wynn receives a base salary of $4,000,000 per year, and participates in the Incentive Plan. Mr. Wynn is provided with company paid life insurance and disability policies. He also receives certain executive benefits described above.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2011, 2010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Non-Equity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Compensation</w:t>
            </w:r>
          </w:p>
        </w:tc>
        <w:tc>
          <w:tcPr>
            <w:tcW w:w="10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40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Stephen A. Wynn</w:t>
            </w:r>
          </w:p>
        </w:tc>
        <w:tc>
          <w:tcPr>
            <w:tcW w:w="4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79"/>
              </w:rPr>
              <w:t>2011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3,878,846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9,062,500</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$ 1,533,361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16,474,707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Chairman and</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3,218,750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6,906,250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$ 1,540,779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14,615,779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2,953,125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4,062,500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$ 1,370,206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2,000,000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390,756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3,390,756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Financial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1,038,423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510,866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3,549,289</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and Treasurer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779,988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8,348,244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248,067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4,000,000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$ 2,117,573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8,117,573</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Chief Operating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1,838,462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3,400,000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$ 2,307,923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8,146,385</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1,817,308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13,913,740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$ 1,153,817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3,000,000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$ 1,352,926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5,852,926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President of Wynn</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1,417,308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2,000,000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$ 1,788,762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6,206,070</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International Marketing</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951,701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8,348,244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858,565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2,137,076</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General Counsel and</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595,940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1,105,000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426,500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2,127,440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Secretary</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6,956,870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set forth in this column reflect the aggregate grant date fair value of stock option awards granted in the specified year, computed in accordance with accounting standards for stock based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8"/>
          <w:szCs w:val="18"/>
          <w:color w:val="auto"/>
        </w:rPr>
        <w:t>compensation. See Wynn Resorts’ Annual Report on Form 10-K for the year ended December 31, 2011, Note 14 to the Consolidated Financial Statements for assumptions used in computing fair value. The 2009 grants vest 10% per year beginning on the first anniversary of the grant until fully vested in May 2019.</w:t>
      </w:r>
    </w:p>
    <w:p>
      <w:pPr>
        <w:ind w:left="460" w:right="80" w:hanging="452"/>
        <w:spacing w:after="0" w:line="32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For executives other than Mr. Wynn, amounts reported as “All Other Compensation” for 2011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Wynn Resorts did not regularly pay dividends at that time. These dividend amounts are payable to the executive only if and to the extent the restricted stock vests and is not forfeited.</w:t>
      </w:r>
    </w:p>
    <w:p>
      <w:pPr>
        <w:spacing w:after="0" w:line="10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following amounts for 2011 are included in “All Other Compensation” for Mr. Wynn:</w:t>
      </w:r>
    </w:p>
    <w:p>
      <w:pPr>
        <w:spacing w:after="0" w:line="90" w:lineRule="exact"/>
        <w:rPr>
          <w:rFonts w:ascii="Arial" w:cs="Arial" w:eastAsia="Arial" w:hAnsi="Arial"/>
          <w:sz w:val="15"/>
          <w:szCs w:val="15"/>
          <w:color w:val="auto"/>
        </w:rPr>
      </w:pPr>
    </w:p>
    <w:p>
      <w:pPr>
        <w:ind w:left="900" w:right="2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personal use of company aircraft of $910,345 (Mr. Wynn receives no tax-gross ups relating to the value of aircraft usage that is imputed to him as compensation.);</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fair market value of a company-provided villa for 2011, under the Amended and Restated Agreement of Lease between Mr. Wynn and Wynn Las Vegas, LLC dated March 18, 2010, in the amount of $503,831;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compensation pursuant to the Wynn Resorts Executive Medical Plan of $14,054;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life insurance premiums of $10,668;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allocated compensation and benefits for the personal use of a driver whom we employ for Mr. Wynn and the personal use of vehicles of $22,902;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merchandise discounts of $71,561.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Maddox:</w:t>
      </w:r>
    </w:p>
    <w:p>
      <w:pPr>
        <w:spacing w:after="0" w:line="9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life insurance premiums of $756;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accrued cash dividends related to unvested restricted stock of $390,000.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Schorr:</w:t>
      </w:r>
    </w:p>
    <w:p>
      <w:pPr>
        <w:spacing w:after="0" w:line="90" w:lineRule="exact"/>
        <w:rPr>
          <w:sz w:val="20"/>
          <w:szCs w:val="20"/>
          <w:color w:val="auto"/>
        </w:rPr>
      </w:pPr>
    </w:p>
    <w:p>
      <w:pPr>
        <w:ind w:left="900" w:right="2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personal use of company aircraft of $387,982 (Mr. Schorr receives no tax-gross ups relating to the value of aircraft usage that is imputed to him as compensation.);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life insurance premiums of $5,544;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merchandise discounts of $99,047;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$1,625,000 of accrued cash dividends related to unvested restricted stock.</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following amounts for 2011 are included in “All Other Compensation” for Ms. Chen:</w:t>
      </w:r>
    </w:p>
    <w:p>
      <w:pPr>
        <w:spacing w:after="0" w:line="9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housing and other living expenses in Macau of $51,666;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life insurance premiums of $1,260;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$1,300,000.</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following amounts for 2011 are included in “All Other Compensation” for Ms. Sinatra:</w:t>
      </w:r>
    </w:p>
    <w:p>
      <w:pPr>
        <w:spacing w:after="0" w:line="9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life insurance premiums of $1,656;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$187,500.</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amounts shown as personal use of Wynn Resorts’ aircraft, incremental aircraft expenses were calculated by dividing the 2011 total direct (variable) flight expenses (consisting primarily of fuel, maintenance and landing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fees) by the total hours the aircraft was operated during the year. The executives’ hourly usage was multiplied by this annual hourly rate. Any reimbursement received from the executive was applied against this amount.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Amounts shown as cash dividends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2011, each of the named executive officers received base salary in accordance with the terms of his or her employment agreement, as approved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860" w:type="dxa"/>
            <w:vAlign w:val="bottom"/>
          </w:tcPr>
          <w:p>
            <w:pPr>
              <w:spacing w:after="0"/>
              <w:rPr>
                <w:sz w:val="14"/>
                <w:szCs w:val="14"/>
                <w:color w:val="auto"/>
              </w:rPr>
            </w:pPr>
          </w:p>
        </w:tc>
        <w:tc>
          <w:tcPr>
            <w:tcW w:w="740" w:type="dxa"/>
            <w:vAlign w:val="bottom"/>
          </w:tcPr>
          <w:p>
            <w:pPr>
              <w:jc w:val="right"/>
              <w:ind w:right="26"/>
              <w:spacing w:after="0"/>
              <w:rPr>
                <w:sz w:val="20"/>
                <w:szCs w:val="20"/>
                <w:color w:val="auto"/>
              </w:rPr>
            </w:pPr>
            <w:r>
              <w:rPr>
                <w:rFonts w:ascii="Arial" w:cs="Arial" w:eastAsia="Arial" w:hAnsi="Arial"/>
                <w:sz w:val="14"/>
                <w:szCs w:val="14"/>
                <w:b w:val="1"/>
                <w:bCs w:val="1"/>
                <w:color w:val="auto"/>
              </w:rPr>
              <w:t>Contract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4860" w:type="dxa"/>
            <w:vAlign w:val="bottom"/>
          </w:tcPr>
          <w:p>
            <w:pPr>
              <w:spacing w:after="0"/>
              <w:rPr>
                <w:sz w:val="14"/>
                <w:szCs w:val="14"/>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4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10/24/20</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11/30/13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2/24/20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2011, Ms. Chen was granted a $10 million retention award which vests in full on July 27, 2021, subject to certain provisions. This retention award was awarded to Ms. Chen for her current and expected future contributions to the success of Wynn Resorts and to provide an incentive to her to remain an employee of Wynn Resorts. If Ms. Chen’s employment is terminated without “Cause” (as such term is defined in the Agreement) prior to the vesting date by Wynn Resorts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GRANTS OF PLAN-BASED AWARDS TABLE</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220" w:type="dxa"/>
            <w:vAlign w:val="bottom"/>
            <w:gridSpan w:val="4"/>
          </w:tcPr>
          <w:p>
            <w:pPr>
              <w:ind w:left="4600"/>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Non-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 Incentive Plan</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2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600" w:type="dxa"/>
            <w:vAlign w:val="bottom"/>
          </w:tcPr>
          <w:p>
            <w:pPr>
              <w:spacing w:after="0"/>
              <w:rPr>
                <w:sz w:val="11"/>
                <w:szCs w:val="11"/>
                <w:color w:val="auto"/>
              </w:rPr>
            </w:pPr>
          </w:p>
        </w:tc>
        <w:tc>
          <w:tcPr>
            <w:tcW w:w="15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Target/Maximum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5400" w:type="dxa"/>
            <w:vAlign w:val="bottom"/>
            <w:gridSpan w:val="2"/>
          </w:tcPr>
          <w:p>
            <w:pPr>
              <w:jc w:val="center"/>
              <w:ind w:left="5199"/>
              <w:spacing w:after="0" w:line="148" w:lineRule="exact"/>
              <w:rPr>
                <w:sz w:val="20"/>
                <w:szCs w:val="20"/>
                <w:color w:val="auto"/>
              </w:rPr>
            </w:pPr>
            <w:r>
              <w:rPr>
                <w:rFonts w:ascii="Arial" w:cs="Arial" w:eastAsia="Arial" w:hAnsi="Arial"/>
                <w:sz w:val="14"/>
                <w:szCs w:val="14"/>
                <w:b w:val="1"/>
                <w:bCs w:val="1"/>
                <w:color w:val="auto"/>
                <w:w w:val="96"/>
              </w:rPr>
              <w:t>($</w:t>
            </w:r>
          </w:p>
        </w:tc>
        <w:tc>
          <w:tcPr>
            <w:tcW w:w="72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4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4"/>
              </w:rPr>
              <w:t>9,062,500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5400" w:type="dxa"/>
            <w:vAlign w:val="bottom"/>
            <w:gridSpan w:val="2"/>
          </w:tcPr>
          <w:p>
            <w:pPr>
              <w:ind w:left="4600"/>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540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5400" w:type="dxa"/>
            <w:vAlign w:val="bottom"/>
            <w:gridSpan w:val="2"/>
          </w:tcPr>
          <w:p>
            <w:pPr>
              <w:ind w:left="4600"/>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540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Wynn Resorts’ Incentive Plan rewards management for creation of superior return to stockholders, measured by the operating performance of Wynn Resorts’ resorts. The amounts shown in the table above reflect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possible payments based upon salaries in effect during the first quarter of 2011, when the performance criteria were established. Actual payouts were based upon achievement of the 2011 performance criteria of Adjusted Property EBITDA at Wynn Resorts’ Wynn Las Vegas and Wynn Macau resorts which resulted in the payment of maximum bonuses under the Incentive Plan to all named executive officers.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Number of</w:t>
            </w:r>
          </w:p>
        </w:tc>
        <w:tc>
          <w:tcPr>
            <w:tcW w:w="98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Securities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 Have Not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2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0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9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Date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4"/>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w w:val="93"/>
              </w:rPr>
              <w:t>N/A</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6,629,400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$ 27,622,500</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$ 22,098,000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240,000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2,762,250</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50,000 stock options will vest on May 6, 2012 and each anniversary thereafter until the 400,000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25,000 stock options will vest on May 6, 2012 and each anniversary thereafter until the 200,000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$110.49 per share.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OPTION EXERCISES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0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 Awards</w:t>
            </w:r>
          </w:p>
        </w:tc>
        <w:tc>
          <w:tcPr>
            <w:tcW w:w="2200" w:type="dxa"/>
            <w:vAlign w:val="bottom"/>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Shares</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Value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20" w:type="dxa"/>
            <w:vAlign w:val="bottom"/>
            <w:vMerge w:val="restart"/>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right"/>
              <w:ind w:right="241"/>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30,000</w:t>
            </w: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$2,823,900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$4,894,145</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55,000</w:t>
            </w: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$3,333,500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$2,350,250</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25,000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amounts reported in the table above are based on the sales price of Wynn Resorts’ common stock on the date the stock options were exercised or the closing price of Wynn Resorts’ common stock on the date the stock award vested. Upon vesting of the stock award, the executive also was paid an amount equal to the dividends that had accrued on the shares prior to their vesting.</w:t>
      </w:r>
    </w:p>
    <w:p>
      <w:pPr>
        <w:spacing w:after="0" w:line="29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Due to Death, Complete Disability or License Revocation</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 In addition, certain of the stock option agreements and restricted stock agreements held by the named executive officers provide that unvested options and shares will vest upon such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“separation payment” consists of a multiple (ranging from one to, in the case of Mr. Wynn, three times) of the sum of (a) base salary through the end of the term of the agreement, but not less than 12 months (and in Mr. Wynn’s and Ms. Chen’s case, not more than 4 years); (b) bonus for all bonus periods based upon last bonus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paid pursuant to the employment agreement through the end of the term (and in Mr. Wynn’s and Ms. Chen’s case, this is limited to a maximum of 4 years); and</w:t>
      </w:r>
    </w:p>
    <w:p>
      <w:pPr>
        <w:spacing w:after="0" w:line="38" w:lineRule="exact"/>
        <w:rPr>
          <w:sz w:val="20"/>
          <w:szCs w:val="20"/>
          <w:color w:val="auto"/>
        </w:rPr>
      </w:pPr>
    </w:p>
    <w:p>
      <w:pPr>
        <w:ind w:right="160" w:firstLine="8"/>
        <w:spacing w:after="0" w:line="295" w:lineRule="auto"/>
        <w:tabs>
          <w:tab w:leader="none" w:pos="23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 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2011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4 years and upon “Termination Without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Cause at Employer’s Election During the Term” and “Termination by Employee for Good Reason After Change in Control for Good Reason” is three times the salary and bonus that would be payable during the remaining term of the contract with a limit of 4 years.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without Cause</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for Good</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Termination Upon</w:t>
            </w:r>
          </w:p>
        </w:tc>
        <w:tc>
          <w:tcPr>
            <w:tcW w:w="80" w:type="dxa"/>
            <w:vAlign w:val="bottom"/>
          </w:tcPr>
          <w:p>
            <w:pPr>
              <w:spacing w:after="0"/>
              <w:rPr>
                <w:sz w:val="12"/>
                <w:szCs w:val="12"/>
                <w:color w:val="auto"/>
              </w:rPr>
            </w:pPr>
          </w:p>
        </w:tc>
        <w:tc>
          <w:tcPr>
            <w:tcW w:w="16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Election</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Death or Complete</w:t>
            </w:r>
          </w:p>
        </w:tc>
        <w:tc>
          <w:tcPr>
            <w:tcW w:w="8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Disability</w:t>
            </w:r>
          </w:p>
        </w:tc>
        <w:tc>
          <w:tcPr>
            <w:tcW w:w="80" w:type="dxa"/>
            <w:vAlign w:val="bottom"/>
          </w:tcPr>
          <w:p>
            <w:pPr>
              <w:spacing w:after="0"/>
              <w:rPr>
                <w:sz w:val="14"/>
                <w:szCs w:val="14"/>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16,000,000</w:t>
            </w: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48,000,000</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44,250,000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132,750,000</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132,750,000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4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77,226,044</w:t>
            </w:r>
          </w:p>
        </w:tc>
      </w:tr>
      <w:tr>
        <w:trPr>
          <w:trHeight w:val="228"/>
        </w:trPr>
        <w:tc>
          <w:tcPr>
            <w:tcW w:w="36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286,759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286,759</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46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Termination</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Employee</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Employer’s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Election</w:t>
            </w:r>
          </w:p>
        </w:tc>
        <w:tc>
          <w:tcPr>
            <w:tcW w:w="4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During the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Term</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1,916,667</w:t>
            </w: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1,916,667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3,833,333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3,833,333</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22,127,800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4,158,996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6,919,000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126,042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126,042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302"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the company has not terminated or expired. Using the closing price on December 31, 2011, the value of such 73,774 stock options upon exercise would have been $187,386.</w:t>
      </w:r>
    </w:p>
    <w:p>
      <w:pPr>
        <w:spacing w:after="0" w:line="2" w:lineRule="exact"/>
        <w:rPr>
          <w:rFonts w:ascii="Arial" w:cs="Arial" w:eastAsia="Arial" w:hAnsi="Arial"/>
          <w:sz w:val="15"/>
          <w:szCs w:val="15"/>
          <w:color w:val="auto"/>
        </w:rPr>
      </w:pPr>
    </w:p>
    <w:p>
      <w:pPr>
        <w:ind w:left="460" w:right="24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1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2011, the value of such 50,000 shares would have been $5,524,500 plus accrued dividends of $950,000.</w:t>
      </w:r>
    </w:p>
    <w:p>
      <w:pPr>
        <w:spacing w:after="0" w:line="1" w:lineRule="exact"/>
        <w:rPr>
          <w:rFonts w:ascii="Arial" w:cs="Arial" w:eastAsia="Arial" w:hAnsi="Arial"/>
          <w:sz w:val="18"/>
          <w:szCs w:val="18"/>
          <w:color w:val="auto"/>
        </w:rPr>
      </w:pPr>
    </w:p>
    <w:p>
      <w:pPr>
        <w:ind w:left="460" w:right="120" w:hanging="452"/>
        <w:spacing w:after="0" w:line="30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contract. Using the closing price on December 31, 2011, the value of such 30,246 shares would have been $3,341,928, plus accrued dividends of $629,682.</w:t>
      </w:r>
    </w:p>
    <w:p>
      <w:pPr>
        <w:spacing w:after="0" w:line="50" w:lineRule="exact"/>
        <w:rPr>
          <w:sz w:val="20"/>
          <w:szCs w:val="20"/>
          <w:color w:val="auto"/>
        </w:rPr>
      </w:pPr>
    </w:p>
    <w:p>
      <w:pPr>
        <w:ind w:left="460" w:right="160" w:hanging="452"/>
        <w:spacing w:after="0" w:line="261"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Election</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Disability</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37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2,000,000</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unpaid through the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date of termination.</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57,720,500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12,882,938</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32,372,500</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8"/>
        </w:trPr>
        <w:tc>
          <w:tcPr>
            <w:tcW w:w="378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63,357</w:t>
            </w:r>
          </w:p>
        </w:tc>
        <w:tc>
          <w:tcPr>
            <w:tcW w:w="8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63,357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400,000 would vest in full immediately. Using the closing price on December 31, 2011, the value of such stock options upon exercise would have been $25,348,000.</w:t>
      </w:r>
    </w:p>
    <w:p>
      <w:pPr>
        <w:ind w:left="460" w:right="16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the company has not terminated or expired. Using the closing price on December 31, 2011, the value of such restricted stock grants upon vesting would have been $27,622,500, plus accrued dividends of $4,750,000.</w:t>
      </w:r>
    </w:p>
    <w:p>
      <w:pPr>
        <w:spacing w:after="0" w:line="1" w:lineRule="exact"/>
        <w:rPr>
          <w:rFonts w:ascii="Arial" w:cs="Arial" w:eastAsia="Arial" w:hAnsi="Arial"/>
          <w:sz w:val="18"/>
          <w:szCs w:val="18"/>
          <w:color w:val="auto"/>
        </w:rPr>
      </w:pPr>
    </w:p>
    <w:p>
      <w:pPr>
        <w:jc w:val="both"/>
        <w:ind w:left="460" w:right="12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2011, the value of such 99,490 shares would have been $10,992,628 plus accrued dividends of $1,890,310.</w:t>
      </w:r>
    </w:p>
    <w:p>
      <w:pPr>
        <w:spacing w:after="0" w:line="2" w:lineRule="exact"/>
        <w:rPr>
          <w:rFonts w:ascii="Arial" w:cs="Arial" w:eastAsia="Arial" w:hAnsi="Arial"/>
          <w:sz w:val="16"/>
          <w:szCs w:val="16"/>
          <w:color w:val="auto"/>
        </w:rPr>
      </w:pPr>
    </w:p>
    <w:p>
      <w:pPr>
        <w:ind w:left="460" w:right="160" w:hanging="452"/>
        <w:spacing w:after="0" w:line="261"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Election</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Disability</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85"/>
              </w:rPr>
              <w:t>Amount earned and</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6,000,000</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unpaid through the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28,602,300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18,420,722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13,393,500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Macau Executive Residence(5)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8,312,316</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8,312,316</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Retention Plan Award(6)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1,500,000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11,247,166</w:t>
            </w:r>
          </w:p>
        </w:tc>
        <w:tc>
          <w:tcPr>
            <w:tcW w:w="100" w:type="dxa"/>
            <w:vAlign w:val="bottom"/>
            <w:shd w:val="clear" w:color="auto" w:fill="CCEEFF"/>
          </w:tcPr>
          <w:p>
            <w:pPr>
              <w:spacing w:after="0"/>
              <w:rPr>
                <w:sz w:val="18"/>
                <w:szCs w:val="18"/>
                <w:color w:val="auto"/>
              </w:rPr>
            </w:pP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350"/>
        </w:trPr>
        <w:tc>
          <w:tcPr>
            <w:tcW w:w="3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80" w:hanging="452"/>
        <w:spacing w:after="0" w:line="252"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Wynn Resorts has not terminated or expired. Using the closing price on December 31, 2011, the value of such 73,774 stock options upon exercise would have been $187,386.</w:t>
      </w:r>
    </w:p>
    <w:p>
      <w:pPr>
        <w:ind w:left="460" w:right="24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68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2011, the value of such 100,000 shares would have been $11,049,000, plus accrued dividends of $1,900,000.</w:t>
      </w:r>
    </w:p>
    <w:p>
      <w:pPr>
        <w:spacing w:after="0" w:line="1" w:lineRule="exact"/>
        <w:rPr>
          <w:rFonts w:ascii="Arial" w:cs="Arial" w:eastAsia="Arial" w:hAnsi="Arial"/>
          <w:sz w:val="16"/>
          <w:szCs w:val="16"/>
          <w:color w:val="auto"/>
        </w:rPr>
      </w:pPr>
    </w:p>
    <w:p>
      <w:pPr>
        <w:jc w:val="both"/>
        <w:ind w:left="460" w:right="380" w:hanging="452"/>
        <w:spacing w:after="0" w:line="300"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2011, the value of such 132,442 shares would have been $14,633,518, plus accrued dividends of $3,599,818.</w:t>
      </w:r>
    </w:p>
    <w:p>
      <w:pPr>
        <w:ind w:left="460" w:right="14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termination without Cause or a change of control, the Macau Executive Residence could be purchased by Ms. Chen for $1. The amount reflected in the table represents the fair market value of the residence at December 31, 2011.</w:t>
      </w:r>
    </w:p>
    <w:p>
      <w:pPr>
        <w:ind w:left="460" w:right="10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the retention award will vest on a prorated basis equal to the number of full calendar months elapsed between the grant date and the date of such termination of employment divided by 120.</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46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Termination</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Employer’s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Election</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During the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Term</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1,516,667</w:t>
            </w: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1,300,000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1,300,000</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16,101,750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1,445,002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3,427,750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650,000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156,086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156,086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283"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unvested stock options of 75,000 would vest in full immediately. Using the closing price on December 31, 2011, the value of such stock options upon exercise would have been $190,500. Upon termination without cause, 75,000 stock options would vest on a prorated basis based on the number of months since the grant date, so long as the employee’s employment agreement with Wynn Resorts has not terminated or expired. Using the closing price on December 31, 2011, the value of such 31,617 stock options upon exercise would have been $80,307.</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200,000 would vest in full immediately. Using the closing price on December 31, 2011, the value of such stock options upon exercise would have been $12,674,000.</w:t>
      </w:r>
    </w:p>
    <w:p>
      <w:pPr>
        <w:ind w:left="460" w:right="20" w:hanging="452"/>
        <w:spacing w:after="0" w:line="25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the company has not terminated or expired. Using the closing price on December 31, 2011, the value of such restricted stock grants upon vesting would have been $2,762,250, plus accrued dividends of $475,000.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53"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2011, the value of such 10,539 shares would have been $1,164,454 plus accrued dividends of $200,241.</w:t>
      </w:r>
    </w:p>
    <w:p>
      <w:pPr>
        <w:ind w:left="460" w:right="20" w:hanging="452"/>
        <w:spacing w:after="0" w:line="261"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summarizes, as of December 31, 2011, compensation plans under which Wynn Resorts’ equity securities are authorized for issuance, aggregated as to: (i) all compensation plans previously approved by stockholders; and (ii) all compensation plans not previously approved by stockholders.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for Future Issuance</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80" w:type="dxa"/>
            <w:vAlign w:val="bottom"/>
            <w:gridSpan w:val="2"/>
          </w:tcPr>
          <w:p>
            <w:pPr>
              <w:jc w:val="center"/>
              <w:ind w:left="439"/>
              <w:spacing w:after="0" w:line="149" w:lineRule="exact"/>
              <w:rPr>
                <w:sz w:val="20"/>
                <w:szCs w:val="20"/>
                <w:color w:val="auto"/>
              </w:rPr>
            </w:pPr>
            <w:r>
              <w:rPr>
                <w:rFonts w:ascii="Arial" w:cs="Arial" w:eastAsia="Arial" w:hAnsi="Arial"/>
                <w:sz w:val="14"/>
                <w:szCs w:val="14"/>
                <w:b w:val="1"/>
                <w:bCs w:val="1"/>
                <w:color w:val="auto"/>
                <w:w w:val="85"/>
              </w:rPr>
              <w:t>be Issued Upon Exercise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94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200" w:type="dxa"/>
            <w:vAlign w:val="bottom"/>
            <w:gridSpan w:val="3"/>
          </w:tcPr>
          <w:p>
            <w:pPr>
              <w:jc w:val="center"/>
              <w:ind w:left="859"/>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9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360" w:type="dxa"/>
            <w:vAlign w:val="bottom"/>
            <w:gridSpan w:val="3"/>
          </w:tcPr>
          <w:p>
            <w:pPr>
              <w:jc w:val="center"/>
              <w:ind w:left="759"/>
              <w:spacing w:after="0" w:line="149" w:lineRule="exact"/>
              <w:rPr>
                <w:sz w:val="20"/>
                <w:szCs w:val="20"/>
                <w:color w:val="auto"/>
              </w:rPr>
            </w:pPr>
            <w:r>
              <w:rPr>
                <w:rFonts w:ascii="Arial" w:cs="Arial" w:eastAsia="Arial" w:hAnsi="Arial"/>
                <w:sz w:val="14"/>
                <w:szCs w:val="14"/>
                <w:b w:val="1"/>
                <w:bCs w:val="1"/>
                <w:color w:val="auto"/>
                <w:w w:val="87"/>
              </w:rPr>
              <w:t>reflected in column(a))</w:t>
            </w:r>
          </w:p>
        </w:tc>
      </w:tr>
      <w:tr>
        <w:trPr>
          <w:trHeight w:val="161"/>
        </w:trPr>
        <w:tc>
          <w:tcPr>
            <w:tcW w:w="3640" w:type="dxa"/>
            <w:vAlign w:val="bottom"/>
            <w:gridSpan w:val="2"/>
          </w:tcPr>
          <w:p>
            <w:pPr>
              <w:ind w:left="1140"/>
              <w:spacing w:after="0"/>
              <w:rPr>
                <w:sz w:val="20"/>
                <w:szCs w:val="20"/>
                <w:color w:val="auto"/>
              </w:rPr>
            </w:pPr>
            <w:r>
              <w:rPr>
                <w:rFonts w:ascii="Arial" w:cs="Arial" w:eastAsia="Arial" w:hAnsi="Arial"/>
                <w:sz w:val="14"/>
                <w:szCs w:val="14"/>
                <w:b w:val="1"/>
                <w:bCs w:val="1"/>
                <w:color w:val="auto"/>
              </w:rPr>
              <w:t>Plan Category</w:t>
            </w:r>
          </w:p>
        </w:tc>
        <w:tc>
          <w:tcPr>
            <w:tcW w:w="5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94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r>
      <w:tr>
        <w:trPr>
          <w:trHeight w:val="188"/>
        </w:trPr>
        <w:tc>
          <w:tcPr>
            <w:tcW w:w="1160" w:type="dxa"/>
            <w:vAlign w:val="bottom"/>
          </w:tcPr>
          <w:p>
            <w:pPr>
              <w:spacing w:after="0"/>
              <w:rPr>
                <w:sz w:val="16"/>
                <w:szCs w:val="16"/>
                <w:color w:val="auto"/>
              </w:rPr>
            </w:pPr>
          </w:p>
        </w:tc>
        <w:tc>
          <w:tcPr>
            <w:tcW w:w="24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Equity compensation plans</w:t>
            </w:r>
          </w:p>
        </w:tc>
        <w:tc>
          <w:tcPr>
            <w:tcW w:w="5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approved by</w:t>
            </w: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holders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80" w:type="dxa"/>
            <w:vAlign w:val="bottom"/>
            <w:shd w:val="clear" w:color="auto" w:fill="CCEEFF"/>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not approved by security</w:t>
            </w: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116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holders</w:t>
            </w:r>
          </w:p>
        </w:tc>
        <w:tc>
          <w:tcPr>
            <w:tcW w:w="520" w:type="dxa"/>
            <w:vAlign w:val="bottom"/>
          </w:tcPr>
          <w:p>
            <w:pPr>
              <w:spacing w:after="0"/>
              <w:rPr>
                <w:sz w:val="20"/>
                <w:szCs w:val="20"/>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794,500 shares of unvested restricted stock awards outstanding under the stockholder-approved plan.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as of September 7, 2012 (unless otherwise indicated), certain information regarding the shares of Wynn Resorts’ common stock beneficially owned by: (i) each director and nominee for director; (ii) each stockholder who is known by Wynn Resorts to beneficially own in excess of 5% of the outstanding shares of Wynn Resorts’ common stock based on information reported on Form 13D or 13G filed with the SEC; (iii) each of the executive officers named in the Summary Compensation Table; and (iv) all executive officers, directors and director nominees as a group. There were 100,522,136 shares outstanding as of September 7, 2012.</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3700" w:type="dxa"/>
            <w:vAlign w:val="bottom"/>
            <w:vMerge w:val="restart"/>
          </w:tcPr>
          <w:p>
            <w:pPr>
              <w:spacing w:after="0"/>
              <w:rPr>
                <w:sz w:val="14"/>
                <w:szCs w:val="14"/>
                <w:color w:val="auto"/>
              </w:rPr>
            </w:pPr>
          </w:p>
        </w:tc>
        <w:tc>
          <w:tcPr>
            <w:tcW w:w="1580" w:type="dxa"/>
            <w:vAlign w:val="bottom"/>
            <w:tcBorders>
              <w:bottom w:val="single" w:sz="8" w:color="auto"/>
            </w:tcBorders>
            <w:gridSpan w:val="2"/>
          </w:tcPr>
          <w:p>
            <w:pPr>
              <w:jc w:val="center"/>
              <w:ind w:left="555"/>
              <w:spacing w:after="0"/>
              <w:rPr>
                <w:sz w:val="20"/>
                <w:szCs w:val="20"/>
                <w:color w:val="auto"/>
              </w:rPr>
            </w:pPr>
            <w:r>
              <w:rPr>
                <w:rFonts w:ascii="Arial" w:cs="Arial" w:eastAsia="Arial" w:hAnsi="Arial"/>
                <w:sz w:val="14"/>
                <w:szCs w:val="14"/>
                <w:b w:val="1"/>
                <w:bCs w:val="1"/>
                <w:color w:val="auto"/>
                <w:w w:val="84"/>
              </w:rPr>
              <w:t>Shares(1)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3700" w:type="dxa"/>
            <w:vAlign w:val="bottom"/>
            <w:vMerge w:val="continue"/>
          </w:tcPr>
          <w:p>
            <w:pPr>
              <w:spacing w:after="0"/>
              <w:rPr>
                <w:sz w:val="11"/>
                <w:szCs w:val="11"/>
                <w:color w:val="auto"/>
              </w:rPr>
            </w:pPr>
          </w:p>
        </w:tc>
        <w:tc>
          <w:tcPr>
            <w:tcW w:w="158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Wynn(3)(9)</w:t>
            </w:r>
          </w:p>
        </w:tc>
        <w:tc>
          <w:tcPr>
            <w:tcW w:w="8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10,026,708</w:t>
            </w:r>
          </w:p>
        </w:tc>
        <w:tc>
          <w:tcPr>
            <w:tcW w:w="74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Elaine P. Wynn(3)(9)</w:t>
            </w:r>
          </w:p>
        </w:tc>
        <w:tc>
          <w:tcPr>
            <w:tcW w:w="840" w:type="dxa"/>
            <w:vAlign w:val="bottom"/>
          </w:tcPr>
          <w:p>
            <w:pPr>
              <w:jc w:val="right"/>
              <w:spacing w:after="0"/>
              <w:rPr>
                <w:sz w:val="20"/>
                <w:szCs w:val="20"/>
                <w:color w:val="auto"/>
              </w:rPr>
            </w:pPr>
            <w:r>
              <w:rPr>
                <w:rFonts w:ascii="Arial" w:cs="Arial" w:eastAsia="Arial" w:hAnsi="Arial"/>
                <w:sz w:val="18"/>
                <w:szCs w:val="18"/>
                <w:color w:val="auto"/>
              </w:rPr>
              <w:t>9,742,150</w:t>
            </w:r>
          </w:p>
        </w:tc>
        <w:tc>
          <w:tcPr>
            <w:tcW w:w="7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18,066,873</w:t>
            </w: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8"/>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6300 Lamar Avenue</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Overland Park, KS 66202</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Marsico Capital Management, LLC(5)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8,476,973</w:t>
            </w: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Denver, Colorado 80202</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Russell Goldsmith(7)</w:t>
            </w:r>
          </w:p>
        </w:tc>
        <w:tc>
          <w:tcPr>
            <w:tcW w:w="840" w:type="dxa"/>
            <w:vAlign w:val="bottom"/>
          </w:tcPr>
          <w:p>
            <w:pPr>
              <w:jc w:val="right"/>
              <w:spacing w:after="0"/>
              <w:rPr>
                <w:sz w:val="20"/>
                <w:szCs w:val="20"/>
                <w:color w:val="auto"/>
              </w:rPr>
            </w:pPr>
            <w:r>
              <w:rPr>
                <w:rFonts w:ascii="Arial" w:cs="Arial" w:eastAsia="Arial" w:hAnsi="Arial"/>
                <w:sz w:val="18"/>
                <w:szCs w:val="18"/>
                <w:color w:val="auto"/>
              </w:rPr>
              <w:t>42,720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Kazuo Okada(9)</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John A. Moran(11)(13)</w:t>
            </w:r>
          </w:p>
        </w:tc>
        <w:tc>
          <w:tcPr>
            <w:tcW w:w="840" w:type="dxa"/>
            <w:vAlign w:val="bottom"/>
          </w:tcPr>
          <w:p>
            <w:pPr>
              <w:jc w:val="right"/>
              <w:spacing w:after="0"/>
              <w:rPr>
                <w:sz w:val="20"/>
                <w:szCs w:val="20"/>
                <w:color w:val="auto"/>
              </w:rPr>
            </w:pPr>
            <w:r>
              <w:rPr>
                <w:rFonts w:ascii="Arial" w:cs="Arial" w:eastAsia="Arial" w:hAnsi="Arial"/>
                <w:sz w:val="18"/>
                <w:szCs w:val="18"/>
                <w:color w:val="auto"/>
              </w:rPr>
              <w:t>193,220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Alvin V. Shoemaker(12)</w:t>
            </w:r>
          </w:p>
        </w:tc>
        <w:tc>
          <w:tcPr>
            <w:tcW w:w="840" w:type="dxa"/>
            <w:vAlign w:val="bottom"/>
          </w:tcPr>
          <w:p>
            <w:pPr>
              <w:jc w:val="right"/>
              <w:spacing w:after="0"/>
              <w:rPr>
                <w:sz w:val="20"/>
                <w:szCs w:val="20"/>
                <w:color w:val="auto"/>
              </w:rPr>
            </w:pPr>
            <w:r>
              <w:rPr>
                <w:rFonts w:ascii="Arial" w:cs="Arial" w:eastAsia="Arial" w:hAnsi="Arial"/>
                <w:sz w:val="18"/>
                <w:szCs w:val="18"/>
                <w:color w:val="auto"/>
              </w:rPr>
              <w:t>33,220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(Ted) Virtue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D. Boone Wayson(11)</w:t>
            </w:r>
          </w:p>
        </w:tc>
        <w:tc>
          <w:tcPr>
            <w:tcW w:w="840" w:type="dxa"/>
            <w:vAlign w:val="bottom"/>
          </w:tcPr>
          <w:p>
            <w:pPr>
              <w:jc w:val="right"/>
              <w:spacing w:after="0"/>
              <w:rPr>
                <w:sz w:val="20"/>
                <w:szCs w:val="20"/>
                <w:color w:val="auto"/>
              </w:rPr>
            </w:pPr>
            <w:r>
              <w:rPr>
                <w:rFonts w:ascii="Arial" w:cs="Arial" w:eastAsia="Arial" w:hAnsi="Arial"/>
                <w:sz w:val="18"/>
                <w:szCs w:val="18"/>
                <w:color w:val="auto"/>
              </w:rPr>
              <w:t>93,220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Matt Maddox(15)</w:t>
            </w:r>
          </w:p>
        </w:tc>
        <w:tc>
          <w:tcPr>
            <w:tcW w:w="840" w:type="dxa"/>
            <w:vAlign w:val="bottom"/>
          </w:tcPr>
          <w:p>
            <w:pPr>
              <w:jc w:val="right"/>
              <w:spacing w:after="0"/>
              <w:rPr>
                <w:sz w:val="20"/>
                <w:szCs w:val="20"/>
                <w:color w:val="auto"/>
              </w:rPr>
            </w:pPr>
            <w:r>
              <w:rPr>
                <w:rFonts w:ascii="Arial" w:cs="Arial" w:eastAsia="Arial" w:hAnsi="Arial"/>
                <w:sz w:val="18"/>
                <w:szCs w:val="18"/>
                <w:color w:val="auto"/>
              </w:rPr>
              <w:t>86,355</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Kim Sinatra(17)</w:t>
            </w:r>
          </w:p>
        </w:tc>
        <w:tc>
          <w:tcPr>
            <w:tcW w:w="840" w:type="dxa"/>
            <w:vAlign w:val="bottom"/>
          </w:tcPr>
          <w:p>
            <w:pPr>
              <w:jc w:val="right"/>
              <w:spacing w:after="0"/>
              <w:rPr>
                <w:sz w:val="20"/>
                <w:szCs w:val="20"/>
                <w:color w:val="auto"/>
              </w:rPr>
            </w:pPr>
            <w:r>
              <w:rPr>
                <w:rFonts w:ascii="Arial" w:cs="Arial" w:eastAsia="Arial" w:hAnsi="Arial"/>
                <w:sz w:val="18"/>
                <w:szCs w:val="18"/>
                <w:color w:val="auto"/>
              </w:rPr>
              <w:t>65,887</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Group (16 persons)(18)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21,206,140</w:t>
            </w:r>
          </w:p>
        </w:tc>
        <w:tc>
          <w:tcPr>
            <w:tcW w:w="7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2"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660" w:hanging="572"/>
        <w:spacing w:after="0" w:line="261"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Does not include shares that may be deemed to be beneficially owned by virtue of the Amended and Restated Stockholders Agreement, to which Mr. Wynn and Elaine P. Wynn are parties and pursuant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60"/>
        <w:spacing w:after="0" w:line="286" w:lineRule="auto"/>
        <w:rPr>
          <w:sz w:val="20"/>
          <w:szCs w:val="20"/>
          <w:color w:val="auto"/>
        </w:rPr>
      </w:pPr>
      <w:r>
        <w:rPr>
          <w:rFonts w:ascii="Arial" w:cs="Arial" w:eastAsia="Arial" w:hAnsi="Arial"/>
          <w:sz w:val="16"/>
          <w:szCs w:val="16"/>
          <w:color w:val="auto"/>
        </w:rPr>
        <w:t>which they have shared voting and dispositive power with respect to shares thereto. Each disclaims beneficial ownership of shares held by the other. As noted above, Ms. Wynn has filed a cross-claim seeking to void the Amended and Restated Stockholders Agreement.</w:t>
      </w:r>
    </w:p>
    <w:p>
      <w:pPr>
        <w:ind w:left="580" w:hanging="572"/>
        <w:spacing w:after="0" w:line="281"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Waddell &amp; Reed Financial, Inc. (“Waddell”) has beneficial ownership of these shares as of December 31, 2011. The information provided is based upon a Schedule 13G/A filed on February 14, 2012, filed by Waddell indicating that Waddell has sole voting and dispositive power as to 18,066,873 shares. Waddell &amp; Reed Financial Services, Inc. a subsidiary of Waddell, has sole voting and dispositive power as to 4,518,938 shares. Waddell &amp; Reed, Inc., a subsidiary of Waddell &amp; Reed Financial Services, Inc. has sole voting and dispositive power as to 4,518,938 shares. Waddell &amp; Reed Investment Management Company, a subsidiary of Waddell &amp; Reed, Inc., has sole voting and dispositive power as to 4,518,938 shares; and Ivy Investment Management Company, a subsidiary of Waddell, has sole voting and dispositive power as to 13,547,935 shares. The number of common shares beneficially owned by Waddell may have changed since the filing of the Schedule 13G/A.</w:t>
      </w:r>
    </w:p>
    <w:p>
      <w:pPr>
        <w:spacing w:after="0" w:line="4" w:lineRule="exact"/>
        <w:rPr>
          <w:rFonts w:ascii="Arial" w:cs="Arial" w:eastAsia="Arial" w:hAnsi="Arial"/>
          <w:sz w:val="16"/>
          <w:szCs w:val="16"/>
          <w:color w:val="auto"/>
        </w:rPr>
      </w:pPr>
    </w:p>
    <w:p>
      <w:pPr>
        <w:ind w:left="580" w:right="40" w:hanging="572"/>
        <w:spacing w:after="0" w:line="281"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Marsico Capital Management LLC (“Marsico”) has beneficial ownership of these shares as of December 31, 2011. Marsico has sole dispositive power as to 8,476,973 shares and sole voting power as to 4,320,237 shares. The information provided is based upon a Schedule 13G/A, dated February 14, 2012, filed by Marsico. The number of common shares beneficially owned by Marisco may have changed since the filing of the Schedule 13G/A.</w:t>
      </w:r>
    </w:p>
    <w:p>
      <w:pPr>
        <w:spacing w:after="0" w:line="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Wynn Resorts’ 2002 Stock Incentive Plan and subject to a Restricted Stock Agreement which provides such grant will vest on December 5, 2016; and (ii) 30,000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14,720 shares subject to an immediately exercisable option to purchase Wynn Resorts’ common stock granted pursuant to Wynn Resorts’ 2002 Stock Incentive Plan; (ii) 2,500 unvested shares of restricted stock of Wynn Resorts’ common stock granted pursuant to Wynn Resorts’ 2002 Stock Incentive Plan; (iii) 1,300 shares owned as Trustee for which Mr. Goldsmith disclaims beneficial ownership; and (iv) 1,500 shares through a company for which Mr. Goldsmith disclaims beneficial ownership of 1,470 shares.</w:t>
      </w:r>
    </w:p>
    <w:p>
      <w:pPr>
        <w:spacing w:after="0" w:line="1" w:lineRule="exact"/>
        <w:rPr>
          <w:rFonts w:ascii="Arial" w:cs="Arial" w:eastAsia="Arial" w:hAnsi="Arial"/>
          <w:sz w:val="18"/>
          <w:szCs w:val="18"/>
          <w:color w:val="auto"/>
        </w:rPr>
      </w:pPr>
    </w:p>
    <w:p>
      <w:pPr>
        <w:jc w:val="both"/>
        <w:ind w:left="580" w:right="22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15,720 shares subject to an immediately exercisable option to purchase Wynn Resorts’ common stock granted pursuant to Wynn Resorts’ 2002 Stock Incentive Plan; and (ii) 5,000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February 18, 2012, Wynn Resorts redeemed the 24,549,222 shares then held by Aruze USA, Inc. (the “Aruze Shares”), pursuant to Article VII of Wynn Resorts’ articles of incorporation based on the determination of Wynn Resorts’ Board of Directors that Aruze USA, Inc., Universal Entertainment Corporation and Mr. Kazuo Okada are Unsuitable Persons under the provisions of Wynn Resorts’ articles of incorporation. As a result of the share redemption described below, the shares previously held by Aruze USA, Inc. are no longer issued and outstanding and neither Mr. Wynn nor Ms. Wynn has or shares the power to vote or dispose of the Aruze Shares formerly held by Aruze USA, Inc. Further, by virtue of that redemption, neither Mr. Wynn nor Ms. Wynn remains a member of any “group” with Aruze USA, Inc. nor is either of Mr. Wynn or Ms. Wynn otherwise a beneficial owner of the former Aruze Shares.</w:t>
      </w:r>
    </w:p>
    <w:p>
      <w:pPr>
        <w:spacing w:after="0" w:line="3"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15,720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35,720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25,720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150,000 shares of Wynn Resorts’ common stock held by John A. Moran, as Trustee.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40" w:hanging="572"/>
        <w:spacing w:after="0" w:line="253"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Incentive Plan and subject to a Restricted Stock Agreement which provides such grant will vest on December 5, 2016, and (ii) 50,000 shares subject to immediately exercisable options to purchase Wynn Resorts’ common stock granted pursuant to Wynn Resorts’ 2002 Stock Incentive Plan.</w:t>
      </w:r>
    </w:p>
    <w:p>
      <w:pPr>
        <w:ind w:left="580" w:right="140" w:hanging="572"/>
        <w:spacing w:after="0" w:line="25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 50,000 shares of restricted stock granted pursuant to Wynn Resorts’ 2002 Stock Incentive Plan and subject to a Restricted Stock Agreement which provides such grant will vest on December 5, 2016; and (ii) 30,000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right="100"/>
        <w:spacing w:after="0" w:line="250" w:lineRule="auto"/>
        <w:rPr>
          <w:rFonts w:ascii="Arial" w:cs="Arial" w:eastAsia="Arial" w:hAnsi="Arial"/>
          <w:sz w:val="16"/>
          <w:szCs w:val="16"/>
          <w:color w:val="auto"/>
        </w:rPr>
      </w:pPr>
      <w:r>
        <w:rPr>
          <w:rFonts w:ascii="Arial" w:cs="Arial" w:eastAsia="Arial" w:hAnsi="Arial"/>
          <w:sz w:val="18"/>
          <w:szCs w:val="18"/>
          <w:color w:val="auto"/>
        </w:rPr>
        <w:t>(ii) 55,000 shares subject to immediately exercisable options to purchase Wynn Resorts Common Stock pursuant to Wynn Resorts’ 2002 Stock Incentive Plan.</w:t>
      </w:r>
    </w:p>
    <w:p>
      <w:pPr>
        <w:ind w:left="580" w:right="140" w:hanging="572"/>
        <w:spacing w:after="0" w:line="25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Wynn Resorts’ 2002 Stock Incentive Plan and subject to a Restricted Stock Agreement which provides such grant will vest on December 5, 2016, and (ii) 25,000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359,040 shares subject to immediately exercisable stock options.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2012, Wynn Resorts’ Audit Committee updated its written policy.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Wynn Resorts’ Audit Committee has approved or ratified all of these transactions that occurred after the date of the adoption of the policy.</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Wynn Resorts, and Aruze USA, Inc., each greater than 5% stockholders of Wynn Resorts, entered into the Amended and Restated Stockholders Agreement which amended and restated the Stockholders Agreement between Mr. Wynn and Aruze USA, Inc. (which had been entered into as of April 11, 2002, as amended as of November 8, 2006, and was subject to waivers and consents, dated July 31, 2009, and August 13, 2009). Pursuant to the Amended and Restated Stockholders Agreement, Elaine P. Wynn (a) became a party to the Amended and Restated Stockholders Agreement in connection with 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USA, Inc. agree to vote all shares of Wynn Resorts held by them and subject to the terms of the Amended and Restated Stockholders Agreement in a manner so as to elect to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 USA, Inc. As a result of the share redemption described below, the shares previously held by Aruze are no longer issued and outstanding and neither Mr. Wynn nor Ms. Wynn has or shares the power to vote or dispose of the Aruze Shares formerly held by Aruze USA, Inc. Further, by virtue of that redemption, neither Mr. Wynn nor Ms. Wynn remains a member of any “group” with Aruze USA, Inc. nor is either of Mr. Wynn or Ms. Wynn otherwise a beneficial owner of the former Aruze Shares.</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Share Redemption. </w:t>
      </w:r>
      <w:r>
        <w:rPr>
          <w:rFonts w:ascii="Arial" w:cs="Arial" w:eastAsia="Arial" w:hAnsi="Arial"/>
          <w:sz w:val="16"/>
          <w:szCs w:val="16"/>
          <w:color w:val="auto"/>
        </w:rPr>
        <w:t>On February 18, 2012, Wynn Resorts redeemed the Aruze Shares, pursuant to Article VII of Wynn Resorts’ articles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determination of Wynn Resorts’ Board of Directors that Aruze USA, Inc., Universal Entertainment Corporation and Mr. Kazuo Okada are Unsuitable Persons under the provisions of Wynn Resorts’ articles of incorporation. Following a finding of “unsuitability,” Wynn Resorts’ articles authorize redemption at “fair value” of the shares held by Unsuitable Persons. Wynn Resorts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Wynn Resorts’ articles of incorporation, Wynn Resorts issued the Redemption Price Promissory Note (the “Note”) to Aruze USA, Inc. in redemption of the shares.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Note has a principal amount of $1,936,442,631.36, matures on February 18, 2022 and bears interest at the rate of 2% per annum, payable annually in arrears on each anniversary of the date of the Note. Wynn Resorts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Wynn Resorts or as specifically mandated by law. The indebtedness evidenced by the Note is and shall be subordinated in right of payment, to the extent and in the manner provided in the Note, to the prior payment in full of all existing and future obligations of Wynn Resorts or any of its affiliates in respect of indebtedness for borrowed money of any kind or nature.</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Artwork. </w:t>
      </w:r>
      <w:r>
        <w:rPr>
          <w:rFonts w:ascii="Arial" w:cs="Arial" w:eastAsia="Arial" w:hAnsi="Arial"/>
          <w:sz w:val="18"/>
          <w:szCs w:val="18"/>
          <w:color w:val="auto"/>
        </w:rPr>
        <w:t>Since June 2006, Wynn Las Vegas, LLC has leased certain pieces of fine art from Mr. Wynn for an annual fee of one dollar ($1). 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LLC is responsible for all expenses incurred in exhibiting and safeguarding those works that it exhibits under the lease, including the cost of insurance (including terrorism insurance) and taxes.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 and</w:t>
      </w:r>
      <w:r>
        <w:rPr>
          <w:rFonts w:ascii="Arial" w:cs="Arial" w:eastAsia="Arial" w:hAnsi="Arial"/>
          <w:sz w:val="16"/>
          <w:szCs w:val="16"/>
          <w:i w:val="1"/>
          <w:iCs w:val="1"/>
          <w:color w:val="auto"/>
        </w:rPr>
        <w:t xml:space="preserve"> </w:t>
      </w:r>
      <w:r>
        <w:rPr>
          <w:rFonts w:ascii="Arial" w:cs="Arial" w:eastAsia="Arial" w:hAnsi="Arial"/>
          <w:sz w:val="16"/>
          <w:szCs w:val="16"/>
          <w:color w:val="auto"/>
        </w:rPr>
        <w:t>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8" w:lineRule="exact"/>
        <w:rPr>
          <w:sz w:val="20"/>
          <w:szCs w:val="20"/>
          <w:color w:val="auto"/>
        </w:rPr>
      </w:pPr>
    </w:p>
    <w:p>
      <w:pPr>
        <w:jc w:val="center"/>
        <w:ind w:left="580" w:right="120"/>
        <w:spacing w:after="0" w:line="440" w:lineRule="auto"/>
        <w:rPr>
          <w:sz w:val="20"/>
          <w:szCs w:val="20"/>
          <w:color w:val="auto"/>
        </w:rPr>
      </w:pPr>
      <w:r>
        <w:rPr>
          <w:rFonts w:ascii="Arial" w:cs="Arial" w:eastAsia="Arial" w:hAnsi="Arial"/>
          <w:sz w:val="18"/>
          <w:szCs w:val="18"/>
          <w:i w:val="1"/>
          <w:iCs w:val="1"/>
          <w:color w:val="auto"/>
        </w:rPr>
        <w:t xml:space="preserve">Villa Lease. </w:t>
      </w:r>
      <w:r>
        <w:rPr>
          <w:rFonts w:ascii="Arial" w:cs="Arial" w:eastAsia="Arial" w:hAnsi="Arial"/>
          <w:sz w:val="18"/>
          <w:szCs w:val="18"/>
          <w:color w:val="auto"/>
        </w:rPr>
        <w:t>Mr. Wynn currently leases a villa suite at Wynn Las Vegas. Until March 31, 2011, Elaine P. Wynn also leased a villa suite at 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On March 18, 2010, Mr. Wynn and Wynn Las Vegas, LLC entered into an Amended and Restated Agreement of Lease (the “SW Lease”) for a villa suite to serve as Mr. Wynn’s personal residence. The SW Lease amends and restates the prior lease. The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SW Lease, the rental value of the villa suite will be treated as imputed income to Mr. Wynn, and will be equal to the fair market value of the accommodations provided. Effective March 1, 2010 through February 29, 2012, the rental value was $503,831 per year as determined by the Audit Committee with the assistance of a third-party appraisal. Effective March 1, 2012, the rental value is $440,000 per year based on the current fair market value as established by an independent third-party appraisal and approved by the Audit Committee. As provided in the lease, the rental value for Mr. Wynn’s villa will be re-determined every two years during the term of the lease based upon an independent third-party appraisal. Certain services for, and maintenance of, the villa suite are included in the rental, as well as the use of minimal warehouse space at Wynn Las Vegas.</w:t>
      </w:r>
    </w:p>
    <w:p>
      <w:pPr>
        <w:spacing w:after="0" w:line="1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and Wynn Las Vegas, LLC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terminated December 31, 2010. In 2011, the lease continued on a month-to-month basis and was terminated effective March 31, 2011. Pursuant to the terms of the New EW Lease, Elaine P. Wynn paid annual rent equal to $350,000, which amount was determined based on a third-party appraisal. Certain services for, and maintenance of, the villa suite were included in the rental.</w:t>
      </w:r>
    </w:p>
    <w:p>
      <w:pPr>
        <w:spacing w:after="0" w:line="116"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i w:val="1"/>
          <w:iCs w:val="1"/>
          <w:color w:val="auto"/>
        </w:rPr>
        <w:t xml:space="preserve">Home Purchase. </w:t>
      </w:r>
      <w:r>
        <w:rPr>
          <w:rFonts w:ascii="Arial" w:cs="Arial" w:eastAsia="Arial" w:hAnsi="Arial"/>
          <w:sz w:val="15"/>
          <w:szCs w:val="15"/>
          <w:color w:val="auto"/>
        </w:rPr>
        <w:t>In May 2010, Wynn Resorts entered into a new employment agreement with Linda Chen, who is also a director. The term of the new</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agreement is through February 24, 2020. Under the terms of the new employment agreement, Wynn Resorts purchased a home in Macau for use by Ms. Chen for approximately $5.4 million, and through December 31, 2011, had made improvements with costs totaling $2.1 million to renovate the home. The employment agreement also provides Ms. Chen the use of an automobile in Macau. Upon the occurrence of certain events set forth below, Ms. Chen shall have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Wynn Resorts. Upon Ms. Chen’s termination for “cause,” Ms. Chen will be deemed to have elected to purchase the Macau home based on the applicable Discount Percentage unless Wynn Resorts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Aircraft Arrangements. </w:t>
      </w:r>
      <w:r>
        <w:rPr>
          <w:rFonts w:ascii="Arial" w:cs="Arial" w:eastAsia="Arial" w:hAnsi="Arial"/>
          <w:sz w:val="16"/>
          <w:szCs w:val="16"/>
          <w:color w:val="auto"/>
        </w:rPr>
        <w:t>Messrs. Wynn and Schorr, Wynn Resorts’ Chief Operating Officer, have time-sharing agreements with Las Vegas Jet, LLC, a</w:t>
      </w:r>
      <w:r>
        <w:rPr>
          <w:rFonts w:ascii="Arial" w:cs="Arial" w:eastAsia="Arial" w:hAnsi="Arial"/>
          <w:sz w:val="16"/>
          <w:szCs w:val="16"/>
          <w:i w:val="1"/>
          <w:iCs w:val="1"/>
          <w:color w:val="auto"/>
        </w:rPr>
        <w:t xml:space="preserve"> </w:t>
      </w:r>
      <w:r>
        <w:rPr>
          <w:rFonts w:ascii="Arial" w:cs="Arial" w:eastAsia="Arial" w:hAnsi="Arial"/>
          <w:sz w:val="16"/>
          <w:szCs w:val="16"/>
          <w:color w:val="auto"/>
        </w:rPr>
        <w:t>wholly owned indirect subsidiary of Wynn Resorts, covering their personal use of company-owned aircraft. These time-share agreements require Wynn Resorts to include as taxable compensation of such executive, the direct costs that Wynn Resorts incurs in operating the aircraft, up to an amount determined by using the Internal Revenue Service Standard Industry Fare Level (SIFL) tables for his personal use the aircraft. During 2011, the following amounts were included in the executives’ taxable compensation pursuant to these timesharing arrangements: Mr. Wynn $324,186 and Mr. Schorr $136,534. In the event that direct costs in operating the aircraft exceed the amounts determined by using the SIFL method, such additional costs are paid for by Wynn Resorts.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Reimbursable Costs. </w:t>
      </w:r>
      <w:r>
        <w:rPr>
          <w:rFonts w:ascii="Arial" w:cs="Arial" w:eastAsia="Arial" w:hAnsi="Arial"/>
          <w:sz w:val="18"/>
          <w:szCs w:val="18"/>
          <w:color w:val="auto"/>
        </w:rPr>
        <w:t>Wynn Resorts periodically provides services to certain of its executive officers and directors, including the personal use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work and other personal services. These certain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officers and directors have deposits with Wynn Resorts to prepay any such items. These deposits are replenished on an ongoing basis as needed. At December 31, 2011, Mr. Wynn and Elaine P. Wynn had net deposit balances with Wynn Resorts of $156,989 and $209,396, respectively. In addition, Wynn Resorts provides facilities, catering and related goods and services to all full-time employees at a discount depending on the amount spent, and provides certain other goods and services to some of it executives at a discount. Mr. Wynn paid Wynn Resorts approximately $1.9 million in 2011 for such services in connection with a special event.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Tax Indemnification Agreement. </w:t>
      </w:r>
      <w:r>
        <w:rPr>
          <w:rFonts w:ascii="Arial" w:cs="Arial" w:eastAsia="Arial" w:hAnsi="Arial"/>
          <w:sz w:val="18"/>
          <w:szCs w:val="18"/>
          <w:color w:val="auto"/>
        </w:rPr>
        <w:t>In 2002, Stephen A. Wynn, Aruze USA, Inc., Baron Asset Fund, and the Kenneth R. Wynn Family Trust (referred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In addition to the above, Wynn Resorts (or its subsidiaries) employs (a) Eddie Tseng, the spouse of Ms. Chen, President of Wynn International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Marketing and a director of Wynn Resorts, as Senior Vice President of Customer Development of Worldwide Wynn, LLC; (b) Michael Pascal, the brother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Elaine P. Wynn, as a Senior Executive Host of Wynn Las Vegas, and (c) Mr. Michael Pascal’s wife, Mary Ann Pascal, as a Host at Wynn Las Vegas. The Audit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of Wynn Resorts approved each such employment arrangement in advance and determined that compensation was at (or below) levels paid to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family members. Total compensation paid to the above named individuals for 2011 included the following amounts calculated in the same manner as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Summary Compensation Table values presented for named executive officers: (a) to Eddie Tseng, base salary and bonus of $572,000, and other compensation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$668, (b) to Michael Pascal, base salary and bonus of $147,500, and other compensation of $2,762, and (c) to Mary Ann Pascal, base salary and bonus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$240,000, and other compensation of $464. Wynn Resorts anticipates that these individuals will continue to serve in their respective positions during 2012.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2012, Wynn Resorts entered into a consulting agreement for internet marketing services with the daughter of Russell Goldsmith, a member of Wynn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Resorts’ board, for a fee of $10,000 per month.</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EXCHANGE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terms and conditions detailed in this prospectus, we will accept for exchange old notes that are properly tendered prior to the expiration date</w:t>
      </w:r>
    </w:p>
    <w:p>
      <w:pPr>
        <w:spacing w:after="0" w:line="5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and not withdrawn as permitted below. When we refer to the term expiration date, we mean 5:00 p.m., New York City time, , 2012.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the date of this prospectus, $900,000,000 aggregate principal amount of old notes are outstanding. We are sending this prospectus, together with the letter of transmittal, to all holders of old notes that we are aware of on the date of this prospectus.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325"/>
        <w:spacing w:after="0" w:line="335" w:lineRule="auto"/>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97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4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notes issued in the exchange offer, including information with respect to any selling holder required by the Securities Act in connection with any resale of the new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10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entry procedures described below, the non-exchanged old notes will be credited to an account maintained with DTC, as promptly as practicable after the expiration or termination of the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325"/>
        <w:spacing w:after="0" w:line="290"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37"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55107-1419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651-466-7372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any purchaser of new notes who is one of our “affiliates” as defined in Rule 405 under the Securities Act or who intends to participate in the exchange offer for the purpose of distributing the new notes:</w:t>
      </w:r>
    </w:p>
    <w:p>
      <w:pPr>
        <w:spacing w:after="0" w:line="5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notes under an indenture (as amended or supplemented from time to time, the “Indenture”), dated as of March 12, 2012, among the Issuers, as joint and several obligors, the Guarantors and U.S. Bank National Association, as trustee (the “trustee”). In September 2012, the Note Guarantees of the Guarantors were released. See “Summary—Recent Developments.” The Indenture is the same indenture under which the old notes were issued. The terms of the new notes will include those stated in the Indenture and those made part of the Indenture by reference to the Trust Indenture Act of 1939, as amended. The term “Notes” shall include the new notes and the old notes that remain outstanding following this exchange offer, and the term “Note Guarantees” shall include any future guarantees of the new notes.</w:t>
      </w:r>
    </w:p>
    <w:p>
      <w:pPr>
        <w:spacing w:after="0" w:line="12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It does not restate the Indenture in its entirety. We urge you to read the Indenture and the other agreements referred to under “—Additional Information” because such documents, and not this description, define your rights as holders of the Notes. Copies of the Indenture and such other agreements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Notes Versus the Old Notes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registration rights and liquidated damages provisions relating to the old notes do not apply to the new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 xml:space="preserve">Issuers. </w:t>
      </w:r>
      <w:r>
        <w:rPr>
          <w:rFonts w:ascii="Arial" w:cs="Arial" w:eastAsia="Arial" w:hAnsi="Arial"/>
          <w:sz w:val="15"/>
          <w:szCs w:val="15"/>
          <w:color w:val="auto"/>
        </w:rPr>
        <w:t>Wynn Las Vegas owns and operates the Wynn Las Vegas hotel and casino resort. Wynn Capital is a Wholly Owned Subsidiary of Wynn Las Vegas,</w:t>
      </w:r>
      <w:r>
        <w:rPr>
          <w:rFonts w:ascii="Arial" w:cs="Arial" w:eastAsia="Arial" w:hAnsi="Arial"/>
          <w:sz w:val="15"/>
          <w:szCs w:val="15"/>
          <w:i w:val="1"/>
          <w:iCs w:val="1"/>
          <w:color w:val="auto"/>
        </w:rPr>
        <w:t xml:space="preserve"> </w:t>
      </w:r>
      <w:r>
        <w:rPr>
          <w:rFonts w:ascii="Arial" w:cs="Arial" w:eastAsia="Arial" w:hAnsi="Arial"/>
          <w:sz w:val="15"/>
          <w:szCs w:val="15"/>
          <w:color w:val="auto"/>
        </w:rPr>
        <w:t>and will serve as a corporate co-issuer of the new notes (and serves as a corporate co-issuer of the old notes).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be issued in an original aggregate principal amount of up to $900,000,000;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mature on March 15, 2022;</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bear interest at the rate of 5.375% per annum (based on a 360-day year of twelve 30-day months), payable in arrears each March 15 and September 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March 15, 2017, at a premium declining ratably to par;</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proceeds upon the occurrence of an Asset Sale or, in some circumstances, an Event of Loss and will not have any provision for sinking funds; and</w:t>
      </w:r>
    </w:p>
    <w:p>
      <w:pPr>
        <w:spacing w:after="0" w:line="113" w:lineRule="exact"/>
        <w:rPr>
          <w:sz w:val="20"/>
          <w:szCs w:val="20"/>
          <w:color w:val="auto"/>
        </w:rPr>
      </w:pPr>
    </w:p>
    <w:p>
      <w:pPr>
        <w:ind w:left="900" w:right="220" w:hanging="325"/>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Guarantors</w:t>
      </w:r>
      <w:r>
        <w:rPr>
          <w:rFonts w:ascii="Arial" w:cs="Arial" w:eastAsia="Arial" w:hAnsi="Arial"/>
          <w:sz w:val="16"/>
          <w:szCs w:val="16"/>
          <w:color w:val="auto"/>
        </w:rPr>
        <w:t>. The new notes are not guaranteed; however, under the circumstances described below under “—Release and Reinstatement of Liens and</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certain of our Subsidiaries may be required to provide Note Guarantees of the notes in the future.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new notes offered in this exchange offer:</w:t>
      </w:r>
    </w:p>
    <w:p>
      <w:pPr>
        <w:spacing w:after="0" w:line="9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will be general obligations of the Issuers;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will be unsecured (except by a pledge by Wynn Resorts Holdings of its Equity Interests in Wynn Las Vegas (the “Holdings Pledge”), which pledge also secures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Indebtedness of the Issuers, including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without giving effect to collateral arrangements;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will be effectively subordinated to any secured Indebtedness of the Issuers to the extent of the value of the Issuers’ assets securing such Indebtedness;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will rank senior in right of payment to the obligations of the Issuers with respect to any Indebtedness subordinated to the new notes;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will be structurally subordinated to any Indebtedness and other liabilities, including preferred stock, of any of our subsidiaries.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As of June 30, 2012, the Issuers’ subsidiaries had approximately $34.7 million of indebtedness and other liabilities, to which the new notes will be structurally subordinated. As of the date of this prospectus, the Issuers have no secured indebtedness (other than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each of which is secured only by the Holdings Pledge, and capital leases).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and Reinstatement of Liens and Guarantees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As described under “Summary—Recent Developments,” in September 2012, we terminated the Credit Agreement and, in accordance with the Indenture and the indentures governing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p>
      <w:pPr>
        <w:spacing w:after="0" w:line="51" w:lineRule="exact"/>
        <w:rPr>
          <w:sz w:val="20"/>
          <w:szCs w:val="20"/>
          <w:color w:val="auto"/>
        </w:rPr>
      </w:pPr>
    </w:p>
    <w:p>
      <w:pPr>
        <w:ind w:left="900" w:right="26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Liens (other than the Holdings Pledge) on the Collateral securing, and the subsidiary guarantees of,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were released and a Collateral Release Period commenced; and</w:t>
      </w:r>
    </w:p>
    <w:p>
      <w:pPr>
        <w:spacing w:after="0" w:line="5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terminated the Golf Course Lease and the Access Easement Agreement and distributed to Wynn Holdings (which distributed to Wynn Resorts) as Released Assets (i) all of the Equity Interests in Wynn Golf (which owns the Golf Course Land (including the Home Site Land and the Wynn Home Site Land), the related Water Rights and certain other Water Rights related to ancillary uses), and (ii) $700 million in cash.</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Accordingly, in this “Description of the New Notes” (i) all references to the Golf Course Land, the Home Site Land, the Wynn Home Site Land, the related Water Rights, the Golf Course Lease and the Access Easement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 are no longer applicable, (ii) all references to Collateral (including Events of Loss) and similar references apply only to the Holdings Pledge, as applicable, unless the Notes are again secured by other Collateral, (iii) all references to Note Guarantees and similar references apply only in the circumstances in which the Notes again have the benefit of Note Guarantees as described below, and (iv) all assets (other than the Equity Interests held by Wynn Resorts Holdings in Wynn Las Vegas) that were Collateral before such release now constitute Released Assets. In addition, as of the date of this prospectus, we do not currently have a Credit Agreement.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Reinstatement of Liens and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certain circumstances, as further described below, we may be required in the future to grant Liens to again secure the Notes or certain of our Restricted Subsidiaries may be required to provide Note Guarantees of the Notes. There can be no assurances that the Notes will be so secured or will have the benefit of any Note Guarantees in the future.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that the Issuers or any such future Guarantors grant Liens (other than Liens to secure up to $100.0 million of secured Indebtedness pursuant to the first paragraph of “Certain Covenants—Incurrence of Indebtedness and Issuance of Disqualified Stock” or clause (1) of “Permitted Debt”) to secure any other Indebtedness (other than pursuant to clause (7) of “Permitted Debt”):</w:t>
      </w:r>
    </w:p>
    <w:p>
      <w:pPr>
        <w:spacing w:after="0" w:line="59" w:lineRule="exact"/>
        <w:rPr>
          <w:sz w:val="20"/>
          <w:szCs w:val="20"/>
          <w:color w:val="auto"/>
        </w:rPr>
      </w:pPr>
    </w:p>
    <w:p>
      <w:pPr>
        <w:ind w:left="900" w:right="4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Issuers or such future Guarantors, as the case may be, shall be required to grant security interests on the same assets to secure the Issuers’ obligations under the Notes and such Guarantors’ obligations under the Note Guarantees on an equal and ratable basis with such other Indebtedness, so long as such other Indebtedness is so secured;</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and the Collateral Agent shall be authorized, on behalf of the Holders, to enter into an intercreditor agreement substantially similar to the Intercreditor Agreement; and</w:t>
      </w:r>
    </w:p>
    <w:p>
      <w:pPr>
        <w:spacing w:after="0" w:line="50" w:lineRule="exact"/>
        <w:rPr>
          <w:rFonts w:ascii="Arial" w:cs="Arial" w:eastAsia="Arial" w:hAnsi="Arial"/>
          <w:sz w:val="18"/>
          <w:szCs w:val="18"/>
          <w:color w:val="auto"/>
        </w:rPr>
      </w:pPr>
    </w:p>
    <w:p>
      <w:pPr>
        <w:ind w:left="900" w:right="240" w:hanging="325"/>
        <w:spacing w:after="0" w:line="335"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concurrently with the formation or acquisition of certain Restricted Subsidiaries of Wynn Las Vegas, Wynn Las Vegas shall cause such Restricted Subsidiary to guarantee all of the obligations of the Issuers under the Indenture and the Notes (which event also will require such Subsidiary to guarantee all of the obligations of the Issuers under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related indentures).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Issuers will issue up to $900,000,000 in aggregate principal amount of new notes in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Notes and any additional Notes subsequently issued under the Indenture will be treated as a single class for all purposes under the Indenture, including, without limitation, waivers, amendments, redemptions and offers to purchase. It is possible, however, that any such additional Notes will not be treated as part of the same issue for United States federal income tax purposes. The Issuers will issue new notes in denominations of $2,000 and integral multiples of $1,000 in excess of $2,000. The new notes will mature on March 15, 2022.</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Interest on the new notes will accrue at the rate of 5.375% per annum and is payable semiannually in arrears on March 15 and September 15, with the first interest payment date being September 15, 2012. Interest on overdue principal and interest will accrue at a rate that is 1% higher than the then applicable interest rate on the new notes. The Issuers will make each interest payment to the holders of record on the immediately preceding March 1 and September 1.</w:t>
      </w:r>
    </w:p>
    <w:p>
      <w:pPr>
        <w:spacing w:after="0" w:line="10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Interest on the new notes accrues from the date of original issuance of the old notes or, if interest has already been paid, from the date it was most recently paid on the new notes (or the old notes surrendered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exchange for the new notes). 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All payments on the Notes will be made at the office or agency of the paying agent and registrar within the City and State of New York unless the Issuers elect to make interest payments by check mailed to the holders of the Notes at their addresses set forth in the register of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Notes, and either or both of the Issuers or any of their respective Subsidiaries may act as paying agent or registrar.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the event that the Notes have the benefit of any future Note Guarantees, the Note Guarantees would be joint and several obligations of the Guarantors and the obligations of each Guarantor under its Note Guarantee would be limited as necessary to prevent such Note Guarantee from constituting a fraudulent conveyance under applicable law. Federal and state statutes allow courts, under specific circumstances, to void the guarantees, and require holders of the Notes to return payments received from us or the Guarantors. There can be no assurances that the Notes will have the benefit of any Note Guarantees in the future.</w:t>
      </w:r>
    </w:p>
    <w:p>
      <w:pPr>
        <w:spacing w:after="0" w:line="9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Guarantor (if any) may not sell or otherwise dispose of all or substantially all of its assets to, or consolidate with or merge with or into (whether or not such Guarantor is the surviving Person), another Person, other than either of the Issuers or another Guarantor, unless:</w:t>
      </w:r>
    </w:p>
    <w:p>
      <w:pPr>
        <w:spacing w:after="0" w:line="5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the applicable provisions of the Indenture.</w:t>
      </w:r>
    </w:p>
    <w:p>
      <w:pPr>
        <w:spacing w:after="0" w:line="171" w:lineRule="exact"/>
        <w:rPr>
          <w:sz w:val="20"/>
          <w:szCs w:val="20"/>
          <w:color w:val="auto"/>
        </w:rPr>
      </w:pPr>
    </w:p>
    <w:p>
      <w:pPr>
        <w:jc w:val="center"/>
        <w:ind w:right="420"/>
        <w:spacing w:after="0" w:line="440" w:lineRule="auto"/>
        <w:rPr>
          <w:sz w:val="20"/>
          <w:szCs w:val="20"/>
          <w:color w:val="auto"/>
        </w:rPr>
      </w:pPr>
      <w:r>
        <w:rPr>
          <w:rFonts w:ascii="Arial" w:cs="Arial" w:eastAsia="Arial" w:hAnsi="Arial"/>
          <w:sz w:val="18"/>
          <w:szCs w:val="18"/>
          <w:color w:val="auto"/>
        </w:rPr>
        <w:t>Notwithstanding the foregoing, each Guarantor (if any) is permitted to reorganize as a corporation pursuant to a Permitted C-Corp. Conversion. 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Release of Note Guarantees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compliance with the provisions described above under the caption “—Note Guarantees— General,” the Note Guarantee of a Guarantor (if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the security interests granted by that Guarantor to secure its Note Guarantees (if any) will be released:</w:t>
      </w:r>
    </w:p>
    <w:p>
      <w:pPr>
        <w:spacing w:after="0" w:line="84" w:lineRule="exact"/>
        <w:rPr>
          <w:sz w:val="20"/>
          <w:szCs w:val="20"/>
          <w:color w:val="auto"/>
        </w:rPr>
      </w:pPr>
    </w:p>
    <w:p>
      <w:pPr>
        <w:ind w:left="460" w:right="20" w:hanging="452"/>
        <w:spacing w:after="0" w:line="25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3"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2"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the Collateral is released under the circumstances described above under the caption “—Release and Reinstatement of Liens and Guarantees—Subsequent Releases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At any time prior to March 15, 2015, the Issuers may, on any one or more occasions, redeem up to 35% of the aggregate principal amount of Notes issued under the Indenture at a redemption price of 105.375%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March 15, 2017.</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or after March 15, 2017,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redemption date, if redeemed during the twelve-month period beginning on March 15 of the years indicated below, subject to the rights of holders of Notes on the relevant record date to receive interest on the relevant interest payment date:</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66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102.688%</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101.792%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100.896%</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3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90" w:lineRule="exact"/>
        <w:rPr>
          <w:rFonts w:ascii="Arial" w:cs="Arial" w:eastAsia="Arial" w:hAnsi="Arial"/>
          <w:sz w:val="18"/>
          <w:szCs w:val="18"/>
          <w:color w:val="auto"/>
        </w:rPr>
      </w:pPr>
    </w:p>
    <w:p>
      <w:pPr>
        <w:jc w:val="both"/>
        <w:ind w:left="1480" w:right="420" w:hanging="567"/>
        <w:spacing w:after="0" w:line="305" w:lineRule="auto"/>
        <w:tabs>
          <w:tab w:leader="none" w:pos="1480" w:val="left"/>
        </w:tabs>
        <w:numPr>
          <w:ilvl w:val="2"/>
          <w:numId w:val="77"/>
        </w:numPr>
        <w:rPr>
          <w:rFonts w:ascii="Arial" w:cs="Arial" w:eastAsia="Arial" w:hAnsi="Arial"/>
          <w:sz w:val="15"/>
          <w:szCs w:val="15"/>
          <w:color w:val="auto"/>
        </w:rPr>
      </w:pPr>
      <w:r>
        <w:rPr>
          <w:rFonts w:ascii="Arial" w:cs="Arial" w:eastAsia="Arial" w:hAnsi="Arial"/>
          <w:sz w:val="15"/>
          <w:szCs w:val="15"/>
          <w:color w:val="auto"/>
        </w:rPr>
        <w:t>the price that the holder or beneficial owner paid for the Notes in either case, together with accrued and unpaid interest and Liquidated Damages, if any, on the Notes to the earlier of (1) the date of redemption or such earlier date as is required by the Gaming Authority or</w:t>
      </w:r>
    </w:p>
    <w:p>
      <w:pPr>
        <w:ind w:left="1480"/>
        <w:spacing w:after="0"/>
        <w:rPr>
          <w:rFonts w:ascii="Arial" w:cs="Arial" w:eastAsia="Arial" w:hAnsi="Arial"/>
          <w:sz w:val="15"/>
          <w:szCs w:val="15"/>
          <w:color w:val="auto"/>
        </w:rPr>
      </w:pPr>
      <w:r>
        <w:rPr>
          <w:rFonts w:ascii="Arial" w:cs="Arial" w:eastAsia="Arial" w:hAnsi="Arial"/>
          <w:sz w:val="16"/>
          <w:szCs w:val="16"/>
          <w:color w:val="auto"/>
        </w:rPr>
        <w:t>(2) the date of the finding of unsuitability by the Gaming Authority, which may be less than 30 days following the notice of redemption.</w:t>
      </w:r>
    </w:p>
    <w:p>
      <w:pPr>
        <w:spacing w:after="0" w:line="1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51"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$2,000 or an integral multiple of $1,000 in excess of $2,000)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13"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book-entry) to each holder a Note equal in principal amount to any unpurchased portion of the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ind w:left="460" w:right="20" w:hanging="452"/>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25" w:lineRule="exact"/>
        <w:rPr>
          <w:rFonts w:ascii="Arial" w:cs="Arial" w:eastAsia="Arial" w:hAnsi="Arial"/>
          <w:sz w:val="16"/>
          <w:szCs w:val="16"/>
          <w:color w:val="auto"/>
        </w:rPr>
      </w:pPr>
    </w:p>
    <w:p>
      <w:pPr>
        <w:ind w:left="900" w:right="360" w:hanging="446"/>
        <w:spacing w:after="0" w:line="370" w:lineRule="auto"/>
        <w:tabs>
          <w:tab w:leader="none" w:pos="900" w:val="left"/>
        </w:tabs>
        <w:numPr>
          <w:ilvl w:val="1"/>
          <w:numId w:val="80"/>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subject to other Permitted Liens and the terms of the Intercreditor Agreement) in favor of the trustee, on behalf of the holders of Notes, as security for the Notes.</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Net Proceeds from Asset Sales that are not applied or invested as provided in the preceding paragraph will constitute “Excess Net Proceeds.” Within 10 days following the earlier of (i) the date on which the aggregate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 xml:space="preserve">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“Asset Sale Offer Amount”), to make an offer (an “Asset Sale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After any Event of Loss with respect to Collateral,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$500.0 million:</w:t>
      </w:r>
    </w:p>
    <w:p>
      <w:pPr>
        <w:spacing w:after="0" w:line="26" w:lineRule="exact"/>
        <w:rPr>
          <w:sz w:val="20"/>
          <w:szCs w:val="20"/>
          <w:color w:val="auto"/>
        </w:rPr>
      </w:pPr>
    </w:p>
    <w:p>
      <w:pPr>
        <w:ind w:left="460" w:right="20" w:hanging="452"/>
        <w:spacing w:after="0" w:line="33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200" w:hanging="452"/>
        <w:spacing w:after="0" w:line="294"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“Event of Loss Offer Amount”), to make an offer (an “Event of Loss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the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will select the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or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shall be required to be made to the holders of the Notes, as holders of Pari Passu Debt (as defined in those indentures).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Pending their application, all Net Loss Proceeds will either be (1) applied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subject to other Permitted Liens and the terms of the Intercreditor Agreement). These funds and securities will be released to Wynn Las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140" w:hanging="452"/>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460" w:right="6380" w:hanging="452"/>
        <w:spacing w:after="0" w:line="438" w:lineRule="auto"/>
        <w:tabs>
          <w:tab w:leader="none" w:pos="4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at least 80% of which is in the form of cash or Cash Equivalents. </w:t>
      </w:r>
      <w:r>
        <w:rPr>
          <w:rFonts w:ascii="Arial" w:cs="Arial" w:eastAsia="Arial" w:hAnsi="Arial"/>
          <w:sz w:val="18"/>
          <w:szCs w:val="18"/>
          <w:i w:val="1"/>
          <w:iCs w:val="1"/>
          <w:color w:val="auto"/>
        </w:rPr>
        <w:t>Restrictions on Repurchase of Notes</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agreements governing our other Indebtedness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(if any)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an Asset Sale Offer or Event of Loss Offer may be limited by Wynn Las Vegas’ then existing financial resources. See “Risk Factors—Risks Related to the Notes—We may not be able to fulfill our repurchase obligations with respect to the Notes upon a change of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less than all of the Notes are to be redeemed at any time, the trustee will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any other method the trustee deems fair and appropriate, unless otherwise required by law or applicable stock exchange requirements. 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300" w:hanging="452"/>
        <w:spacing w:after="0" w:line="284"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in Wynn Las Vegas or any of its Restricted Subsidiaries or to the direct or indirect holders of any Equity Interests in Wynn Las Vegas or any of its Restricted Subsidiaries in their capacity as such, other than (a) dividends or distributions by Wynn Las Vegas payable in Equity Interests (other than Disqualified Stock) in Wynn Las Vegas,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 dividends or distributions payable to Wynn Las Vegas or any of its Restricted Subsidiaries;</w:t>
      </w:r>
    </w:p>
    <w:p>
      <w:pPr>
        <w:spacing w:after="0" w:line="83"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in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Las Vegas would, at the time of such Restricted Payment and after giving pro forma effect thereto, have been permitted to incur at least $1.00 of additional Indebtedness pursuant to the Fixed Charge Coverage Ratio test set forth in the first paragraph of the covenant described below under the caption “—Incurrence of Indebtedness and Issuance of Disqualified Stock”; and</w:t>
      </w:r>
    </w:p>
    <w:p>
      <w:pPr>
        <w:spacing w:after="0" w:line="59" w:lineRule="exact"/>
        <w:rPr>
          <w:rFonts w:ascii="Arial" w:cs="Arial" w:eastAsia="Arial" w:hAnsi="Arial"/>
          <w:sz w:val="18"/>
          <w:szCs w:val="18"/>
          <w:color w:val="auto"/>
        </w:rPr>
      </w:pPr>
    </w:p>
    <w:p>
      <w:pPr>
        <w:jc w:val="both"/>
        <w:ind w:left="460" w:right="280" w:hanging="452"/>
        <w:spacing w:after="0" w:line="305"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w:t>
      </w:r>
    </w:p>
    <w:p>
      <w:pPr>
        <w:ind w:left="460" w:right="140"/>
        <w:spacing w:after="0" w:line="261" w:lineRule="auto"/>
        <w:rPr>
          <w:rFonts w:ascii="Arial" w:cs="Arial" w:eastAsia="Arial" w:hAnsi="Arial"/>
          <w:sz w:val="15"/>
          <w:szCs w:val="15"/>
          <w:color w:val="auto"/>
        </w:rPr>
      </w:pPr>
      <w:r>
        <w:rPr>
          <w:rFonts w:ascii="Arial" w:cs="Arial" w:eastAsia="Arial" w:hAnsi="Arial"/>
          <w:sz w:val="18"/>
          <w:szCs w:val="18"/>
          <w:color w:val="auto"/>
        </w:rPr>
        <w:t>(5) to the extent such Restricted Payments were already deducted from Consolidated Net Income) of the next succeeding paragraph), is less than the sum, without duplication, of:</w:t>
      </w:r>
    </w:p>
    <w:p>
      <w:pPr>
        <w:spacing w:after="0" w:line="57" w:lineRule="exact"/>
        <w:rPr>
          <w:sz w:val="20"/>
          <w:szCs w:val="20"/>
          <w:color w:val="auto"/>
        </w:rPr>
      </w:pPr>
    </w:p>
    <w:p>
      <w:pPr>
        <w:ind w:left="900" w:right="24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100% of the Consolidated Cash Flow of Wynn Las Vegas and its Restricted Subsidiaries less 1.4 times Fixed Charges for the period (taken as one accounting period) from the beginning of January 1, 2012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end of Wynn Las Vegas’ most recently ended fiscal quarter for which internal financial statements are available at the time of such Restricted Payment (or, if such Consolidated Cash Flow for such period is a deficit, less 100% of such deficit); plus</w:t>
      </w:r>
    </w:p>
    <w:p>
      <w:pPr>
        <w:spacing w:after="0" w:line="51" w:lineRule="exact"/>
        <w:rPr>
          <w:sz w:val="20"/>
          <w:szCs w:val="20"/>
          <w:color w:val="auto"/>
        </w:rPr>
      </w:pPr>
    </w:p>
    <w:p>
      <w:pPr>
        <w:ind w:left="900" w:right="80" w:hanging="446"/>
        <w:spacing w:after="0" w:line="294"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100% of the aggregate net cash proceeds received by Wynn Las Vegas subsequent to January 1, 2012 as a contribution to its common equity capital, excluding (i) any such net cash proceeds received by Wynn Las Vegas subsequent to January 1, 2012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(16) of the covenant described below under the caption “—Incurrence of Indebtedness and Issuance of Disqualified Stock”; plus</w:t>
      </w:r>
    </w:p>
    <w:p>
      <w:pPr>
        <w:spacing w:after="0" w:line="34"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 to the extent that any Restricted Investment that was made after January 1, 2012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rFonts w:ascii="Arial" w:cs="Arial" w:eastAsia="Arial" w:hAnsi="Arial"/>
          <w:sz w:val="16"/>
          <w:szCs w:val="16"/>
          <w:color w:val="auto"/>
        </w:rPr>
      </w:pPr>
    </w:p>
    <w:p>
      <w:pPr>
        <w:ind w:left="900" w:right="60" w:hanging="446"/>
        <w:spacing w:after="0" w:line="306"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2012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2012 (other than the Completion Guarantor) is redesignated as a Restricted Subsidiary after January 1, 2012,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40" w:hanging="452"/>
        <w:spacing w:after="0" w:line="30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ind w:left="460" w:right="56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in or Indebtedness of Wynn Resorts (other than Equity Interests held by or Indebtedness owed to the Specified Holders) to the extent required by any Gaming Authority having jurisdiction over Wynn Las Vegas or any of its Restricted Subsidiaries for not more than the Fair Market Value thereof in order to avoid the suspension, revocation or denial of a Gaming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6" w:lineRule="exact"/>
        <w:rPr>
          <w:sz w:val="20"/>
          <w:szCs w:val="20"/>
          <w:color w:val="auto"/>
        </w:rPr>
      </w:pPr>
    </w:p>
    <w:p>
      <w:pPr>
        <w:ind w:left="460" w:right="6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the repurchase, redemption or other acquisition or retirement for value of any Equity Interests in Wynn Resorts, or (b) the distribution to Wynn Resorts, directly or through any intermediate Wholly Owned Subsidiaries of Wynn Resorts, of amounts necessary to repurchase, redeem or otherwise acquire or retire for value Equity Interests in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$25.0 million in any calendar year;</w:t>
      </w:r>
    </w:p>
    <w:p>
      <w:pPr>
        <w:spacing w:after="0" w:line="39" w:lineRule="exact"/>
        <w:rPr>
          <w:rFonts w:ascii="Arial" w:cs="Arial" w:eastAsia="Arial" w:hAnsi="Arial"/>
          <w:sz w:val="16"/>
          <w:szCs w:val="16"/>
          <w:color w:val="auto"/>
        </w:rPr>
      </w:pPr>
    </w:p>
    <w:p>
      <w:pPr>
        <w:ind w:left="460" w:right="140" w:hanging="452"/>
        <w:spacing w:after="0" w:line="33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 and</w:t>
      </w:r>
    </w:p>
    <w:p>
      <w:pPr>
        <w:spacing w:after="0" w:line="113"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80" w:firstLine="8"/>
        <w:spacing w:after="0" w:line="315" w:lineRule="auto"/>
        <w:tabs>
          <w:tab w:leader="none" w:pos="249" w:val="left"/>
        </w:tabs>
        <w:numPr>
          <w:ilvl w:val="0"/>
          <w:numId w:val="89"/>
        </w:numPr>
        <w:rPr>
          <w:rFonts w:ascii="Arial" w:cs="Arial" w:eastAsia="Arial" w:hAnsi="Arial"/>
          <w:sz w:val="15"/>
          <w:szCs w:val="15"/>
          <w:color w:val="auto"/>
        </w:rPr>
      </w:pPr>
      <w:r>
        <w:rPr>
          <w:rFonts w:ascii="Arial" w:cs="Arial" w:eastAsia="Arial" w:hAnsi="Arial"/>
          <w:sz w:val="15"/>
          <w:szCs w:val="15"/>
          <w:color w:val="auto"/>
        </w:rPr>
        <w:t xml:space="preserve">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basis, including a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0"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 (ii) 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(14) or (15) of this paragraph or under this clause (3);</w:t>
      </w:r>
    </w:p>
    <w:p>
      <w:pPr>
        <w:spacing w:after="0" w:line="25"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00" w:right="100" w:hanging="446"/>
        <w:spacing w:after="0" w:line="255"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1" w:lineRule="exact"/>
        <w:rPr>
          <w:rFonts w:ascii="Arial" w:cs="Arial" w:eastAsia="Arial" w:hAnsi="Arial"/>
          <w:sz w:val="18"/>
          <w:szCs w:val="18"/>
          <w:color w:val="auto"/>
        </w:rPr>
      </w:pPr>
    </w:p>
    <w:p>
      <w:pPr>
        <w:ind w:left="900" w:right="20" w:hanging="446"/>
        <w:spacing w:after="0" w:line="298"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Hedging Obligations in the ordinary course of business;</w:t>
      </w:r>
    </w:p>
    <w:p>
      <w:pPr>
        <w:spacing w:after="0" w:line="9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59"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460" w:right="66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a principal amount, including all Permitted Refinancing Indebtedness incurred to renew, refund, refinance, replace,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defease or discharge any Indebtedness incurred pursuant to this clause (8), not to exceed, at any time, 75% of the aggregate cost of the Phase III Project to pay the costs and expenses of designing, developing and constructing the Phase III Project, so long as the holders of the Notes continue to have a perfected first priority security interest in the Golf Course Land;</w:t>
      </w:r>
    </w:p>
    <w:p>
      <w:pPr>
        <w:spacing w:after="0" w:line="59" w:lineRule="exact"/>
        <w:rPr>
          <w:sz w:val="20"/>
          <w:szCs w:val="20"/>
          <w:color w:val="auto"/>
        </w:rPr>
      </w:pPr>
    </w:p>
    <w:p>
      <w:pPr>
        <w:jc w:val="both"/>
        <w:ind w:left="460" w:right="100" w:hanging="452"/>
        <w:spacing w:after="0" w:line="259"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in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88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the Issuers of the Notes issued on the date of the Indenture and the Note Guarantees;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50" w:lineRule="exact"/>
        <w:rPr>
          <w:rFonts w:ascii="Arial" w:cs="Arial" w:eastAsia="Arial" w:hAnsi="Arial"/>
          <w:sz w:val="18"/>
          <w:szCs w:val="18"/>
          <w:color w:val="auto"/>
        </w:rPr>
      </w:pPr>
    </w:p>
    <w:p>
      <w:pPr>
        <w:ind w:left="460" w:right="260" w:hanging="452"/>
        <w:spacing w:after="0" w:line="289"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662/3%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331/3%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incurrence by Wynn Capital, as co-obligor, of any Indebtedness which Wynn Las Vegas is permitted to incur pursuant to the foregoing provisions.</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(17)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320" w:hanging="452"/>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 (3) sell, lease or transfer any of its properties or assets to Wynn Las Vegas or any of its Restricted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3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Notes, the Indenture, the 2017 Notes, the 2017 Notes indenture,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indenture,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indenture, any Guarantees of such notes or the Collateral Documents;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48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51" w:lineRule="exact"/>
        <w:rPr>
          <w:sz w:val="20"/>
          <w:szCs w:val="20"/>
          <w:color w:val="auto"/>
        </w:rPr>
      </w:pPr>
    </w:p>
    <w:p>
      <w:pPr>
        <w:jc w:val="both"/>
        <w:ind w:left="460" w:right="220" w:hanging="452"/>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under the Indenture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400" w:hanging="452"/>
        <w:spacing w:after="0" w:line="306"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300" w:hanging="452"/>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jc w:val="both"/>
        <w:ind w:left="460" w:right="460" w:hanging="452"/>
        <w:spacing w:after="0" w:line="306"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will, on the date of such transaction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Notes to obtain a Gaming License or be qualified or found suitable under the law of any applicable gaming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jurisdiction; provided that such holder or beneficial owner would not have been required to obtain a Gaming License or be qualified or found suitable under the laws of any applicable gaming jurisdiction in the absence of such transaction.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 and</w:t>
      </w:r>
    </w:p>
    <w:p>
      <w:pPr>
        <w:spacing w:after="0" w:line="31" w:lineRule="exact"/>
        <w:rPr>
          <w:rFonts w:ascii="Arial" w:cs="Arial" w:eastAsia="Arial" w:hAnsi="Arial"/>
          <w:sz w:val="16"/>
          <w:szCs w:val="16"/>
          <w:color w:val="auto"/>
        </w:rPr>
      </w:pPr>
    </w:p>
    <w:p>
      <w:pPr>
        <w:ind w:left="900" w:right="140" w:hanging="446"/>
        <w:spacing w:after="0" w:line="306"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60" w:hanging="452"/>
        <w:spacing w:after="0" w:line="256"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10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right="720" w:hanging="452"/>
        <w:spacing w:after="0" w:line="332"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Restricted Payments that are made in compliance with the provisions of the Indenture described above under the caption “—Restricted Payments”;</w:t>
      </w:r>
    </w:p>
    <w:p>
      <w:pPr>
        <w:spacing w:after="0" w:line="113" w:lineRule="exact"/>
        <w:rPr>
          <w:rFonts w:ascii="Arial" w:cs="Arial" w:eastAsia="Arial" w:hAnsi="Arial"/>
          <w:sz w:val="16"/>
          <w:szCs w:val="16"/>
          <w:color w:val="auto"/>
        </w:rPr>
      </w:pPr>
    </w:p>
    <w:p>
      <w:pPr>
        <w:ind w:left="460" w:right="80" w:hanging="452"/>
        <w:spacing w:after="0" w:line="357" w:lineRule="auto"/>
        <w:tabs>
          <w:tab w:leader="none" w:pos="4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ind w:left="460" w:hanging="452"/>
        <w:spacing w:after="0"/>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 the payment of Allocable Overhead to Wynn Resorts in respect of each Qualifying Project of Wynn Las Vegas and its Restricted Subsidiaries and</w:t>
      </w:r>
    </w:p>
    <w:p>
      <w:pPr>
        <w:spacing w:after="0" w:line="38" w:lineRule="exact"/>
        <w:rPr>
          <w:rFonts w:ascii="Arial" w:cs="Arial" w:eastAsia="Arial" w:hAnsi="Arial"/>
          <w:sz w:val="16"/>
          <w:szCs w:val="16"/>
          <w:color w:val="auto"/>
        </w:rPr>
      </w:pPr>
    </w:p>
    <w:p>
      <w:pPr>
        <w:jc w:val="both"/>
        <w:ind w:left="460" w:right="200"/>
        <w:spacing w:after="0" w:line="255" w:lineRule="auto"/>
        <w:rPr>
          <w:rFonts w:ascii="Arial" w:cs="Arial" w:eastAsia="Arial" w:hAnsi="Arial"/>
          <w:sz w:val="16"/>
          <w:szCs w:val="16"/>
          <w:color w:val="auto"/>
        </w:rPr>
      </w:pPr>
      <w:r>
        <w:rPr>
          <w:rFonts w:ascii="Arial" w:cs="Arial" w:eastAsia="Arial" w:hAnsi="Arial"/>
          <w:sz w:val="18"/>
          <w:szCs w:val="18"/>
          <w:color w:val="auto"/>
        </w:rPr>
        <w:t>(ii)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3" w:lineRule="exact"/>
        <w:rPr>
          <w:rFonts w:ascii="Arial" w:cs="Arial" w:eastAsia="Arial" w:hAnsi="Arial"/>
          <w:sz w:val="16"/>
          <w:szCs w:val="16"/>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jc w:val="both"/>
        <w:ind w:left="460" w:right="160" w:hanging="452"/>
        <w:spacing w:after="0" w:line="298"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6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(1) pay Management Fees if, at the time of payment of such Management Fees, a Default or an Event of Default has occurred and is continuing or shall occur as a result thereof, or (2) prepay any Management Fees.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the Management Fees Subordination Agreement, the right to receive payment of the Management Fees will be subordinated in right of payment to the right of the holders of Notes to receive payments pursuant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transfer, conveyance, sale, lease or other disposition is of all the Equity Interests in such Wholly Owned Restricted Subsidiary; and</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0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change the dates on which such amounts are to be paid to dates earlier than those set forth in such agreement, as in effect on the date of the Indenture;</w:t>
      </w:r>
    </w:p>
    <w:p>
      <w:pPr>
        <w:spacing w:after="0" w:line="113"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1080" w:right="20" w:hanging="1072"/>
        <w:spacing w:after="0" w:line="259" w:lineRule="auto"/>
        <w:tabs>
          <w:tab w:leader="none" w:pos="4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(a)cause such Restricted Subsidiary or subchapter “C” corporation (if such subchapter “C” corporation is not an Issuer) to guarantee all obligations of the Issuers under the Indenture and the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00" w:right="220" w:hanging="446"/>
        <w:spacing w:after="0" w:line="254"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such Uniform Commercial Code financing statements as are necessary to perfect the trustee’s security interest in such assets;</w:t>
      </w:r>
    </w:p>
    <w:p>
      <w:pPr>
        <w:spacing w:after="0" w:line="9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(ii) has a Fair Market Value in excess of $50.0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51" w:lineRule="exact"/>
        <w:rPr>
          <w:sz w:val="20"/>
          <w:szCs w:val="20"/>
          <w:color w:val="auto"/>
        </w:rPr>
      </w:pPr>
    </w:p>
    <w:p>
      <w:pPr>
        <w:ind w:left="900" w:hanging="446"/>
        <w:spacing w:after="0" w:line="332" w:lineRule="auto"/>
        <w:tabs>
          <w:tab w:leader="none" w:pos="9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jc w:val="both"/>
        <w:ind w:left="460" w:right="140" w:hanging="452"/>
        <w:spacing w:after="0" w:line="259"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Notwithstanding the foregoing, no Restricted Subsidiary shall be required to take the actions specified in clauses (2) through (6) above during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Release Period.</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hanging="452"/>
        <w:spacing w:after="0" w:line="306"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306"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requested by the Trustee from time to time in order to:</w:t>
      </w:r>
    </w:p>
    <w:p>
      <w:pPr>
        <w:spacing w:after="0" w:line="4"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superior to the rights of all third Persons, in each case, equal and ratable with the Liens securing the obligations under the Credit Agreement and subject to Permitted Liens; and</w:t>
      </w:r>
    </w:p>
    <w:p>
      <w:pPr>
        <w:spacing w:after="0" w:line="59" w:lineRule="exact"/>
        <w:rPr>
          <w:rFonts w:ascii="Arial" w:cs="Arial" w:eastAsia="Arial" w:hAnsi="Arial"/>
          <w:sz w:val="18"/>
          <w:szCs w:val="18"/>
          <w:color w:val="auto"/>
        </w:rPr>
      </w:pPr>
    </w:p>
    <w:p>
      <w:pPr>
        <w:jc w:val="both"/>
        <w:ind w:left="460" w:right="26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Wynn Capital will not hold any material assets, hold any Equity Interests, incur any Indebtedness, become liable for any obligations, engage in any business activities or have any Subsidiaries. However, Wynn Capital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the Issuers will furnish to the holders of Notes or cause the trustee to furnish to the holders of Notes, within the time periods specified in the SEC’s rules and regulations:</w:t>
      </w:r>
    </w:p>
    <w:p>
      <w:pPr>
        <w:spacing w:after="0" w:line="51" w:lineRule="exact"/>
        <w:rPr>
          <w:sz w:val="20"/>
          <w:szCs w:val="20"/>
          <w:color w:val="auto"/>
        </w:rPr>
      </w:pPr>
    </w:p>
    <w:p>
      <w:pPr>
        <w:ind w:left="460" w:right="40" w:hanging="452"/>
        <w:spacing w:after="0" w:line="259"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the Issuers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Change of Control,” “—Repurchase at the Option of Holders—Asset Sales” or “—Repurchase at the Option of Holders—Events of Loss,”; or</w:t>
      </w:r>
    </w:p>
    <w:p>
      <w:pPr>
        <w:spacing w:after="0" w:line="113" w:lineRule="exact"/>
        <w:rPr>
          <w:sz w:val="20"/>
          <w:szCs w:val="20"/>
          <w:color w:val="auto"/>
        </w:rPr>
      </w:pPr>
    </w:p>
    <w:p>
      <w:pPr>
        <w:ind w:left="900" w:right="300" w:hanging="446"/>
        <w:spacing w:after="0" w:line="332" w:lineRule="auto"/>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220" w:hanging="452"/>
        <w:spacing w:after="0" w:line="256"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120" w:hanging="452"/>
        <w:spacing w:after="0" w:line="294"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Guarantor or any Restricted Subsidiary of Wynn Las Vegas, or any Person acting on behalf of any such Person, shall deny or disaffirm its obligations under its Note Guarantee;</w:t>
      </w:r>
    </w:p>
    <w:p>
      <w:pPr>
        <w:spacing w:after="0" w:line="51" w:lineRule="exact"/>
        <w:rPr>
          <w:sz w:val="20"/>
          <w:szCs w:val="20"/>
          <w:color w:val="auto"/>
        </w:rPr>
      </w:pPr>
    </w:p>
    <w:p>
      <w:pPr>
        <w:ind w:left="460" w:hanging="452"/>
        <w:spacing w:after="0" w:line="259"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in Wynn Capital.</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13"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32"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requested the trustee to pursue the remedy;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or indemnity; and</w:t>
      </w:r>
    </w:p>
    <w:p>
      <w:pPr>
        <w:spacing w:after="0" w:line="9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10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All proceeds of the Collateral must be shared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lenders under our Credit Agreement, the holders of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holders of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holders of the 2017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 Bankruptcy Limitations on Foreclosure” and “—Real Property Collateral.”</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40" w:hanging="452"/>
        <w:spacing w:after="0" w:line="332"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4"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100" w:hanging="452"/>
        <w:spacing w:after="0" w:line="332"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Intercreditor Agreement would impose restrictions on the exercise of rights and remedies by the holders of the Notes with respect to the Collateral, including the ability to amend or modify the Collateral Documents and the ability to release the Collateral.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Notes—In the event that a bankruptcy court orders the substantive consolidation of us with certain affiliated parties, payments on the Notes could be delayed or reduced.”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Collateral or whether or to what extent holders would be compensated for any delay in payment or loss of value of the Collateral.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59" w:lineRule="exact"/>
        <w:rPr>
          <w:sz w:val="20"/>
          <w:szCs w:val="20"/>
          <w:color w:val="auto"/>
        </w:rPr>
      </w:pPr>
    </w:p>
    <w:p>
      <w:pPr>
        <w:ind w:left="460" w:right="320" w:hanging="452"/>
        <w:spacing w:after="0" w:line="268"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Issuers’ and the Guarantors’ obligations in connection therewith;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100" w:hanging="452"/>
        <w:spacing w:after="0" w:line="252"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w:t>
      </w:r>
    </w:p>
    <w:p>
      <w:pPr>
        <w:spacing w:after="0" w:line="1" w:lineRule="exact"/>
        <w:rPr>
          <w:rFonts w:ascii="Arial" w:cs="Arial" w:eastAsia="Arial" w:hAnsi="Arial"/>
          <w:sz w:val="18"/>
          <w:szCs w:val="18"/>
          <w:color w:val="auto"/>
        </w:rPr>
      </w:pP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payment thereof or on the applicable redemption date, as the case may be, and the Issuers must specify whether the Notes are being defeased to such stated date for payment or to a particular redemption date;</w:t>
      </w:r>
    </w:p>
    <w:p>
      <w:pPr>
        <w:spacing w:after="0" w:line="56"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reasonably acceptable to the trustee confirming that (a) 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9"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80" w:hanging="452"/>
        <w:spacing w:after="0" w:line="256"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6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40"/>
        <w:spacing w:after="0" w:line="268" w:lineRule="auto"/>
        <w:rPr>
          <w:sz w:val="20"/>
          <w:szCs w:val="20"/>
          <w:color w:val="auto"/>
        </w:rPr>
      </w:pPr>
      <w:r>
        <w:rPr>
          <w:rFonts w:ascii="Arial" w:cs="Arial" w:eastAsia="Arial" w:hAnsi="Arial"/>
          <w:sz w:val="18"/>
          <w:szCs w:val="18"/>
          <w:color w:val="auto"/>
        </w:rPr>
        <w:t>bankruptcy law, after the 91st day following the deposit, the trust funds will not be subject to the effect of any applicable bankruptcy, insolvency, reorganization or similar laws affecting creditors’ rights generally;</w:t>
      </w:r>
    </w:p>
    <w:p>
      <w:pPr>
        <w:spacing w:after="0" w:line="51" w:lineRule="exact"/>
        <w:rPr>
          <w:sz w:val="20"/>
          <w:szCs w:val="20"/>
          <w:color w:val="auto"/>
        </w:rPr>
      </w:pPr>
    </w:p>
    <w:p>
      <w:pPr>
        <w:ind w:left="460" w:right="80" w:hanging="452"/>
        <w:spacing w:after="0" w:line="332" w:lineRule="auto"/>
        <w:tabs>
          <w:tab w:leader="none" w:pos="4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4"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460" w:right="80" w:hanging="452"/>
        <w:spacing w:after="0" w:line="306"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25"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“—Repurchase at the Option of Holders—Events of Loss”;</w:t>
      </w:r>
    </w:p>
    <w:p>
      <w:pPr>
        <w:spacing w:after="0" w:line="59"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the Note Guarantees and the Collateral Documents;</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and the Indenture,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authorizes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amended, restated or modified Collateral Documents contain terms no less favorable to the trustee or the holders of the Notes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amendment, restatement or modification does not otherwise adversely affect the rights or remedies of the trustee or the holders of the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59"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90" w:lineRule="exact"/>
        <w:rPr>
          <w:rFonts w:ascii="Arial" w:cs="Arial" w:eastAsia="Arial" w:hAnsi="Arial"/>
          <w:sz w:val="18"/>
          <w:szCs w:val="18"/>
          <w:color w:val="auto"/>
        </w:rPr>
      </w:pPr>
    </w:p>
    <w:p>
      <w:pPr>
        <w:jc w:val="both"/>
        <w:ind w:left="460" w:right="120" w:hanging="452"/>
        <w:spacing w:after="0" w:line="259"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 Repurchase at the Option of Holders”);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 (a) constitute all or substantially all of the Collateral or (b) include Material Project Assets, except in accordance with the terms of the Indenture;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amend certain provisions of the Indenture with respect to release of Collateral;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260" w:firstLine="456"/>
        <w:spacing w:after="0" w:line="35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840" w:hanging="452"/>
        <w:spacing w:after="0" w:line="332"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4"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date of the Indenture;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13"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00" w:right="20" w:hanging="446"/>
        <w:spacing w:after="0" w:line="294" w:lineRule="auto"/>
        <w:tabs>
          <w:tab w:leader="none" w:pos="9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20"/>
          </w:cols>
          <w:pgMar w:left="24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cancellation for principal, premium and Liquidated Damages, if any, and accrued interest to the date of maturity or redemption;</w:t>
      </w:r>
    </w:p>
    <w:p>
      <w:pPr>
        <w:spacing w:after="0" w:line="90" w:lineRule="exact"/>
        <w:rPr>
          <w:sz w:val="20"/>
          <w:szCs w:val="20"/>
          <w:color w:val="auto"/>
        </w:rPr>
      </w:pPr>
    </w:p>
    <w:p>
      <w:pPr>
        <w:ind w:left="460" w:right="40" w:hanging="452"/>
        <w:spacing w:after="0" w:line="306"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Anyone who receives this prospectus may obtain a copy of the Indenture, the Security Agreement with respect to the Holdings Pledge and the registration rights agreement without charge by writing to Wynn Las Vegas, LLC, 3131 Las Vegas Boulevard South, Las Vegas, NV 89109, Attention: Legal Department.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The new notes will be issued in the form of one or more notes in global form (the “Global Notes”). The new notes will be issued in minimum denominations of $2,000 and integral multiples of $1,000 in excess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new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Depository Procedures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hanging="452"/>
        <w:spacing w:after="0" w:line="268"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Global Note to pledge such interests to Persons that do not participate in the DTC system, or otherwise take actions in respect of such interests, may be affected by the lack of a physical certificate evidencing such interests.</w:t>
      </w:r>
    </w:p>
    <w:p>
      <w:pPr>
        <w:spacing w:after="0" w:line="126"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new notes registered in their names, will not receive physical delivery of new notes in certificated form and will not be considered the registered owners or “holders” thereof under the Indenture for any purpose.</w:t>
      </w:r>
    </w:p>
    <w:p>
      <w:pPr>
        <w:spacing w:after="0" w:line="5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 w:lineRule="exact"/>
        <w:rPr>
          <w:sz w:val="20"/>
          <w:szCs w:val="20"/>
          <w:color w:val="auto"/>
        </w:rPr>
      </w:pPr>
    </w:p>
    <w:p>
      <w:pPr>
        <w:jc w:val="both"/>
        <w:ind w:left="460" w:right="100" w:hanging="452"/>
        <w:spacing w:after="0" w:line="259"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80" w:hanging="452"/>
        <w:spacing w:after="0" w:line="268"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Same Day Settlement and Payment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make payments in respect of the new notes represented by the Global Notes (including principal, premium, if any, and interest), by wire transfer of immediately available funds to the accounts specified by DTC or its nominee.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means the 7.875%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40" w:hanging="452"/>
        <w:spacing w:after="0" w:line="259"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 Person.</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 issuance of Equity Interests by Wynn Las Vegas or any of the Restricted Subsidiaries to Wynn Las Vegas or any of its Restricted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Covenants—Restricted Payments”;</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dedication of space within the Projects as necessary for the development of the Projects and as permitted by the Collateral Documents;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50" w:lineRule="exact"/>
        <w:rPr>
          <w:rFonts w:ascii="Arial" w:cs="Arial" w:eastAsia="Arial" w:hAnsi="Arial"/>
          <w:sz w:val="18"/>
          <w:szCs w:val="18"/>
          <w:color w:val="auto"/>
        </w:rPr>
      </w:pPr>
    </w:p>
    <w:p>
      <w:pPr>
        <w:ind w:left="460" w:right="340" w:hanging="452"/>
        <w:spacing w:after="0" w:line="298" w:lineRule="auto"/>
        <w:tabs>
          <w:tab w:leader="none" w:pos="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transfer or sale or disposition of any Released Assets or Aircraft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100" w:hanging="452"/>
        <w:spacing w:after="0" w:line="323" w:lineRule="auto"/>
        <w:tabs>
          <w:tab w:leader="none" w:pos="46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Holders—Asset Sales”;</w:t>
      </w:r>
    </w:p>
    <w:p>
      <w:pPr>
        <w:spacing w:after="0" w:line="16" w:lineRule="exact"/>
        <w:rPr>
          <w:rFonts w:ascii="Arial" w:cs="Arial" w:eastAsia="Arial" w:hAnsi="Arial"/>
          <w:sz w:val="15"/>
          <w:szCs w:val="15"/>
          <w:color w:val="auto"/>
        </w:rPr>
      </w:pPr>
    </w:p>
    <w:p>
      <w:pPr>
        <w:ind w:left="460" w:right="20" w:hanging="452"/>
        <w:spacing w:after="0" w:line="335" w:lineRule="auto"/>
        <w:tabs>
          <w:tab w:leader="none" w:pos="46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such sale and leaseback transaction results in a Capital Lease Obligation, the amount of Indebtedness represented thereby will be determined in accordance with the definition of “Capital Lease Obligation.”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jc w:val="both"/>
        <w:ind w:left="460" w:right="160" w:hanging="452"/>
        <w:spacing w:after="0" w:line="259"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jc w:val="both"/>
        <w:ind w:left="460" w:right="100" w:hanging="452"/>
        <w:spacing w:after="0" w:line="306" w:lineRule="auto"/>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68"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money market funds at least 95% of the assets of which constitute Cash Equivalents of the kinds described in clauses (1) through (5) of this definition;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ind w:left="460" w:hanging="452"/>
        <w:spacing w:after="0" w:line="306" w:lineRule="auto"/>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as a result of which any “person” (as defined in clause</w:t>
      </w:r>
    </w:p>
    <w:p>
      <w:pPr>
        <w:spacing w:after="0" w:line="38" w:lineRule="exact"/>
        <w:rPr>
          <w:rFonts w:ascii="Arial" w:cs="Arial" w:eastAsia="Arial" w:hAnsi="Arial"/>
          <w:sz w:val="16"/>
          <w:szCs w:val="16"/>
          <w:color w:val="auto"/>
        </w:rPr>
      </w:pPr>
    </w:p>
    <w:p>
      <w:pPr>
        <w:ind w:left="460" w:right="820"/>
        <w:spacing w:after="0" w:line="261" w:lineRule="auto"/>
        <w:rPr>
          <w:rFonts w:ascii="Arial" w:cs="Arial" w:eastAsia="Arial" w:hAnsi="Arial"/>
          <w:sz w:val="16"/>
          <w:szCs w:val="16"/>
          <w:color w:val="auto"/>
        </w:rPr>
      </w:pPr>
      <w:r>
        <w:rPr>
          <w:rFonts w:ascii="Arial" w:cs="Arial" w:eastAsia="Arial" w:hAnsi="Arial"/>
          <w:sz w:val="18"/>
          <w:szCs w:val="18"/>
          <w:color w:val="auto"/>
        </w:rPr>
        <w:t>(1)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6" w:lineRule="exact"/>
        <w:rPr>
          <w:rFonts w:ascii="Arial" w:cs="Arial" w:eastAsia="Arial" w:hAnsi="Arial"/>
          <w:sz w:val="16"/>
          <w:szCs w:val="16"/>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Wynn Resorts or Wynn Capital are not Continuing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first day on which Wynn Resorts ceases to own, directly or indirectly, 100% of the outstanding Equity Interests in Wynn Las Vegas;</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 event constituting a “change of control” under the indenture governing the 2017 Notes to the extent any of the 2017 Notes are then outstanding;</w:t>
      </w:r>
    </w:p>
    <w:p>
      <w:pPr>
        <w:spacing w:after="0" w:line="113" w:lineRule="exact"/>
        <w:rPr>
          <w:rFonts w:ascii="Arial" w:cs="Arial" w:eastAsia="Arial" w:hAnsi="Arial"/>
          <w:sz w:val="16"/>
          <w:szCs w:val="16"/>
          <w:color w:val="auto"/>
        </w:rPr>
      </w:pPr>
    </w:p>
    <w:p>
      <w:pPr>
        <w:ind w:left="460" w:right="60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are then outstanding; or</w:t>
      </w:r>
    </w:p>
    <w:p>
      <w:pPr>
        <w:spacing w:after="0" w:line="50"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are then outstanding.</w:t>
      </w:r>
    </w:p>
    <w:p>
      <w:pPr>
        <w:spacing w:after="0" w:line="131" w:lineRule="exact"/>
        <w:rPr>
          <w:rFonts w:ascii="Arial" w:cs="Arial" w:eastAsia="Arial" w:hAnsi="Arial"/>
          <w:sz w:val="18"/>
          <w:szCs w:val="18"/>
          <w:color w:val="auto"/>
        </w:rPr>
      </w:pPr>
    </w:p>
    <w:p>
      <w:pPr>
        <w:ind w:left="460" w:right="2760"/>
        <w:spacing w:after="0" w:line="493" w:lineRule="auto"/>
        <w:rPr>
          <w:rFonts w:ascii="Arial" w:cs="Arial" w:eastAsia="Arial" w:hAnsi="Arial"/>
          <w:sz w:val="18"/>
          <w:szCs w:val="18"/>
          <w:color w:val="auto"/>
        </w:rPr>
      </w:pPr>
      <w:r>
        <w:rPr>
          <w:rFonts w:ascii="Arial" w:cs="Arial" w:eastAsia="Arial" w:hAnsi="Arial"/>
          <w:sz w:val="16"/>
          <w:szCs w:val="16"/>
          <w:color w:val="auto"/>
        </w:rPr>
        <w:t>Notwithstanding the above, a Change of Control will not occur solely by reason of a Permitted C-Corp. Conversion. “</w:t>
      </w:r>
      <w:r>
        <w:rPr>
          <w:rFonts w:ascii="Arial" w:cs="Arial" w:eastAsia="Arial" w:hAnsi="Arial"/>
          <w:sz w:val="16"/>
          <w:szCs w:val="16"/>
          <w:i w:val="1"/>
          <w:iCs w:val="1"/>
          <w:color w:val="auto"/>
        </w:rPr>
        <w:t>Change of Control Offer</w:t>
      </w:r>
      <w:r>
        <w:rPr>
          <w:rFonts w:ascii="Arial" w:cs="Arial" w:eastAsia="Arial" w:hAnsi="Arial"/>
          <w:sz w:val="16"/>
          <w:szCs w:val="16"/>
          <w:color w:val="auto"/>
        </w:rPr>
        <w:t>” has the meaning assigned to that term in the Indenture governing the Notes.</w:t>
      </w: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 in each case, as amended, modified or otherwise supplemented from time to time in accordance with their respective terms and with the Indenture and the Collateral Documents.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Release Period</w:t>
      </w:r>
      <w:r>
        <w:rPr>
          <w:rFonts w:ascii="Arial" w:cs="Arial" w:eastAsia="Arial" w:hAnsi="Arial"/>
          <w:sz w:val="18"/>
          <w:szCs w:val="18"/>
          <w:color w:val="auto"/>
        </w:rPr>
        <w:t>” means any period of the time while the Notes remain outstanding during which the holders’ security interest in all of the Collateral is released in accordance with the conditions set forth in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16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Subsidiaries for such period to the extent that such depreciation, amortization and other non-cash expenses were deducted in computing such Consolidated Net Income; plus</w:t>
      </w:r>
    </w:p>
    <w:p>
      <w:pPr>
        <w:spacing w:after="0" w:line="5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pre-opening expenses, to the extent such pre-opening expenses were deducted in calculating Consolidated Net Income on a consolidated basis; plus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jc w:val="both"/>
        <w:ind w:left="460" w:right="60" w:hanging="452"/>
        <w:spacing w:after="0" w:line="357" w:lineRule="auto"/>
        <w:tabs>
          <w:tab w:leader="none" w:pos="4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ind w:left="460" w:right="420" w:hanging="452"/>
        <w:spacing w:after="0" w:line="268"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59"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Net Income (loss) of any Unrestricted Subsidiary will be excluded, whether or not distributed to the specified Person or one of its Subsidiaries;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80" w:firstLine="8"/>
        <w:spacing w:after="0" w:line="255" w:lineRule="auto"/>
        <w:tabs>
          <w:tab w:leader="none" w:pos="24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xml:space="preserve">”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hanging="452"/>
        <w:spacing w:after="0" w:line="255"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 quarter reference period or subsequent to such reference period and on or prior to the Calculation Date will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(in accordance with Regulation S-X under the Securities Act) as if they had occurred on the first day of the four-quarter reference period;</w:t>
      </w:r>
    </w:p>
    <w:p>
      <w:pPr>
        <w:spacing w:after="0" w:line="61"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(and ownership interests therein) disposed of prior to the Calculation Date, will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excluded, but only to the extent that the obligations giving rise to such Fixed Charges will not be obligations of the specified Person or any of its Restricted Subsidiaries following the Calculation Date;</w:t>
      </w:r>
    </w:p>
    <w:p>
      <w:pPr>
        <w:spacing w:after="0" w:line="51" w:lineRule="exact"/>
        <w:rPr>
          <w:sz w:val="20"/>
          <w:szCs w:val="20"/>
          <w:color w:val="auto"/>
        </w:rPr>
      </w:pPr>
    </w:p>
    <w:p>
      <w:pPr>
        <w:ind w:left="460" w:right="60" w:hanging="452"/>
        <w:spacing w:after="0" w:line="268"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w:t>
      </w:r>
    </w:p>
    <w:p>
      <w:pPr>
        <w:spacing w:after="0" w:line="90" w:lineRule="exact"/>
        <w:rPr>
          <w:sz w:val="20"/>
          <w:szCs w:val="20"/>
          <w:color w:val="auto"/>
        </w:rPr>
      </w:pPr>
    </w:p>
    <w:p>
      <w:pPr>
        <w:ind w:left="460" w:hanging="452"/>
        <w:spacing w:after="0" w:line="294" w:lineRule="auto"/>
        <w:tabs>
          <w:tab w:leader="none" w:pos="4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5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in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120" w:hanging="452"/>
        <w:spacing w:after="0" w:line="268"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other Person that provides a Guarantee by executing a supplemental indenture in accordance with the provisions of the Indenture,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Note Guarantees,” their respective successors and assigns (other than the Issuers). A Person shall cease to be a Guarantor following the release of its Note Guarantee as described above under the caption “—Note Guarantees—Release of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interest rate swap agreements (whether from fixed to floating or from floating to fixed), interest rate cap agreements and interest rate collar agreements;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Notes. Only registered holders will have any rights under the Indenture.</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Home Site Land</w:t>
      </w:r>
      <w:r>
        <w:rPr>
          <w:rFonts w:ascii="Arial" w:cs="Arial" w:eastAsia="Arial" w:hAnsi="Arial"/>
          <w:sz w:val="16"/>
          <w:szCs w:val="16"/>
          <w:color w:val="auto"/>
        </w:rPr>
        <w:t>” means a tract of land (not to exceed 20 acres) located on the Golf Course Land where residential and non-gaming related developments may be built, after the release of the trustee’s Liens (for the benefit of the holders) thereon in accordance with the Indenture.</w:t>
      </w:r>
    </w:p>
    <w:p>
      <w:pPr>
        <w:spacing w:after="0" w:line="85"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40"/>
          </w:cols>
          <w:pgMar w:left="240" w:top="459" w:right="3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Intercreditor Agreement</w:t>
      </w:r>
      <w:r>
        <w:rPr>
          <w:rFonts w:ascii="Arial" w:cs="Arial" w:eastAsia="Arial" w:hAnsi="Arial"/>
          <w:sz w:val="15"/>
          <w:szCs w:val="15"/>
          <w:color w:val="auto"/>
        </w:rPr>
        <w:t xml:space="preserve">” means the Intercreditor Agreement, dated as of December 14, 2004, among the trustee for the 2017 Notes, the trustee for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trustee for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the trustee for the Notes, the administrative agent under the Credit Agreement, the collateral agent and the other parties thereto from time to time, as such agreement may be amended, modified, restated or supplemented in accordance with the terms of the Indenture.</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in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hotel tower, casino facility and retail and convention space that is operated by Wynn Resorts (Macau), S.A., in the Macau Special Administrative Region of the People’s Republic of China, together with the Encore hotel tower, casino facility and retail and convention space adjacent thereto.</w:t>
      </w:r>
    </w:p>
    <w:p>
      <w:pPr>
        <w:spacing w:after="0" w:line="14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ind w:left="460" w:right="100" w:hanging="452"/>
        <w:spacing w:after="0" w:line="259"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460" w:hanging="452"/>
        <w:spacing w:after="0" w:line="268"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the Indenture that is secured by a Permitted Lien on the asset or assets that were the subject of such Event of Loss that ranks</w:t>
      </w: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prior to the security interest of the trustee in those assets, after giving effect to any provisions in the Collateral Documents and the Intercreditor Agreement as to the relative ranking of security interests, and</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66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jc w:val="both"/>
        <w:ind w:left="460" w:right="200" w:hanging="452"/>
        <w:spacing w:after="0" w:line="306"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40" w:hanging="452"/>
        <w:spacing w:after="0" w:line="306" w:lineRule="auto"/>
        <w:tabs>
          <w:tab w:leader="none" w:pos="4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in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pledged by Wynn Las Vegas of one of its Restricted Subsidiaries to secure Indebtedness of the Unrestricted Subsidiary).</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 (ii) 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31"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right="80" w:hanging="452"/>
        <w:spacing w:after="0" w:line="306" w:lineRule="auto"/>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in the subchapter “C” corporation shall be the same, and shall be in the same percentages, as the Beneficial Owners of Equity Interests in the applicable entity immediately prior to such transaction;</w:t>
      </w:r>
    </w:p>
    <w:p>
      <w:pPr>
        <w:spacing w:after="0" w:line="25" w:lineRule="exact"/>
        <w:rPr>
          <w:rFonts w:ascii="Arial" w:cs="Arial" w:eastAsia="Arial" w:hAnsi="Arial"/>
          <w:sz w:val="16"/>
          <w:szCs w:val="16"/>
          <w:color w:val="auto"/>
        </w:rPr>
      </w:pPr>
    </w:p>
    <w:p>
      <w:pPr>
        <w:ind w:left="460" w:right="220" w:hanging="452"/>
        <w:spacing w:after="0" w:line="256"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60"/>
          </w:cols>
          <w:pgMar w:left="240" w:top="460" w:right="3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9"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 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 certificate of the chief financial officer of Wynn Las Vegas confirming that the conditions in clauses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 through (8) have been satisfied.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00" w:right="140" w:hanging="446"/>
        <w:spacing w:after="0" w:line="306" w:lineRule="auto"/>
        <w:tabs>
          <w:tab w:leader="none" w:pos="9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in Wynn Resorts;</w:t>
      </w:r>
    </w:p>
    <w:p>
      <w:pPr>
        <w:spacing w:after="0" w:line="90" w:lineRule="exact"/>
        <w:rPr>
          <w:rFonts w:ascii="Arial" w:cs="Arial" w:eastAsia="Arial" w:hAnsi="Arial"/>
          <w:sz w:val="18"/>
          <w:szCs w:val="18"/>
          <w:color w:val="auto"/>
        </w:rPr>
      </w:pPr>
    </w:p>
    <w:p>
      <w:pPr>
        <w:ind w:left="460" w:right="500" w:hanging="452"/>
        <w:spacing w:after="0" w:line="306" w:lineRule="auto"/>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40" w:hanging="452"/>
        <w:spacing w:after="0" w:line="259"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280" w:hanging="452"/>
        <w:spacing w:after="0" w:line="332" w:lineRule="auto"/>
        <w:tabs>
          <w:tab w:leader="none" w:pos="4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5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Affiliate receiving any such assignment enters into a binding agreement to pay all amounts so collected back to Wynn Las Vegas within 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220" w:hanging="452"/>
        <w:spacing w:after="0" w:line="306" w:lineRule="auto"/>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Liens in favor of Wynn Las Vegas or any of the Restricted Subsidiaries, provided if any such Liens are on any or all of the Collateral, such Liens are either: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50" w:lineRule="exact"/>
        <w:rPr>
          <w:rFonts w:ascii="Arial" w:cs="Arial" w:eastAsia="Arial" w:hAnsi="Arial"/>
          <w:sz w:val="18"/>
          <w:szCs w:val="18"/>
          <w:color w:val="auto"/>
        </w:rPr>
      </w:pPr>
    </w:p>
    <w:p>
      <w:pPr>
        <w:ind w:left="460" w:right="440"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4"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hanging="452"/>
        <w:spacing w:after="0" w:line="253"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the Indenture and the Collateral Documents securing the Indebtedness and other Obligations under the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the Indenture</w:t>
      </w: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and the Collateral Documents with respect to any Indebtedness incurred after the date of the Indenture as the result of the issuance of additional Notes under the Indenture in compliance with the covenant described above under the caption “—Certain Covenants—Incurrence of Indebtedness and Issuance of Disqualified Stock”;</w:t>
      </w:r>
    </w:p>
    <w:p>
      <w:pPr>
        <w:spacing w:after="0" w:line="63"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right="20" w:hanging="452"/>
        <w:spacing w:after="0" w:line="283" w:lineRule="auto"/>
        <w:tabs>
          <w:tab w:leader="none" w:pos="4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above under the caption “—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the second paragraph of the covenant described above under the caption “—Certain Covenants—Incurrence of</w:t>
      </w:r>
    </w:p>
    <w:p>
      <w:pPr>
        <w:spacing w:after="0" w:line="1" w:lineRule="exact"/>
        <w:rPr>
          <w:rFonts w:ascii="Arial" w:cs="Arial" w:eastAsia="Arial" w:hAnsi="Arial"/>
          <w:sz w:val="16"/>
          <w:szCs w:val="16"/>
          <w:color w:val="auto"/>
        </w:rPr>
      </w:pPr>
    </w:p>
    <w:p>
      <w:pPr>
        <w:ind w:left="460" w:right="180"/>
        <w:spacing w:after="0" w:line="352" w:lineRule="auto"/>
        <w:rPr>
          <w:rFonts w:ascii="Arial" w:cs="Arial" w:eastAsia="Arial" w:hAnsi="Arial"/>
          <w:sz w:val="16"/>
          <w:szCs w:val="16"/>
          <w:color w:val="auto"/>
        </w:rPr>
      </w:pPr>
      <w:r>
        <w:rPr>
          <w:rFonts w:ascii="Arial" w:cs="Arial" w:eastAsia="Arial" w:hAnsi="Arial"/>
          <w:sz w:val="15"/>
          <w:szCs w:val="15"/>
          <w:color w:val="auto"/>
        </w:rPr>
        <w:t>Indebtedness and Issuance of Disqualified Stock” is incurred under the Credit Agreement or through the issuance of additional Notes under the Indenture and the property or assets acquired with such Indebtedness becomes part of the Collateral, such Indebtedness may be secured by the Collateral;</w:t>
      </w:r>
    </w:p>
    <w:p>
      <w:pPr>
        <w:ind w:left="460" w:right="180" w:hanging="452"/>
        <w:spacing w:after="0" w:line="259"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 GAAP;</w:t>
      </w:r>
    </w:p>
    <w:p>
      <w:pPr>
        <w:spacing w:after="0" w:line="113"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lessee’s leasehold interest in the underlying real property in favor of any party financing the lessee under any such lease or sublease, so long as:</w:t>
      </w:r>
    </w:p>
    <w:p>
      <w:pPr>
        <w:spacing w:after="0" w:line="113" w:lineRule="exact"/>
        <w:rPr>
          <w:sz w:val="20"/>
          <w:szCs w:val="20"/>
          <w:color w:val="auto"/>
        </w:rPr>
      </w:pPr>
    </w:p>
    <w:p>
      <w:pPr>
        <w:ind w:left="900" w:hanging="446"/>
        <w:spacing w:after="0"/>
        <w:tabs>
          <w:tab w:leader="none" w:pos="900" w:val="left"/>
        </w:tabs>
        <w:numPr>
          <w:ilvl w:val="1"/>
          <w:numId w:val="171"/>
        </w:numPr>
        <w:rPr>
          <w:rFonts w:ascii="Arial" w:cs="Arial" w:eastAsia="Arial" w:hAnsi="Arial"/>
          <w:sz w:val="15"/>
          <w:szCs w:val="15"/>
          <w:color w:val="auto"/>
        </w:rPr>
      </w:pPr>
      <w:r>
        <w:rPr>
          <w:rFonts w:ascii="Arial" w:cs="Arial" w:eastAsia="Arial" w:hAnsi="Arial"/>
          <w:sz w:val="15"/>
          <w:szCs w:val="15"/>
          <w:color w:val="auto"/>
        </w:rPr>
        <w:t>neither Issuer nor any of the Restricted Subsidiaries is liable for the payment of any principal of, or interest, premiums or fees on, such financing, and</w:t>
      </w:r>
    </w:p>
    <w:p>
      <w:pPr>
        <w:spacing w:after="0" w:line="124" w:lineRule="exact"/>
        <w:rPr>
          <w:rFonts w:ascii="Arial" w:cs="Arial" w:eastAsia="Arial" w:hAnsi="Arial"/>
          <w:sz w:val="15"/>
          <w:szCs w:val="15"/>
          <w:color w:val="auto"/>
        </w:rPr>
      </w:pPr>
    </w:p>
    <w:p>
      <w:pPr>
        <w:ind w:left="900" w:right="80" w:hanging="446"/>
        <w:spacing w:after="0" w:line="268" w:lineRule="auto"/>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50" w:lineRule="exact"/>
        <w:rPr>
          <w:rFonts w:ascii="Arial" w:cs="Arial" w:eastAsia="Arial" w:hAnsi="Arial"/>
          <w:sz w:val="18"/>
          <w:szCs w:val="18"/>
          <w:color w:val="auto"/>
        </w:rPr>
      </w:pPr>
    </w:p>
    <w:p>
      <w:pPr>
        <w:jc w:val="both"/>
        <w:ind w:left="460" w:right="100" w:hanging="452"/>
        <w:spacing w:after="0" w:line="306"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 Incurrence of Indebtedness and Issuance of Disqualified Stock,” so long as: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Liens securing Indebtedness incurred in accordance with clause (17)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jc w:val="both"/>
        <w:ind w:left="460" w:right="80" w:hanging="452"/>
        <w:spacing w:after="0" w:line="306"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Covenants—Incurrence of Indebtedness and Issuance of Disqualified Stock” which liens may be of equal or lesser priority as the liens securing the Notes;</w:t>
      </w:r>
    </w:p>
    <w:p>
      <w:pPr>
        <w:spacing w:after="0" w:line="25" w:lineRule="exact"/>
        <w:rPr>
          <w:rFonts w:ascii="Arial" w:cs="Arial" w:eastAsia="Arial" w:hAnsi="Arial"/>
          <w:sz w:val="16"/>
          <w:szCs w:val="16"/>
          <w:color w:val="auto"/>
        </w:rPr>
      </w:pPr>
    </w:p>
    <w:p>
      <w:pPr>
        <w:ind w:left="460" w:right="420" w:hanging="452"/>
        <w:spacing w:after="0" w:line="259"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Disqualified Stock,” provided that the aggregate amount of such secured Indebtedness at the time of incurrence does not exceed $100.0 million at any one time (collectively for all assets and property subject to such Liens);</w:t>
      </w:r>
    </w:p>
    <w:p>
      <w:pPr>
        <w:spacing w:after="0" w:line="51" w:lineRule="exact"/>
        <w:rPr>
          <w:sz w:val="20"/>
          <w:szCs w:val="20"/>
          <w:color w:val="auto"/>
        </w:rPr>
      </w:pPr>
    </w:p>
    <w:p>
      <w:pPr>
        <w:ind w:left="460" w:right="360" w:hanging="452"/>
        <w:spacing w:after="0" w:line="357" w:lineRule="auto"/>
        <w:tabs>
          <w:tab w:leader="none" w:pos="4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Liens on the Aircraft Assets to secure Indebtedness of World Travel, LLC, which is permitted to be incurred pursuant to clause (16) of the second paragraph of the covenant described above under the caption “—Certain Covenants—Incurrence of Indebtedness and Issuance of Disqualified Stock;”</w:t>
      </w:r>
    </w:p>
    <w:p>
      <w:pPr>
        <w:ind w:left="460" w:right="20" w:hanging="452"/>
        <w:spacing w:after="0" w:line="254"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Liens not specified in clauses (1) through (26) above and not otherwise permitted by the covenant described above under the caption “—Certain Covenants —Liens,” so long as the aggregate outstanding</w:t>
      </w: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principal amount of the obligations secured by all such Liens in the aggregate does not exceed $10.0 million at any one time (collectively for all assets and property subject to such Liens);</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85"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hanging="452"/>
        <w:spacing w:after="0" w:line="323" w:lineRule="auto"/>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16" w:lineRule="exact"/>
        <w:rPr>
          <w:rFonts w:ascii="Arial" w:cs="Arial" w:eastAsia="Arial" w:hAnsi="Arial"/>
          <w:sz w:val="15"/>
          <w:szCs w:val="15"/>
          <w:color w:val="auto"/>
        </w:rPr>
      </w:pPr>
    </w:p>
    <w:p>
      <w:pPr>
        <w:ind w:left="460" w:right="100" w:hanging="452"/>
        <w:spacing w:after="0" w:line="357" w:lineRule="auto"/>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ind w:left="460" w:right="60" w:hanging="452"/>
        <w:spacing w:after="0" w:line="298" w:lineRule="auto"/>
        <w:tabs>
          <w:tab w:leader="none" w:pos="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 refunded.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20" w:hanging="452"/>
        <w:spacing w:after="0" w:line="26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5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obtained. For purposes of this definition, each of the Wynn Las Vegas Resort, Encore at Wynn Las Vegas and the Macau Project shall count as separate projects.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460" w:right="640" w:hanging="452"/>
        <w:spacing w:after="0" w:line="268"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controlling stockholder, 80% (or more) owned Subsidiary, or immediate family member or former spouse (in the case of an individual) of any Principal; or</w:t>
      </w:r>
    </w:p>
    <w:p>
      <w:pPr>
        <w:spacing w:after="0" w:line="50" w:lineRule="exact"/>
        <w:rPr>
          <w:rFonts w:ascii="Arial" w:cs="Arial" w:eastAsia="Arial" w:hAnsi="Arial"/>
          <w:sz w:val="18"/>
          <w:szCs w:val="18"/>
          <w:color w:val="auto"/>
        </w:rPr>
      </w:pPr>
    </w:p>
    <w:p>
      <w:pPr>
        <w:jc w:val="both"/>
        <w:ind w:left="460" w:right="640" w:hanging="452"/>
        <w:spacing w:after="0" w:line="259"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the Indenture.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80" w:hanging="452"/>
        <w:spacing w:after="0" w:line="357" w:lineRule="auto"/>
        <w:tabs>
          <w:tab w:leader="none" w:pos="46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Pledge and Security Agreement, dated as of the date of the Indenture, among the Issuers, the Restricted Subsidiaries, Wynn Resorts Holdings and the collateral agent to secure the obligations of the Issuers, the Restricted Subsidiaries and Wynn Resorts Holdings under the Indenture and the Notes, and</w:t>
      </w:r>
    </w:p>
    <w:p>
      <w:pPr>
        <w:ind w:left="460" w:right="20" w:hanging="452"/>
        <w:spacing w:after="0" w:line="268"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20" w:hanging="452"/>
        <w:spacing w:after="0" w:line="298"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the Completion Guarantor and any other Subsidiary of Wynn Las Vegas, other than Wynn Capital, that is designated by the Board of Directors of Wynn Capital as an Unrestricted Subsidiary pursuant to a resolution of the Board of Directors (and any Subsidiary of each such Unrestricted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Subsidiary), but only to the extent that such Subsidiary of Wynn Las Vegas (other than the Completion Guarantor):</w:t>
      </w:r>
    </w:p>
    <w:p>
      <w:pPr>
        <w:spacing w:after="0" w:line="90"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 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ind w:left="460" w:hanging="452"/>
        <w:spacing w:after="0" w:line="259"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 “</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Home Site Land</w:t>
      </w:r>
      <w:r>
        <w:rPr>
          <w:rFonts w:ascii="Arial" w:cs="Arial" w:eastAsia="Arial" w:hAnsi="Arial"/>
          <w:sz w:val="16"/>
          <w:szCs w:val="16"/>
          <w:color w:val="auto"/>
        </w:rPr>
        <w:t>” means an approximately two-acre tract of land located on the Golf Course Land where a personal residence for Stephen A. Wynn may be built, after the release of the Trustee’s Liens (for the benefit of the holders) thereon in accordance with the Indenture.</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7.875% First Mortgage Notes due 2017</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On October 19, 2009, we issued $500,000,000 aggregate principal amount of 2017 notes at a price of 97.823% of the principal amount. The 2017 notes mature on November 1, 2017 and bear interest at the rate of 7.875%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indenture governing the 2017 notes contains covenants limiting our ability to incur additional debt, make distributions, investments and restricted payments, create liens, enter into transactions with affiliates, sell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2017 notes are unsecured (except by the Holdings pledge). Our obligations under the 2017 notes rank equal in right of payment with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The 2017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1"/>
          <w:szCs w:val="11"/>
          <w:b w:val="1"/>
          <w:bCs w:val="1"/>
          <w:color w:val="auto"/>
        </w:rPr>
        <w:t>8</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April 28, 2010, we issued $382,010,000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in exchange for a like aggregate principal amount of our previously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2014. The existing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per year. We pay interest on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on May 1st and November 1st of each year. Commencing May 1, 2015,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will become redeemable at our option at a price equal to 103.938% of the principal amount redeemed and declining ratably on May 1st of each year thereafter to 100.000% on or after May 1, 2018.</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The indenture governing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are unsecured (except by the Holdings pledge). Our obligations under the 7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rank equal in right of payment with the 2017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the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1"/>
          <w:szCs w:val="11"/>
          <w:b w:val="1"/>
          <w:bCs w:val="1"/>
          <w:color w:val="auto"/>
        </w:rPr>
        <w:t>4</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August 4, 2010, we issued $1,320,000,000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at a price of 100% of the principal amount.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mature on August 15, 2020 and bear interest at the rate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per year. We pay interest on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on February 15 and August 15 of each year. Commencing August 15, 2015,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will become redeemable at our option at a price equal to 103.875% of the principal amount redeemed and declining ratably on August 15 of each year thereafter to 100.000% on or after August 15, 2018.</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The indenture governing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are unsecured (except by the Holdings pledge). Our obligations under the 7¾% 2020 notes rank equal in right of payment with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First Mortgage Notes due 2022</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12, 2012, we issued $900,000,000 aggregate principal amount of old notes. The old notes mature on March 15, 2022 and bear interest at the rate of 5.375% per year. We pay interest on the old notes on March 15 and September 15 of each year. Commencing March 15, 2017, the old notes will become redeemable at our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option at a price equal to 102.688% of the principal amount redeemed and declining ratably on March 15 of each year thereafter to 100.000% on or after March 15, 2020.</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indenture governing the old notes contains covenants limiting our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designate restricted and unrestricted subsidiaries and other specified types of transactions.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old notes are unsecured (except by the Holdings pledge). Our obligations under the old notes rank equal in right of payment with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The old notes are not guaranteed by any of our subsidiaries.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banks and other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w:t>
      </w:r>
    </w:p>
    <w:p>
      <w:pPr>
        <w:ind w:left="220" w:hanging="212"/>
        <w:spacing w:after="0"/>
        <w:tabs>
          <w:tab w:leader="none" w:pos="22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United States federal income tax consequences to a Non-U.S. Holder (as defined below) that (A) is engaged in the conduct of a United States trade or business,</w:t>
      </w:r>
    </w:p>
    <w:p>
      <w:pPr>
        <w:spacing w:after="0" w:line="43" w:lineRule="exact"/>
        <w:rPr>
          <w:rFonts w:ascii="Arial" w:cs="Arial" w:eastAsia="Arial" w:hAnsi="Arial"/>
          <w:sz w:val="15"/>
          <w:szCs w:val="15"/>
          <w:color w:val="auto"/>
        </w:rPr>
      </w:pPr>
    </w:p>
    <w:p>
      <w:pPr>
        <w:ind w:right="200"/>
        <w:spacing w:after="0" w:line="295" w:lineRule="auto"/>
        <w:rPr>
          <w:rFonts w:ascii="Arial" w:cs="Arial" w:eastAsia="Arial" w:hAnsi="Arial"/>
          <w:sz w:val="15"/>
          <w:szCs w:val="15"/>
          <w:color w:val="auto"/>
        </w:rPr>
      </w:pPr>
      <w:r>
        <w:rPr>
          <w:rFonts w:ascii="Arial" w:cs="Arial" w:eastAsia="Arial" w:hAnsi="Arial"/>
          <w:sz w:val="16"/>
          <w:szCs w:val="16"/>
          <w:color w:val="auto"/>
        </w:rPr>
        <w:t>(B)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Code. Each prospective investor is urged to consult its tax advisor regarding the United States federal, state, local, and non-United States income and other tax considerations of the purchase, ownership, and disposition of the new notes.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purposes of this summary, a “Non-U.S. Holder” means any beneficial owner of a note that is not, for United States federal income tax purposes,</w:t>
      </w:r>
    </w:p>
    <w:p>
      <w:pPr>
        <w:spacing w:after="0" w:line="38" w:lineRule="exact"/>
        <w:rPr>
          <w:sz w:val="20"/>
          <w:szCs w:val="20"/>
          <w:color w:val="auto"/>
        </w:rPr>
      </w:pPr>
    </w:p>
    <w:p>
      <w:pPr>
        <w:ind w:firstLine="8"/>
        <w:spacing w:after="0" w:line="253" w:lineRule="auto"/>
        <w:tabs>
          <w:tab w:leader="none" w:pos="21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holder who does not exchange its old notes for new notes pursuant to the exchange offer will not recognize any gain or loss, for United States federal income tax purposes, upon consummation of the exchange offer.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2012, all dealers effecting transactions in the new notes may be required to deliver a prospectus.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325"/>
        <w:spacing w:after="0" w:line="259"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period of up to the later of (i) 180 days following the 30</w:t>
      </w:r>
      <w:r>
        <w:rPr>
          <w:rFonts w:ascii="Arial" w:cs="Arial" w:eastAsia="Arial" w:hAnsi="Arial"/>
          <w:sz w:val="11"/>
          <w:szCs w:val="11"/>
          <w:color w:val="auto"/>
        </w:rPr>
        <w:t>th</w:t>
      </w:r>
      <w:r>
        <w:rPr>
          <w:rFonts w:ascii="Arial" w:cs="Arial" w:eastAsia="Arial" w:hAnsi="Arial"/>
          <w:sz w:val="18"/>
          <w:szCs w:val="18"/>
          <w:color w:val="auto"/>
        </w:rPr>
        <w:t xml:space="preserve"> business day after the registration statement containing this prospectus is declared effective, and (ii) 180 days following the 10</w:t>
      </w:r>
      <w:r>
        <w:rPr>
          <w:rFonts w:ascii="Arial" w:cs="Arial" w:eastAsia="Arial" w:hAnsi="Arial"/>
          <w:sz w:val="11"/>
          <w:szCs w:val="11"/>
          <w:color w:val="auto"/>
        </w:rPr>
        <w:t>th</w:t>
      </w:r>
      <w:r>
        <w:rPr>
          <w:rFonts w:ascii="Arial" w:cs="Arial" w:eastAsia="Arial" w:hAnsi="Arial"/>
          <w:sz w:val="18"/>
          <w:szCs w:val="18"/>
          <w:color w:val="auto"/>
        </w:rPr>
        <w:t xml:space="preserve"> business day after the exchange offer expires, we will promptly send additional copies of this prospectus and any amendment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New York, New York.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2011 and 2010, and for each of the three years in the period ended December 31, 2011,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indenture governing the notes requires that we file reports under the Exchange Act with the SEC (unless the SEC will not accept such filings) and furnish information to the trustee and holders of the notes. See “Description of the New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78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June 30, 2012 and 2011</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780" w:type="dxa"/>
            <w:vAlign w:val="bottom"/>
            <w:gridSpan w:val="13"/>
            <w:vMerge w:val="continue"/>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340" w:type="dxa"/>
            <w:vAlign w:val="bottom"/>
            <w:gridSpan w:val="12"/>
          </w:tcPr>
          <w:p>
            <w:pPr>
              <w:spacing w:after="0" w:line="184" w:lineRule="exact"/>
              <w:rPr>
                <w:rFonts w:ascii="Arial" w:cs="Arial" w:eastAsia="Arial" w:hAnsi="Arial"/>
                <w:sz w:val="18"/>
                <w:szCs w:val="18"/>
                <w:color w:val="0000EE"/>
              </w:rPr>
            </w:pPr>
            <w:hyperlink w:anchor="page176">
              <w:r>
                <w:rPr>
                  <w:rFonts w:ascii="Arial" w:cs="Arial" w:eastAsia="Arial" w:hAnsi="Arial"/>
                  <w:sz w:val="18"/>
                  <w:szCs w:val="18"/>
                  <w:color w:val="0000EE"/>
                </w:rPr>
                <w:t>Condensed Consolidated Balance Sheets – June 30, 2012 (unaudited) and December 31, 2011</w:t>
              </w:r>
            </w:hyperlink>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Condensed Consolidated Statements of Operations (unaudited) – Three months ended June 30, 2012 and 2011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740" w:type="dxa"/>
            <w:vAlign w:val="bottom"/>
            <w:tcBorders>
              <w:top w:val="single" w:sz="8" w:color="0000EE"/>
            </w:tcBorders>
            <w:gridSpan w:val="11"/>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Condensed Consolidated Statements of Cash Flows (unaudited) – Six months ended June 30, 2012 and 2011</w:t>
              </w:r>
            </w:hyperlink>
          </w:p>
        </w:tc>
        <w:tc>
          <w:tcPr>
            <w:tcW w:w="26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79">
              <w:r>
                <w:rPr>
                  <w:rFonts w:ascii="Arial" w:cs="Arial" w:eastAsia="Arial" w:hAnsi="Arial"/>
                  <w:sz w:val="18"/>
                  <w:szCs w:val="18"/>
                  <w:color w:val="0000EE"/>
                  <w:w w:val="87"/>
                </w:rPr>
                <w:t>Notes to Condensed Consolidated Financial Statements (unaudited)</w:t>
              </w:r>
            </w:hyperlink>
          </w:p>
        </w:tc>
        <w:tc>
          <w:tcPr>
            <w:tcW w:w="2860" w:type="dxa"/>
            <w:vAlign w:val="bottom"/>
            <w:tcBorders>
              <w:top w:val="single" w:sz="8" w:color="0000EE"/>
            </w:tcBorders>
            <w:gridSpan w:val="2"/>
          </w:tcPr>
          <w:p>
            <w:pPr>
              <w:spacing w:after="0"/>
              <w:rPr>
                <w:sz w:val="17"/>
                <w:szCs w:val="17"/>
                <w:color w:val="auto"/>
              </w:rPr>
            </w:pPr>
          </w:p>
        </w:tc>
        <w:tc>
          <w:tcPr>
            <w:tcW w:w="27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780" w:type="dxa"/>
            <w:vAlign w:val="bottom"/>
            <w:gridSpan w:val="13"/>
          </w:tcPr>
          <w:p>
            <w:pPr>
              <w:spacing w:after="0"/>
              <w:rPr>
                <w:sz w:val="20"/>
                <w:szCs w:val="20"/>
                <w:color w:val="auto"/>
              </w:rPr>
            </w:pPr>
            <w:r>
              <w:rPr>
                <w:rFonts w:ascii="Arial" w:cs="Arial" w:eastAsia="Arial" w:hAnsi="Arial"/>
                <w:sz w:val="18"/>
                <w:szCs w:val="18"/>
                <w:b w:val="1"/>
                <w:bCs w:val="1"/>
                <w:color w:val="auto"/>
                <w:w w:val="89"/>
              </w:rPr>
              <w:t>Audited Consolidated Financial Statements at December 31, 2011 and 2010, and for each of the three years in the period ended 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32"/>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Report of Independent Registered Public Accounting Firm</w:t>
              </w:r>
            </w:hyperlink>
          </w:p>
        </w:tc>
        <w:tc>
          <w:tcPr>
            <w:tcW w:w="6220" w:type="dxa"/>
            <w:vAlign w:val="bottom"/>
            <w:gridSpan w:val="5"/>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99">
              <w:r>
                <w:rPr>
                  <w:rFonts w:ascii="Arial" w:cs="Arial" w:eastAsia="Arial" w:hAnsi="Arial"/>
                  <w:sz w:val="18"/>
                  <w:szCs w:val="18"/>
                  <w:color w:val="0000EE"/>
                  <w:w w:val="85"/>
                </w:rPr>
                <w:t>Consolidated Balance Sheets</w:t>
              </w:r>
            </w:hyperlink>
          </w:p>
        </w:tc>
        <w:tc>
          <w:tcPr>
            <w:tcW w:w="830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Consolidated Statements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Consolidated Statements of Member’s Equity</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02">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1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3">
              <w:r>
                <w:rPr>
                  <w:rFonts w:ascii="Arial" w:cs="Arial" w:eastAsia="Arial" w:hAnsi="Arial"/>
                  <w:sz w:val="18"/>
                  <w:szCs w:val="18"/>
                  <w:color w:val="0000EE"/>
                  <w:w w:val="87"/>
                </w:rPr>
                <w:t>Notes to Consolidated Financial Statements</w:t>
              </w:r>
            </w:hyperlink>
          </w:p>
        </w:tc>
        <w:tc>
          <w:tcPr>
            <w:tcW w:w="726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228">
              <w:r>
                <w:rPr>
                  <w:rFonts w:ascii="Arial" w:cs="Arial" w:eastAsia="Arial" w:hAnsi="Arial"/>
                  <w:sz w:val="18"/>
                  <w:szCs w:val="18"/>
                  <w:color w:val="0000EE"/>
                  <w:w w:val="90"/>
                </w:rPr>
                <w:t>* Schedule II – Valuation and Qualifying Accounts</w:t>
              </w:r>
            </w:hyperlink>
          </w:p>
        </w:tc>
        <w:tc>
          <w:tcPr>
            <w:tcW w:w="6740" w:type="dxa"/>
            <w:vAlign w:val="bottom"/>
            <w:gridSpan w:val="6"/>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20" w:right="240" w:hanging="212"/>
        <w:spacing w:after="0" w:line="268" w:lineRule="auto"/>
        <w:tabs>
          <w:tab w:leader="none" w:pos="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60"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7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771,928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139,350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24,146</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981,414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3,419,780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44,944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4,492,031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68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32,308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64,848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49,638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20,849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87,878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39,304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307,023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3,125,412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134,667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3,567,655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1,983,560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(1,059,184)</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924,376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4,492,031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-3870960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-3870960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-3870960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-3870960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-3870960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-3870960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7"/>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98,572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256,265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352,515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183,543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138,373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247,319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112,650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389,449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434,008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799,777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877,746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(43,732)</w:t>
            </w:r>
          </w:p>
        </w:tc>
        <w:tc>
          <w:tcPr>
            <w:tcW w:w="100" w:type="dxa"/>
            <w:vAlign w:val="bottom"/>
          </w:tcPr>
          <w:p>
            <w:pPr>
              <w:spacing w:after="0"/>
              <w:rPr>
                <w:sz w:val="19"/>
                <w:szCs w:val="19"/>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(42,994)</w:t>
            </w:r>
          </w:p>
        </w:tc>
        <w:tc>
          <w:tcPr>
            <w:tcW w:w="100" w:type="dxa"/>
            <w:vAlign w:val="bottom"/>
          </w:tcPr>
          <w:p>
            <w:pPr>
              <w:spacing w:after="0"/>
              <w:rPr>
                <w:sz w:val="19"/>
                <w:szCs w:val="19"/>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(90,913)</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345,717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391,014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708,864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786,051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67,326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146,256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79,699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145,024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58,289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55,714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113,506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126,194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5,892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342,179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342,405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684,900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(58,493)</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(50,317)</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(110,640)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(56,738)</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(50,126)</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(112,594)</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(53,200)</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(88,630)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9"/>
                <w:szCs w:val="19"/>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(53,200)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(88,630)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60325</wp:posOffset>
            </wp:positionV>
            <wp:extent cx="12433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(88,630)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126,194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(13,882)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8,135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137,623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(23,439)</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(18,010)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(30,875)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900,000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8"/>
              </w:rPr>
              <w:t>(371,567)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(11,268)</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514,797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570,529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201,399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771,928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vMerge w:val="restart"/>
          </w:tcPr>
          <w:p>
            <w:pPr>
              <w:ind w:left="224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40" w:type="dxa"/>
            <w:vAlign w:val="bottom"/>
          </w:tcPr>
          <w:p>
            <w:pPr>
              <w:ind w:left="5580"/>
              <w:spacing w:after="0"/>
              <w:rPr>
                <w:sz w:val="20"/>
                <w:szCs w:val="20"/>
                <w:color w:val="auto"/>
              </w:rPr>
            </w:pPr>
            <w:r>
              <w:rPr>
                <w:rFonts w:ascii="Arial" w:cs="Arial" w:eastAsia="Arial" w:hAnsi="Arial"/>
                <w:sz w:val="18"/>
                <w:szCs w:val="18"/>
                <w:color w:val="auto"/>
              </w:rPr>
              <w:t>F-4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-557530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-557530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-557530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2012,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 Certain amounts in the consolidated financial statements for the previous periods have been reclassified to be consistent with the current period presentation. These reclassifications had no effect on the previously reported net loss.</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99" w:lineRule="exact"/>
        <w:rPr>
          <w:sz w:val="20"/>
          <w:szCs w:val="20"/>
          <w:color w:val="auto"/>
        </w:rPr>
      </w:pPr>
    </w:p>
    <w:p>
      <w:pPr>
        <w:ind w:left="240" w:right="7900" w:hanging="232"/>
        <w:spacing w:after="0" w:line="398" w:lineRule="auto"/>
        <w:tabs>
          <w:tab w:leader="none" w:pos="187" w:val="left"/>
        </w:tabs>
        <w:numPr>
          <w:ilvl w:val="0"/>
          <w:numId w:val="18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2012 and December 31, 2011, approximately 70% and 75%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During the quarter ended June 30, 2012, the Company recorded an adjustment to its reserve estimates for casino accounts receivable based on the results of historical collection patterns and current collection trends. This adjustment benefitted operating income and net loss by $9.6 million for the three and six months ended June 30, 2012. This change in estimate was the primary factor that resulted in a $0.3 million credit to the provision for doubtful accounts for the quarter ended June 30, 2012.</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right"/>
              <w:ind w:right="76"/>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61"/>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100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$17,588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13,262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29,189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29,079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25,157</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25,349</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$53,373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$55,144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and Comprehensive Loss. These taxes totaled $7.4 million and $11.3 million for the three months ended June 30, 2012 and 2011, respectively. For the six months ended June 30, 2012 and 2011, these taxes totaled $18.4 million and $25.1 million,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and such costs are included in general and administrative expenses. Advertising costs totaled $5.8 million and $3.3 million, for the three months ended June 30, 2012 and 2011, respectively. Advertising costs totaled $9.7 million and $6.2 million, for the six months ended June 30, 2012 and 2011,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2012 and 2011, the Company recorded $2.7 million and $4.4 million, respectively, in share based compensation with a corresponding credit to contributed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Interest paid for the six months ended June 30, 2012 and 2011 totaled $92.4 million and $99.8 million, respectively. There was no interest capitalized during the six months ended June 30, 2012 or 2011.</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2012 and 2011, capital expenditures include a decrease of $6.2 million and $6.7 million respectively, in construction payables and retention recorded through amounts due to affiliates.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6"/>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June 30,</w:t>
            </w:r>
          </w:p>
        </w:tc>
        <w:tc>
          <w:tcPr>
            <w:tcW w:w="1060" w:type="dxa"/>
            <w:vAlign w:val="bottom"/>
            <w:gridSpan w:val="3"/>
          </w:tcPr>
          <w:p>
            <w:pPr>
              <w:jc w:val="right"/>
              <w:ind w:right="192"/>
              <w:spacing w:after="0" w:line="149" w:lineRule="exact"/>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$156,469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Hotel</w:t>
            </w:r>
          </w:p>
        </w:tc>
        <w:tc>
          <w:tcPr>
            <w:tcW w:w="2220" w:type="dxa"/>
            <w:vAlign w:val="bottom"/>
            <w:gridSpan w:val="6"/>
          </w:tcPr>
          <w:p>
            <w:pPr>
              <w:jc w:val="right"/>
              <w:spacing w:after="0"/>
              <w:rPr>
                <w:sz w:val="20"/>
                <w:szCs w:val="20"/>
                <w:color w:val="auto"/>
              </w:rPr>
            </w:pPr>
            <w:r>
              <w:rPr>
                <w:rFonts w:ascii="Arial" w:cs="Arial" w:eastAsia="Arial" w:hAnsi="Arial"/>
                <w:sz w:val="18"/>
                <w:szCs w:val="18"/>
                <w:color w:val="auto"/>
              </w:rPr>
              <w:t>17,225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19,738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194,082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60" w:type="dxa"/>
            <w:vAlign w:val="bottom"/>
            <w:gridSpan w:val="9"/>
          </w:tcPr>
          <w:p>
            <w:pPr>
              <w:jc w:val="right"/>
              <w:ind w:right="180"/>
              <w:spacing w:after="0"/>
              <w:rPr>
                <w:sz w:val="20"/>
                <w:szCs w:val="20"/>
                <w:color w:val="auto"/>
              </w:rPr>
            </w:pPr>
            <w:r>
              <w:rPr>
                <w:rFonts w:ascii="Arial" w:cs="Arial" w:eastAsia="Arial" w:hAnsi="Arial"/>
                <w:sz w:val="18"/>
                <w:szCs w:val="18"/>
                <w:color w:val="auto"/>
              </w:rPr>
              <w:t>(54,732)</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$139,350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$140,229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2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4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718,953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717,156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2,622,449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2,617,523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1,348,354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1,350,525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4,738,348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4,735,936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20" w:type="dxa"/>
            <w:vAlign w:val="bottom"/>
            <w:gridSpan w:val="6"/>
          </w:tcPr>
          <w:p>
            <w:pPr>
              <w:jc w:val="right"/>
              <w:ind w:right="120"/>
              <w:spacing w:after="0"/>
              <w:rPr>
                <w:sz w:val="20"/>
                <w:szCs w:val="20"/>
                <w:color w:val="auto"/>
              </w:rPr>
            </w:pPr>
            <w:r>
              <w:rPr>
                <w:rFonts w:ascii="Arial" w:cs="Arial" w:eastAsia="Arial" w:hAnsi="Arial"/>
                <w:sz w:val="18"/>
                <w:szCs w:val="18"/>
                <w:color w:val="auto"/>
              </w:rPr>
              <w:t>(1,318,568)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(1,206,560)</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$ 3,419,780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$ 3,529,376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640" w:type="dxa"/>
            <w:vAlign w:val="bottom"/>
            <w:vMerge w:val="restart"/>
          </w:tcPr>
          <w:p>
            <w:pPr>
              <w:ind w:left="5020"/>
              <w:spacing w:after="0"/>
              <w:rPr>
                <w:sz w:val="20"/>
                <w:szCs w:val="20"/>
                <w:color w:val="auto"/>
              </w:rPr>
            </w:pPr>
            <w:r>
              <w:rPr>
                <w:rFonts w:ascii="Arial" w:cs="Arial" w:eastAsia="Arial" w:hAnsi="Arial"/>
                <w:sz w:val="18"/>
                <w:szCs w:val="18"/>
                <w:color w:val="auto"/>
              </w:rPr>
              <w:t>F-7</w:t>
            </w:r>
          </w:p>
        </w:tc>
        <w:tc>
          <w:tcPr>
            <w:tcW w:w="118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8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-2718435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-2718435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-2718435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-2718435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-2718435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-2718435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7/8% First Mortgage Notes, due November 1, 2017, net of original issue discount of $7,993 at June 30, 2012 and $8,578 at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7</w:t>
            </w:r>
          </w:p>
        </w:tc>
        <w:tc>
          <w:tcPr>
            <w:tcW w:w="9120" w:type="dxa"/>
            <w:vAlign w:val="bottom"/>
          </w:tcPr>
          <w:p>
            <w:pPr>
              <w:ind w:left="20"/>
              <w:spacing w:after="0"/>
              <w:rPr>
                <w:sz w:val="20"/>
                <w:szCs w:val="20"/>
                <w:color w:val="auto"/>
              </w:rPr>
            </w:pPr>
            <w:r>
              <w:rPr>
                <w:rFonts w:ascii="Arial" w:cs="Arial" w:eastAsia="Arial" w:hAnsi="Arial"/>
                <w:sz w:val="18"/>
                <w:szCs w:val="18"/>
                <w:color w:val="auto"/>
                <w:w w:val="97"/>
              </w:rPr>
              <w:t>7/8% First Mortgage Notes, due May 1, 2020, net of original issue discount of $2,205 at June 30, 2012 and $2,303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December 31, 2011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349,805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349,707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5</w:t>
            </w:r>
          </w:p>
        </w:tc>
        <w:tc>
          <w:tcPr>
            <w:tcW w:w="9120" w:type="dxa"/>
            <w:vAlign w:val="bottom"/>
          </w:tcPr>
          <w:p>
            <w:pPr>
              <w:ind w:left="20"/>
              <w:spacing w:after="0"/>
              <w:rPr>
                <w:sz w:val="20"/>
                <w:szCs w:val="20"/>
                <w:color w:val="auto"/>
              </w:rPr>
            </w:pPr>
            <w:r>
              <w:rPr>
                <w:rFonts w:ascii="Arial" w:cs="Arial" w:eastAsia="Arial" w:hAnsi="Arial"/>
                <w:sz w:val="18"/>
                <w:szCs w:val="18"/>
                <w:color w:val="auto"/>
              </w:rPr>
              <w:t>3/8% First Mortgage Notes, due March 15, 2022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330,605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3,126,462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2,597,346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3,125,412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3/8% Wynn Las Vegas First Mortgage Notes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On March 12, 2012,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the Wynn Las Vegas term loan facilities.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0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Wynn Las Vegas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the Company’s equity interests, all of which is the same collateral that secures borrowings under the Wynn Las Vegas, LLC Credit Facilities and the Existing Notes. The first priority lien securing the 2022 Notes may be released in whole, or in part, under certain circumstances without the consent of the holders of the 2022 Notes, including if the liens on any such collateral are released either upon a termination of the credit facilities or otherwise.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Company’s credit facilities and the Existing Notes. The guarantees of the 2022 Notes will be released if the guarantees of our credit facilities are released.</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2022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the Company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June 30, 2012, no amounts had been borrowed under the Wynn Las Vegas Credit Agreement. Wynn Las Vegas, LLC had $15.8 million of outstanding letters of credit that reduce availability for borrowing under the Wynn Las Vegas Credit Agreement. Wynn Las Vegas, LLC had availability of $84.2 million under the Wynn Las Vegas Credit Agreement as of June 30, 2012.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June 30, 2012 and December 31, 2011, respectively. The estimated fair value of the Company’s outstanding first mortgage notes, based upon the most recent trades (using level 2 inputs), was approximately $3.3 billion and $2.4 billion at June 30, 2012 and December 31, 2011, respectively. The net book value of the Company’s other debt instruments was approximately $34.7 million and $406.2 million at June 30, 2012 and December 31, 2011, respectively. The estimated fair value of the Company’s other debt instruments was approximately $34.7 million and $400 million at June 30, 2012 and December 31, 2011,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June 2012, the Company terminated its only outstanding interest rate swap for a payment of $2.4 million. The Company had entered into floating-for-fixed interest rate swap arrangements in order to manage interest rate risk relating to certain of its debt facilities. These interest rate swap agreements modified the Company’s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 (decrease) in swap fair value in the accompanying Condensed Consolidated Statements of Operations and Comprehensive Loss, as the interest rate swaps do not qualify for hedge accounting.</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measured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interest rate swap agreement intended to hedge a portion of the underlying interest rate risk on borrowings under the Wynn Las Vegas credit facilities. Under this swap agreement, the Company paid a fixed interest rate of 2.485% on borrowings of $250 million incurred under the Wynn Las Vegas credit facilities in exchange for receipts on the same amount at a variable interest rate based on the applicable LIBOR at the time of payment. This interest rate swap fixed the interest rate on $250 million of borrowings at approximately 5.485%. As of December 31, 2011, the fair value of this interest rate swap was a current liability of $4.6 million.</w:t>
      </w:r>
    </w:p>
    <w:p>
      <w:pPr>
        <w:spacing w:after="0" w:line="123" w:lineRule="exact"/>
        <w:rPr>
          <w:sz w:val="20"/>
          <w:szCs w:val="20"/>
          <w:color w:val="auto"/>
        </w:rPr>
      </w:pPr>
    </w:p>
    <w:p>
      <w:pPr>
        <w:ind w:left="240" w:right="9080" w:hanging="232"/>
        <w:spacing w:after="0" w:line="398" w:lineRule="auto"/>
        <w:tabs>
          <w:tab w:leader="none" w:pos="187" w:val="left"/>
        </w:tabs>
        <w:numPr>
          <w:ilvl w:val="0"/>
          <w:numId w:val="1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2012, the Company’s current Due to affiliates was primarily comprised of construction payables of approximately $3.4 million, construction retention of approximately $0.6 million and other net amounts due to affiliates totaling $35.3 million (including corporate allocations discussed below). The long-term Due to affiliates is management fees of $134.7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of December 31, 2011, the Company’s current Due to affiliates was primarily comprised of construction payables of approximately $8.4 million, construction retention of approximately $1.7 million and other net amounts due to affiliates totaling $31 million (including corporate allocations discussed below). The long-term Due to affiliates is management fees of $124 million.</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June 30, 2012 and 2011, $7.1 million and $8 million, respectively, were charged to the Company for such corporate allocations. For the six months ended June 30, 2012 and 2011, $13.8 million and $14.4 million, respectively, were charged to the Company for such corporate allocations.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Due to Officers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as well as minimal warehouse space are included in the rental.</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Property charges and other for the three months ended June 30, 2012 and 2011, were $2.2 million and $2.6 million, respectively. Property charges and other for the six months ended June 30, 2012 and 2011, were $5.9 million and $4.6 million, respectively. Property charges generally include costs related to the retirement of assets for remodels and asset abandonments. Property charges and other for the six months ended June 30, 2012 and 2011, related to miscellaneous renovations and abandonments at Wynn Las Vegas.</w:t>
      </w:r>
    </w:p>
    <w:p>
      <w:pPr>
        <w:spacing w:after="0" w:line="124" w:lineRule="exact"/>
        <w:rPr>
          <w:sz w:val="20"/>
          <w:szCs w:val="20"/>
          <w:color w:val="auto"/>
        </w:rPr>
      </w:pPr>
    </w:p>
    <w:p>
      <w:pPr>
        <w:ind w:right="8660" w:firstLine="8"/>
        <w:spacing w:after="0" w:line="332" w:lineRule="auto"/>
        <w:tabs>
          <w:tab w:leader="none" w:pos="263"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will not have a material effect on the Company’s financial condition, results of operations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Mr. Okada has refused to acknowledge or abide by Wynn Resorts’ anti-bribery policies.</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under Article VII of the Wynn Resorts articles of incorporation. The Board of Directors was unanimous (other than Mr. Okada) in its determination. The Board of Directors also requested that Mr. Okada resign as a director of Wynn Resorts and recommended that Mr. Okada be removed as a member of the board of directors of Wynn Macau, Limited. In addition, on February 18, 2012, Mr. Okada was removed from the board of directors of Wynn Las Vegas Capital Corp., a wholly owned subsidiary of Wynn Resorts.</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Wynn Resorts’ articles of incorporation authorize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Price Promissory Note to Aruze USA, Inc. in redemption of the shares. The Redemption Price Promissory Note has a principal amount of $1.94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of Directors (other than Mr. Okada) and a senior executive of Wynn Resorts. Among other relief, the counterclaim seeks a declaration that the redemption of Aruze USA, Inc.’s shares was void, 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injunction restoring Aruze USA, Inc.’s share ownership, damages in an unspecified amount and rescission of the Stockholders Agreement. Wynn Resorts’ claim of February 19, 2012, was removed to federal court by the Okada Parties. On March 29, 2012, Wynn Resorts filed a motion to remand the action to state court and to request an extension to answer. The motion to remand was granted and Wynn Resorts’ request for related attorneys’ fees is fully briefed and pending. When the Court rules on the pending fee motion, the case will be sent back to the state court, which has determined that this action will be coordinated with Mr. Okada’s inspection action (discussed below). The Okada Parties have filed a notice of intent to commence a separate federal securities action for the securities counterclaims previously asserted.</w:t>
      </w:r>
    </w:p>
    <w:p>
      <w:pPr>
        <w:spacing w:after="0" w:line="13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19, 2012, Elaine Wynn responded to Aruze USA’s Counterclaim and asserted a cross claim against Steve Wynn and Kazuo Okada seeking a declaration that (1) any and all of Elaine Wynn’s duties under the January 2010 Stockholders Agreement (the “Stockholders Agreement”) by and among Aruze USA,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By agreement of the parties, Mr. Wynn’s response to the cross claim is due within 14 days once the final order of remand is entered. The indentures for the Wynn Las Vegas, LLC 2022 Notes and Existing Notes (the “Indentures”) and the Credit Agreement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 Under the Wynn Las Vegas Credit Agreement, the occurrence of these same events would constitute a change of control, which would be an event of default and would give the lenders the right to accelerate repayment, and would prevent Wynn Las Vegas from borrowing additional amounts. In addition, if more than $20,000,000 in borrowings are accelerated under the Credit Agreement, that would trigger an event of default under the Indentures.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5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Wynn Resorts provided the Freeh Report to applicable regulators and law enforcement agencies and intends to cooperate with any related investigation that such regulators or agencies may undertake.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Relatedly, as described below the Salt Lake Regional Office of the U.S. Securities</w:t>
      </w:r>
    </w:p>
    <w:p>
      <w:pPr>
        <w:spacing w:after="0" w:line="2"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and Exchange Commission (“SEC”) has commenced an informal inquiry into, and other regulators could pursue separate investigations into, Wynn Resorts’ compliance with applicable laws arising from the allegations in the matters described above and in response to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On January 11, 2012, Mr. Okada commenced litigation in the District Court of Clark County, Nevada seeking to compel Wynn Resorts to produce information relating to a donation to the University of Macau, among other things.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cast by Mr. Kazuo Okada whose stated objection was to the length of time over which the donation would occur, not its propriety.</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cooperating with the Salt Lake Regional Office staff and intends to fully comply with the SEC’s request.</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Wynn Resorts, Mr. Okada had the right to make a reasonable inspection of Wynn Resorts’ corporate books and records. Following the hearing, Wynn Resorts released certain documents to Mr. Okada for his inspection. At a subsequent hearing on March 8, 2012, the court considered Mr. Okada’s request that Wynn Resorts’ Board of Directors make additional documents available to him, and ruled that Mr. Okada was entitled to inspect two additional pages of documents. Wynn Resorts promptly complied with the court’s ruling.</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25, 2012, Mr. Okada amended his petition to request inspection of additional records. The Nevada state court ordered Mr. Okada to file a supplemental brief addressing how his requests relate to his duties as a director of Wynn Resorts, and Wynn Resorts was to respond by filing a supplemental brief on the reasonableness of Mr. Okada’s requests. After Mr. Okada filed his supplemental brief, Wynn Resorts moved to depose Mr. Okada prior to having to file its supplemental brief. At a hearing on June 28, 2012, the state court ordered Mr. Okada to appear for a deposition in Las Vegas, Nevada. The parties are currently scheduling the deposition for a September 2012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litigation</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Six derivative actions have been commenced against Wynn Resorts and all members of its Board of Directors: four in the United States District Court, District of Nevada, and two in the Eighth Judicial District Court of Clark County, Nevada.</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four pending federal actions have been consolidated: (1) The Louisiana Municipal Police Employees’ Retirement System (“LMPERS”), (2) Maryanne Solak, (3) Excavators Union Local 731 Welfare Fund; and (4) Boilermakers Lodge No. 154 Retirement Fund.</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plaintiffs in the federal derivative actions filed a consolidated complaint on August 6, 2012, asserting claims for (1) breach of fiduciary duty; (2) waste of corporate assets; (3) injunctive relief; and (4) unjust enrichment. The claims are against all Wynn Resorts’ directors, including Mr. Okada. The federal derivative plaintiffs claim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fees (attorneys, accountants, and experts) and costs. Per the court’s July 5, 2012 Case Management Order, the parties are to confer regarding a deadline for Wynn Resorts and the directors to respond.</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two state court actions have also been consolidated: (1) IBEW Local 98 Pension Fund; and (2) Danny Hinson. Through a coordination of efforts by all parties, the directors and Wynn Resorts (a nominal defendant) have been served in all of the actions.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plaintiffs in the state derivative actions filed a consolidated complaint on July 20, 2012 asserting claims for (1) breach of fiduciary duty; (2) abuse of control; (3) gross mismanagement; and (4) unjust enrichment. The claims are against all Wynn Resorts directors, including Okada, as well as Wynn Resorts’ Chief Financial Officer, who signs financial disclosures filed with the SEC. The state derivative plaintiffs claim that the individual defendants failed to disclose to its shareholders the investigation into, and the dispute with director Okada as well as the potential violations of the FCPA related to, the University of Macau Development Foundation donation. Plaintiffs seek monetary damages (compensatory and punitive), disgorgement, reformation of corporate governance procedures, an order directing Wynn Resorts to internally investigate the donation, as well as attorneys’ fees and costs. Wynn Resorts and individual defendants will respond to the consolidated complaint by August 31, 2012.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2012 and December 31, 2011, and for the three and six months ended June 30, 2012 and 2011.</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2012</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5"/>
                <w:szCs w:val="15"/>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9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771,928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139,350</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139,350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24,096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981,364</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3,225,525</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194,255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3,419,780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44,944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(24,223)</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4,262,561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204,274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4,492,031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32,308</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48,883</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20,821</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(154,733)</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200,950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111,153</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202,783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3,091,812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33,600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3,125,412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134,667</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3,338,185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236,383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3,567,655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1,983,560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1,983,560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Reatined earnings (deficit)</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w w:val="86"/>
              </w:rPr>
              <w:t>(1,059,184)</w:t>
            </w:r>
          </w:p>
        </w:tc>
        <w:tc>
          <w:tcPr>
            <w:tcW w:w="120" w:type="dxa"/>
            <w:vAlign w:val="bottom"/>
          </w:tcPr>
          <w:p>
            <w:pPr>
              <w:spacing w:after="0"/>
              <w:rPr>
                <w:sz w:val="19"/>
                <w:szCs w:val="19"/>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(44,639)</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7,886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36,753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(1,059,184)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924,376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(32,109)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4,262,561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204,274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4,492,031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-4168140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-4168140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-4168140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-4168140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-4168140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-4168140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-4168140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-4168140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-4168140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-4168140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-4168140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-4168140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-4168140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-4168140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-325755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-325755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22,870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413,400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3,336,516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192,860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(148,662)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197,050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199,465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2,473,621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34,300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2,798,650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233,765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Reatined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(970,554)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1,010,307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98,572</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62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96,169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138,373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138,373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56,440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389,554</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389,449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w w:val="92"/>
              </w:rPr>
              <w:t>(43,732)</w:t>
            </w: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(43,732)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345,822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345,717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67,326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67,326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79,699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79,699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34,456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58,608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5,189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61,831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945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2,174</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341,553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731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(58,344)</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9"/>
                <w:szCs w:val="19"/>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w w:val="93"/>
              </w:rPr>
              <w:t>105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(57,469)</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(56,738)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(53,200)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(53,200)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F-18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62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58,787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434,106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w w:val="92"/>
              </w:rPr>
              <w:t>(42,994)</w:t>
            </w: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(42,994)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391,112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56,008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65,325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928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341,771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732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49,341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(50,166)</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(50,858)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(50,126)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F-19</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256,265</w:t>
            </w:r>
          </w:p>
        </w:tc>
        <w:tc>
          <w:tcPr>
            <w:tcW w:w="5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256,265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183,543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183,543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247,319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247,319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112,868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112,650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799,995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799,777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(90,913)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(90,913)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709,082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708,864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146,256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146,256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145,024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145,024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71,530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114,165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113,506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10,640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124,333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5,892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683,698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684,900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(110,336)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(4,828)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218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(114,014)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(112,594)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8"/>
              </w:rPr>
              <w:t>(88,630)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8"/>
                <w:szCs w:val="18"/>
                <w:color w:val="auto"/>
              </w:rPr>
              <w:t>F-20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-325755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-325755</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-325755</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352,515</w:t>
            </w:r>
          </w:p>
        </w:tc>
        <w:tc>
          <w:tcPr>
            <w:tcW w:w="5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352,515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179,011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232,134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114,340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878,000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877,746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(91,695)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786,305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786,051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154,184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131,507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110,594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130,193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686,998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99,307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(100,327)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(1,570)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254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1,570</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(100,390)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(1,083)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8"/>
                <w:szCs w:val="18"/>
                <w:color w:val="auto"/>
              </w:rPr>
              <w:t>F-21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-325755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-325755</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-325755</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9"/>
              </w:rPr>
              <w:t>Issuers</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5"/>
                <w:szCs w:val="15"/>
                <w:color w:val="auto"/>
              </w:rPr>
            </w:pPr>
          </w:p>
        </w:tc>
        <w:tc>
          <w:tcPr>
            <w:tcW w:w="1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(88,630)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124,333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126,194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Loss from retirement of debt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151</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4"/>
          </w:tcPr>
          <w:p>
            <w:pPr>
              <w:jc w:val="right"/>
              <w:ind w:right="50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(2,260)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(3,139)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132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8,837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74,388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(20,183)</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(3,256)</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(1,747)</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2,266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(19,351)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85"/>
              </w:rPr>
              <w:t>(370,867)</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(371,567)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900,000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(11,268)</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515,497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514,797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570,534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570,529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201,394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771,928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771,928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780"/>
              <w:spacing w:after="0"/>
              <w:rPr>
                <w:sz w:val="20"/>
                <w:szCs w:val="20"/>
                <w:color w:val="auto"/>
              </w:rPr>
            </w:pPr>
            <w:r>
              <w:rPr>
                <w:rFonts w:ascii="Arial" w:cs="Arial" w:eastAsia="Arial" w:hAnsi="Arial"/>
                <w:sz w:val="18"/>
                <w:szCs w:val="18"/>
                <w:color w:val="auto"/>
                <w:w w:val="97"/>
              </w:rPr>
              <w:t>F-22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Non-guarantor</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5"/>
              </w:rPr>
              <w:t>Issuers</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52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1,570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130,193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136</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8,524</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413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(14,079)</w:t>
            </w: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197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(4,135)</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138,048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137,623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(34,758)</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(1,603)</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(32,000)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(30,875)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(20,055)</w:t>
            </w:r>
          </w:p>
        </w:tc>
        <w:tc>
          <w:tcPr>
            <w:tcW w:w="1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(20,755)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tcPr>
          <w:p>
            <w:pPr>
              <w:spacing w:after="0"/>
              <w:rPr>
                <w:sz w:val="19"/>
                <w:szCs w:val="19"/>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(20,113)</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780"/>
              <w:spacing w:after="0"/>
              <w:rPr>
                <w:sz w:val="20"/>
                <w:szCs w:val="20"/>
                <w:color w:val="auto"/>
              </w:rPr>
            </w:pPr>
            <w:r>
              <w:rPr>
                <w:rFonts w:ascii="Arial" w:cs="Arial" w:eastAsia="Arial" w:hAnsi="Arial"/>
                <w:sz w:val="18"/>
                <w:szCs w:val="18"/>
                <w:color w:val="auto"/>
                <w:w w:val="91"/>
              </w:rPr>
              <w:t>F-23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-325755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-325755</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-325755</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 and subsidiaries:</w:t>
      </w:r>
    </w:p>
    <w:p>
      <w:pPr>
        <w:spacing w:after="0" w:line="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2011 and 2010, and the related consolidated statements of operations, member’s equity, and cash flows for each of the three years in the period ended December 31, 2011.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2011 and 2010, and the consolidated results of their operations and their cash flows for each of the three years in the period ended December 31, 2011,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140,229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23,052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413,587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3,529,376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3,731,211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41,256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4,035,398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29,535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41,064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392,927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2,507,921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2,620,484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3,025,091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3,010,014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1,973,424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(970,554)</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1,010,307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4,035,398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-4467860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-4467860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-4467860</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-4467860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-4467860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-4467860</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625,207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534,286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308,410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454,712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417,240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1,663,545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1,473,939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(181,650)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(177,383)</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1,481,895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1,296,556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288,263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264,878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256,234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237,678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263,639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274,305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1,380,576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1,377,870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(81,314)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(201,339)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(193,444)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(196,951)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(267,015)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(95,632)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(348,329)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429,490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40" w:type="dxa"/>
            <w:vAlign w:val="bottom"/>
            <w:vMerge w:val="restart"/>
          </w:tcPr>
          <w:p>
            <w:pPr>
              <w:jc w:val="center"/>
              <w:ind w:left="85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40" w:type="dxa"/>
            <w:vAlign w:val="bottom"/>
          </w:tcPr>
          <w:p>
            <w:pPr>
              <w:jc w:val="center"/>
              <w:ind w:left="852"/>
              <w:spacing w:after="0"/>
              <w:rPr>
                <w:sz w:val="20"/>
                <w:szCs w:val="20"/>
                <w:color w:val="auto"/>
              </w:rPr>
            </w:pPr>
            <w:r>
              <w:rPr>
                <w:rFonts w:ascii="Arial" w:cs="Arial" w:eastAsia="Arial" w:hAnsi="Arial"/>
                <w:sz w:val="18"/>
                <w:szCs w:val="18"/>
                <w:color w:val="auto"/>
                <w:w w:val="91"/>
              </w:rPr>
              <w:t>F-27</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 (95,632)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(348,329)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263,639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 distributions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14,689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(3,829)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(35,747)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(29,683)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13,237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24,242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227,962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(65,207)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(157,080)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(4,796)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13,728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(53,572)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(158,061)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(25,473)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(1,933,238)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(72,846)</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(25,531)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148,859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$201,399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$197,949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147,542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138,787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(183,842)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-781685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-781685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-781685</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-781685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-781685</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-781685</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0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2011,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2011 and 2010, approximately 76% and 75%,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Airplane</w:t>
            </w:r>
          </w:p>
        </w:tc>
        <w:tc>
          <w:tcPr>
            <w:tcW w:w="382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No interest was capitalized for the years ended December 31, 2011 and 2009. Interest of $0.6 million was capitalized for the year ended December 31, 2010.</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$6.1 million, $7.7 million and $9.3 million, was amortized to interest expense during the years ended December 31, 2011, 2010 and 2009, respectively. Debt discounts incurred in connection with the issuance of debt have been capitalized and are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tcPr>
          <w:p>
            <w:pPr>
              <w:ind w:left="40"/>
              <w:spacing w:after="0"/>
              <w:rPr>
                <w:sz w:val="20"/>
                <w:szCs w:val="20"/>
                <w:color w:val="auto"/>
              </w:rPr>
            </w:pPr>
            <w:r>
              <w:rPr>
                <w:rFonts w:ascii="Arial" w:cs="Arial" w:eastAsia="Arial" w:hAnsi="Arial"/>
                <w:sz w:val="14"/>
                <w:szCs w:val="14"/>
                <w:b w:val="1"/>
                <w:bCs w:val="1"/>
                <w:color w:val="auto"/>
                <w:w w:val="87"/>
              </w:rPr>
              <w:t>Years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36,160</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40,911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57,420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59,111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60,550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15,231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108,811</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119,537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118,454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0" w:type="dxa"/>
            <w:vAlign w:val="bottom"/>
            <w:gridSpan w:val="2"/>
          </w:tcPr>
          <w:p>
            <w:pPr>
              <w:jc w:val="right"/>
              <w:ind w:right="134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-325755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-325755</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 Reserves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the Company considers historical loss experience and makes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 Loyalty Program</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Slot Machine Jackpots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 respect to base and progressive jackpots, the Company does not accrue a liability when it has the ability to avoid payment of the base jackpot because the machine can legally be removed from the gaming floor without payment of the base amount. Conversely, if the Company is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$43.9 million, $37.7 million and $36.5 million for the years ended December 31, 2011, 2010 and 2009,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$16.3 million, $14.7 million and $17.3 million for the years ended December 31, 2011, 2010 and 2009,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pre-opening costs in connection with the Encore Beach Club and Surrender Nightclub prior to their opening in May 2010.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owner.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60" w:firstLine="228"/>
        <w:spacing w:after="0" w:line="375" w:lineRule="auto"/>
        <w:rPr>
          <w:sz w:val="20"/>
          <w:szCs w:val="20"/>
          <w:color w:val="auto"/>
        </w:rPr>
      </w:pPr>
      <w:r>
        <w:rPr>
          <w:rFonts w:ascii="Arial" w:cs="Arial" w:eastAsia="Arial" w:hAnsi="Arial"/>
          <w:sz w:val="18"/>
          <w:szCs w:val="18"/>
          <w:color w:val="auto"/>
        </w:rPr>
        <w:t xml:space="preserve">Further information on the Company’s stock-based compensation arrangements is included in Note 11 “Benefit Plans—Stock-Based Compensation”. </w:t>
      </w:r>
      <w:r>
        <w:rPr>
          <w:rFonts w:ascii="Arial" w:cs="Arial" w:eastAsia="Arial" w:hAnsi="Arial"/>
          <w:sz w:val="18"/>
          <w:szCs w:val="18"/>
          <w:i w:val="1"/>
          <w:iCs w:val="1"/>
          <w:color w:val="auto"/>
        </w:rPr>
        <w:t>Recently Issued Accounting Standards</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the Company’s financial statements.</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60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$175,984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Hotel</w:t>
            </w:r>
          </w:p>
        </w:tc>
        <w:tc>
          <w:tcPr>
            <w:tcW w:w="6120" w:type="dxa"/>
            <w:vAlign w:val="bottom"/>
            <w:gridSpan w:val="3"/>
          </w:tcPr>
          <w:p>
            <w:pPr>
              <w:jc w:val="right"/>
              <w:ind w:right="40"/>
              <w:spacing w:after="0"/>
              <w:rPr>
                <w:sz w:val="20"/>
                <w:szCs w:val="20"/>
                <w:color w:val="auto"/>
              </w:rPr>
            </w:pPr>
            <w:r>
              <w:rPr>
                <w:rFonts w:ascii="Arial" w:cs="Arial" w:eastAsia="Arial" w:hAnsi="Arial"/>
                <w:sz w:val="18"/>
                <w:szCs w:val="18"/>
                <w:color w:val="auto"/>
              </w:rPr>
              <w:t>19,738</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20,799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216,521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6520" w:type="dxa"/>
            <w:vAlign w:val="bottom"/>
            <w:gridSpan w:val="4"/>
          </w:tcPr>
          <w:p>
            <w:pPr>
              <w:jc w:val="right"/>
              <w:ind w:right="400"/>
              <w:spacing w:after="0"/>
              <w:rPr>
                <w:sz w:val="20"/>
                <w:szCs w:val="20"/>
                <w:color w:val="auto"/>
              </w:rPr>
            </w:pPr>
            <w:r>
              <w:rPr>
                <w:rFonts w:ascii="Arial" w:cs="Arial" w:eastAsia="Arial" w:hAnsi="Arial"/>
                <w:sz w:val="18"/>
                <w:szCs w:val="18"/>
                <w:color w:val="auto"/>
              </w:rPr>
              <w:t>(76,292)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$140,229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$124,814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520" w:type="dxa"/>
            <w:vAlign w:val="bottom"/>
            <w:gridSpan w:val="4"/>
          </w:tcPr>
          <w:p>
            <w:pPr>
              <w:jc w:val="right"/>
              <w:ind w:right="4760"/>
              <w:spacing w:after="0"/>
              <w:rPr>
                <w:sz w:val="20"/>
                <w:szCs w:val="20"/>
                <w:color w:val="auto"/>
              </w:rPr>
            </w:pPr>
            <w:r>
              <w:rPr>
                <w:rFonts w:ascii="Arial" w:cs="Arial" w:eastAsia="Arial" w:hAnsi="Arial"/>
                <w:sz w:val="18"/>
                <w:szCs w:val="18"/>
                <w:color w:val="auto"/>
              </w:rPr>
              <w:t>F-33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2,617,523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2,591,246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1,350,525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1,347,601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4,735,936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4,722,230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8"/>
                <w:szCs w:val="18"/>
                <w:color w:val="auto"/>
                <w:w w:val="86"/>
              </w:rPr>
              <w:t>(1,206,560)</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(991,019)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3,529,376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Depreciation expense for the years ended December 31, 2011, 2010 and 2009 was $257.8 million, $266 million and $300.8 million, respectively. The decrease from 2009 to 2010 is primarily due to assets with a 5-year life at Wynn Las Vegas being fully depreciated as of April 2010.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Show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40" w:type="dxa"/>
            <w:vAlign w:val="bottom"/>
            <w:gridSpan w:val="5"/>
          </w:tcPr>
          <w:p>
            <w:pPr>
              <w:ind w:left="2040"/>
              <w:spacing w:after="0" w:line="149" w:lineRule="exact"/>
              <w:rPr>
                <w:sz w:val="20"/>
                <w:szCs w:val="20"/>
                <w:color w:val="auto"/>
              </w:rPr>
            </w:pPr>
            <w:r>
              <w:rPr>
                <w:rFonts w:ascii="Arial" w:cs="Arial" w:eastAsia="Arial" w:hAnsi="Arial"/>
                <w:sz w:val="14"/>
                <w:szCs w:val="14"/>
                <w:b w:val="1"/>
                <w:bCs w:val="1"/>
                <w:color w:val="auto"/>
              </w:rPr>
              <w:t>Production</w:t>
            </w:r>
          </w:p>
        </w:tc>
        <w:tc>
          <w:tcPr>
            <w:tcW w:w="300" w:type="dxa"/>
            <w:vAlign w:val="bottom"/>
          </w:tcPr>
          <w:p>
            <w:pPr>
              <w:spacing w:after="0"/>
              <w:rPr>
                <w:sz w:val="12"/>
                <w:szCs w:val="12"/>
                <w:color w:val="auto"/>
              </w:rPr>
            </w:pPr>
          </w:p>
        </w:tc>
        <w:tc>
          <w:tcPr>
            <w:tcW w:w="50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Rights</w:t>
            </w: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40" w:type="dxa"/>
            <w:vAlign w:val="bottom"/>
          </w:tcPr>
          <w:p>
            <w:pPr>
              <w:spacing w:after="0"/>
              <w:rPr>
                <w:sz w:val="15"/>
                <w:szCs w:val="15"/>
                <w:color w:val="auto"/>
              </w:rPr>
            </w:pP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w w:val="88"/>
              </w:rPr>
              <w:t>Trademarks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2010</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Show production rights represent the amounts paid to purchase the rights to present the “Le Rêve” production show. The Company expects that amortization of show production rights will be $2.1 million for 2012, and $0.8 million for 2013.</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7"/>
          </w:tcPr>
          <w:p>
            <w:pPr>
              <w:ind w:left="1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Base stock</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17,705</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16,569</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460" w:right="23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1"/>
                <w:szCs w:val="11"/>
                <w:color w:val="auto"/>
                <w:w w:val="96"/>
              </w:rPr>
              <w:t>8</w:t>
            </w:r>
            <w:r>
              <w:rPr>
                <w:rFonts w:ascii="Arial" w:cs="Arial" w:eastAsia="Arial" w:hAnsi="Arial"/>
                <w:sz w:val="18"/>
                <w:szCs w:val="18"/>
                <w:color w:val="auto"/>
                <w:w w:val="96"/>
              </w:rPr>
              <w:t>% First Mortgage Notes, due November 1, 2017, net of original issue discount of $8,578 at December 31, 2011 and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$9,678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1"/>
                <w:szCs w:val="11"/>
                <w:color w:val="auto"/>
                <w:w w:val="93"/>
              </w:rPr>
              <w:t>8</w:t>
            </w:r>
            <w:r>
              <w:rPr>
                <w:rFonts w:ascii="Arial" w:cs="Arial" w:eastAsia="Arial" w:hAnsi="Arial"/>
                <w:sz w:val="18"/>
                <w:szCs w:val="18"/>
                <w:color w:val="auto"/>
                <w:w w:val="93"/>
              </w:rPr>
              <w:t>% First Mortgage Notes, due May 1, 2020, net of original issue discount of $2,303 at December 31, 2011 and $2,489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December 31, 2010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349,707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349,521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40,262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2,597,346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2,621,534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(89,425)</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2,507,921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2,620,484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2017</w:t>
      </w:r>
    </w:p>
    <w:p>
      <w:pPr>
        <w:spacing w:after="0" w:line="7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first mortgage notes due November 1, 2017 (the “2017 Notes”) at a price of 97.823% of the principal amount. The Company pays interest on the 2017 Notes on May 1st and November 1st of each year. Commencing November 1, 2013, the 2017 Notes are redeemable at the Company’s option at a price equal to 103.938% of the principal amount redeemed and the premium over the principal amount declines ratably on November 1st of each year thereafter to zero on or after November 1, 2015. The 2017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indenture governing the 2017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2020</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April 2010, the, the Issuers issued, in a private offering, $352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May 1, 2020 (the “2020 Notes”). The 2020 Notes were issued pursuant to an exchange offer for previously issued notes that were to mature in December 2014. The Company pays interest on the 2020 Notes on May 1st and November 1st of each year. Commencing May 1, 2015, the 2020 Notes are redeemable at the Company’s option at a price equal to 103.938% of the principal amount redeemed and the premium over the principal amount declines ratably on May 1st of each year thereafter to zero on or after May 1, 2018. The 2020 Notes rank pari passu in right of payment with borrowings under Wynn Las Vegas, LLC’s credit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facilities and 2017 Notes. The 2020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and the 2017 Notes. The indenture governing the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4</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August 2010, the Issuers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first mortgage notes due August 15, 2020 (the “New 2020 Notes”). The New 2020 Notes were issued at par. The New 2020 Notes refinanced the Company’s previous note issue that was to mature in December 2014. The Company pays interest on the New 2020 Notes on February 15th and August 15th of each year. Commencing August 15, 2015, the New 2020 Notes are redeemable at the Company’s option at a price equal to 103.875% of the principal amount redeemed and the premium over the principal amount declines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2017 Notes and the 2020 Notes. The indenture governing the New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As of December 31, 2011, the Wynn Las Vegas Amended and Restated Credit Agreement consisted of a $108.5 million revolving credit facility due July 2013, a $258.4 million revolving credit facility due July 2015 (together the “Revolver”), a fully drawn $40.3 million term loan facility due August 2013 and a fully drawn $330.6 million term loan facility due August 2015 (together the “Term Loan”). The Revolver and the Term Loan are together referred to as the “Credit Facilities.” During the year ended December 31, 2011, the Company repaid $20.1 million of borrowings under the Revolver and $4 million under the Term Loan. As of December 31, 2011, the Term Loan was fully drawn and we had no borrowings outstanding under the Revolver. The Company also had $15.8 million of outstanding letters of credit that reduce its availability under the Revolver. The Company had availability of $351.1 million under the Revolver as of December 31, 2011.</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Loans under the Credit Facilities bear interest at fluctuating rates, based on LIBOR or an alternative base rate, plus an applicable margin.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the applicable margin for LIBOR loans under the Revolver and the Term Loan due August 17, 2015 was 3.0%, and the applicable margin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LIBOR loans under the Term Loan due August 15, 2013 was 1.875%. Base Rate Loans bear interest at (a) the greatest of (i) the rate most recently announced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as its “prime rate,” (ii) the Federal Funds Rate plus 1/2 of 1% per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annum, and (iii) in the case of a Revolver loan the one month Eurodollar rate; plus (b) a borrowing margin of 2.0% for Revolver loans and 0.875% for Term Loans. Interest on Base Rate Loans will be payable quarterly in arrears. Wynn Las Vegas, LLC also pays, quarterly in arrears, 1.0% per annum on the daily average of unborrowed amounts under the Revolver.</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their existing and future senior indebtedness, including indebtedness with respect to the 2017 Notes the 2020 Notes and the New 2020 Notes and ranks senior in right of payment to all of their existing and future subordinated indebtedness.</w:t>
      </w:r>
    </w:p>
    <w:p>
      <w:pPr>
        <w:spacing w:after="0" w:line="12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Wynn Las Vegas, LLC is also required to make mandatory repayments of indebtedness under the Credit Facilities from specified percentages of excess cash flow, which percentages may decrease and/or be eliminated based on Wynn Las Vegas, LLC’s leverage ratio. For 2012, the Company expects to make a mandatory repayment of approximately $88 million in March pursuant to this provision of the Credit Facilities. Wynn Las Vegas, LLC has the option to prepay all or any portion of the indebtedness under the Credit Facilities at any time without premium or penalty.</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Credit Facilities contain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1.00 to 1 as of December 31, 2011. Management believes that the Company was in compliance with all covenants at December 31, 2011. The Consolidated Interest Coverage Ratio remains at 1.00 to 1 through June 2013.</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net book value of the first mortgage notes was $2.2 billion at both December 31, 2011 and 2010. The estimated fair value of the first mortgage notes based upon most recent trades at December 31, 2011 and 2010 was approximately $2.4 billion and $2.3 billion, respectively. The net book value of the Company’s other debt instruments was $406.2 million and the fair value of such debt was approximately $400 million as of December 31, 2011.</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$10.9 million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2,230,710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2,608,227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Credit Facilities. Under this swap agreement, the Company pays a fixed interest rate of 2.485% on borrowings of $250 million incurred under the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2011, the fair value of this interest rate swap was a liability of $4.6 million and is recorded in current other accrued liabilities. As of December 31, 2010, the fair value of this interest rate swap was $8.5 million.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8860" w:hanging="232"/>
        <w:spacing w:after="0" w:line="398" w:lineRule="auto"/>
        <w:tabs>
          <w:tab w:leader="none" w:pos="187"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2011, the Company’s current Due to Affiliates, net was comprised of construction payables of $8.4 million, construction retention of $1.7 million and other net amounts due to affiliates totaling $31 million (including corporate allocations discussed below). The long-term Due to Affiliates is management fees of $124 million (equal to 1.5% of net revenues and payable upon meeting certain leverage ratios as specified in the documents governing the Credit Facilities and the First Mortgage Notes indentures).</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2010, the Company’s current Due to Affiliates, net was comprised of construction payables of $10.3 million, construction retention of $3.3 million and other net amounts due to affiliates totaling $14.7 million (including corporate allocations discussed below). The long-term Due to Affiliates is management fees of $101.8 million (equal to 1.5% of net revenues and payable upon meeting certain leverage ratios as specified in the documents governing the Credit Facilities and the First Mortgage Notes indentures).</w:t>
      </w:r>
    </w:p>
    <w:p>
      <w:pPr>
        <w:spacing w:after="0" w:line="13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2011, 2010 and 2009, $28.6 million, $25.9 million, and $25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terminated December 31, 2010. The lease was on a month-to-month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basis. Pursuant to the terms of the EW Lease, Elaine P. Wynn paid annual rent equal to $350,000 which amount was determined by the Audit Committee with the assistance of a third-party appraisal. Certain services for, and maintenance of, the villa suite were included in the rental. The lease was extended on a month-to-month basis after December 31, 2010 until terminated effective March 31, 2011.</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Effective March 1, 2012, the rental value will be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charges and other for the years ended December 31, 2011, 2010 and 2009, were $16.6 million, $19 million and $24.5 million, respectively. In response to the Company’s evaluation of its resort and the reactions of its guests, the Company makes enhancements and refinements to the resort. Costs relating to assets retired as a result of these enhancement and remodel efforts have been expensed as property charges.</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2011 include the write off of certain off-site golf memberships by Wynn Las Vegas, miscellaneous renovations and abandonments, including modifications of the Encore retail esplanade, closure of the Blush nightclub and the write off of certain costs related to a show that ended its run in Las Vegas in April 2011.</w:t>
      </w:r>
    </w:p>
    <w:p>
      <w:pPr>
        <w:spacing w:after="0" w:line="127"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 .</w:t>
      </w:r>
    </w:p>
    <w:p>
      <w:pPr>
        <w:spacing w:after="0" w:line="4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$16.7 million charge for the abandonment of the front porte-cochere at Encore to make way for the Encore Beach Club, a $5.3 million charge for the write-off of two aircraft deposits, and $2.5 million related to miscellaneous remodels, abandonments and loss on sale of equipment.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9520" w:hanging="232"/>
        <w:spacing w:after="0" w:line="398" w:lineRule="auto"/>
        <w:tabs>
          <w:tab w:leader="none" w:pos="266"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matched the contributions, within prescribed limits, with an amount equal to 100% of the participant’s initial 2% tax deferred contribution and 50% of the tax deferred contribution between 2% and 4% of the participant’s compensation. Effective March 16, 2009, the Company suspended matching contributions to this plan. No amounts were expensed during the years ended December 31, 2011 and 2010. The Company recorded an expense for matching contributions of $1.2 million for the year ended December 31, 2009.</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Multi-employer pension plan</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$7.6 million, $6.8 million and $6.2 million for contributions to the Plan for the years ended December 31, 2011, 2010 and 2009, respectively. For the 2010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2010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2011, 2010 and 2009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$4,347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Rooms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$8,370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60" w:type="dxa"/>
            <w:vAlign w:val="bottom"/>
            <w:gridSpan w:val="2"/>
          </w:tcPr>
          <w:p>
            <w:pPr>
              <w:jc w:val="right"/>
              <w:ind w:right="2180"/>
              <w:spacing w:after="0"/>
              <w:rPr>
                <w:sz w:val="20"/>
                <w:szCs w:val="20"/>
                <w:color w:val="auto"/>
              </w:rPr>
            </w:pPr>
            <w:r>
              <w:rPr>
                <w:rFonts w:ascii="Arial" w:cs="Arial" w:eastAsia="Arial" w:hAnsi="Arial"/>
                <w:sz w:val="18"/>
                <w:szCs w:val="18"/>
                <w:color w:val="auto"/>
              </w:rPr>
              <w:t>F-41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-325755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8540" w:hanging="232"/>
        <w:spacing w:after="0" w:line="398" w:lineRule="auto"/>
        <w:tabs>
          <w:tab w:leader="none" w:pos="275" w:val="left"/>
        </w:tabs>
        <w:numPr>
          <w:ilvl w:val="0"/>
          <w:numId w:val="19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Leases and other arrangements</w:t>
      </w:r>
    </w:p>
    <w:p>
      <w:pPr>
        <w:spacing w:after="0" w:line="1"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2011,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right="14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2011, 2010 and 2009 was $16.2 million, $16.1 million and $8.0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 Beginning January 2012, the medical plan covering employees of the Company’s domestic subsidiaries will be fully 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00"/>
          </w:cols>
          <w:pgMar w:left="240" w:top="459" w:right="3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entitled to a separation payment if terminated without “cause” or upon voluntary termination of employment for “good reason” following a “change of control” (as these terms are defined in the employment contracts).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2011.</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$5.4 million.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2012, the Nevada Tax Commission upheld the decision of an Administrative Law Judge (“ALJ”) who ruled that complimentary meals provided to patrons and employees of a Nevada casino operator were retail sales subject to sales tax. The ruling of the ALJ further held that the use tax already paid on such items and sought as refunds should be credited against the sales tax due. Furthermore, the ALJ held that the Nevada Department of Taxation could not assess additional taxes, penalties or interest because its regulations and policies at the time only required the payment of use tax on such complimentary meals. The Company expects that the Nevada Tax Commission ruling will be appealed through the Nevada courts. As of December 31, 2011, the Company has neither recorded a receivable associated with its $5.4 million refund claim nor any sales tax liability for complimentary meals provided to customers and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jc w:val="both"/>
        <w:ind w:right="540" w:firstLine="456"/>
        <w:spacing w:after="0" w:line="370" w:lineRule="auto"/>
        <w:rPr>
          <w:sz w:val="20"/>
          <w:szCs w:val="20"/>
          <w:color w:val="auto"/>
        </w:rPr>
      </w:pPr>
      <w:r>
        <w:rPr>
          <w:rFonts w:ascii="Arial" w:cs="Arial" w:eastAsia="Arial" w:hAnsi="Arial"/>
          <w:sz w:val="15"/>
          <w:szCs w:val="15"/>
          <w:color w:val="auto"/>
        </w:rPr>
        <w:t>During the years ended December 31, 2010 and 2009, Wynn Resorts made cash capital contributions to the Company totaling $50 million and $413 million, respectively. The proceeds from these contributions were used to fund construction costs of Encore and to fund paydowns of the Company’s debt.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2011 and 2010, and for each of the three years in the period ended December 31, 2011.</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(iii).</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22,870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413,400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3,336,516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192,860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(148,662)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197,050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199,465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2,473,621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34,300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2,798,650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233,765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(970,554)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1,010,307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color w:val="auto"/>
              </w:rPr>
              <w:t>F-44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4"/>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20,778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262,647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3,537,264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193,947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(19,685)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38,219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17,361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(160,735)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194,277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196,444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2,584,784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35,700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2,620,484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2,783,121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3,010,014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1,973,424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1,973,424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(874,922)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(40,101)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1,098,502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(27,571)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F-45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Issuers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625,207</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64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454,712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229,882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1,663,841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(181,650)</w:t>
            </w:r>
          </w:p>
        </w:tc>
        <w:tc>
          <w:tcPr>
            <w:tcW w:w="180" w:type="dxa"/>
            <w:vAlign w:val="bottom"/>
          </w:tcPr>
          <w:p>
            <w:pPr>
              <w:spacing w:after="0"/>
              <w:rPr>
                <w:sz w:val="19"/>
                <w:szCs w:val="19"/>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(181,650)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1,482,191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298,229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264,878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226,715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225,457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259,929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1,378,124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1,380,576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104,067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(200,759)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(201,339)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(3,032)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296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(199,699)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(196,951)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(95,632)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F-46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-325755</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-325755</wp:posOffset>
            </wp:positionV>
            <wp:extent cx="2159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3873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3873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1,474,206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1,473,939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(177,383)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(177,383)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1,296,823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1,296,556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239,105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2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270,280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1,375,231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1,377,870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(78,408)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(192,806)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309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(269,921)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(267,015)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(348,329)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(348,329)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240"/>
              <w:spacing w:after="0"/>
              <w:rPr>
                <w:sz w:val="20"/>
                <w:szCs w:val="20"/>
                <w:color w:val="auto"/>
              </w:rPr>
            </w:pPr>
            <w:r>
              <w:rPr>
                <w:rFonts w:ascii="Arial" w:cs="Arial" w:eastAsia="Arial" w:hAnsi="Arial"/>
                <w:sz w:val="18"/>
                <w:szCs w:val="18"/>
                <w:color w:val="auto"/>
              </w:rPr>
              <w:t>F-47</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321,075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1,415,600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(185,982)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1,229,618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248,566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309,012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1,366,105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(136,487)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(156,262)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(173,383)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(309,870)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240"/>
              <w:spacing w:after="0"/>
              <w:rPr>
                <w:sz w:val="20"/>
                <w:szCs w:val="20"/>
                <w:color w:val="auto"/>
              </w:rPr>
            </w:pPr>
            <w:r>
              <w:rPr>
                <w:rFonts w:ascii="Arial" w:cs="Arial" w:eastAsia="Arial" w:hAnsi="Arial"/>
                <w:sz w:val="18"/>
                <w:szCs w:val="18"/>
                <w:color w:val="auto"/>
              </w:rPr>
              <w:t>F-48</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2"/>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 income</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 (95,632)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3,032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 (95,632)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(loss) income to net cash provided by (used in)</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259,929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263,639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2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3,032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(3,032)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14,689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(3,829)</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(35,747)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13,006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w w:val="99"/>
              </w:rPr>
              <w:t>231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248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26,550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229,020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(62,584)</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8,647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5,081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(56,030)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(24,073)</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32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(24,131)</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148,859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148,859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80" w:type="dxa"/>
            <w:vAlign w:val="bottom"/>
            <w:gridSpan w:val="4"/>
          </w:tcPr>
          <w:p>
            <w:pPr>
              <w:jc w:val="right"/>
              <w:ind w:right="1060"/>
              <w:spacing w:after="0"/>
              <w:rPr>
                <w:sz w:val="20"/>
                <w:szCs w:val="20"/>
                <w:color w:val="auto"/>
              </w:rPr>
            </w:pPr>
            <w:r>
              <w:rPr>
                <w:rFonts w:ascii="Arial" w:cs="Arial" w:eastAsia="Arial" w:hAnsi="Arial"/>
                <w:sz w:val="18"/>
                <w:szCs w:val="18"/>
                <w:color w:val="auto"/>
              </w:rPr>
              <w:t>F-49</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-325755</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2159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3873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3873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(348,329)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270,280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64,673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(29,683)</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36,645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retention</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(156,987)</w:t>
            </w: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(157,080)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(4,796)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(163,888)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(1,931,838)</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(1,933,238)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1,995,686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(72,846)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(13,463)</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F-50</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3873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2159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2159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3873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Non-guarantor</w:t>
            </w:r>
          </w:p>
        </w:tc>
        <w:tc>
          <w:tcPr>
            <w:tcW w:w="4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9"/>
              </w:rPr>
              <w:t>Issuers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(9,164)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income to net cash provided by (used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309,012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48,765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(6,886)</w:t>
            </w: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(5,340)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(244,904)</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85"/>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(928,509)</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649,481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412,951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98"/>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bottom w:val="single" w:sz="8" w:color="808080"/>
            </w:tcBorders>
            <w:gridSpan w:val="4"/>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20" w:type="dxa"/>
            <w:vAlign w:val="bottom"/>
            <w:gridSpan w:val="6"/>
          </w:tcPr>
          <w:p>
            <w:pPr>
              <w:jc w:val="right"/>
              <w:ind w:right="980"/>
              <w:spacing w:after="0"/>
              <w:rPr>
                <w:sz w:val="20"/>
                <w:szCs w:val="20"/>
                <w:color w:val="auto"/>
              </w:rPr>
            </w:pPr>
            <w:r>
              <w:rPr>
                <w:rFonts w:ascii="Arial" w:cs="Arial" w:eastAsia="Arial" w:hAnsi="Arial"/>
                <w:sz w:val="18"/>
                <w:szCs w:val="18"/>
                <w:color w:val="auto"/>
              </w:rPr>
              <w:t>F-51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-325755</wp:posOffset>
            </wp:positionV>
            <wp:extent cx="3873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2011 and 2010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Year Ended December 31, 2011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$395,037</w:t>
            </w: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$391,014</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$347,254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$348,590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$1,481,895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49,174</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48,609</w:t>
            </w:r>
          </w:p>
        </w:tc>
        <w:tc>
          <w:tcPr>
            <w:tcW w:w="1340" w:type="dxa"/>
            <w:vAlign w:val="bottom"/>
            <w:gridSpan w:val="5"/>
          </w:tcPr>
          <w:p>
            <w:pPr>
              <w:jc w:val="right"/>
              <w:ind w:right="400"/>
              <w:spacing w:after="0"/>
              <w:rPr>
                <w:sz w:val="20"/>
                <w:szCs w:val="20"/>
                <w:color w:val="auto"/>
              </w:rPr>
            </w:pPr>
            <w:r>
              <w:rPr>
                <w:rFonts w:ascii="Arial" w:cs="Arial" w:eastAsia="Arial" w:hAnsi="Arial"/>
                <w:sz w:val="18"/>
                <w:szCs w:val="18"/>
                <w:color w:val="auto"/>
              </w:rPr>
              <w:t>(415)</w:t>
            </w:r>
          </w:p>
        </w:tc>
        <w:tc>
          <w:tcPr>
            <w:tcW w:w="660" w:type="dxa"/>
            <w:vAlign w:val="bottom"/>
          </w:tcPr>
          <w:p>
            <w:pPr>
              <w:jc w:val="right"/>
              <w:spacing w:after="0"/>
              <w:rPr>
                <w:sz w:val="20"/>
                <w:szCs w:val="20"/>
                <w:color w:val="auto"/>
              </w:rPr>
            </w:pPr>
            <w:r>
              <w:rPr>
                <w:rFonts w:ascii="Arial" w:cs="Arial" w:eastAsia="Arial" w:hAnsi="Arial"/>
                <w:sz w:val="18"/>
                <w:szCs w:val="18"/>
                <w:color w:val="auto"/>
              </w:rPr>
              <w:t>3,951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(1,517)</w:t>
            </w:r>
          </w:p>
        </w:tc>
        <w:tc>
          <w:tcPr>
            <w:tcW w:w="13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(49,509)</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(45,040)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Year Ended December 31, 2010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Second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$318,607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$318,321</w:t>
            </w:r>
          </w:p>
        </w:tc>
        <w:tc>
          <w:tcPr>
            <w:tcW w:w="2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$ 334,503</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$325,125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(34,485)</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(17,222)</w:t>
            </w:r>
          </w:p>
        </w:tc>
        <w:tc>
          <w:tcPr>
            <w:tcW w:w="1340" w:type="dxa"/>
            <w:vAlign w:val="bottom"/>
            <w:gridSpan w:val="5"/>
          </w:tcPr>
          <w:p>
            <w:pPr>
              <w:jc w:val="right"/>
              <w:ind w:right="360"/>
              <w:spacing w:after="0"/>
              <w:rPr>
                <w:sz w:val="20"/>
                <w:szCs w:val="20"/>
                <w:color w:val="auto"/>
              </w:rPr>
            </w:pPr>
            <w:r>
              <w:rPr>
                <w:rFonts w:ascii="Arial" w:cs="Arial" w:eastAsia="Arial" w:hAnsi="Arial"/>
                <w:sz w:val="18"/>
                <w:szCs w:val="18"/>
                <w:color w:val="auto"/>
              </w:rPr>
              <w:t>(16,195)</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(13,412)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(81,692)</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(68,747)</w:t>
            </w:r>
          </w:p>
        </w:tc>
        <w:tc>
          <w:tcPr>
            <w:tcW w:w="13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(134,981)</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(62,909)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 (Unaudited)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Unsuitability and Redemption of Aruze USA, Inc. and Affiliates and Related Matters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numerous prima facie violations of the FCPA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under Article VII of the Wynn Resorts articles of incorporation. The Wynn Resorts board of directors was unanimous (other than Mr. Okada) in its determination. The Wynn Resorts board of directors also requested that Mr. Okada resign as a director of Wynn Resorts and recommended that Mr. Okada be removed as a member of the board of directors of Wynn Macau, Limited. On February 18, 2012, Mr. Okada was removed from the board of directors of Wynn Las Vegas Capital Corp., a wholly owned subsidiary of Wynn Resorts.</w:t>
      </w:r>
    </w:p>
    <w:p>
      <w:pPr>
        <w:spacing w:after="0" w:line="10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Based on the Wynn Resorts Board of Directors’ finding of “unsuitability,” on February 18, 2012, Wynn Resorts redeemed Aruze USA, Inc.’s 24,549,222 shares of Wynn Resorts’ Common Stock. Following a finding of “unsuitability,” Wynn Resorts’ articles authorize redemption at “fair value” of the shares held by unsuitable persons. Wynn Resorts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Wynn Resorts’ articles of incorporation, Wynn Resorts issued a Redemption Price Promissory Note to Aruze USA, Inc. in redemption of the shares. The Redemption Price Promissory Note has a principal amount of approximately $1.9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February 19, 2012, Wynn Resorts filed a complaint in the District Court of Clark County, Nevada against Mr. Okada, alleging breaches of fiduciary duty and related claims.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Wynn Resorts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Commenced by Mr. Okada and Related Matters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and approved by 15 of the 16 directors who serve on those boards. The sole dissenting vote was Mr. Kazuo Okada whose stated objection was to the length of time over which the donation would occur, not its propriety.</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Mr. Okada commenced litigation on January 11, 2012, in Nevada seeking to compel Wynn Resorts to produce information relating to the donation to the University of Macau, among other things.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8, 2012, following Mr. Okada’s lawsuit, Wynn Resorts received a letter from the Salt Lake Regional Office of the SEC requesting that, in connection with an informal inquiry by the SEC, Wynn Resorts preserve information relating to, but not limited to, the donation to the University of Macau, any donations by Wynn Resorts to any other educational charitable institutions, including the University of Macau Development Foundation, and Wynn Resorts’ casino or concession gaming licenses or renewals in Macau. Wynn Resorts has informed the Salt Lake Regional Office that it intends to fully comply with the SEC’s request.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61"/>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$ 71,076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(15,116)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81"/>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gridSpan w:val="2"/>
          </w:tcPr>
          <w:p>
            <w:pPr>
              <w:spacing w:after="0"/>
              <w:rPr>
                <w:sz w:val="8"/>
                <w:szCs w:val="8"/>
                <w:color w:val="auto"/>
              </w:rPr>
            </w:pPr>
          </w:p>
        </w:tc>
        <w:tc>
          <w:tcPr>
            <w:tcW w:w="428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$ 67,406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(12,059)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81"/>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gridSpan w:val="2"/>
          </w:tcPr>
          <w:p>
            <w:pPr>
              <w:spacing w:after="0"/>
              <w:rPr>
                <w:sz w:val="8"/>
                <w:szCs w:val="8"/>
                <w:color w:val="auto"/>
              </w:rPr>
            </w:pPr>
          </w:p>
        </w:tc>
        <w:tc>
          <w:tcPr>
            <w:tcW w:w="428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$ 65,414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(10,446)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80" w:type="dxa"/>
            <w:vAlign w:val="bottom"/>
            <w:gridSpan w:val="3"/>
          </w:tcPr>
          <w:p>
            <w:pPr>
              <w:ind w:left="2000"/>
              <w:spacing w:after="0"/>
              <w:rPr>
                <w:sz w:val="20"/>
                <w:szCs w:val="20"/>
                <w:color w:val="auto"/>
              </w:rPr>
            </w:pPr>
            <w:r>
              <w:rPr>
                <w:rFonts w:ascii="Arial" w:cs="Arial" w:eastAsia="Arial" w:hAnsi="Arial"/>
                <w:sz w:val="18"/>
                <w:szCs w:val="18"/>
                <w:color w:val="auto"/>
              </w:rPr>
              <w:t>F-54</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29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Offer to Exchange $900,000,000 of their outstanding</w:t>
      </w: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5.375% First Mortgage Notes due 2022</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(CUSIPs 983130 AS4 and U98347 AH7)</w:t>
      </w:r>
    </w:p>
    <w:p>
      <w:pPr>
        <w:jc w:val="center"/>
        <w:ind w:right="-259"/>
        <w:spacing w:after="0" w:line="230" w:lineRule="auto"/>
        <w:rPr>
          <w:sz w:val="20"/>
          <w:szCs w:val="20"/>
          <w:color w:val="auto"/>
        </w:rPr>
      </w:pPr>
      <w:r>
        <w:rPr>
          <w:rFonts w:ascii="Arial" w:cs="Arial" w:eastAsia="Arial" w:hAnsi="Arial"/>
          <w:sz w:val="22"/>
          <w:szCs w:val="22"/>
          <w:b w:val="1"/>
          <w:bCs w:val="1"/>
          <w:color w:val="auto"/>
        </w:rPr>
        <w:t>for</w:t>
      </w:r>
    </w:p>
    <w:p>
      <w:pPr>
        <w:jc w:val="center"/>
        <w:ind w:right="-259"/>
        <w:spacing w:after="0" w:line="231" w:lineRule="auto"/>
        <w:rPr>
          <w:sz w:val="20"/>
          <w:szCs w:val="20"/>
          <w:color w:val="auto"/>
        </w:rPr>
      </w:pPr>
      <w:r>
        <w:rPr>
          <w:rFonts w:ascii="Arial" w:cs="Arial" w:eastAsia="Arial" w:hAnsi="Arial"/>
          <w:sz w:val="22"/>
          <w:szCs w:val="22"/>
          <w:b w:val="1"/>
          <w:bCs w:val="1"/>
          <w:color w:val="auto"/>
        </w:rPr>
        <w:t>5.375% First Mortgage Notes due 2022</w:t>
      </w:r>
    </w:p>
    <w:p>
      <w:pPr>
        <w:jc w:val="center"/>
        <w:ind w:right="-259"/>
        <w:spacing w:after="0" w:line="230" w:lineRule="auto"/>
        <w:rPr>
          <w:sz w:val="20"/>
          <w:szCs w:val="20"/>
          <w:color w:val="auto"/>
        </w:rPr>
      </w:pPr>
      <w:r>
        <w:rPr>
          <w:rFonts w:ascii="Arial" w:cs="Arial" w:eastAsia="Arial" w:hAnsi="Arial"/>
          <w:sz w:val="22"/>
          <w:szCs w:val="22"/>
          <w:b w:val="1"/>
          <w:bCs w:val="1"/>
          <w:color w:val="auto"/>
        </w:rPr>
        <w:t>(CUSIP 983130 AT2)</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2012,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260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460"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 xml:space="preserve">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Resorts’ bylaws provide that it will indemnify its directors and officers to the maximum extent permitted by Nevada law, including in certain circumstances in which indemnification would be otherwise discretionary under Section 78.7502 of the NRS. The bylaws provide further that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of Wynn Resorts, including, without limitation, in connection with such individual being deemed an Unsuitable Person under Wynn Resorts’ articles of incorporation. In addition, Wynn Resorts has entered into</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separate indemnification agreements with certain of its directors and officers that require Wynn Resorts, among other things, to indemnify such directors and officers against certain liabilities that may arise by reason of their status or service other than liabilities arising from certain willful misconduct of a culpable or fraudulent nature. Such agreements also do not require Wynn Resorts to indemnify a director or officer on account of any proceeding by Wynn Resorts to enforce against such director or officer (or any of his or her affiliates) the provisions of Wynn Resorts’ articles of incorporation or bylaws regarding compliance with gaming laws, including any provisions relating to removal of such individual as a director of Wynn Resorts or the redemption of any securities owned by such individual or their affiliates. Wynn Resorts also maintains director and officer liability insurance.</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38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Exhibits and Financial Statement Schedules.</w:t>
            </w:r>
          </w:p>
        </w:tc>
      </w:tr>
      <w:tr>
        <w:trPr>
          <w:trHeight w:val="297"/>
        </w:trPr>
        <w:tc>
          <w:tcPr>
            <w:tcW w:w="76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380"/>
              <w:spacing w:after="0"/>
              <w:rPr>
                <w:sz w:val="20"/>
                <w:szCs w:val="20"/>
                <w:color w:val="auto"/>
              </w:rPr>
            </w:pPr>
            <w:r>
              <w:rPr>
                <w:rFonts w:ascii="Arial" w:cs="Arial" w:eastAsia="Arial" w:hAnsi="Arial"/>
                <w:sz w:val="18"/>
                <w:szCs w:val="18"/>
                <w:b w:val="1"/>
                <w:bCs w:val="1"/>
                <w:color w:val="auto"/>
              </w:rPr>
              <w:t xml:space="preserve">21(a). </w:t>
            </w:r>
            <w:r>
              <w:rPr>
                <w:rFonts w:ascii="Arial" w:cs="Arial" w:eastAsia="Arial" w:hAnsi="Arial"/>
                <w:sz w:val="18"/>
                <w:szCs w:val="18"/>
                <w:b w:val="1"/>
                <w:bCs w:val="1"/>
                <w:i w:val="1"/>
                <w:iCs w:val="1"/>
                <w:color w:val="auto"/>
              </w:rPr>
              <w:t>Exhibits</w:t>
            </w:r>
          </w:p>
        </w:tc>
      </w:tr>
      <w:tr>
        <w:trPr>
          <w:trHeight w:val="223"/>
        </w:trPr>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1064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3.1</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3.2</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3.3</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3.4</w:t>
            </w:r>
          </w:p>
        </w:tc>
        <w:tc>
          <w:tcPr>
            <w:tcW w:w="10640" w:type="dxa"/>
            <w:vAlign w:val="bottom"/>
          </w:tcPr>
          <w:p>
            <w:pPr>
              <w:ind w:left="28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3.5</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3.6</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3.7</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4.1</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Indenture, dated as of October 19, 2009, among Wynn Las Vegas, LLC, Wynn Las Vegas Capital Corp., the Guarantors set forth therein and U.S.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as trustee. (11)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4.2</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U.S. Bank National Association, as trustee. (13)</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4.3</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Indenture, dated as of August 4, 2010, among Wynn Las Vegas LLC, Wynn Las Vegas Capital Corp., the Guarantors set forth therein and U.S.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as trustee. (15)</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4.4</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Indenture, dated as of March 12, 2012, by and among Wynn Las Vegas, LLC, Wynn Las Vegas Capital Corp., the Guarantors set forth therein and</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U.S. Bank National Association, as trustee. (17)</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5.1</w:t>
            </w:r>
          </w:p>
        </w:tc>
        <w:tc>
          <w:tcPr>
            <w:tcW w:w="10640" w:type="dxa"/>
            <w:vAlign w:val="bottom"/>
          </w:tcPr>
          <w:p>
            <w:pPr>
              <w:ind w:left="280"/>
              <w:spacing w:after="0"/>
              <w:rPr>
                <w:sz w:val="20"/>
                <w:szCs w:val="20"/>
                <w:color w:val="auto"/>
              </w:rPr>
            </w:pPr>
            <w:r>
              <w:rPr>
                <w:rFonts w:ascii="Arial" w:cs="Arial" w:eastAsia="Arial" w:hAnsi="Arial"/>
                <w:sz w:val="18"/>
                <w:szCs w:val="18"/>
                <w:color w:val="auto"/>
              </w:rPr>
              <w:t>Opinion of Skadden, Arps, Slate, Meagher &amp; Flom LLP. (20)</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5.2</w:t>
            </w:r>
          </w:p>
        </w:tc>
        <w:tc>
          <w:tcPr>
            <w:tcW w:w="10640" w:type="dxa"/>
            <w:vAlign w:val="bottom"/>
          </w:tcPr>
          <w:p>
            <w:pPr>
              <w:ind w:left="280"/>
              <w:spacing w:after="0"/>
              <w:rPr>
                <w:sz w:val="20"/>
                <w:szCs w:val="20"/>
                <w:color w:val="auto"/>
              </w:rPr>
            </w:pPr>
            <w:r>
              <w:rPr>
                <w:rFonts w:ascii="Arial" w:cs="Arial" w:eastAsia="Arial" w:hAnsi="Arial"/>
                <w:sz w:val="18"/>
                <w:szCs w:val="18"/>
                <w:color w:val="auto"/>
              </w:rPr>
              <w:t>Opinion of Brownstein Hyatt Farber Schreck, LLP. (20)</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10.1</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(10)</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10.2</w:t>
            </w:r>
          </w:p>
        </w:tc>
        <w:tc>
          <w:tcPr>
            <w:tcW w:w="10640" w:type="dxa"/>
            <w:vAlign w:val="bottom"/>
          </w:tcPr>
          <w:p>
            <w:pPr>
              <w:ind w:left="2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Agent. (8)</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10.3</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LLC, Deutsche Bank Trust Company Americas, as the Bank Agent, and Deutsche Bank Trust Company Americas, as the Disbursement Agent. (9)</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10.4</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10.5</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 2010, by and among Wynn Las Vegas,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(13)</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10.6</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Sixth Amendment to Amended and Restated Master Disbursement Agreement, dated March 12, 2012, by and among Wynn Las Vegas,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(17)</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10.7</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Association, not in its individual capacity but solely as collateral agent. (6)</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10.8</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not in its individual capacity but solely as collateral agent. (6)</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10.9</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(6)</w:t>
            </w:r>
          </w:p>
        </w:tc>
      </w:tr>
      <w:tr>
        <w:trPr>
          <w:trHeight w:val="216"/>
        </w:trPr>
        <w:tc>
          <w:tcPr>
            <w:tcW w:w="760" w:type="dxa"/>
            <w:vAlign w:val="bottom"/>
          </w:tcPr>
          <w:p>
            <w:pPr>
              <w:jc w:val="center"/>
              <w:ind w:right="193"/>
              <w:spacing w:after="0"/>
              <w:rPr>
                <w:sz w:val="20"/>
                <w:szCs w:val="20"/>
                <w:color w:val="auto"/>
              </w:rPr>
            </w:pPr>
            <w:r>
              <w:rPr>
                <w:rFonts w:ascii="Arial" w:cs="Arial" w:eastAsia="Arial" w:hAnsi="Arial"/>
                <w:sz w:val="18"/>
                <w:szCs w:val="18"/>
                <w:color w:val="auto"/>
                <w:w w:val="88"/>
              </w:rPr>
              <w:t>10.10</w:t>
            </w: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(6)</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62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4"/>
              </w:rPr>
              <w:t>10.11</w:t>
            </w:r>
          </w:p>
        </w:tc>
        <w:tc>
          <w:tcPr>
            <w:tcW w:w="10620" w:type="dxa"/>
            <w:vAlign w:val="bottom"/>
          </w:tcPr>
          <w:p>
            <w:pPr>
              <w:ind w:left="2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(7)</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10.12</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Fifth Amended and Restated Art Rental and Licensing Agreement, dated as of July 1, 2007, between Stephen A. Wynn, as lessor, Wynn Gallery,</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LLC, as lessee. (16)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10.13</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10.14</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the Bank Agent, and U.S. Bank National Association, as Indenture Trustee.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10.15</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10.16</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10.17</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Acknowledgement and Agreement, dated as of September 1, 2004, by and among Wynn Las Vegas, LLC, Wells Fargo Bank, National Association</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and the lenders named therein. (5)</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10.18</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as administrative agent, and U.S. Bank National Association, as trustee.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10.19</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10.20</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Wynn Las Vegas, LLC.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10.21</w:t>
            </w:r>
          </w:p>
        </w:tc>
        <w:tc>
          <w:tcPr>
            <w:tcW w:w="10620" w:type="dxa"/>
            <w:vAlign w:val="bottom"/>
          </w:tcPr>
          <w:p>
            <w:pPr>
              <w:ind w:left="280"/>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 (14)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10.22</w:t>
            </w:r>
          </w:p>
        </w:tc>
        <w:tc>
          <w:tcPr>
            <w:tcW w:w="10620" w:type="dxa"/>
            <w:vAlign w:val="bottom"/>
          </w:tcPr>
          <w:p>
            <w:pPr>
              <w:ind w:left="2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and Stephen A. Wynn. (14)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10.23</w:t>
            </w:r>
          </w:p>
        </w:tc>
        <w:tc>
          <w:tcPr>
            <w:tcW w:w="10620" w:type="dxa"/>
            <w:vAlign w:val="bottom"/>
          </w:tcPr>
          <w:p>
            <w:pPr>
              <w:ind w:left="280"/>
              <w:spacing w:after="0"/>
              <w:rPr>
                <w:sz w:val="20"/>
                <w:szCs w:val="20"/>
                <w:color w:val="auto"/>
              </w:rPr>
            </w:pPr>
            <w:r>
              <w:rPr>
                <w:rFonts w:ascii="Arial" w:cs="Arial" w:eastAsia="Arial" w:hAnsi="Arial"/>
                <w:sz w:val="18"/>
                <w:szCs w:val="18"/>
                <w:color w:val="auto"/>
                <w:w w:val="87"/>
              </w:rPr>
              <w:t>First Amendment to Amended and Restated Agreement of Lease, dated as of April 9, 2012, by and between Wynn Las Vegas, LLC and Stephen A.</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Wynn. (18)</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10.24</w:t>
            </w:r>
          </w:p>
        </w:tc>
        <w:tc>
          <w:tcPr>
            <w:tcW w:w="10620" w:type="dxa"/>
            <w:vAlign w:val="bottom"/>
          </w:tcPr>
          <w:p>
            <w:pPr>
              <w:ind w:left="280"/>
              <w:spacing w:after="0"/>
              <w:rPr>
                <w:sz w:val="20"/>
                <w:szCs w:val="20"/>
                <w:color w:val="auto"/>
              </w:rPr>
            </w:pPr>
            <w:r>
              <w:rPr>
                <w:rFonts w:ascii="Arial" w:cs="Arial" w:eastAsia="Arial" w:hAnsi="Arial"/>
                <w:sz w:val="18"/>
                <w:szCs w:val="18"/>
                <w:color w:val="auto"/>
              </w:rPr>
              <w:t>Employment Agreement, dated as of November 8, 2010, between Wynn Las Vegas, LLC and Marilyn Spiegel. (16)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10.25</w:t>
            </w:r>
          </w:p>
        </w:tc>
        <w:tc>
          <w:tcPr>
            <w:tcW w:w="10620" w:type="dxa"/>
            <w:vAlign w:val="bottom"/>
          </w:tcPr>
          <w:p>
            <w:pPr>
              <w:ind w:left="2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(12)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10.26</w:t>
            </w: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Registration Rights Agreement, dated as of October 19, 2009, by and among Wynn Las Vegas, LLC, Wynn Las Vegas Capital Corp., the</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Guarantors set forth therein, Deutsche Bank Securities Inc. and Banc of America Securities LLC. (11)</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10.27</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(13)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10.28</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Registration Rights Agreement, dated as of August 4, 2010, by and among the Issuers, the Guarantors, Deutsche Bank Securities Inc., Banc of</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America Securities LLC, J.P. Morgan Securities Inc., Morgan Stanley &amp; Co. Incorporated, RBS Securities Inc. and UBS Securities LLC. (15)</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10.29</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Registration Rights Agreement, dated as of March 12, 2012, by and among the Issuers, the Guarantors, Deutsche Bank Securities Inc., Merrill</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Lynch, Pierce, Fenner &amp; Smith Incorporated and J.P. Morgan Securities LLC. (17)</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10.30</w:t>
            </w:r>
          </w:p>
        </w:tc>
        <w:tc>
          <w:tcPr>
            <w:tcW w:w="10620" w:type="dxa"/>
            <w:vAlign w:val="bottom"/>
          </w:tcPr>
          <w:p>
            <w:pPr>
              <w:ind w:left="280"/>
              <w:spacing w:after="0"/>
              <w:rPr>
                <w:sz w:val="20"/>
                <w:szCs w:val="20"/>
                <w:color w:val="auto"/>
              </w:rPr>
            </w:pPr>
            <w:r>
              <w:rPr>
                <w:rFonts w:ascii="Arial" w:cs="Arial" w:eastAsia="Arial" w:hAnsi="Arial"/>
                <w:sz w:val="18"/>
                <w:szCs w:val="18"/>
                <w:color w:val="auto"/>
                <w:w w:val="93"/>
              </w:rPr>
              <w:t>Employment Agreement, dated January 10, 2012, effective April 20, 2012, by and between Wynn Las Vegas, LLC and Scott Peterson. (19)</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12.1</w:t>
            </w:r>
          </w:p>
        </w:tc>
        <w:tc>
          <w:tcPr>
            <w:tcW w:w="10620" w:type="dxa"/>
            <w:vAlign w:val="bottom"/>
          </w:tcPr>
          <w:p>
            <w:pPr>
              <w:ind w:left="280"/>
              <w:spacing w:after="0"/>
              <w:rPr>
                <w:sz w:val="20"/>
                <w:szCs w:val="20"/>
                <w:color w:val="auto"/>
              </w:rPr>
            </w:pPr>
            <w:r>
              <w:rPr>
                <w:rFonts w:ascii="Arial" w:cs="Arial" w:eastAsia="Arial" w:hAnsi="Arial"/>
                <w:sz w:val="18"/>
                <w:szCs w:val="18"/>
                <w:color w:val="auto"/>
              </w:rPr>
              <w:t>Statements re Computation of Ratios.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21.1</w:t>
            </w:r>
          </w:p>
        </w:tc>
        <w:tc>
          <w:tcPr>
            <w:tcW w:w="10620" w:type="dxa"/>
            <w:vAlign w:val="bottom"/>
          </w:tcPr>
          <w:p>
            <w:pPr>
              <w:ind w:left="280"/>
              <w:spacing w:after="0"/>
              <w:rPr>
                <w:sz w:val="20"/>
                <w:szCs w:val="20"/>
                <w:color w:val="auto"/>
              </w:rPr>
            </w:pPr>
            <w:r>
              <w:rPr>
                <w:rFonts w:ascii="Arial" w:cs="Arial" w:eastAsia="Arial" w:hAnsi="Arial"/>
                <w:sz w:val="18"/>
                <w:szCs w:val="18"/>
                <w:color w:val="auto"/>
              </w:rPr>
              <w:t>Subsidiaries of the Registrant. (20)</w:t>
            </w:r>
          </w:p>
        </w:tc>
      </w:tr>
      <w:tr>
        <w:trPr>
          <w:trHeight w:val="222"/>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23.1</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Ernst &amp; Young LLP. (20)</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Exhibit</w:t>
            </w:r>
          </w:p>
        </w:tc>
        <w:tc>
          <w:tcPr>
            <w:tcW w:w="1032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23.2</w:t>
            </w:r>
          </w:p>
        </w:tc>
        <w:tc>
          <w:tcPr>
            <w:tcW w:w="10320" w:type="dxa"/>
            <w:vAlign w:val="bottom"/>
          </w:tcPr>
          <w:p>
            <w:pPr>
              <w:ind w:left="320"/>
              <w:spacing w:after="0"/>
              <w:rPr>
                <w:sz w:val="20"/>
                <w:szCs w:val="20"/>
                <w:color w:val="auto"/>
              </w:rPr>
            </w:pPr>
            <w:r>
              <w:rPr>
                <w:rFonts w:ascii="Arial" w:cs="Arial" w:eastAsia="Arial" w:hAnsi="Arial"/>
                <w:sz w:val="18"/>
                <w:szCs w:val="18"/>
                <w:color w:val="auto"/>
              </w:rPr>
              <w:t>Consent of Skadden, Arps, Slate, Meagher &amp; Flom LLP (included in Exhibit 5.1).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23.3</w:t>
            </w:r>
          </w:p>
        </w:tc>
        <w:tc>
          <w:tcPr>
            <w:tcW w:w="10320" w:type="dxa"/>
            <w:vAlign w:val="bottom"/>
          </w:tcPr>
          <w:p>
            <w:pPr>
              <w:ind w:left="320"/>
              <w:spacing w:after="0"/>
              <w:rPr>
                <w:sz w:val="20"/>
                <w:szCs w:val="20"/>
                <w:color w:val="auto"/>
              </w:rPr>
            </w:pPr>
            <w:r>
              <w:rPr>
                <w:rFonts w:ascii="Arial" w:cs="Arial" w:eastAsia="Arial" w:hAnsi="Arial"/>
                <w:sz w:val="18"/>
                <w:szCs w:val="18"/>
                <w:color w:val="auto"/>
              </w:rPr>
              <w:t>Consent of Brownstein Hyatt Farber Schreck, LLP (included in Exhibit 5.2).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24.1</w:t>
            </w:r>
          </w:p>
        </w:tc>
        <w:tc>
          <w:tcPr>
            <w:tcW w:w="10320" w:type="dxa"/>
            <w:vAlign w:val="bottom"/>
          </w:tcPr>
          <w:p>
            <w:pPr>
              <w:ind w:left="320"/>
              <w:spacing w:after="0"/>
              <w:rPr>
                <w:sz w:val="20"/>
                <w:szCs w:val="20"/>
                <w:color w:val="auto"/>
              </w:rPr>
            </w:pPr>
            <w:r>
              <w:rPr>
                <w:rFonts w:ascii="Arial" w:cs="Arial" w:eastAsia="Arial" w:hAnsi="Arial"/>
                <w:sz w:val="18"/>
                <w:szCs w:val="18"/>
                <w:color w:val="auto"/>
              </w:rPr>
              <w:t>Powers of Attorney.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25.1</w:t>
            </w:r>
          </w:p>
        </w:tc>
        <w:tc>
          <w:tcPr>
            <w:tcW w:w="10320" w:type="dxa"/>
            <w:vAlign w:val="bottom"/>
          </w:tcPr>
          <w:p>
            <w:pPr>
              <w:ind w:left="32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16"/>
        </w:trPr>
        <w:tc>
          <w:tcPr>
            <w:tcW w:w="760" w:type="dxa"/>
            <w:vAlign w:val="bottom"/>
          </w:tcPr>
          <w:p>
            <w:pPr>
              <w:spacing w:after="0"/>
              <w:rPr>
                <w:sz w:val="18"/>
                <w:szCs w:val="18"/>
                <w:color w:val="auto"/>
              </w:rPr>
            </w:pPr>
          </w:p>
        </w:tc>
        <w:tc>
          <w:tcPr>
            <w:tcW w:w="10320" w:type="dxa"/>
            <w:vAlign w:val="bottom"/>
          </w:tcPr>
          <w:p>
            <w:pPr>
              <w:ind w:left="320"/>
              <w:spacing w:after="0"/>
              <w:rPr>
                <w:sz w:val="20"/>
                <w:szCs w:val="20"/>
                <w:color w:val="auto"/>
              </w:rPr>
            </w:pPr>
            <w:r>
              <w:rPr>
                <w:rFonts w:ascii="Arial" w:cs="Arial" w:eastAsia="Arial" w:hAnsi="Arial"/>
                <w:sz w:val="18"/>
                <w:szCs w:val="18"/>
                <w:color w:val="auto"/>
              </w:rPr>
              <w:t>LLC and Wynn Las Vegas Capital Corp.’s 5.375% First Mortgage Notes due 2022.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99.1</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of Transmittal.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99.2</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Notice of Guaranteed Delivery.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99.3</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to Clients.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99.4</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to Brokers, Dealers, Commercial Banks, Trust Companies and Other Nominees. (20)</w:t>
            </w:r>
          </w:p>
        </w:tc>
      </w:tr>
      <w:tr>
        <w:trPr>
          <w:trHeight w:val="222"/>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99.5</w:t>
            </w:r>
          </w:p>
        </w:tc>
        <w:tc>
          <w:tcPr>
            <w:tcW w:w="10320" w:type="dxa"/>
            <w:vAlign w:val="bottom"/>
          </w:tcPr>
          <w:p>
            <w:pPr>
              <w:ind w:left="320"/>
              <w:spacing w:after="0"/>
              <w:rPr>
                <w:sz w:val="20"/>
                <w:szCs w:val="20"/>
                <w:color w:val="auto"/>
              </w:rPr>
            </w:pPr>
            <w:r>
              <w:rPr>
                <w:rFonts w:ascii="Arial" w:cs="Arial" w:eastAsia="Arial" w:hAnsi="Arial"/>
                <w:sz w:val="18"/>
                <w:szCs w:val="18"/>
                <w:color w:val="auto"/>
              </w:rPr>
              <w:t>Consent of J. Edward Virtue. (21)</w:t>
            </w:r>
          </w:p>
        </w:tc>
      </w:tr>
    </w:tbl>
    <w:p>
      <w:pPr>
        <w:ind w:left="1100" w:hanging="1008"/>
        <w:spacing w:after="0" w:line="286" w:lineRule="auto"/>
        <w:tabs>
          <w:tab w:leader="none" w:pos="110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three months ended June 30, 2012, filed with the SEC on August 9, 2012 formatted in Extensible Business Reporting Language (XBRL): (i) the Condensed Consolidated Statements of Comprehensive Income (loss) for the three and six months ended June 30, 2012 and 2011, (ii) the Condensed Consolidated Balance Sheets at June 30, 2012 and December 31, 2011, (iii) the Condensed Consolidated Statements of Cash Flows for the six months ended June 30, 2012 and 2011, and (iv) Notes to Condensed Consolidated Financial Statements, and the following financial information from the Company’s Annual Report on Form 10-K for the year ended December 31, 2011, filed with the SEC on February 29, 2012 formatted in Extensible Business Reporting Language (XBRL): (i) the Consolidated Statements of Operations for the years ended December 31, 2011, 2010 and 2009, (ii) the Consolidated Balance Sheets at December 31, 2011 and 2010, (iii) the Consolidated Statements of Member’s Equity at December 31, 2011 and 2010, (iv) the Consolidated Statements of Cash Flows for the years ended December 31, 2011, 2010 and 2009, and (iv) Notes to Consolidated Financial Statements. (22)</w:t>
      </w:r>
    </w:p>
    <w:p>
      <w:pPr>
        <w:spacing w:after="0" w:line="110" w:lineRule="exact"/>
        <w:rPr>
          <w:rFonts w:ascii="Arial" w:cs="Arial" w:eastAsia="Arial" w:hAnsi="Arial"/>
          <w:sz w:val="16"/>
          <w:szCs w:val="16"/>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-2213610</wp:posOffset>
            </wp:positionV>
            <wp:extent cx="72898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13,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12,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rFonts w:ascii="Arial" w:cs="Arial" w:eastAsia="Arial" w:hAnsi="Arial"/>
          <w:sz w:val="18"/>
          <w:szCs w:val="18"/>
          <w:color w:val="auto"/>
        </w:rPr>
      </w:pPr>
    </w:p>
    <w:p>
      <w:pPr>
        <w:jc w:val="both"/>
        <w:ind w:left="460" w:right="140" w:hanging="452"/>
        <w:spacing w:after="0" w:line="254" w:lineRule="auto"/>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Registration Statement on Form S-4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1480" w:right="20" w:hanging="567"/>
        <w:spacing w:after="0" w:line="290" w:lineRule="auto"/>
        <w:tabs>
          <w:tab w:leader="none" w:pos="1480" w:val="left"/>
        </w:tabs>
        <w:numPr>
          <w:ilvl w:val="2"/>
          <w:numId w:val="19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7" w:lineRule="exact"/>
        <w:rPr>
          <w:rFonts w:ascii="Arial" w:cs="Arial" w:eastAsia="Arial" w:hAnsi="Arial"/>
          <w:sz w:val="16"/>
          <w:szCs w:val="16"/>
          <w:color w:val="auto"/>
        </w:rPr>
      </w:pPr>
    </w:p>
    <w:p>
      <w:pPr>
        <w:ind w:left="1480" w:right="400" w:hanging="567"/>
        <w:spacing w:after="0" w:line="268" w:lineRule="auto"/>
        <w:tabs>
          <w:tab w:leader="none" w:pos="14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80"/>
          </w:cols>
          <w:pgMar w:left="240" w:top="459"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12" w:lineRule="auto"/>
        <w:rPr>
          <w:sz w:val="20"/>
          <w:szCs w:val="20"/>
          <w:color w:val="auto"/>
        </w:rPr>
      </w:pPr>
      <w:r>
        <w:rPr>
          <w:rFonts w:ascii="Arial" w:cs="Arial" w:eastAsia="Arial" w:hAnsi="Arial"/>
          <w:sz w:val="15"/>
          <w:szCs w:val="15"/>
          <w:color w:val="auto"/>
        </w:rPr>
        <w:t xml:space="preserve">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 Provided, 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24" w:lineRule="exact"/>
        <w:rPr>
          <w:sz w:val="20"/>
          <w:szCs w:val="20"/>
          <w:color w:val="auto"/>
        </w:rPr>
      </w:pPr>
    </w:p>
    <w:p>
      <w:pPr>
        <w:ind w:left="900" w:right="80" w:hanging="446"/>
        <w:spacing w:after="0" w:line="255" w:lineRule="auto"/>
        <w:tabs>
          <w:tab w:leader="none" w:pos="9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2"/>
          <w:numId w:val="19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1480" w:right="520" w:hanging="567"/>
        <w:spacing w:after="0" w:line="268" w:lineRule="auto"/>
        <w:tabs>
          <w:tab w:leader="none" w:pos="148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1480" w:right="160" w:hanging="567"/>
        <w:spacing w:after="0" w:line="268" w:lineRule="auto"/>
        <w:tabs>
          <w:tab w:leader="none" w:pos="148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900" w:hanging="446"/>
        <w:spacing w:after="0" w:line="289" w:lineRule="auto"/>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7" w:lineRule="exact"/>
        <w:rPr>
          <w:rFonts w:ascii="Arial" w:cs="Arial" w:eastAsia="Arial" w:hAnsi="Arial"/>
          <w:sz w:val="16"/>
          <w:szCs w:val="16"/>
          <w:color w:val="auto"/>
        </w:rPr>
      </w:pPr>
    </w:p>
    <w:p>
      <w:pPr>
        <w:ind w:left="900" w:right="60" w:hanging="446"/>
        <w:spacing w:after="0" w:line="256"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September 26,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8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its sole member</w:t>
            </w: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8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its sole member</w:t>
            </w:r>
          </w:p>
        </w:tc>
      </w:tr>
      <w:tr>
        <w:trPr>
          <w:trHeight w:val="63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90"/>
              </w:rPr>
              <w:t>/s/ Matt Maddox</w:t>
            </w:r>
          </w:p>
        </w:tc>
      </w:tr>
      <w:tr>
        <w:trPr>
          <w:trHeight w:val="197"/>
        </w:trPr>
        <w:tc>
          <w:tcPr>
            <w:tcW w:w="500" w:type="dxa"/>
            <w:vAlign w:val="bottom"/>
          </w:tcPr>
          <w:p>
            <w:pPr>
              <w:spacing w:after="0" w:line="197" w:lineRule="exact"/>
              <w:rPr>
                <w:sz w:val="20"/>
                <w:szCs w:val="20"/>
                <w:color w:val="auto"/>
              </w:rPr>
            </w:pPr>
            <w:r>
              <w:rPr>
                <w:rFonts w:ascii="Arial" w:cs="Arial" w:eastAsia="Arial" w:hAnsi="Arial"/>
                <w:sz w:val="18"/>
                <w:szCs w:val="18"/>
                <w:b w:val="1"/>
                <w:bCs w:val="1"/>
                <w:color w:val="auto"/>
                <w:w w:val="87"/>
              </w:rPr>
              <w:t>Name:</w:t>
            </w:r>
          </w:p>
        </w:tc>
        <w:tc>
          <w:tcPr>
            <w:tcW w:w="4060" w:type="dxa"/>
            <w:vAlign w:val="bottom"/>
          </w:tcPr>
          <w:p>
            <w:pPr>
              <w:jc w:val="center"/>
              <w:ind w:left="532"/>
              <w:spacing w:after="0" w:line="197" w:lineRule="exact"/>
              <w:rPr>
                <w:sz w:val="20"/>
                <w:szCs w:val="20"/>
                <w:color w:val="auto"/>
              </w:rPr>
            </w:pPr>
            <w:r>
              <w:rPr>
                <w:rFonts w:ascii="Arial" w:cs="Arial" w:eastAsia="Arial" w:hAnsi="Arial"/>
                <w:sz w:val="18"/>
                <w:szCs w:val="18"/>
                <w:b w:val="1"/>
                <w:bCs w:val="1"/>
                <w:color w:val="auto"/>
                <w:w w:val="94"/>
              </w:rPr>
              <w:t>Matt Maddox</w:t>
            </w:r>
          </w:p>
        </w:tc>
      </w:tr>
      <w:tr>
        <w:trPr>
          <w:trHeight w:val="228"/>
        </w:trPr>
        <w:tc>
          <w:tcPr>
            <w:tcW w:w="5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06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Chief Financial Officer and Treasurer</w:t>
            </w:r>
          </w:p>
        </w:tc>
      </w:tr>
    </w:tbl>
    <w:p>
      <w:pPr>
        <w:spacing w:after="0" w:line="15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1200" w:type="dxa"/>
        <w:tblCellMar>
          <w:top w:w="0" w:type="dxa"/>
          <w:left w:w="0" w:type="dxa"/>
          <w:bottom w:w="0" w:type="dxa"/>
          <w:right w:w="0" w:type="dxa"/>
        </w:tblCellMar>
      </w:tblPr>
      <w:tr>
        <w:trPr>
          <w:trHeight w:val="174"/>
        </w:trPr>
        <w:tc>
          <w:tcPr>
            <w:tcW w:w="2160" w:type="dxa"/>
            <w:vAlign w:val="bottom"/>
          </w:tcPr>
          <w:p>
            <w:pPr>
              <w:jc w:val="center"/>
              <w:ind w:right="593"/>
              <w:spacing w:after="0"/>
              <w:rPr>
                <w:sz w:val="20"/>
                <w:szCs w:val="20"/>
                <w:color w:val="auto"/>
              </w:rPr>
            </w:pPr>
            <w:r>
              <w:rPr>
                <w:rFonts w:ascii="Arial" w:cs="Arial" w:eastAsia="Arial" w:hAnsi="Arial"/>
                <w:sz w:val="14"/>
                <w:szCs w:val="14"/>
                <w:b w:val="1"/>
                <w:bCs w:val="1"/>
                <w:color w:val="auto"/>
                <w:w w:val="86"/>
              </w:rPr>
              <w:t>Signature</w:t>
            </w:r>
          </w:p>
        </w:tc>
        <w:tc>
          <w:tcPr>
            <w:tcW w:w="4080" w:type="dxa"/>
            <w:vAlign w:val="bottom"/>
          </w:tcPr>
          <w:p>
            <w:pPr>
              <w:ind w:left="2340"/>
              <w:spacing w:after="0"/>
              <w:rPr>
                <w:sz w:val="20"/>
                <w:szCs w:val="20"/>
                <w:color w:val="auto"/>
              </w:rPr>
            </w:pPr>
            <w:r>
              <w:rPr>
                <w:rFonts w:ascii="Arial" w:cs="Arial" w:eastAsia="Arial" w:hAnsi="Arial"/>
                <w:sz w:val="14"/>
                <w:szCs w:val="14"/>
                <w:b w:val="1"/>
                <w:bCs w:val="1"/>
                <w:color w:val="auto"/>
              </w:rPr>
              <w:t>Title</w:t>
            </w:r>
          </w:p>
        </w:tc>
        <w:tc>
          <w:tcPr>
            <w:tcW w:w="2860" w:type="dxa"/>
            <w:vAlign w:val="bottom"/>
          </w:tcPr>
          <w:p>
            <w:pPr>
              <w:jc w:val="center"/>
              <w:ind w:left="1374"/>
              <w:spacing w:after="0"/>
              <w:rPr>
                <w:sz w:val="20"/>
                <w:szCs w:val="20"/>
                <w:color w:val="auto"/>
              </w:rPr>
            </w:pPr>
            <w:r>
              <w:rPr>
                <w:rFonts w:ascii="Arial" w:cs="Arial" w:eastAsia="Arial" w:hAnsi="Arial"/>
                <w:sz w:val="14"/>
                <w:szCs w:val="14"/>
                <w:b w:val="1"/>
                <w:bCs w:val="1"/>
                <w:color w:val="auto"/>
                <w:w w:val="92"/>
              </w:rPr>
              <w:t>Date</w:t>
            </w:r>
          </w:p>
        </w:tc>
      </w:tr>
      <w:tr>
        <w:trPr>
          <w:trHeight w:val="297"/>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93"/>
              <w:spacing w:after="0"/>
              <w:rPr>
                <w:sz w:val="20"/>
                <w:szCs w:val="20"/>
                <w:color w:val="auto"/>
              </w:rPr>
            </w:pPr>
            <w:r>
              <w:rPr>
                <w:rFonts w:ascii="Arial" w:cs="Arial" w:eastAsia="Arial" w:hAnsi="Arial"/>
                <w:sz w:val="18"/>
                <w:szCs w:val="18"/>
                <w:b w:val="1"/>
                <w:bCs w:val="1"/>
                <w:color w:val="auto"/>
                <w:w w:val="89"/>
              </w:rPr>
              <w:t>Stephen A. Wynn</w:t>
            </w:r>
          </w:p>
        </w:tc>
        <w:tc>
          <w:tcPr>
            <w:tcW w:w="4080" w:type="dxa"/>
            <w:vAlign w:val="bottom"/>
          </w:tcPr>
          <w:p>
            <w:pPr>
              <w:ind w:left="660"/>
              <w:spacing w:after="0"/>
              <w:rPr>
                <w:sz w:val="20"/>
                <w:szCs w:val="20"/>
                <w:color w:val="auto"/>
              </w:rPr>
            </w:pPr>
            <w:r>
              <w:rPr>
                <w:rFonts w:ascii="Arial" w:cs="Arial" w:eastAsia="Arial" w:hAnsi="Arial"/>
                <w:sz w:val="18"/>
                <w:szCs w:val="18"/>
                <w:color w:val="auto"/>
              </w:rPr>
              <w:t>Chairman of the Board</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1"/>
              </w:rPr>
              <w:t>Linda Chen</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87"/>
              </w:rPr>
              <w:t>Russell Goldsmith</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4"/>
              </w:rPr>
              <w:t>Dr. Ray R. Irani</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3"/>
              </w:rPr>
              <w:t>Robert J. Miller</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1"/>
              </w:rPr>
              <w:t>John A. Moran</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89"/>
              </w:rPr>
              <w:t>Alvin V. Shoemaker</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93"/>
              <w:spacing w:after="0"/>
              <w:rPr>
                <w:sz w:val="20"/>
                <w:szCs w:val="20"/>
                <w:color w:val="auto"/>
              </w:rPr>
            </w:pPr>
            <w:r>
              <w:rPr>
                <w:rFonts w:ascii="Arial" w:cs="Arial" w:eastAsia="Arial" w:hAnsi="Arial"/>
                <w:sz w:val="18"/>
                <w:szCs w:val="18"/>
                <w:b w:val="1"/>
                <w:bCs w:val="1"/>
                <w:color w:val="auto"/>
                <w:w w:val="86"/>
              </w:rPr>
              <w:t>D. Boone Wayson</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93"/>
              <w:spacing w:after="0"/>
              <w:rPr>
                <w:sz w:val="20"/>
                <w:szCs w:val="20"/>
                <w:color w:val="auto"/>
              </w:rPr>
            </w:pPr>
            <w:r>
              <w:rPr>
                <w:rFonts w:ascii="Arial" w:cs="Arial" w:eastAsia="Arial" w:hAnsi="Arial"/>
                <w:sz w:val="18"/>
                <w:szCs w:val="18"/>
                <w:b w:val="1"/>
                <w:bCs w:val="1"/>
                <w:color w:val="auto"/>
                <w:w w:val="89"/>
              </w:rPr>
              <w:t>Elaine P. Wynn</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1"/>
              </w:rPr>
              <w:t>Allan Zeman</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2"/>
              </w:rPr>
              <w:t>Marc D. Schorr</w:t>
            </w:r>
          </w:p>
        </w:tc>
        <w:tc>
          <w:tcPr>
            <w:tcW w:w="408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ind w:left="1374"/>
              <w:spacing w:after="0"/>
              <w:rPr>
                <w:sz w:val="20"/>
                <w:szCs w:val="20"/>
                <w:color w:val="auto"/>
              </w:rPr>
            </w:pPr>
            <w:r>
              <w:rPr>
                <w:rFonts w:ascii="Arial" w:cs="Arial" w:eastAsia="Arial" w:hAnsi="Arial"/>
                <w:sz w:val="18"/>
                <w:szCs w:val="18"/>
                <w:color w:val="auto"/>
                <w:w w:val="85"/>
              </w:rPr>
              <w:t>September 26, 2012</w:t>
            </w:r>
          </w:p>
        </w:tc>
      </w:tr>
      <w:tr>
        <w:trPr>
          <w:trHeight w:val="365"/>
        </w:trPr>
        <w:tc>
          <w:tcPr>
            <w:tcW w:w="2160" w:type="dxa"/>
            <w:vAlign w:val="bottom"/>
          </w:tcPr>
          <w:p>
            <w:pPr>
              <w:spacing w:after="0"/>
              <w:rPr>
                <w:sz w:val="24"/>
                <w:szCs w:val="24"/>
                <w:color w:val="auto"/>
              </w:rPr>
            </w:pPr>
          </w:p>
        </w:tc>
        <w:tc>
          <w:tcPr>
            <w:tcW w:w="4080" w:type="dxa"/>
            <w:vAlign w:val="bottom"/>
          </w:tcPr>
          <w:p>
            <w:pPr>
              <w:ind w:left="2220"/>
              <w:spacing w:after="0"/>
              <w:rPr>
                <w:sz w:val="20"/>
                <w:szCs w:val="20"/>
                <w:color w:val="auto"/>
              </w:rPr>
            </w:pPr>
            <w:r>
              <w:rPr>
                <w:rFonts w:ascii="Arial" w:cs="Arial" w:eastAsia="Arial" w:hAnsi="Arial"/>
                <w:sz w:val="18"/>
                <w:szCs w:val="18"/>
                <w:color w:val="auto"/>
              </w:rPr>
              <w:t>II-8</w:t>
            </w:r>
          </w:p>
        </w:tc>
        <w:tc>
          <w:tcPr>
            <w:tcW w:w="2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308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Signature</w:t>
            </w:r>
          </w:p>
        </w:tc>
        <w:tc>
          <w:tcPr>
            <w:tcW w:w="1040" w:type="dxa"/>
            <w:vAlign w:val="bottom"/>
          </w:tcPr>
          <w:p>
            <w:pPr>
              <w:spacing w:after="0"/>
              <w:rPr>
                <w:sz w:val="15"/>
                <w:szCs w:val="15"/>
                <w:color w:val="auto"/>
              </w:rPr>
            </w:pPr>
          </w:p>
        </w:tc>
        <w:tc>
          <w:tcPr>
            <w:tcW w:w="3620" w:type="dxa"/>
            <w:vAlign w:val="bottom"/>
          </w:tcPr>
          <w:p>
            <w:pPr>
              <w:ind w:left="1120"/>
              <w:spacing w:after="0"/>
              <w:rPr>
                <w:sz w:val="20"/>
                <w:szCs w:val="20"/>
                <w:color w:val="auto"/>
              </w:rPr>
            </w:pPr>
            <w:r>
              <w:rPr>
                <w:rFonts w:ascii="Arial" w:cs="Arial" w:eastAsia="Arial" w:hAnsi="Arial"/>
                <w:sz w:val="14"/>
                <w:szCs w:val="14"/>
                <w:b w:val="1"/>
                <w:bCs w:val="1"/>
                <w:color w:val="auto"/>
              </w:rPr>
              <w:t>Title</w:t>
            </w:r>
          </w:p>
        </w:tc>
        <w:tc>
          <w:tcPr>
            <w:tcW w:w="2100" w:type="dxa"/>
            <w:vAlign w:val="bottom"/>
          </w:tcPr>
          <w:p>
            <w:pPr>
              <w:jc w:val="center"/>
              <w:ind w:left="619"/>
              <w:spacing w:after="0"/>
              <w:rPr>
                <w:sz w:val="20"/>
                <w:szCs w:val="20"/>
                <w:color w:val="auto"/>
              </w:rPr>
            </w:pPr>
            <w:r>
              <w:rPr>
                <w:rFonts w:ascii="Arial" w:cs="Arial" w:eastAsia="Arial" w:hAnsi="Arial"/>
                <w:sz w:val="14"/>
                <w:szCs w:val="14"/>
                <w:b w:val="1"/>
                <w:bCs w:val="1"/>
                <w:color w:val="auto"/>
                <w:w w:val="92"/>
              </w:rPr>
              <w:t>Date</w:t>
            </w:r>
          </w:p>
        </w:tc>
      </w:tr>
      <w:tr>
        <w:trPr>
          <w:trHeight w:val="297"/>
        </w:trPr>
        <w:tc>
          <w:tcPr>
            <w:tcW w:w="460" w:type="dxa"/>
            <w:vAlign w:val="bottom"/>
          </w:tcPr>
          <w:p>
            <w:pPr>
              <w:spacing w:after="0"/>
              <w:rPr>
                <w:sz w:val="24"/>
                <w:szCs w:val="24"/>
                <w:color w:val="auto"/>
              </w:rPr>
            </w:pPr>
          </w:p>
        </w:tc>
        <w:tc>
          <w:tcPr>
            <w:tcW w:w="3080" w:type="dxa"/>
            <w:vAlign w:val="bottom"/>
          </w:tcPr>
          <w:p>
            <w:pPr>
              <w:jc w:val="center"/>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Marilyn Spiegel</w:t>
            </w:r>
          </w:p>
        </w:tc>
        <w:tc>
          <w:tcPr>
            <w:tcW w:w="4660" w:type="dxa"/>
            <w:vAlign w:val="bottom"/>
            <w:gridSpan w:val="2"/>
          </w:tcPr>
          <w:p>
            <w:pPr>
              <w:ind w:left="480"/>
              <w:spacing w:after="0"/>
              <w:rPr>
                <w:sz w:val="20"/>
                <w:szCs w:val="20"/>
                <w:color w:val="auto"/>
              </w:rPr>
            </w:pPr>
            <w:r>
              <w:rPr>
                <w:rFonts w:ascii="Arial" w:cs="Arial" w:eastAsia="Arial" w:hAnsi="Arial"/>
                <w:sz w:val="18"/>
                <w:szCs w:val="18"/>
                <w:color w:val="auto"/>
              </w:rPr>
              <w:t>President (Principal Executive Officer)</w:t>
            </w:r>
          </w:p>
        </w:tc>
        <w:tc>
          <w:tcPr>
            <w:tcW w:w="2100" w:type="dxa"/>
            <w:vAlign w:val="bottom"/>
          </w:tcPr>
          <w:p>
            <w:pPr>
              <w:jc w:val="center"/>
              <w:ind w:left="619"/>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080" w:type="dxa"/>
            <w:vAlign w:val="bottom"/>
          </w:tcPr>
          <w:p>
            <w:pPr>
              <w:jc w:val="center"/>
              <w:ind w:right="40"/>
              <w:spacing w:after="0"/>
              <w:rPr>
                <w:sz w:val="20"/>
                <w:szCs w:val="20"/>
                <w:color w:val="auto"/>
              </w:rPr>
            </w:pPr>
            <w:r>
              <w:rPr>
                <w:rFonts w:ascii="Arial" w:cs="Arial" w:eastAsia="Arial" w:hAnsi="Arial"/>
                <w:sz w:val="18"/>
                <w:szCs w:val="18"/>
                <w:b w:val="1"/>
                <w:bCs w:val="1"/>
                <w:color w:val="auto"/>
                <w:w w:val="84"/>
              </w:rPr>
              <w:t>Scott Peterson</w:t>
            </w:r>
          </w:p>
        </w:tc>
        <w:tc>
          <w:tcPr>
            <w:tcW w:w="4660" w:type="dxa"/>
            <w:vAlign w:val="bottom"/>
            <w:gridSpan w:val="2"/>
          </w:tcPr>
          <w:p>
            <w:pPr>
              <w:ind w:left="480"/>
              <w:spacing w:after="0"/>
              <w:rPr>
                <w:sz w:val="20"/>
                <w:szCs w:val="20"/>
                <w:color w:val="auto"/>
              </w:rPr>
            </w:pPr>
            <w:r>
              <w:rPr>
                <w:rFonts w:ascii="Arial" w:cs="Arial" w:eastAsia="Arial" w:hAnsi="Arial"/>
                <w:sz w:val="18"/>
                <w:szCs w:val="18"/>
                <w:color w:val="auto"/>
              </w:rPr>
              <w:t>Senior Vice President and Chief Financial Officer</w:t>
            </w:r>
          </w:p>
        </w:tc>
        <w:tc>
          <w:tcPr>
            <w:tcW w:w="2100" w:type="dxa"/>
            <w:vAlign w:val="bottom"/>
          </w:tcPr>
          <w:p>
            <w:pPr>
              <w:spacing w:after="0"/>
              <w:rPr>
                <w:sz w:val="19"/>
                <w:szCs w:val="19"/>
                <w:color w:val="auto"/>
              </w:rPr>
            </w:pPr>
          </w:p>
        </w:tc>
      </w:tr>
      <w:tr>
        <w:trPr>
          <w:trHeight w:val="222"/>
        </w:trPr>
        <w:tc>
          <w:tcPr>
            <w:tcW w:w="4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660" w:type="dxa"/>
            <w:vAlign w:val="bottom"/>
            <w:gridSpan w:val="2"/>
          </w:tcPr>
          <w:p>
            <w:pPr>
              <w:ind w:left="480"/>
              <w:spacing w:after="0"/>
              <w:rPr>
                <w:sz w:val="20"/>
                <w:szCs w:val="20"/>
                <w:color w:val="auto"/>
              </w:rPr>
            </w:pPr>
            <w:r>
              <w:rPr>
                <w:rFonts w:ascii="Arial" w:cs="Arial" w:eastAsia="Arial" w:hAnsi="Arial"/>
                <w:sz w:val="18"/>
                <w:szCs w:val="18"/>
                <w:color w:val="auto"/>
              </w:rPr>
              <w:t>(Principal Financial and Accounting Officer)</w:t>
            </w:r>
          </w:p>
        </w:tc>
        <w:tc>
          <w:tcPr>
            <w:tcW w:w="2100" w:type="dxa"/>
            <w:vAlign w:val="bottom"/>
          </w:tcPr>
          <w:p>
            <w:pPr>
              <w:jc w:val="center"/>
              <w:ind w:left="619"/>
              <w:spacing w:after="0"/>
              <w:rPr>
                <w:sz w:val="20"/>
                <w:szCs w:val="20"/>
                <w:color w:val="auto"/>
              </w:rPr>
            </w:pPr>
            <w:r>
              <w:rPr>
                <w:rFonts w:ascii="Arial" w:cs="Arial" w:eastAsia="Arial" w:hAnsi="Arial"/>
                <w:sz w:val="18"/>
                <w:szCs w:val="18"/>
                <w:color w:val="auto"/>
                <w:w w:val="85"/>
              </w:rPr>
              <w:t>September 26, 2012</w:t>
            </w:r>
          </w:p>
        </w:tc>
      </w:tr>
      <w:tr>
        <w:trPr>
          <w:trHeight w:val="420"/>
        </w:trPr>
        <w:tc>
          <w:tcPr>
            <w:tcW w:w="460" w:type="dxa"/>
            <w:vAlign w:val="bottom"/>
          </w:tcPr>
          <w:p>
            <w:pPr>
              <w:spacing w:after="0"/>
              <w:rPr>
                <w:sz w:val="20"/>
                <w:szCs w:val="20"/>
                <w:color w:val="auto"/>
              </w:rPr>
            </w:pPr>
            <w:r>
              <w:rPr>
                <w:rFonts w:ascii="Arial" w:cs="Arial" w:eastAsia="Arial" w:hAnsi="Arial"/>
                <w:sz w:val="18"/>
                <w:szCs w:val="18"/>
                <w:b w:val="1"/>
                <w:bCs w:val="1"/>
                <w:color w:val="auto"/>
              </w:rPr>
              <w:t>* By:</w:t>
            </w:r>
          </w:p>
        </w:tc>
        <w:tc>
          <w:tcPr>
            <w:tcW w:w="3080" w:type="dxa"/>
            <w:vAlign w:val="bottom"/>
            <w:tcBorders>
              <w:bottom w:val="single" w:sz="8" w:color="auto"/>
            </w:tcBorders>
          </w:tcPr>
          <w:p>
            <w:pPr>
              <w:jc w:val="center"/>
              <w:ind w:left="1020"/>
              <w:spacing w:after="0"/>
              <w:rPr>
                <w:sz w:val="20"/>
                <w:szCs w:val="20"/>
                <w:color w:val="auto"/>
              </w:rPr>
            </w:pPr>
            <w:r>
              <w:rPr>
                <w:rFonts w:ascii="Arial" w:cs="Arial" w:eastAsia="Arial" w:hAnsi="Arial"/>
                <w:sz w:val="18"/>
                <w:szCs w:val="18"/>
                <w:color w:val="auto"/>
                <w:w w:val="90"/>
              </w:rPr>
              <w:t>/s/ Kim Sinatra</w:t>
            </w:r>
          </w:p>
        </w:tc>
        <w:tc>
          <w:tcPr>
            <w:tcW w:w="1040" w:type="dxa"/>
            <w:vAlign w:val="bottom"/>
            <w:tcBorders>
              <w:bottom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30"/>
        </w:trPr>
        <w:tc>
          <w:tcPr>
            <w:tcW w:w="460" w:type="dxa"/>
            <w:vAlign w:val="bottom"/>
          </w:tcPr>
          <w:p>
            <w:pPr>
              <w:spacing w:after="0"/>
              <w:rPr>
                <w:sz w:val="11"/>
                <w:szCs w:val="11"/>
                <w:color w:val="auto"/>
              </w:rPr>
            </w:pPr>
          </w:p>
        </w:tc>
        <w:tc>
          <w:tcPr>
            <w:tcW w:w="3080" w:type="dxa"/>
            <w:vAlign w:val="bottom"/>
          </w:tcPr>
          <w:p>
            <w:pPr>
              <w:jc w:val="center"/>
              <w:ind w:left="100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10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100" w:type="dxa"/>
            <w:vAlign w:val="bottom"/>
          </w:tcPr>
          <w:p>
            <w:pPr>
              <w:spacing w:after="0"/>
              <w:rPr>
                <w:sz w:val="11"/>
                <w:szCs w:val="11"/>
                <w:color w:val="auto"/>
              </w:rPr>
            </w:pPr>
          </w:p>
        </w:tc>
      </w:tr>
      <w:tr>
        <w:trPr>
          <w:trHeight w:val="174"/>
        </w:trPr>
        <w:tc>
          <w:tcPr>
            <w:tcW w:w="460" w:type="dxa"/>
            <w:vAlign w:val="bottom"/>
          </w:tcPr>
          <w:p>
            <w:pPr>
              <w:spacing w:after="0"/>
              <w:rPr>
                <w:sz w:val="15"/>
                <w:szCs w:val="15"/>
                <w:color w:val="auto"/>
              </w:rPr>
            </w:pPr>
          </w:p>
        </w:tc>
        <w:tc>
          <w:tcPr>
            <w:tcW w:w="3080" w:type="dxa"/>
            <w:vAlign w:val="bottom"/>
          </w:tcPr>
          <w:p>
            <w:pPr>
              <w:jc w:val="center"/>
              <w:ind w:left="1020"/>
              <w:spacing w:after="0"/>
              <w:rPr>
                <w:sz w:val="20"/>
                <w:szCs w:val="20"/>
                <w:color w:val="auto"/>
              </w:rPr>
            </w:pPr>
            <w:r>
              <w:rPr>
                <w:rFonts w:ascii="Arial" w:cs="Arial" w:eastAsia="Arial" w:hAnsi="Arial"/>
                <w:sz w:val="14"/>
                <w:szCs w:val="14"/>
                <w:b w:val="1"/>
                <w:bCs w:val="1"/>
                <w:color w:val="auto"/>
                <w:w w:val="90"/>
              </w:rPr>
              <w:t>Attorney-in-fact</w:t>
            </w:r>
          </w:p>
        </w:tc>
        <w:tc>
          <w:tcPr>
            <w:tcW w:w="10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0"/>
        </w:trPr>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20" w:type="dxa"/>
            <w:vAlign w:val="bottom"/>
          </w:tcPr>
          <w:p>
            <w:pPr>
              <w:ind w:left="1000"/>
              <w:spacing w:after="0"/>
              <w:rPr>
                <w:sz w:val="20"/>
                <w:szCs w:val="20"/>
                <w:color w:val="auto"/>
              </w:rPr>
            </w:pPr>
            <w:r>
              <w:rPr>
                <w:rFonts w:ascii="Arial" w:cs="Arial" w:eastAsia="Arial" w:hAnsi="Arial"/>
                <w:sz w:val="18"/>
                <w:szCs w:val="18"/>
                <w:color w:val="auto"/>
              </w:rPr>
              <w:t>II-9</w:t>
            </w:r>
          </w:p>
        </w:tc>
        <w:tc>
          <w:tcPr>
            <w:tcW w:w="2100" w:type="dxa"/>
            <w:vAlign w:val="bottom"/>
          </w:tcPr>
          <w:p>
            <w:pPr>
              <w:spacing w:after="0"/>
              <w:rPr>
                <w:sz w:val="24"/>
                <w:szCs w:val="24"/>
                <w:color w:val="auto"/>
              </w:rPr>
            </w:pPr>
          </w:p>
        </w:tc>
      </w:tr>
    </w:tbl>
    <w:p>
      <w:pPr>
        <w:sectPr>
          <w:pgSz w:w="11900" w:h="16838" w:orient="portrait"/>
          <w:cols w:equalWidth="0" w:num="1">
            <w:col w:w="10300"/>
          </w:cols>
          <w:pgMar w:left="240" w:top="460" w:right="13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September 26,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 Maddox</w:t>
            </w:r>
          </w:p>
        </w:tc>
      </w:tr>
      <w:tr>
        <w:trPr>
          <w:trHeight w:val="197"/>
        </w:trPr>
        <w:tc>
          <w:tcPr>
            <w:tcW w:w="580" w:type="dxa"/>
            <w:vAlign w:val="bottom"/>
          </w:tcPr>
          <w:p>
            <w:pPr>
              <w:spacing w:after="0" w:line="197" w:lineRule="exact"/>
              <w:rPr>
                <w:sz w:val="20"/>
                <w:szCs w:val="20"/>
                <w:color w:val="auto"/>
              </w:rPr>
            </w:pPr>
            <w:r>
              <w:rPr>
                <w:rFonts w:ascii="Arial" w:cs="Arial" w:eastAsia="Arial" w:hAnsi="Arial"/>
                <w:sz w:val="18"/>
                <w:szCs w:val="18"/>
                <w:b w:val="1"/>
                <w:bCs w:val="1"/>
                <w:color w:val="auto"/>
              </w:rPr>
              <w:t>Name:</w:t>
            </w:r>
          </w:p>
        </w:tc>
        <w:tc>
          <w:tcPr>
            <w:tcW w:w="398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4"/>
              </w:rPr>
              <w:t>Matt Maddox</w:t>
            </w:r>
          </w:p>
        </w:tc>
      </w:tr>
      <w:tr>
        <w:trPr>
          <w:trHeight w:val="228"/>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9"/>
              </w:rPr>
              <w:t>Chief Financial Officer and Treasurer</w:t>
            </w:r>
          </w:p>
        </w:tc>
      </w:tr>
    </w:tbl>
    <w:p>
      <w:pPr>
        <w:spacing w:after="0" w:line="15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3080" w:type="dxa"/>
            <w:vAlign w:val="bottom"/>
          </w:tcPr>
          <w:p>
            <w:pPr>
              <w:jc w:val="center"/>
              <w:ind w:right="34"/>
              <w:spacing w:after="0"/>
              <w:rPr>
                <w:sz w:val="20"/>
                <w:szCs w:val="20"/>
                <w:color w:val="auto"/>
              </w:rPr>
            </w:pPr>
            <w:r>
              <w:rPr>
                <w:rFonts w:ascii="Arial" w:cs="Arial" w:eastAsia="Arial" w:hAnsi="Arial"/>
                <w:sz w:val="14"/>
                <w:szCs w:val="14"/>
                <w:b w:val="1"/>
                <w:bCs w:val="1"/>
                <w:color w:val="auto"/>
                <w:w w:val="86"/>
              </w:rPr>
              <w:t>Signature</w:t>
            </w:r>
          </w:p>
        </w:tc>
        <w:tc>
          <w:tcPr>
            <w:tcW w:w="1040" w:type="dxa"/>
            <w:vAlign w:val="bottom"/>
          </w:tcPr>
          <w:p>
            <w:pPr>
              <w:spacing w:after="0"/>
              <w:rPr>
                <w:sz w:val="15"/>
                <w:szCs w:val="15"/>
                <w:color w:val="auto"/>
              </w:rPr>
            </w:pPr>
          </w:p>
        </w:tc>
        <w:tc>
          <w:tcPr>
            <w:tcW w:w="3560" w:type="dxa"/>
            <w:vAlign w:val="bottom"/>
          </w:tcPr>
          <w:p>
            <w:pPr>
              <w:ind w:left="1120"/>
              <w:spacing w:after="0"/>
              <w:rPr>
                <w:sz w:val="20"/>
                <w:szCs w:val="20"/>
                <w:color w:val="auto"/>
              </w:rPr>
            </w:pPr>
            <w:r>
              <w:rPr>
                <w:rFonts w:ascii="Arial" w:cs="Arial" w:eastAsia="Arial" w:hAnsi="Arial"/>
                <w:sz w:val="14"/>
                <w:szCs w:val="14"/>
                <w:b w:val="1"/>
                <w:bCs w:val="1"/>
                <w:color w:val="auto"/>
              </w:rPr>
              <w:t>Title</w:t>
            </w:r>
          </w:p>
        </w:tc>
        <w:tc>
          <w:tcPr>
            <w:tcW w:w="2160" w:type="dxa"/>
            <w:vAlign w:val="bottom"/>
          </w:tcPr>
          <w:p>
            <w:pPr>
              <w:jc w:val="center"/>
              <w:ind w:left="674"/>
              <w:spacing w:after="0"/>
              <w:rPr>
                <w:sz w:val="20"/>
                <w:szCs w:val="20"/>
                <w:color w:val="auto"/>
              </w:rPr>
            </w:pPr>
            <w:r>
              <w:rPr>
                <w:rFonts w:ascii="Arial" w:cs="Arial" w:eastAsia="Arial" w:hAnsi="Arial"/>
                <w:sz w:val="14"/>
                <w:szCs w:val="14"/>
                <w:b w:val="1"/>
                <w:bCs w:val="1"/>
                <w:color w:val="auto"/>
                <w:w w:val="92"/>
              </w:rPr>
              <w:t>Date</w:t>
            </w:r>
          </w:p>
        </w:tc>
      </w:tr>
      <w:tr>
        <w:trPr>
          <w:trHeight w:val="297"/>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34"/>
              <w:spacing w:after="0"/>
              <w:rPr>
                <w:sz w:val="20"/>
                <w:szCs w:val="20"/>
                <w:color w:val="auto"/>
              </w:rPr>
            </w:pPr>
            <w:r>
              <w:rPr>
                <w:rFonts w:ascii="Arial" w:cs="Arial" w:eastAsia="Arial" w:hAnsi="Arial"/>
                <w:sz w:val="18"/>
                <w:szCs w:val="18"/>
                <w:b w:val="1"/>
                <w:bCs w:val="1"/>
                <w:color w:val="auto"/>
                <w:w w:val="89"/>
              </w:rPr>
              <w:t>Stephen A. Wynn</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Chairman of the Board</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1"/>
              </w:rPr>
              <w:t>Linda Chen</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87"/>
              </w:rPr>
              <w:t>Russell Goldsmith</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4"/>
              </w:rPr>
              <w:t>Dr. Ray R. Irani</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3"/>
              </w:rPr>
              <w:t>Robert J. Miller</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1"/>
              </w:rPr>
              <w:t>John A. Moran</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89"/>
              </w:rPr>
              <w:t>Alvin V. Shoemaker</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34"/>
              <w:spacing w:after="0"/>
              <w:rPr>
                <w:sz w:val="20"/>
                <w:szCs w:val="20"/>
                <w:color w:val="auto"/>
              </w:rPr>
            </w:pPr>
            <w:r>
              <w:rPr>
                <w:rFonts w:ascii="Arial" w:cs="Arial" w:eastAsia="Arial" w:hAnsi="Arial"/>
                <w:sz w:val="18"/>
                <w:szCs w:val="18"/>
                <w:b w:val="1"/>
                <w:bCs w:val="1"/>
                <w:color w:val="auto"/>
                <w:w w:val="86"/>
              </w:rPr>
              <w:t>D. Boone Wayson</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34"/>
              <w:spacing w:after="0"/>
              <w:rPr>
                <w:sz w:val="20"/>
                <w:szCs w:val="20"/>
                <w:color w:val="auto"/>
              </w:rPr>
            </w:pPr>
            <w:r>
              <w:rPr>
                <w:rFonts w:ascii="Arial" w:cs="Arial" w:eastAsia="Arial" w:hAnsi="Arial"/>
                <w:sz w:val="18"/>
                <w:szCs w:val="18"/>
                <w:b w:val="1"/>
                <w:bCs w:val="1"/>
                <w:color w:val="auto"/>
                <w:w w:val="89"/>
              </w:rPr>
              <w:t>Elaine P. Wynn</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1"/>
              </w:rPr>
              <w:t>Allan Zeman</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2"/>
              </w:rPr>
              <w:t>Marc D. Schorr</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Chief Operating Officer (Principal Executive</w:t>
            </w:r>
          </w:p>
        </w:tc>
        <w:tc>
          <w:tcPr>
            <w:tcW w:w="2160" w:type="dxa"/>
            <w:vAlign w:val="bottom"/>
          </w:tcPr>
          <w:p>
            <w:pPr>
              <w:spacing w:after="0"/>
              <w:rPr>
                <w:sz w:val="19"/>
                <w:szCs w:val="19"/>
                <w:color w:val="auto"/>
              </w:rPr>
            </w:pPr>
          </w:p>
        </w:tc>
      </w:tr>
      <w:tr>
        <w:trPr>
          <w:trHeight w:val="222"/>
        </w:trPr>
        <w:tc>
          <w:tcPr>
            <w:tcW w:w="4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Officer)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080" w:type="dxa"/>
            <w:vAlign w:val="bottom"/>
          </w:tcPr>
          <w:p>
            <w:pPr>
              <w:jc w:val="center"/>
              <w:ind w:right="34"/>
              <w:spacing w:after="0"/>
              <w:rPr>
                <w:sz w:val="20"/>
                <w:szCs w:val="20"/>
                <w:color w:val="auto"/>
              </w:rPr>
            </w:pPr>
            <w:r>
              <w:rPr>
                <w:rFonts w:ascii="Arial" w:cs="Arial" w:eastAsia="Arial" w:hAnsi="Arial"/>
                <w:sz w:val="18"/>
                <w:szCs w:val="18"/>
                <w:b w:val="1"/>
                <w:bCs w:val="1"/>
                <w:color w:val="auto"/>
                <w:w w:val="94"/>
              </w:rPr>
              <w:t>Matt Maddox</w:t>
            </w: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Chief Financial Officer and Treasurer (Principal</w:t>
            </w:r>
          </w:p>
        </w:tc>
        <w:tc>
          <w:tcPr>
            <w:tcW w:w="2160" w:type="dxa"/>
            <w:vAlign w:val="bottom"/>
          </w:tcPr>
          <w:p>
            <w:pPr>
              <w:spacing w:after="0"/>
              <w:rPr>
                <w:sz w:val="19"/>
                <w:szCs w:val="19"/>
                <w:color w:val="auto"/>
              </w:rPr>
            </w:pPr>
          </w:p>
        </w:tc>
      </w:tr>
      <w:tr>
        <w:trPr>
          <w:trHeight w:val="222"/>
        </w:trPr>
        <w:tc>
          <w:tcPr>
            <w:tcW w:w="4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600" w:type="dxa"/>
            <w:vAlign w:val="bottom"/>
            <w:gridSpan w:val="2"/>
          </w:tcPr>
          <w:p>
            <w:pPr>
              <w:ind w:left="480"/>
              <w:spacing w:after="0"/>
              <w:rPr>
                <w:sz w:val="20"/>
                <w:szCs w:val="20"/>
                <w:color w:val="auto"/>
              </w:rPr>
            </w:pPr>
            <w:r>
              <w:rPr>
                <w:rFonts w:ascii="Arial" w:cs="Arial" w:eastAsia="Arial" w:hAnsi="Arial"/>
                <w:sz w:val="18"/>
                <w:szCs w:val="18"/>
                <w:color w:val="auto"/>
              </w:rPr>
              <w:t>Financial and Accounting Officer)</w:t>
            </w:r>
          </w:p>
        </w:tc>
        <w:tc>
          <w:tcPr>
            <w:tcW w:w="2160" w:type="dxa"/>
            <w:vAlign w:val="bottom"/>
          </w:tcPr>
          <w:p>
            <w:pPr>
              <w:jc w:val="center"/>
              <w:ind w:left="674"/>
              <w:spacing w:after="0"/>
              <w:rPr>
                <w:sz w:val="20"/>
                <w:szCs w:val="20"/>
                <w:color w:val="auto"/>
              </w:rPr>
            </w:pPr>
            <w:r>
              <w:rPr>
                <w:rFonts w:ascii="Arial" w:cs="Arial" w:eastAsia="Arial" w:hAnsi="Arial"/>
                <w:sz w:val="18"/>
                <w:szCs w:val="18"/>
                <w:color w:val="auto"/>
                <w:w w:val="85"/>
              </w:rPr>
              <w:t>September 26, 2012</w:t>
            </w:r>
          </w:p>
        </w:tc>
      </w:tr>
      <w:tr>
        <w:trPr>
          <w:trHeight w:val="420"/>
        </w:trPr>
        <w:tc>
          <w:tcPr>
            <w:tcW w:w="460" w:type="dxa"/>
            <w:vAlign w:val="bottom"/>
          </w:tcPr>
          <w:p>
            <w:pPr>
              <w:spacing w:after="0"/>
              <w:rPr>
                <w:sz w:val="20"/>
                <w:szCs w:val="20"/>
                <w:color w:val="auto"/>
              </w:rPr>
            </w:pPr>
            <w:r>
              <w:rPr>
                <w:rFonts w:ascii="Arial" w:cs="Arial" w:eastAsia="Arial" w:hAnsi="Arial"/>
                <w:sz w:val="18"/>
                <w:szCs w:val="18"/>
                <w:color w:val="auto"/>
              </w:rPr>
              <w:t>* By:</w:t>
            </w:r>
          </w:p>
        </w:tc>
        <w:tc>
          <w:tcPr>
            <w:tcW w:w="3080" w:type="dxa"/>
            <w:vAlign w:val="bottom"/>
            <w:tcBorders>
              <w:bottom w:val="single" w:sz="8" w:color="auto"/>
            </w:tcBorders>
          </w:tcPr>
          <w:p>
            <w:pPr>
              <w:jc w:val="center"/>
              <w:ind w:left="1014"/>
              <w:spacing w:after="0"/>
              <w:rPr>
                <w:sz w:val="20"/>
                <w:szCs w:val="20"/>
                <w:color w:val="auto"/>
              </w:rPr>
            </w:pPr>
            <w:r>
              <w:rPr>
                <w:rFonts w:ascii="Arial" w:cs="Arial" w:eastAsia="Arial" w:hAnsi="Arial"/>
                <w:sz w:val="18"/>
                <w:szCs w:val="18"/>
                <w:color w:val="auto"/>
                <w:w w:val="90"/>
              </w:rPr>
              <w:t>/s/ Kim Sinatra</w:t>
            </w:r>
          </w:p>
        </w:tc>
        <w:tc>
          <w:tcPr>
            <w:tcW w:w="1040" w:type="dxa"/>
            <w:vAlign w:val="bottom"/>
            <w:tcBorders>
              <w:bottom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30"/>
        </w:trPr>
        <w:tc>
          <w:tcPr>
            <w:tcW w:w="460" w:type="dxa"/>
            <w:vAlign w:val="bottom"/>
          </w:tcPr>
          <w:p>
            <w:pPr>
              <w:spacing w:after="0"/>
              <w:rPr>
                <w:sz w:val="11"/>
                <w:szCs w:val="11"/>
                <w:color w:val="auto"/>
              </w:rPr>
            </w:pPr>
          </w:p>
        </w:tc>
        <w:tc>
          <w:tcPr>
            <w:tcW w:w="3080" w:type="dxa"/>
            <w:vAlign w:val="bottom"/>
          </w:tcPr>
          <w:p>
            <w:pPr>
              <w:jc w:val="center"/>
              <w:ind w:left="994"/>
              <w:spacing w:after="0" w:line="131" w:lineRule="exact"/>
              <w:rPr>
                <w:sz w:val="20"/>
                <w:szCs w:val="20"/>
                <w:color w:val="auto"/>
              </w:rPr>
            </w:pPr>
            <w:r>
              <w:rPr>
                <w:rFonts w:ascii="Arial" w:cs="Arial" w:eastAsia="Arial" w:hAnsi="Arial"/>
                <w:sz w:val="14"/>
                <w:szCs w:val="14"/>
                <w:b w:val="1"/>
                <w:bCs w:val="1"/>
                <w:color w:val="auto"/>
                <w:w w:val="92"/>
              </w:rPr>
              <w:t>Kim Sinatra</w:t>
            </w:r>
          </w:p>
        </w:tc>
        <w:tc>
          <w:tcPr>
            <w:tcW w:w="10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74"/>
        </w:trPr>
        <w:tc>
          <w:tcPr>
            <w:tcW w:w="460" w:type="dxa"/>
            <w:vAlign w:val="bottom"/>
          </w:tcPr>
          <w:p>
            <w:pPr>
              <w:spacing w:after="0"/>
              <w:rPr>
                <w:sz w:val="15"/>
                <w:szCs w:val="15"/>
                <w:color w:val="auto"/>
              </w:rPr>
            </w:pPr>
          </w:p>
        </w:tc>
        <w:tc>
          <w:tcPr>
            <w:tcW w:w="3080" w:type="dxa"/>
            <w:vAlign w:val="bottom"/>
          </w:tcPr>
          <w:p>
            <w:pPr>
              <w:jc w:val="center"/>
              <w:ind w:left="1014"/>
              <w:spacing w:after="0"/>
              <w:rPr>
                <w:sz w:val="20"/>
                <w:szCs w:val="20"/>
                <w:color w:val="auto"/>
              </w:rPr>
            </w:pPr>
            <w:r>
              <w:rPr>
                <w:rFonts w:ascii="Arial" w:cs="Arial" w:eastAsia="Arial" w:hAnsi="Arial"/>
                <w:sz w:val="14"/>
                <w:szCs w:val="14"/>
                <w:b w:val="1"/>
                <w:bCs w:val="1"/>
                <w:color w:val="auto"/>
                <w:w w:val="90"/>
              </w:rPr>
              <w:t>Attorney-in-fact</w:t>
            </w:r>
          </w:p>
        </w:tc>
        <w:tc>
          <w:tcPr>
            <w:tcW w:w="10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50"/>
        </w:trPr>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60" w:type="dxa"/>
            <w:vAlign w:val="bottom"/>
          </w:tcPr>
          <w:p>
            <w:pPr>
              <w:ind w:left="960"/>
              <w:spacing w:after="0"/>
              <w:rPr>
                <w:sz w:val="20"/>
                <w:szCs w:val="20"/>
                <w:color w:val="auto"/>
              </w:rPr>
            </w:pPr>
            <w:r>
              <w:rPr>
                <w:rFonts w:ascii="Arial" w:cs="Arial" w:eastAsia="Arial" w:hAnsi="Arial"/>
                <w:sz w:val="18"/>
                <w:szCs w:val="18"/>
                <w:color w:val="auto"/>
              </w:rPr>
              <w:t>II-10</w:t>
            </w:r>
          </w:p>
        </w:tc>
        <w:tc>
          <w:tcPr>
            <w:tcW w:w="21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640" w:type="dxa"/>
            <w:vAlign w:val="bottom"/>
          </w:tcPr>
          <w:p>
            <w:pPr>
              <w:ind w:left="4080"/>
              <w:spacing w:after="0"/>
              <w:rPr>
                <w:sz w:val="20"/>
                <w:szCs w:val="20"/>
                <w:color w:val="auto"/>
              </w:rPr>
            </w:pPr>
            <w:r>
              <w:rPr>
                <w:rFonts w:ascii="Arial" w:cs="Arial" w:eastAsia="Arial" w:hAnsi="Arial"/>
                <w:sz w:val="18"/>
                <w:szCs w:val="18"/>
                <w:b w:val="1"/>
                <w:bCs w:val="1"/>
                <w:color w:val="auto"/>
              </w:rPr>
              <w:t>INDEX TO EXHIBITS</w:t>
            </w:r>
          </w:p>
        </w:tc>
      </w:tr>
      <w:tr>
        <w:trPr>
          <w:trHeight w:val="345"/>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64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3.1</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3.2</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3.3</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3.4</w:t>
            </w:r>
          </w:p>
        </w:tc>
        <w:tc>
          <w:tcPr>
            <w:tcW w:w="10640" w:type="dxa"/>
            <w:vAlign w:val="bottom"/>
          </w:tcPr>
          <w:p>
            <w:pPr>
              <w:ind w:left="28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3.5</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3.6</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3.7</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4.1</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Indenture, dated as of October 19, 2009, among Wynn Las Vegas, LLC, Wynn Las Vegas Capital Corp., the Guarantors set forth therein and U.S.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as trustee. (11)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4.2</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U.S. Bank National Association, as trustee. (13)</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4.3</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Indenture, dated as of August 4, 2010, among Wynn Las Vegas LLC, Wynn Las Vegas Capital Corp., the Guarantors set forth therein and U.S.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as trustee. (15)</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4.4</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Indenture, dated as of March 12, 2012, by and among Wynn Las Vegas, LLC, Wynn Las Vegas Capital Corp., the Guarantors set forth therein and</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U.S. Bank National Association, as trustee. (17)</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5.1</w:t>
            </w:r>
          </w:p>
        </w:tc>
        <w:tc>
          <w:tcPr>
            <w:tcW w:w="10640" w:type="dxa"/>
            <w:vAlign w:val="bottom"/>
          </w:tcPr>
          <w:p>
            <w:pPr>
              <w:ind w:left="280"/>
              <w:spacing w:after="0"/>
              <w:rPr>
                <w:sz w:val="20"/>
                <w:szCs w:val="20"/>
                <w:color w:val="auto"/>
              </w:rPr>
            </w:pPr>
            <w:r>
              <w:rPr>
                <w:rFonts w:ascii="Arial" w:cs="Arial" w:eastAsia="Arial" w:hAnsi="Arial"/>
                <w:sz w:val="18"/>
                <w:szCs w:val="18"/>
                <w:color w:val="auto"/>
              </w:rPr>
              <w:t>Opinion of Skadden, Arps, Slate, Meagher &amp; Flom LLP.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5.2</w:t>
            </w:r>
          </w:p>
        </w:tc>
        <w:tc>
          <w:tcPr>
            <w:tcW w:w="10640" w:type="dxa"/>
            <w:vAlign w:val="bottom"/>
          </w:tcPr>
          <w:p>
            <w:pPr>
              <w:ind w:left="280"/>
              <w:spacing w:after="0"/>
              <w:rPr>
                <w:sz w:val="20"/>
                <w:szCs w:val="20"/>
                <w:color w:val="auto"/>
              </w:rPr>
            </w:pPr>
            <w:r>
              <w:rPr>
                <w:rFonts w:ascii="Arial" w:cs="Arial" w:eastAsia="Arial" w:hAnsi="Arial"/>
                <w:sz w:val="18"/>
                <w:szCs w:val="18"/>
                <w:color w:val="auto"/>
              </w:rPr>
              <w:t>Opinion of Brownstein Hyatt Farber Schreck, LLP.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10.1</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10.2</w:t>
            </w:r>
          </w:p>
        </w:tc>
        <w:tc>
          <w:tcPr>
            <w:tcW w:w="10640" w:type="dxa"/>
            <w:vAlign w:val="bottom"/>
          </w:tcPr>
          <w:p>
            <w:pPr>
              <w:ind w:left="2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Agent. (8)</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10.3</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LLC, Deutsche Bank Trust Company Americas, as the Bank Agent, and Deutsche Bank Trust Company Americas, as the Disbursement Agent. (9)</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10.4</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10.5</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 2010, by and among Wynn Las Vegas, LLC,</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(13)</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10.6</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Sixth Amendment to Amended and Restated Master Disbursement Agreement, dated March 12, 2012, by and among Wynn Las Vegas, LLC,</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(17)</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10.7</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Association, not in its individual capacity but solely as collateral agent. (6)</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10.8</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not in its individual capacity but solely as collateral agent. (6)</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10.9</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10.10</w:t>
            </w: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(6)</w:t>
            </w:r>
          </w:p>
        </w:tc>
      </w:tr>
      <w:tr>
        <w:trPr>
          <w:trHeight w:val="222"/>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4"/>
              </w:rPr>
              <w:t>10.11</w:t>
            </w:r>
          </w:p>
        </w:tc>
        <w:tc>
          <w:tcPr>
            <w:tcW w:w="10640" w:type="dxa"/>
            <w:vAlign w:val="bottom"/>
          </w:tcPr>
          <w:p>
            <w:pPr>
              <w:ind w:left="2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(7)</w:t>
            </w:r>
          </w:p>
        </w:tc>
      </w:tr>
    </w:tbl>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62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10.12</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Fifth Amended and Restated Art Rental and Licensing Agreement, dated as of July 1, 2007, between Stephen A. Wynn, as lessor, Wynn Gallery,</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LLC, as lessee. (16)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10.13</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10.14</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the Bank Agent, and U.S. Bank National Association, as Indenture Trustee.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10.15</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10.16</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10.17</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Acknowledgement and Agreement, dated as of September 1, 2004, by and among Wynn Las Vegas, LLC, Wells Fargo Bank, National Association</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and the lenders named therein. (5)</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10.18</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as administrative agent, and U.S. Bank National Association, as trustee.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10.19</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10.20</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Wynn Las Vegas, LLC.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10.21</w:t>
            </w:r>
          </w:p>
        </w:tc>
        <w:tc>
          <w:tcPr>
            <w:tcW w:w="10620" w:type="dxa"/>
            <w:vAlign w:val="bottom"/>
          </w:tcPr>
          <w:p>
            <w:pPr>
              <w:ind w:left="280"/>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 (14)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10.22</w:t>
            </w:r>
          </w:p>
        </w:tc>
        <w:tc>
          <w:tcPr>
            <w:tcW w:w="10620" w:type="dxa"/>
            <w:vAlign w:val="bottom"/>
          </w:tcPr>
          <w:p>
            <w:pPr>
              <w:ind w:left="2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and Stephen A. Wynn. (14)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10.23</w:t>
            </w:r>
          </w:p>
        </w:tc>
        <w:tc>
          <w:tcPr>
            <w:tcW w:w="10620" w:type="dxa"/>
            <w:vAlign w:val="bottom"/>
          </w:tcPr>
          <w:p>
            <w:pPr>
              <w:ind w:left="280"/>
              <w:spacing w:after="0"/>
              <w:rPr>
                <w:sz w:val="20"/>
                <w:szCs w:val="20"/>
                <w:color w:val="auto"/>
              </w:rPr>
            </w:pPr>
            <w:r>
              <w:rPr>
                <w:rFonts w:ascii="Arial" w:cs="Arial" w:eastAsia="Arial" w:hAnsi="Arial"/>
                <w:sz w:val="18"/>
                <w:szCs w:val="18"/>
                <w:color w:val="auto"/>
                <w:w w:val="87"/>
              </w:rPr>
              <w:t>First Amendment to Amended and Restated Agreement of Lease, dated as of April 9, 2012, by and between Wynn Las Vegas, LLC and Stephen A.</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Wynn. (18)</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10.24</w:t>
            </w:r>
          </w:p>
        </w:tc>
        <w:tc>
          <w:tcPr>
            <w:tcW w:w="10620" w:type="dxa"/>
            <w:vAlign w:val="bottom"/>
          </w:tcPr>
          <w:p>
            <w:pPr>
              <w:ind w:left="280"/>
              <w:spacing w:after="0"/>
              <w:rPr>
                <w:sz w:val="20"/>
                <w:szCs w:val="20"/>
                <w:color w:val="auto"/>
              </w:rPr>
            </w:pPr>
            <w:r>
              <w:rPr>
                <w:rFonts w:ascii="Arial" w:cs="Arial" w:eastAsia="Arial" w:hAnsi="Arial"/>
                <w:sz w:val="18"/>
                <w:szCs w:val="18"/>
                <w:color w:val="auto"/>
              </w:rPr>
              <w:t>Employment Agreement, dated as of November 8, 2010, between Wynn Las Vegas, LLC and Marilyn Spiegel. (16)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10.25</w:t>
            </w:r>
          </w:p>
        </w:tc>
        <w:tc>
          <w:tcPr>
            <w:tcW w:w="10620" w:type="dxa"/>
            <w:vAlign w:val="bottom"/>
          </w:tcPr>
          <w:p>
            <w:pPr>
              <w:ind w:left="2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(12)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10.26</w:t>
            </w: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Registration Rights Agreement, dated as of October 19, 2009, by and among Wynn Las Vegas, LLC, Wynn Las Vegas Capital Corp., the</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Guarantors set forth therein, Deutsche Bank Securities Inc. and Banc of America Securities LLC. (11)</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10.27</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(13)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10.28</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Registration Rights Agreement, dated as of August 4, 2010, by and among the Issuers, the Guarantors, Deutsche Bank Securities Inc., Banc of</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America Securities LLC, J.P. Morgan Securities Inc., Morgan Stanley &amp; Co. Incorporated, RBS Securities Inc. and UBS Securities LLC. (15)</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10.29</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Registration Rights Agreement, dated as of March 12, 2012, by and among the Issuers, the Guarantors, Deutsche Bank Securities Inc., Merrill</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Lynch, Pierce, Fenner &amp; Smith Incorporated and J.P. Morgan Securities LLC. (17)</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10.30</w:t>
            </w:r>
          </w:p>
        </w:tc>
        <w:tc>
          <w:tcPr>
            <w:tcW w:w="10620" w:type="dxa"/>
            <w:vAlign w:val="bottom"/>
          </w:tcPr>
          <w:p>
            <w:pPr>
              <w:ind w:left="280"/>
              <w:spacing w:after="0"/>
              <w:rPr>
                <w:sz w:val="20"/>
                <w:szCs w:val="20"/>
                <w:color w:val="auto"/>
              </w:rPr>
            </w:pPr>
            <w:r>
              <w:rPr>
                <w:rFonts w:ascii="Arial" w:cs="Arial" w:eastAsia="Arial" w:hAnsi="Arial"/>
                <w:sz w:val="18"/>
                <w:szCs w:val="18"/>
                <w:color w:val="auto"/>
                <w:w w:val="93"/>
              </w:rPr>
              <w:t>Employment Agreement, dated January 10, 2012, effective April 20, 2012, by and between Wynn Las Vegas, LLC and Scott Peterson. (19)</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12.1</w:t>
            </w:r>
          </w:p>
        </w:tc>
        <w:tc>
          <w:tcPr>
            <w:tcW w:w="10620" w:type="dxa"/>
            <w:vAlign w:val="bottom"/>
          </w:tcPr>
          <w:p>
            <w:pPr>
              <w:ind w:left="280"/>
              <w:spacing w:after="0"/>
              <w:rPr>
                <w:sz w:val="20"/>
                <w:szCs w:val="20"/>
                <w:color w:val="auto"/>
              </w:rPr>
            </w:pPr>
            <w:r>
              <w:rPr>
                <w:rFonts w:ascii="Arial" w:cs="Arial" w:eastAsia="Arial" w:hAnsi="Arial"/>
                <w:sz w:val="18"/>
                <w:szCs w:val="18"/>
                <w:color w:val="auto"/>
              </w:rPr>
              <w:t>Statements re Computation of Ratios.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21.1</w:t>
            </w:r>
          </w:p>
        </w:tc>
        <w:tc>
          <w:tcPr>
            <w:tcW w:w="10620" w:type="dxa"/>
            <w:vAlign w:val="bottom"/>
          </w:tcPr>
          <w:p>
            <w:pPr>
              <w:ind w:left="280"/>
              <w:spacing w:after="0"/>
              <w:rPr>
                <w:sz w:val="20"/>
                <w:szCs w:val="20"/>
                <w:color w:val="auto"/>
              </w:rPr>
            </w:pPr>
            <w:r>
              <w:rPr>
                <w:rFonts w:ascii="Arial" w:cs="Arial" w:eastAsia="Arial" w:hAnsi="Arial"/>
                <w:sz w:val="18"/>
                <w:szCs w:val="18"/>
                <w:color w:val="auto"/>
              </w:rPr>
              <w:t>Subsidiaries of the Registrant.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23.1</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Ernst &amp; Young LLP.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23.2</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Skadden, Arps, Slate, Meagher &amp; Flom LLP (included in Exhibit 5.1).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23.3</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Brownstein Hyatt Farber Schreck, LLP (included in Exhibit 5.2). (20)</w:t>
            </w:r>
          </w:p>
        </w:tc>
      </w:tr>
      <w:tr>
        <w:trPr>
          <w:trHeight w:val="222"/>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24.1</w:t>
            </w:r>
          </w:p>
        </w:tc>
        <w:tc>
          <w:tcPr>
            <w:tcW w:w="10620" w:type="dxa"/>
            <w:vAlign w:val="bottom"/>
          </w:tcPr>
          <w:p>
            <w:pPr>
              <w:ind w:left="280"/>
              <w:spacing w:after="0"/>
              <w:rPr>
                <w:sz w:val="20"/>
                <w:szCs w:val="20"/>
                <w:color w:val="auto"/>
              </w:rPr>
            </w:pPr>
            <w:r>
              <w:rPr>
                <w:rFonts w:ascii="Arial" w:cs="Arial" w:eastAsia="Arial" w:hAnsi="Arial"/>
                <w:sz w:val="18"/>
                <w:szCs w:val="18"/>
                <w:color w:val="auto"/>
              </w:rPr>
              <w:t>Powers of Attorney. (20)</w:t>
            </w:r>
          </w:p>
        </w:tc>
      </w:tr>
    </w:tbl>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tcPr>
          <w:p>
            <w:pPr>
              <w:jc w:val="center"/>
              <w:ind w:right="255"/>
              <w:spacing w:after="0"/>
              <w:rPr>
                <w:sz w:val="20"/>
                <w:szCs w:val="20"/>
                <w:color w:val="auto"/>
              </w:rPr>
            </w:pPr>
            <w:r>
              <w:rPr>
                <w:rFonts w:ascii="Arial" w:cs="Arial" w:eastAsia="Arial" w:hAnsi="Arial"/>
                <w:sz w:val="14"/>
                <w:szCs w:val="14"/>
                <w:b w:val="1"/>
                <w:bCs w:val="1"/>
                <w:color w:val="auto"/>
                <w:w w:val="89"/>
              </w:rPr>
              <w:t>Exhibit</w:t>
            </w:r>
          </w:p>
        </w:tc>
        <w:tc>
          <w:tcPr>
            <w:tcW w:w="1032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25.1</w:t>
            </w:r>
          </w:p>
        </w:tc>
        <w:tc>
          <w:tcPr>
            <w:tcW w:w="10320" w:type="dxa"/>
            <w:vAlign w:val="bottom"/>
          </w:tcPr>
          <w:p>
            <w:pPr>
              <w:ind w:left="32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16"/>
        </w:trPr>
        <w:tc>
          <w:tcPr>
            <w:tcW w:w="760" w:type="dxa"/>
            <w:vAlign w:val="bottom"/>
          </w:tcPr>
          <w:p>
            <w:pPr>
              <w:spacing w:after="0"/>
              <w:rPr>
                <w:sz w:val="18"/>
                <w:szCs w:val="18"/>
                <w:color w:val="auto"/>
              </w:rPr>
            </w:pPr>
          </w:p>
        </w:tc>
        <w:tc>
          <w:tcPr>
            <w:tcW w:w="10320" w:type="dxa"/>
            <w:vAlign w:val="bottom"/>
          </w:tcPr>
          <w:p>
            <w:pPr>
              <w:ind w:left="320"/>
              <w:spacing w:after="0"/>
              <w:rPr>
                <w:sz w:val="20"/>
                <w:szCs w:val="20"/>
                <w:color w:val="auto"/>
              </w:rPr>
            </w:pPr>
            <w:r>
              <w:rPr>
                <w:rFonts w:ascii="Arial" w:cs="Arial" w:eastAsia="Arial" w:hAnsi="Arial"/>
                <w:sz w:val="18"/>
                <w:szCs w:val="18"/>
                <w:color w:val="auto"/>
              </w:rPr>
              <w:t>LLC and Wynn Las Vegas Capital Corp.’s 5.375% First Mortgage Notes due 2022. (20)</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99.1</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of Transmittal. (20)</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99.2</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Notice of Guaranteed Delivery. (20)</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99.3</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to Clients. (20)</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99.4</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to Brokers, Dealers, Commercial Banks, Trust Companies and Other Nominees. (20)</w:t>
            </w:r>
          </w:p>
        </w:tc>
      </w:tr>
      <w:tr>
        <w:trPr>
          <w:trHeight w:val="222"/>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99.5</w:t>
            </w:r>
          </w:p>
        </w:tc>
        <w:tc>
          <w:tcPr>
            <w:tcW w:w="10320" w:type="dxa"/>
            <w:vAlign w:val="bottom"/>
          </w:tcPr>
          <w:p>
            <w:pPr>
              <w:ind w:left="320"/>
              <w:spacing w:after="0"/>
              <w:rPr>
                <w:sz w:val="20"/>
                <w:szCs w:val="20"/>
                <w:color w:val="auto"/>
              </w:rPr>
            </w:pPr>
            <w:r>
              <w:rPr>
                <w:rFonts w:ascii="Arial" w:cs="Arial" w:eastAsia="Arial" w:hAnsi="Arial"/>
                <w:sz w:val="18"/>
                <w:szCs w:val="18"/>
                <w:color w:val="auto"/>
              </w:rPr>
              <w:t>Consent of J. Edward Virtue. (21)</w:t>
            </w:r>
          </w:p>
        </w:tc>
      </w:tr>
    </w:tbl>
    <w:p>
      <w:pPr>
        <w:ind w:left="1100" w:hanging="1008"/>
        <w:spacing w:after="0" w:line="286" w:lineRule="auto"/>
        <w:tabs>
          <w:tab w:leader="none" w:pos="11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three months ended June 30, 2012, filed with the SEC on August 9, 2012 formatted in Extensible Business Reporting Language (XBRL): (i) the Condensed Consolidated Statements of Comprehensive Income (loss) for the three and six months ended June 30, 2012 and 2011, (ii) the Condensed Consolidated Balance Sheets at June 30, 2012 and December 31, 2011, (iii) the Condensed Consolidated Statements of Cash Flows for the six months ended June 30, 2012 and 2011, and (iv) Notes to Condensed Consolidated Financial Statements, and the following financial information from the Company’s Annual Report on Form 10-K for the year ended December 31, 2011, filed with the SEC on February 29, 2012 formatted in Extensible Business Reporting Language (XBRL): (i) the Consolidated Statements of Operations for the years ended December 31, 2011, 2010 and 2009, (ii) the Consolidated Balance Sheets at December 31, 2011 and 2010, (iii) the Consolidated Statements of Member’s Equity at December 31, 2011 and 2010, (iv) the Consolidated Statements of Cash Flows for the years ended December 31, 2011, 2010 and 2009, and (iv) Notes to Consolidated Financial Statements. (22)</w:t>
      </w:r>
    </w:p>
    <w:p>
      <w:pPr>
        <w:spacing w:after="0" w:line="110" w:lineRule="exact"/>
        <w:rPr>
          <w:rFonts w:ascii="Arial" w:cs="Arial" w:eastAsia="Arial" w:hAnsi="Arial"/>
          <w:sz w:val="16"/>
          <w:szCs w:val="16"/>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Limited on August 3,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12,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rFonts w:ascii="Arial" w:cs="Arial" w:eastAsia="Arial" w:hAnsi="Arial"/>
          <w:sz w:val="18"/>
          <w:szCs w:val="18"/>
          <w:color w:val="auto"/>
        </w:rPr>
      </w:pPr>
    </w:p>
    <w:p>
      <w:pPr>
        <w:jc w:val="both"/>
        <w:ind w:left="460" w:right="180" w:hanging="452"/>
        <w:spacing w:after="0" w:line="254"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Registration Statement on Form S-4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-3461385</wp:posOffset>
            </wp:positionV>
            <wp:extent cx="72898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5.1</w:t>
      </w:r>
    </w:p>
    <w:p>
      <w:pPr>
        <w:spacing w:after="0" w:line="144" w:lineRule="exact"/>
        <w:rPr>
          <w:sz w:val="20"/>
          <w:szCs w:val="20"/>
          <w:color w:val="auto"/>
        </w:rPr>
      </w:pPr>
    </w:p>
    <w:p>
      <w:pPr>
        <w:jc w:val="center"/>
        <w:ind w:right="1880"/>
        <w:spacing w:after="0"/>
        <w:rPr>
          <w:sz w:val="20"/>
          <w:szCs w:val="20"/>
          <w:color w:val="auto"/>
        </w:rPr>
      </w:pPr>
      <w:r>
        <w:rPr>
          <w:rFonts w:ascii="Arial" w:cs="Arial" w:eastAsia="Arial" w:hAnsi="Arial"/>
          <w:sz w:val="24"/>
          <w:szCs w:val="24"/>
          <w:b w:val="1"/>
          <w:bCs w:val="1"/>
          <w:color w:val="auto"/>
        </w:rPr>
        <w:t>S</w:t>
      </w:r>
      <w:r>
        <w:rPr>
          <w:rFonts w:ascii="Arial" w:cs="Arial" w:eastAsia="Arial" w:hAnsi="Arial"/>
          <w:sz w:val="20"/>
          <w:szCs w:val="20"/>
          <w:b w:val="1"/>
          <w:bCs w:val="1"/>
          <w:color w:val="auto"/>
        </w:rPr>
        <w:t>KADDEN</w:t>
      </w:r>
      <w:r>
        <w:rPr>
          <w:rFonts w:ascii="Arial" w:cs="Arial" w:eastAsia="Arial" w:hAnsi="Arial"/>
          <w:sz w:val="24"/>
          <w:szCs w:val="24"/>
          <w:b w:val="1"/>
          <w:bCs w:val="1"/>
          <w:color w:val="auto"/>
        </w:rPr>
        <w:t>, A</w:t>
      </w:r>
      <w:r>
        <w:rPr>
          <w:rFonts w:ascii="Arial" w:cs="Arial" w:eastAsia="Arial" w:hAnsi="Arial"/>
          <w:sz w:val="20"/>
          <w:szCs w:val="20"/>
          <w:b w:val="1"/>
          <w:bCs w:val="1"/>
          <w:color w:val="auto"/>
        </w:rPr>
        <w:t>RPS</w:t>
      </w:r>
      <w:r>
        <w:rPr>
          <w:rFonts w:ascii="Arial" w:cs="Arial" w:eastAsia="Arial" w:hAnsi="Arial"/>
          <w:sz w:val="24"/>
          <w:szCs w:val="24"/>
          <w:b w:val="1"/>
          <w:bCs w:val="1"/>
          <w:color w:val="auto"/>
        </w:rPr>
        <w:t>, S</w:t>
      </w:r>
      <w:r>
        <w:rPr>
          <w:rFonts w:ascii="Arial" w:cs="Arial" w:eastAsia="Arial" w:hAnsi="Arial"/>
          <w:sz w:val="20"/>
          <w:szCs w:val="20"/>
          <w:b w:val="1"/>
          <w:bCs w:val="1"/>
          <w:color w:val="auto"/>
        </w:rPr>
        <w:t>LATE</w:t>
      </w:r>
      <w:r>
        <w:rPr>
          <w:rFonts w:ascii="Arial" w:cs="Arial" w:eastAsia="Arial" w:hAnsi="Arial"/>
          <w:sz w:val="24"/>
          <w:szCs w:val="24"/>
          <w:b w:val="1"/>
          <w:bCs w:val="1"/>
          <w:color w:val="auto"/>
        </w:rPr>
        <w:t>, M</w:t>
      </w:r>
      <w:r>
        <w:rPr>
          <w:rFonts w:ascii="Arial" w:cs="Arial" w:eastAsia="Arial" w:hAnsi="Arial"/>
          <w:sz w:val="20"/>
          <w:szCs w:val="20"/>
          <w:b w:val="1"/>
          <w:bCs w:val="1"/>
          <w:color w:val="auto"/>
        </w:rPr>
        <w:t>EAGHER</w:t>
      </w:r>
      <w:r>
        <w:rPr>
          <w:rFonts w:ascii="Arial" w:cs="Arial" w:eastAsia="Arial" w:hAnsi="Arial"/>
          <w:sz w:val="24"/>
          <w:szCs w:val="24"/>
          <w:b w:val="1"/>
          <w:bCs w:val="1"/>
          <w:color w:val="auto"/>
        </w:rPr>
        <w:t xml:space="preserve"> &amp; F</w:t>
      </w:r>
      <w:r>
        <w:rPr>
          <w:rFonts w:ascii="Arial" w:cs="Arial" w:eastAsia="Arial" w:hAnsi="Arial"/>
          <w:sz w:val="20"/>
          <w:szCs w:val="20"/>
          <w:b w:val="1"/>
          <w:bCs w:val="1"/>
          <w:color w:val="auto"/>
        </w:rPr>
        <w:t>LOM</w:t>
      </w:r>
      <w:r>
        <w:rPr>
          <w:rFonts w:ascii="Arial" w:cs="Arial" w:eastAsia="Arial" w:hAnsi="Arial"/>
          <w:sz w:val="24"/>
          <w:szCs w:val="24"/>
          <w:b w:val="1"/>
          <w:bCs w:val="1"/>
          <w:color w:val="auto"/>
        </w:rPr>
        <w:t xml:space="preserve"> LLP</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FOUR TIMES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-151765</wp:posOffset>
            </wp:positionV>
            <wp:extent cx="805815" cy="212661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05815" cy="212661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22"/>
          <w:szCs w:val="22"/>
          <w:color w:val="auto"/>
        </w:rPr>
        <w:t>NEW YORK 10036-6522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-3175</wp:posOffset>
            </wp:positionV>
            <wp:extent cx="308610" cy="7747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08610" cy="77470"/>
                    </a:xfrm>
                    <a:prstGeom prst="rect">
                      <a:avLst/>
                    </a:prstGeom>
                    <a:noFill/>
                  </pic:spPr>
                </pic:pic>
              </a:graphicData>
            </a:graphic>
          </wp:anchor>
        </w:drawing>
      </w:r>
    </w:p>
    <w:p>
      <w:pPr>
        <w:spacing w:after="0" w:line="87"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TEL: (212) 735-3000</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FAX: (212) 735-2000</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September 26,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4100" w:type="dxa"/>
            <w:vAlign w:val="bottom"/>
            <w:gridSpan w:val="2"/>
          </w:tcPr>
          <w:p>
            <w:pPr>
              <w:spacing w:after="0"/>
              <w:rPr>
                <w:sz w:val="20"/>
                <w:szCs w:val="20"/>
                <w:color w:val="auto"/>
              </w:rPr>
            </w:pPr>
            <w:r>
              <w:rPr>
                <w:rFonts w:ascii="Arial" w:cs="Arial" w:eastAsia="Arial" w:hAnsi="Arial"/>
                <w:sz w:val="18"/>
                <w:szCs w:val="18"/>
                <w:color w:val="auto"/>
                <w:w w:val="87"/>
              </w:rPr>
              <w:t>Wynn Las Vegas, LLC and Wynn Las Vegas Capital Corp.</w:t>
            </w:r>
          </w:p>
        </w:tc>
      </w:tr>
      <w:tr>
        <w:trPr>
          <w:trHeight w:val="184"/>
        </w:trPr>
        <w:tc>
          <w:tcPr>
            <w:tcW w:w="56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Registration Statement on Form S-4</w:t>
            </w:r>
          </w:p>
        </w:tc>
        <w:tc>
          <w:tcPr>
            <w:tcW w:w="1560" w:type="dxa"/>
            <w:vAlign w:val="bottom"/>
          </w:tcPr>
          <w:p>
            <w:pPr>
              <w:spacing w:after="0"/>
              <w:rPr>
                <w:sz w:val="15"/>
                <w:szCs w:val="15"/>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acted as special counsel to Wynn Las Vegas, LLC, a Nevada limited liability company, and Wynn Las Vegas Capital Corp., a Nevada corporation (together, the “</w:t>
      </w:r>
      <w:r>
        <w:rPr>
          <w:rFonts w:ascii="Arial" w:cs="Arial" w:eastAsia="Arial" w:hAnsi="Arial"/>
          <w:sz w:val="16"/>
          <w:szCs w:val="16"/>
          <w:u w:val="single" w:color="auto"/>
          <w:color w:val="auto"/>
        </w:rPr>
        <w:t>Issuers</w:t>
      </w:r>
      <w:r>
        <w:rPr>
          <w:rFonts w:ascii="Arial" w:cs="Arial" w:eastAsia="Arial" w:hAnsi="Arial"/>
          <w:sz w:val="16"/>
          <w:szCs w:val="16"/>
          <w:color w:val="auto"/>
        </w:rPr>
        <w:t>”), in connection with the public offering of up to $900,000,000 aggregate principal amount of the Issuers’ 5.375% First Mortgage Notes due 2022 (the “</w:t>
      </w:r>
      <w:r>
        <w:rPr>
          <w:rFonts w:ascii="Arial" w:cs="Arial" w:eastAsia="Arial" w:hAnsi="Arial"/>
          <w:sz w:val="16"/>
          <w:szCs w:val="16"/>
          <w:u w:val="single" w:color="auto"/>
          <w:color w:val="auto"/>
        </w:rPr>
        <w:t>Exchange Notes</w:t>
      </w:r>
      <w:r>
        <w:rPr>
          <w:rFonts w:ascii="Arial" w:cs="Arial" w:eastAsia="Arial" w:hAnsi="Arial"/>
          <w:sz w:val="16"/>
          <w:szCs w:val="16"/>
          <w:color w:val="auto"/>
        </w:rPr>
        <w:t>”). The Exchange Notes will be issued under that certain Indenture, dated as of March 12, 2012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the Issuers,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and the other parties thereto. The Exchange Notes are to be offered (the “</w:t>
      </w:r>
      <w:r>
        <w:rPr>
          <w:rFonts w:ascii="Arial" w:cs="Arial" w:eastAsia="Arial" w:hAnsi="Arial"/>
          <w:sz w:val="16"/>
          <w:szCs w:val="16"/>
          <w:u w:val="single" w:color="auto"/>
          <w:color w:val="auto"/>
        </w:rPr>
        <w:t>Exchange Offer</w:t>
      </w:r>
      <w:r>
        <w:rPr>
          <w:rFonts w:ascii="Arial" w:cs="Arial" w:eastAsia="Arial" w:hAnsi="Arial"/>
          <w:sz w:val="16"/>
          <w:szCs w:val="16"/>
          <w:color w:val="auto"/>
        </w:rPr>
        <w:t>”) in exchange for a like principal amount of the issued and outstanding 5.375% First Mortgage Notes due 2022 of the Issuers issued on March 12, 2012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as contemplated by the Registration Rights Agreement, dated as of March 12, 2012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by and among the Issuers, Deutsche Bank Securities Inc., Merrill Lynch, Pierce, Fenner &amp; Smith Incorporated, and J.P. Morgan Securities LLC, as representatives of the several initial purchasers named therein, and the other parties thereto.</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the opinion stated herein, we have examined and relied upon the following:</w:t>
      </w:r>
    </w:p>
    <w:p>
      <w:pPr>
        <w:spacing w:after="0" w:line="158" w:lineRule="exact"/>
        <w:rPr>
          <w:sz w:val="20"/>
          <w:szCs w:val="20"/>
          <w:color w:val="auto"/>
        </w:rPr>
      </w:pPr>
    </w:p>
    <w:p>
      <w:pPr>
        <w:ind w:right="360" w:firstLine="464"/>
        <w:spacing w:after="0" w:line="325"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registration statement on Form S-4 of the Issuers relating to the Exchange Notes to be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the date hereof under the Securities Act (such registration statement being hereinafter referred to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 executed copy of the Registration Rights Agreement;</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global certificates evidencing the Original Notes (the “</w:t>
      </w:r>
      <w:r>
        <w:rPr>
          <w:rFonts w:ascii="Arial" w:cs="Arial" w:eastAsia="Arial" w:hAnsi="Arial"/>
          <w:sz w:val="18"/>
          <w:szCs w:val="18"/>
          <w:u w:val="single" w:color="auto"/>
          <w:color w:val="auto"/>
        </w:rPr>
        <w:t>Original Note Certificates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form of global certificates to be used to evidence the Exchange Notes included in the Indenture (the “</w:t>
      </w:r>
      <w:r>
        <w:rPr>
          <w:rFonts w:ascii="Arial" w:cs="Arial" w:eastAsia="Arial" w:hAnsi="Arial"/>
          <w:sz w:val="16"/>
          <w:szCs w:val="16"/>
          <w:u w:val="single" w:color="auto"/>
          <w:color w:val="auto"/>
        </w:rPr>
        <w:t>Exchange Note Certificates</w:t>
      </w:r>
      <w:r>
        <w:rPr>
          <w:rFonts w:ascii="Arial" w:cs="Arial" w:eastAsia="Arial" w:hAnsi="Arial"/>
          <w:sz w:val="16"/>
          <w:szCs w:val="16"/>
          <w:color w:val="auto"/>
        </w:rPr>
        <w:t>”); and</w:t>
      </w:r>
    </w:p>
    <w:p>
      <w:pPr>
        <w:spacing w:after="0" w:line="99" w:lineRule="exact"/>
        <w:rPr>
          <w:rFonts w:ascii="Arial" w:cs="Arial" w:eastAsia="Arial" w:hAnsi="Arial"/>
          <w:sz w:val="16"/>
          <w:szCs w:val="16"/>
          <w:color w:val="auto"/>
        </w:rPr>
      </w:pPr>
    </w:p>
    <w:p>
      <w:pPr>
        <w:ind w:left="680" w:hanging="216"/>
        <w:spacing w:after="0"/>
        <w:tabs>
          <w:tab w:leader="none" w:pos="6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documents delivered at the closing of the issuance of the Original Notes.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Issuers and such agreements, certificates and receipts of public officials, certificates of officers or other representatives of the Issuers and others, and such other documents as we have deemed necessary or appropriate as a basis for the opinion stated below.</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 stated herein that we did not independently establish or verify, we have relied upon statements and representations of officers and other representatives of the Issuers and others and of public officials.</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do not express any opinion with respect to the laws of any jurisdiction other than the laws of the State of New York (the foregoing being referred to as “</w:t>
      </w:r>
      <w:r>
        <w:rPr>
          <w:rFonts w:ascii="Arial" w:cs="Arial" w:eastAsia="Arial" w:hAnsi="Arial"/>
          <w:sz w:val="18"/>
          <w:szCs w:val="18"/>
          <w:u w:val="single" w:color="auto"/>
          <w:color w:val="auto"/>
        </w:rPr>
        <w:t>Opined on Law</w:t>
      </w:r>
      <w:r>
        <w:rPr>
          <w:rFonts w:ascii="Arial" w:cs="Arial" w:eastAsia="Arial" w:hAnsi="Arial"/>
          <w:sz w:val="18"/>
          <w:szCs w:val="18"/>
          <w:color w:val="auto"/>
        </w:rPr>
        <w:t>”), or as to the effect of any such law (other than Opined on Law) on the opinion stated herein.</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To the extent that the opinion expressed herein relates to matters governed by the laws of the State of Nevada, we have relied, without independent verification or investigation of any kind, on the opinion of Brownstein Hyatt Farber Schreck, LLP, special counsel to the Issuers, dated the date hereof, which is being filed as Exhibit 5.2 to the Registration Statement</w:t>
      </w:r>
    </w:p>
    <w:p>
      <w:pPr>
        <w:sectPr>
          <w:pgSz w:w="11900" w:h="16838" w:orient="portrait"/>
          <w:cols w:equalWidth="0" w:num="1">
            <w:col w:w="11340"/>
          </w:cols>
          <w:pgMar w:left="240" w:top="280" w:right="31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Nevada Opinion</w:t>
      </w:r>
      <w:r>
        <w:rPr>
          <w:rFonts w:ascii="Arial" w:cs="Arial" w:eastAsia="Arial" w:hAnsi="Arial"/>
          <w:sz w:val="18"/>
          <w:szCs w:val="18"/>
          <w:color w:val="auto"/>
        </w:rPr>
        <w:t>”), and the opinion herein stated is subject to the assumptions and qualifications contained in the Nevada Opinion.</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Indenture, the Registration Rights Agreement, the Original Note Certificates and the Exchange Note Certificates are referred to herein collectively as the “</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Based upon the foregoing and subject to the limitations, qualifications, exceptions and assumptions stated herein, we are of the opinion that when the Exchange Note Certificates have been duly executed, authenticated, issued and delivered in exchange for the Original Note Certificates in accordance with the terms of the Indenture, the Registration Rights Agreement and the Exchange Offer, the Exchange Note Certificates will constitute valid and binding obligations of each of the Issuers, enforceable against each of the Issuers in accordance with their terms under the laws of the State of New York.</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 stated herein is subject to the following qualifications:</w:t>
      </w:r>
    </w:p>
    <w:p>
      <w:pPr>
        <w:spacing w:after="0" w:line="77" w:lineRule="exact"/>
        <w:rPr>
          <w:sz w:val="20"/>
          <w:szCs w:val="20"/>
          <w:color w:val="auto"/>
        </w:rPr>
      </w:pPr>
    </w:p>
    <w:p>
      <w:pPr>
        <w:ind w:right="180" w:firstLine="464"/>
        <w:spacing w:after="0" w:line="325" w:lineRule="auto"/>
        <w:tabs>
          <w:tab w:leader="none" w:pos="69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opinion stated herein is limited by applicable bankruptcy, insolvency, reorganization, moratorium, fraudulent transfer, preference and other similar laws affecting creditors’ rights generally, and by general principles of equity (regardless of whether enforcement is sought in equity or at law);</w:t>
      </w:r>
    </w:p>
    <w:p>
      <w:pPr>
        <w:spacing w:after="0" w:line="1" w:lineRule="exact"/>
        <w:rPr>
          <w:rFonts w:ascii="Arial" w:cs="Arial" w:eastAsia="Arial" w:hAnsi="Arial"/>
          <w:sz w:val="16"/>
          <w:szCs w:val="16"/>
          <w:color w:val="auto"/>
        </w:rPr>
      </w:pPr>
    </w:p>
    <w:p>
      <w:pPr>
        <w:ind w:right="80" w:firstLine="464"/>
        <w:spacing w:after="0" w:line="306" w:lineRule="auto"/>
        <w:tabs>
          <w:tab w:leader="none" w:pos="7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 contained herein with respect to the Issuers, we do not express any opinion with respect to the effect on the opinion stated herein of (i) the compliance or non-compliance of any party to any of the Transaction Agreements with any laws, rules or regulations applicable to such party or (ii) the legal status or legal capacity of any such party to any of the Transaction Agreements;</w:t>
      </w:r>
    </w:p>
    <w:p>
      <w:pPr>
        <w:spacing w:after="0" w:line="12" w:lineRule="exact"/>
        <w:rPr>
          <w:rFonts w:ascii="Arial" w:cs="Arial" w:eastAsia="Arial" w:hAnsi="Arial"/>
          <w:sz w:val="16"/>
          <w:szCs w:val="16"/>
          <w:color w:val="auto"/>
        </w:rPr>
      </w:pPr>
    </w:p>
    <w:p>
      <w:pPr>
        <w:ind w:firstLine="464"/>
        <w:spacing w:after="0" w:line="347" w:lineRule="auto"/>
        <w:tabs>
          <w:tab w:leader="none" w:pos="695" w:val="left"/>
        </w:tabs>
        <w:numPr>
          <w:ilvl w:val="0"/>
          <w:numId w:val="204"/>
        </w:numPr>
        <w:rPr>
          <w:rFonts w:ascii="Arial" w:cs="Arial" w:eastAsia="Arial" w:hAnsi="Arial"/>
          <w:sz w:val="15"/>
          <w:szCs w:val="15"/>
          <w:color w:val="auto"/>
        </w:rPr>
      </w:pPr>
      <w:r>
        <w:rPr>
          <w:rFonts w:ascii="Arial" w:cs="Arial" w:eastAsia="Arial" w:hAnsi="Arial"/>
          <w:sz w:val="15"/>
          <w:szCs w:val="15"/>
          <w:color w:val="auto"/>
        </w:rPr>
        <w:t>except to the extent expressly stated in the opinion contained herein with respect to the Issuers, we have assumed that each of the Transaction Agreements constitutes the valid and binding obligation of each party to such Transaction Agreement, enforceable against such party in accordance with its terms;</w:t>
      </w:r>
    </w:p>
    <w:p>
      <w:pPr>
        <w:ind w:right="540" w:firstLine="464"/>
        <w:spacing w:after="0" w:line="325" w:lineRule="auto"/>
        <w:tabs>
          <w:tab w:leader="none" w:pos="7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we have assumed that the Trustee’s certificates of authentication of the Exchange Note Certificates will have been manually signed by one of the Trustee’s authorized officers and that the Exchange Note Certificates conform to the form thereof included in the Indenture and examined by us; and</w:t>
      </w:r>
    </w:p>
    <w:p>
      <w:pPr>
        <w:spacing w:after="0" w:line="1" w:lineRule="exact"/>
        <w:rPr>
          <w:rFonts w:ascii="Arial" w:cs="Arial" w:eastAsia="Arial" w:hAnsi="Arial"/>
          <w:sz w:val="16"/>
          <w:szCs w:val="16"/>
          <w:color w:val="auto"/>
        </w:rPr>
      </w:pPr>
    </w:p>
    <w:p>
      <w:pPr>
        <w:ind w:right="20" w:firstLine="464"/>
        <w:spacing w:after="0" w:line="306" w:lineRule="auto"/>
        <w:tabs>
          <w:tab w:leader="none" w:pos="69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to the extent that the opinion stated herein relates to the enforceability of the choice of New York law and choice of New York forum provisions contained in any Transaction Agreement, the opinion stated therein is rendered solely in reliance upon New York General Obligations Law sections 5-1401 and 5-1402 and Rule 327(b) of New York Civil Practice Law and Rules and is subject to the qualification that such enforceability may be limited</w:t>
      </w:r>
    </w:p>
    <w:p>
      <w:pPr>
        <w:sectPr>
          <w:pgSz w:w="11900" w:h="16838" w:orient="portrait"/>
          <w:cols w:equalWidth="0" w:num="1">
            <w:col w:w="11420"/>
          </w:cols>
          <w:pgMar w:left="240" w:top="280"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by, in each case, the terms of such sections 5-1401 and 5-1402, as well as by principles of public policy, comity or constitutionality.</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in rendering the foregoing opinion we have assumed that, except to the extent expressly stated in the opinion contained herein with respect to the Issuers, neither the execution and delivery by the Issuers of the Transaction Documents to which the Issuers is a party nor the performance by the Issuers of their respective obligations under the Transaction Documents to which the Issuers are a party: (i) constitutes or will constitute a violation of, or a default under, any lease, indenture, instrument or other agreement to which either of the Issuers or their respective property is subject, except that we do not make this assumption with respect to any lease, indenture, instrument or other agreement which has been identified to us by either of the Issuers as being material to it and which are listed as exhibits in Part II of the Registration Statement, (ii) contravenes or will contravene any order or decree of any governmental authority to which either of the Issuers or their respective property is subject, (iii) violates or will violate any law, rule or regulation to which either of the Issuers or their respective property is subject or (iv) requires the consent, approval, licensing or authorization of, or any filing, recording or registration with, any governmental authority under any law, rule or regulation of any jurisdiction.</w:t>
      </w:r>
    </w:p>
    <w:p>
      <w:pPr>
        <w:spacing w:after="0" w:line="10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hereby consent to the use of our name under the heading “Legal Matters” in the prospectus forming a part of the Registration Statement. In giving this consent, we do not thereby admit that we are within the category of persons whose consent is required under Section 7 of the Securities Act or the rules and regulations of the Commission promulgated thereunder.</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420"/>
          </w:cols>
          <w:pgMar w:left="240" w:top="280" w:right="239" w:bottom="1440" w:gutter="0" w:footer="0" w:header="0"/>
        </w:sectPr>
      </w:pPr>
    </w:p>
    <w:bookmarkStart w:id="246" w:name="page247"/>
    <w:bookmarkEnd w:id="246"/>
    <w:p>
      <w:pPr>
        <w:ind w:left="10600"/>
        <w:spacing w:after="0"/>
        <w:rPr>
          <w:sz w:val="20"/>
          <w:szCs w:val="20"/>
          <w:color w:val="auto"/>
        </w:rPr>
      </w:pPr>
      <w:r>
        <w:rPr>
          <w:rFonts w:ascii="Arial" w:cs="Arial" w:eastAsia="Arial" w:hAnsi="Arial"/>
          <w:sz w:val="16"/>
          <w:szCs w:val="16"/>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260985</wp:posOffset>
            </wp:positionV>
            <wp:extent cx="1492250" cy="3943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4922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26</w:t>
      </w:r>
      <w:r>
        <w:rPr>
          <w:rFonts w:ascii="Arial" w:cs="Arial" w:eastAsia="Arial" w:hAnsi="Arial"/>
          <w:sz w:val="18"/>
          <w:szCs w:val="18"/>
          <w:color w:val="auto"/>
        </w:rPr>
        <w:t>,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acted as special Nevada counsel to Wynn Las Vegas, LLC, a Nevada limited liability company (the “Company”), and Wynn Las Vegas Capital Corp., a Nevada corporation (“Capital Corp.” and, together with the Company, the “Issuers”), in connection with the filing of a Registration Statement on Form S-4 (the “Registration Statement”) with the Securities and Exchange Commission (the “Commission”) under the Securities Act of 1933, as amended (the “Act”), relating to the registration of $900,000,000 aggregate principal amount of the Issuers’ 5.375% First Mortgage Notes due 2022 (the “Securities”), to be issued in exchange for a like principal amount of the Issuers’ outstanding 5.375% First Mortgage Notes due 2022. The Securities are to be issued under that certain Indenture, dated as of March 12, 2012 (the “Indenture”), by and among the Issuers, U.S. Bank National Association, as trustee, and the other parties thereto.</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Issuers in connection with the authorization and issuance of the Securities, all as referenced in the Registration Statement. For purposes of this opinion letter, we have assumed all such proceedings will be timely completed in the manner presently proposed and, except to the extent set forth in the opinion expressed below, that the terms of such issuance will be in compliance with applicable laws.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rendering this opinion letter, we have made such legal and factual examinations and inquiries, including an examination of originals or copies certified or otherwise identified to our satisfaction as being true copies of the Registration Statement, the Indenture, the forms of the Securities, the articles of incorporation and bylaws, or articles of organization and operating agreement, as applicable, of the Issuers, and such other agreements, instruments, corporate and limited liability company records and documents as we have deemed necessary or appropriate, and we have obtained from officers and other representatives and agents of the Issuers and from public officials, and have relied upon, such certificates, representations and assurances as we have deemed necessary or appropriate.</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Without limiting the generality of the foregoing, in rendering this opinion letter we have, with your permission, assumed without independent verification that (i) each natural person executing a document has sufficient legal capacity to do so; (ii) all documents submitted to us as originals are authentic, the signatures on all documents that we have examined are genuine, and all documents submitted to us as certified, conformed, photostatic, electronic or facsimile copies conform to the original documents; and (iii) all corporate and limited liability company records made available to us by the Issuers, and all public records we have reviewed, are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224790</wp:posOffset>
            </wp:positionV>
            <wp:extent cx="3104515" cy="25717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104515" cy="25717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8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qualified to practice law in the State of Nevada. The opinion set forth herein is expressly limited to and based exclusively on the general corporate and limited liability company laws of the State of Nevada, and we do not purport to be experts on, or to express any opinion with respect to the applicability or effect of, the laws of any other jurisdiction. We express no opinion herein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the Securities have been duly authorized by the Issuers.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opinion expressed herein is based upon the applicable laws of the State of Nevada and the facts in existence on the date hereof. In delivering this opinion letter to you, we disclaim any obligation to update or supplement the opinion set forth herein or to apprise you of any changes in such laws or facts after such time as the Registration Statement is declared effective. No opinion is offered or implied as to any matter, and no inference may be drawn, beyond the strict scope of the specific issues expressly addressed by the opinion set forth herein.</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consent to your filing this opinion letter as an exhibit to the Registration Statement and to the reference to our firm therein under the heading “Legal Matters”. In giving such consent, we do not admit that we are in the category of persons whose consent is required under Section 7 of the Act or the rules and regulations of the Commission thereunder. Subject to all of the qualifications, limitations, exceptions, restrictions and assumptions set forth herein, Skadden, Arps, Slate, Meagher &amp; Flom LLP may rely on this opinion letter as if it were an addressee hereof on this date for the sole purpose of rendering its opinion letter to the Issuers relating to the Securities, as filed with the Commission as Exhibit 5.1 to the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20"/>
          </w:cols>
          <w:pgMar w:left="240" w:top="280"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Ratio of Earnings to Fixed Charges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Six</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Months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860" w:type="dxa"/>
            <w:vAlign w:val="bottom"/>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7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Add:</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6"/>
              </w:rPr>
              <w:t>Pretax income from continuing operations before adjustment for minority</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interests in consolidated subsidiaries or income or loss from equity</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investees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(88,848)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(95,928)</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$(348,638)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$(309,443)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(130,060)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123,423</w:t>
            </w:r>
          </w:p>
        </w:tc>
        <w:tc>
          <w:tcPr>
            <w:tcW w:w="100" w:type="dxa"/>
            <w:vAlign w:val="bottom"/>
          </w:tcPr>
          <w:p>
            <w:pPr>
              <w:spacing w:after="0"/>
              <w:rPr>
                <w:sz w:val="19"/>
                <w:szCs w:val="19"/>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113,323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206,690</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199,338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158,499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121,143</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Amortization of capitalized interest</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7,863</w:t>
            </w:r>
          </w:p>
        </w:tc>
        <w:tc>
          <w:tcPr>
            <w:tcW w:w="680" w:type="dxa"/>
            <w:vAlign w:val="bottom"/>
          </w:tcPr>
          <w:p>
            <w:pPr>
              <w:jc w:val="right"/>
              <w:spacing w:after="0"/>
              <w:rPr>
                <w:sz w:val="20"/>
                <w:szCs w:val="20"/>
                <w:color w:val="auto"/>
              </w:rPr>
            </w:pPr>
            <w:r>
              <w:rPr>
                <w:rFonts w:ascii="Arial" w:cs="Arial" w:eastAsia="Arial" w:hAnsi="Arial"/>
                <w:sz w:val="18"/>
                <w:szCs w:val="18"/>
                <w:color w:val="auto"/>
              </w:rPr>
              <w:t>16,070</w:t>
            </w:r>
          </w:p>
        </w:tc>
        <w:tc>
          <w:tcPr>
            <w:tcW w:w="18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17,883</w:t>
            </w:r>
          </w:p>
        </w:tc>
        <w:tc>
          <w:tcPr>
            <w:tcW w:w="720" w:type="dxa"/>
            <w:vAlign w:val="bottom"/>
          </w:tcPr>
          <w:p>
            <w:pPr>
              <w:jc w:val="right"/>
              <w:spacing w:after="0"/>
              <w:rPr>
                <w:sz w:val="20"/>
                <w:szCs w:val="20"/>
                <w:color w:val="auto"/>
              </w:rPr>
            </w:pPr>
            <w:r>
              <w:rPr>
                <w:rFonts w:ascii="Arial" w:cs="Arial" w:eastAsia="Arial" w:hAnsi="Arial"/>
                <w:sz w:val="18"/>
                <w:szCs w:val="18"/>
                <w:color w:val="auto"/>
              </w:rPr>
              <w:t>24,131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13,908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Distributed income of equity investees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Subtract: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33,592</w:t>
            </w:r>
          </w:p>
        </w:tc>
        <w:tc>
          <w:tcPr>
            <w:tcW w:w="100" w:type="dxa"/>
            <w:vAlign w:val="bottom"/>
            <w:shd w:val="clear" w:color="auto" w:fill="CCEEFF"/>
          </w:tcPr>
          <w:p>
            <w:pPr>
              <w:spacing w:after="0"/>
              <w:rPr>
                <w:sz w:val="18"/>
                <w:szCs w:val="18"/>
                <w:color w:val="auto"/>
              </w:rPr>
            </w:pPr>
          </w:p>
        </w:tc>
      </w:tr>
      <w:tr>
        <w:trPr>
          <w:trHeight w:val="222"/>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Earnings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32,706</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127,222</w:t>
            </w:r>
          </w:p>
        </w:tc>
        <w:tc>
          <w:tcPr>
            <w:tcW w:w="18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(132,013)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(125,585)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(37,263)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226,109</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110,640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$201,339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$ 193,444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$ 157,228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capitalized</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596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80,398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33,592</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r>
      <w:tr>
        <w:trPr>
          <w:trHeight w:val="222"/>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Fixed Charges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113,323</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206,690</w:t>
            </w:r>
          </w:p>
        </w:tc>
        <w:tc>
          <w:tcPr>
            <w:tcW w:w="18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$ 199,338</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$ 159,359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158,499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121,143</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1.87x</w:t>
            </w:r>
          </w:p>
        </w:tc>
      </w:tr>
      <w:tr>
        <w:trPr>
          <w:trHeight w:val="228"/>
        </w:trPr>
        <w:tc>
          <w:tcPr>
            <w:tcW w:w="5580" w:type="dxa"/>
            <w:vAlign w:val="bottom"/>
          </w:tcPr>
          <w:p>
            <w:pPr>
              <w:spacing w:after="0"/>
              <w:rPr>
                <w:sz w:val="20"/>
                <w:szCs w:val="20"/>
                <w:color w:val="auto"/>
              </w:rPr>
            </w:pPr>
            <w:r>
              <w:rPr>
                <w:rFonts w:ascii="Arial" w:cs="Arial" w:eastAsia="Arial" w:hAnsi="Arial"/>
                <w:sz w:val="18"/>
                <w:szCs w:val="18"/>
                <w:b w:val="1"/>
                <w:bCs w:val="1"/>
                <w:color w:val="auto"/>
              </w:rPr>
              <w:t>Deficiency Amount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(80,617)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(79,468)</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$(331,351)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$(284,944)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(195,762)</w:t>
            </w: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12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SUBSIDIARIES OF WYNN LAS VEGAS, LLC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Kevyn,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Completion Guarantor,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 a Nevada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wholly-owned by Wynn Las Vegas, LLC.</w:t>
      </w:r>
    </w:p>
    <w:p>
      <w:pPr>
        <w:sectPr>
          <w:pgSz w:w="11900" w:h="16838" w:orient="portrait"/>
          <w:cols w:equalWidth="0" w:num="1">
            <w:col w:w="11420"/>
          </w:cols>
          <w:pgMar w:left="240" w:top="125"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February 29, 2012, in the Registration Statement (Form S-4) and related Prospectus of Wynn Las Vegas, LLC for the registration of $900 million of 5.375% First Mortgage Notes due 2022.</w:t>
      </w:r>
    </w:p>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2012</w:t>
      </w:r>
    </w:p>
    <w:p>
      <w:pPr>
        <w:sectPr>
          <w:pgSz w:w="11900" w:h="16838" w:orient="portrait"/>
          <w:cols w:equalWidth="0" w:num="1">
            <w:col w:w="11420"/>
          </w:cols>
          <w:pgMar w:left="240" w:top="125"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person whose signature to this registration statement appears below is an officer and/or a member of the Board of Directors of Wynn Resorts, Limited (“WRL”) and/or of Wynn Las Vegas Capital Corp. (“WLVCC”), or, in the case of Marilyn Spiegel and Scott Peterson, an officer of Wynn Las Vegas, LLC as indicated by the title set forth opposite his or her name, and hereby severally constitutes and appoints Stephen A. Wynn, Matt Maddox,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125" w:right="239" w:bottom="1440" w:gutter="0" w:footer="0" w:header="0"/>
        </w:sectPr>
      </w:pPr>
    </w:p>
    <w:p>
      <w:pPr>
        <w:spacing w:after="0" w:line="159"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Signature</w:t>
      </w:r>
    </w:p>
    <w:p>
      <w:pPr>
        <w:spacing w:after="0" w:line="94"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/s/ Stephen A. Wynn</w:t>
      </w:r>
    </w:p>
    <w:p>
      <w:pPr>
        <w:spacing w:after="0" w:line="46"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1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 Linda Chen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Linda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/s/ Russell Goldsmith</w:t>
      </w:r>
    </w:p>
    <w:p>
      <w:pPr>
        <w:spacing w:after="0" w:line="46"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Russell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 Dr. Ray R. Irani</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Dr. Ray R. Irani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 Robert J. Miller</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 John A. Moran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5"/>
          <w:szCs w:val="15"/>
          <w:b w:val="1"/>
          <w:bCs w:val="1"/>
          <w:color w:val="auto"/>
        </w:rPr>
        <w:t>/s/ Alvin V. Shoemaker</w:t>
      </w:r>
    </w:p>
    <w:p>
      <w:pPr>
        <w:spacing w:after="0" w:line="5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/s/ D. Boone Wayson</w:t>
      </w:r>
    </w:p>
    <w:p>
      <w:pPr>
        <w:spacing w:after="0" w:line="46"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D. Boone Wayson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 Elaine P. Wynn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 Allan Zeman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Allan 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 March D. Schorr</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1018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560" w:type="dxa"/>
            <w:vAlign w:val="bottom"/>
          </w:tcPr>
          <w:p>
            <w:pPr>
              <w:jc w:val="center"/>
              <w:ind w:right="794"/>
              <w:spacing w:after="0"/>
              <w:rPr>
                <w:sz w:val="20"/>
                <w:szCs w:val="20"/>
                <w:color w:val="auto"/>
              </w:rPr>
            </w:pPr>
            <w:r>
              <w:rPr>
                <w:rFonts w:ascii="Arial" w:cs="Arial" w:eastAsia="Arial" w:hAnsi="Arial"/>
                <w:sz w:val="14"/>
                <w:szCs w:val="14"/>
                <w:b w:val="1"/>
                <w:bCs w:val="1"/>
                <w:color w:val="auto"/>
                <w:w w:val="97"/>
              </w:rPr>
              <w:t>Title</w:t>
            </w:r>
          </w:p>
        </w:tc>
        <w:tc>
          <w:tcPr>
            <w:tcW w:w="2280" w:type="dxa"/>
            <w:vAlign w:val="bottom"/>
          </w:tcPr>
          <w:p>
            <w:pPr>
              <w:ind w:left="1280"/>
              <w:spacing w:after="0"/>
              <w:rPr>
                <w:sz w:val="20"/>
                <w:szCs w:val="20"/>
                <w:color w:val="auto"/>
              </w:rPr>
            </w:pPr>
            <w:r>
              <w:rPr>
                <w:rFonts w:ascii="Arial" w:cs="Arial" w:eastAsia="Arial" w:hAnsi="Arial"/>
                <w:sz w:val="14"/>
                <w:szCs w:val="14"/>
                <w:b w:val="1"/>
                <w:bCs w:val="1"/>
                <w:color w:val="auto"/>
              </w:rPr>
              <w:t>Date</w:t>
            </w:r>
          </w:p>
        </w:tc>
      </w:tr>
      <w:tr>
        <w:trPr>
          <w:trHeight w:val="519"/>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1"/>
              </w:rPr>
              <w:t>Chairman of the Board of WRL</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222"/>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1"/>
              </w:rPr>
              <w:t>and WLVCC</w:t>
            </w:r>
          </w:p>
        </w:tc>
        <w:tc>
          <w:tcPr>
            <w:tcW w:w="2280" w:type="dxa"/>
            <w:vAlign w:val="bottom"/>
          </w:tcPr>
          <w:p>
            <w:pPr>
              <w:spacing w:after="0"/>
              <w:rPr>
                <w:sz w:val="19"/>
                <w:szCs w:val="19"/>
                <w:color w:val="auto"/>
              </w:rPr>
            </w:pP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54"/>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2"/>
              </w:rPr>
              <w:t>Director of WRL and WLVCC</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547"/>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1"/>
              </w:rPr>
              <w:t>Director of WRL and Chief Operating</w:t>
            </w:r>
          </w:p>
        </w:tc>
        <w:tc>
          <w:tcPr>
            <w:tcW w:w="2280" w:type="dxa"/>
            <w:vAlign w:val="bottom"/>
          </w:tcPr>
          <w:p>
            <w:pPr>
              <w:ind w:left="880"/>
              <w:spacing w:after="0"/>
              <w:rPr>
                <w:sz w:val="20"/>
                <w:szCs w:val="20"/>
                <w:color w:val="auto"/>
              </w:rPr>
            </w:pPr>
            <w:r>
              <w:rPr>
                <w:rFonts w:ascii="Arial" w:cs="Arial" w:eastAsia="Arial" w:hAnsi="Arial"/>
                <w:sz w:val="18"/>
                <w:szCs w:val="18"/>
                <w:color w:val="auto"/>
                <w:w w:val="84"/>
              </w:rPr>
              <w:t>September 26, 2012</w:t>
            </w:r>
          </w:p>
        </w:tc>
      </w:tr>
      <w:tr>
        <w:trPr>
          <w:trHeight w:val="222"/>
        </w:trPr>
        <w:tc>
          <w:tcPr>
            <w:tcW w:w="3560" w:type="dxa"/>
            <w:vAlign w:val="bottom"/>
          </w:tcPr>
          <w:p>
            <w:pPr>
              <w:jc w:val="center"/>
              <w:ind w:right="794"/>
              <w:spacing w:after="0"/>
              <w:rPr>
                <w:sz w:val="20"/>
                <w:szCs w:val="20"/>
                <w:color w:val="auto"/>
              </w:rPr>
            </w:pPr>
            <w:r>
              <w:rPr>
                <w:rFonts w:ascii="Arial" w:cs="Arial" w:eastAsia="Arial" w:hAnsi="Arial"/>
                <w:sz w:val="18"/>
                <w:szCs w:val="18"/>
                <w:color w:val="auto"/>
                <w:w w:val="95"/>
              </w:rPr>
              <w:t>Officer of WLVCC</w:t>
            </w:r>
          </w:p>
        </w:tc>
        <w:tc>
          <w:tcPr>
            <w:tcW w:w="2280" w:type="dxa"/>
            <w:vAlign w:val="bottom"/>
          </w:tcPr>
          <w:p>
            <w:pPr>
              <w:spacing w:after="0"/>
              <w:rPr>
                <w:sz w:val="19"/>
                <w:szCs w:val="19"/>
                <w:color w:val="auto"/>
              </w:rPr>
            </w:pPr>
          </w:p>
        </w:tc>
      </w:tr>
    </w:tbl>
    <w:p>
      <w:pPr>
        <w:sectPr>
          <w:pgSz w:w="11900" w:h="16838" w:orient="portrait"/>
          <w:cols w:equalWidth="0" w:num="2">
            <w:col w:w="4860" w:space="720"/>
            <w:col w:w="5840"/>
          </w:cols>
          <w:pgMar w:left="240" w:top="125" w:right="239" w:bottom="1440" w:gutter="0" w:footer="0" w:header="0"/>
          <w:type w:val="continuous"/>
        </w:sectPr>
      </w:pPr>
    </w:p>
    <w:bookmarkStart w:id="252" w:name="page253"/>
    <w:bookmarkEnd w:id="252"/>
    <w:p>
      <w:pPr>
        <w:jc w:val="center"/>
        <w:ind w:right="1640"/>
        <w:spacing w:after="0"/>
        <w:rPr>
          <w:sz w:val="20"/>
          <w:szCs w:val="20"/>
          <w:color w:val="auto"/>
        </w:rPr>
      </w:pPr>
      <w:r>
        <w:rPr>
          <w:rFonts w:ascii="Arial" w:cs="Arial" w:eastAsia="Arial" w:hAnsi="Arial"/>
          <w:sz w:val="14"/>
          <w:szCs w:val="14"/>
          <w:b w:val="1"/>
          <w:bCs w:val="1"/>
          <w:color w:val="auto"/>
        </w:rPr>
        <w:t>Signature</w:t>
      </w:r>
    </w:p>
    <w:p>
      <w:pPr>
        <w:spacing w:after="0" w:line="94"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/s/ Matt Maddox</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271018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13"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auto"/>
        </w:rPr>
        <w:t>/s/ Marilyn Spiegel</w:t>
      </w:r>
    </w:p>
    <w:p>
      <w:pPr>
        <w:spacing w:after="0" w:line="46"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271018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97"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auto"/>
        </w:rPr>
        <w:t>/s/ Scott Peterson</w:t>
      </w:r>
    </w:p>
    <w:p>
      <w:pPr>
        <w:spacing w:after="0" w:line="46"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271018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760" w:type="dxa"/>
            <w:vAlign w:val="bottom"/>
          </w:tcPr>
          <w:p>
            <w:pPr>
              <w:jc w:val="center"/>
              <w:ind w:right="716"/>
              <w:spacing w:after="0"/>
              <w:rPr>
                <w:sz w:val="20"/>
                <w:szCs w:val="20"/>
                <w:color w:val="auto"/>
              </w:rPr>
            </w:pPr>
            <w:r>
              <w:rPr>
                <w:rFonts w:ascii="Arial" w:cs="Arial" w:eastAsia="Arial" w:hAnsi="Arial"/>
                <w:sz w:val="14"/>
                <w:szCs w:val="14"/>
                <w:b w:val="1"/>
                <w:bCs w:val="1"/>
                <w:color w:val="auto"/>
                <w:w w:val="97"/>
              </w:rPr>
              <w:t>Title</w:t>
            </w:r>
          </w:p>
        </w:tc>
        <w:tc>
          <w:tcPr>
            <w:tcW w:w="2220" w:type="dxa"/>
            <w:vAlign w:val="bottom"/>
          </w:tcPr>
          <w:p>
            <w:pPr>
              <w:ind w:left="1220"/>
              <w:spacing w:after="0"/>
              <w:rPr>
                <w:sz w:val="20"/>
                <w:szCs w:val="20"/>
                <w:color w:val="auto"/>
              </w:rPr>
            </w:pPr>
            <w:r>
              <w:rPr>
                <w:rFonts w:ascii="Arial" w:cs="Arial" w:eastAsia="Arial" w:hAnsi="Arial"/>
                <w:sz w:val="14"/>
                <w:szCs w:val="14"/>
                <w:b w:val="1"/>
                <w:bCs w:val="1"/>
                <w:color w:val="auto"/>
              </w:rPr>
              <w:t>Date</w:t>
            </w:r>
          </w:p>
        </w:tc>
      </w:tr>
      <w:tr>
        <w:trPr>
          <w:trHeight w:val="519"/>
        </w:trPr>
        <w:tc>
          <w:tcPr>
            <w:tcW w:w="3760" w:type="dxa"/>
            <w:vAlign w:val="bottom"/>
          </w:tcPr>
          <w:p>
            <w:pPr>
              <w:jc w:val="center"/>
              <w:ind w:right="716"/>
              <w:spacing w:after="0"/>
              <w:rPr>
                <w:sz w:val="20"/>
                <w:szCs w:val="20"/>
                <w:color w:val="auto"/>
              </w:rPr>
            </w:pPr>
            <w:r>
              <w:rPr>
                <w:rFonts w:ascii="Arial" w:cs="Arial" w:eastAsia="Arial" w:hAnsi="Arial"/>
                <w:sz w:val="18"/>
                <w:szCs w:val="18"/>
                <w:color w:val="auto"/>
                <w:w w:val="90"/>
              </w:rPr>
              <w:t>Chief Financial Officer and</w:t>
            </w:r>
          </w:p>
        </w:tc>
        <w:tc>
          <w:tcPr>
            <w:tcW w:w="2220" w:type="dxa"/>
            <w:vAlign w:val="bottom"/>
          </w:tcPr>
          <w:p>
            <w:pPr>
              <w:ind w:left="820"/>
              <w:spacing w:after="0"/>
              <w:rPr>
                <w:sz w:val="20"/>
                <w:szCs w:val="20"/>
                <w:color w:val="auto"/>
              </w:rPr>
            </w:pPr>
            <w:r>
              <w:rPr>
                <w:rFonts w:ascii="Arial" w:cs="Arial" w:eastAsia="Arial" w:hAnsi="Arial"/>
                <w:sz w:val="18"/>
                <w:szCs w:val="18"/>
                <w:color w:val="auto"/>
                <w:w w:val="84"/>
              </w:rPr>
              <w:t>September 26, 2012</w:t>
            </w:r>
          </w:p>
        </w:tc>
      </w:tr>
      <w:tr>
        <w:trPr>
          <w:trHeight w:val="222"/>
        </w:trPr>
        <w:tc>
          <w:tcPr>
            <w:tcW w:w="3760" w:type="dxa"/>
            <w:vAlign w:val="bottom"/>
          </w:tcPr>
          <w:p>
            <w:pPr>
              <w:jc w:val="center"/>
              <w:ind w:right="716"/>
              <w:spacing w:after="0"/>
              <w:rPr>
                <w:sz w:val="20"/>
                <w:szCs w:val="20"/>
                <w:color w:val="auto"/>
              </w:rPr>
            </w:pPr>
            <w:r>
              <w:rPr>
                <w:rFonts w:ascii="Arial" w:cs="Arial" w:eastAsia="Arial" w:hAnsi="Arial"/>
                <w:sz w:val="18"/>
                <w:szCs w:val="18"/>
                <w:color w:val="auto"/>
                <w:w w:val="90"/>
              </w:rPr>
              <w:t>Treasurer of WLVCC</w:t>
            </w:r>
          </w:p>
        </w:tc>
        <w:tc>
          <w:tcPr>
            <w:tcW w:w="2220" w:type="dxa"/>
            <w:vAlign w:val="bottom"/>
          </w:tcPr>
          <w:p>
            <w:pPr>
              <w:spacing w:after="0"/>
              <w:rPr>
                <w:sz w:val="19"/>
                <w:szCs w:val="19"/>
                <w:color w:val="auto"/>
              </w:rPr>
            </w:pPr>
          </w:p>
        </w:tc>
      </w:tr>
      <w:tr>
        <w:trPr>
          <w:trHeight w:val="554"/>
        </w:trPr>
        <w:tc>
          <w:tcPr>
            <w:tcW w:w="3760" w:type="dxa"/>
            <w:vAlign w:val="bottom"/>
          </w:tcPr>
          <w:p>
            <w:pPr>
              <w:jc w:val="center"/>
              <w:ind w:right="716"/>
              <w:spacing w:after="0"/>
              <w:rPr>
                <w:sz w:val="20"/>
                <w:szCs w:val="20"/>
                <w:color w:val="auto"/>
              </w:rPr>
            </w:pPr>
            <w:r>
              <w:rPr>
                <w:rFonts w:ascii="Arial" w:cs="Arial" w:eastAsia="Arial" w:hAnsi="Arial"/>
                <w:sz w:val="18"/>
                <w:szCs w:val="18"/>
                <w:color w:val="auto"/>
                <w:w w:val="88"/>
              </w:rPr>
              <w:t>President of Wynn Las Vegas, LLC</w:t>
            </w:r>
          </w:p>
        </w:tc>
        <w:tc>
          <w:tcPr>
            <w:tcW w:w="2220" w:type="dxa"/>
            <w:vAlign w:val="bottom"/>
          </w:tcPr>
          <w:p>
            <w:pPr>
              <w:ind w:left="820"/>
              <w:spacing w:after="0"/>
              <w:rPr>
                <w:sz w:val="20"/>
                <w:szCs w:val="20"/>
                <w:color w:val="auto"/>
              </w:rPr>
            </w:pPr>
            <w:r>
              <w:rPr>
                <w:rFonts w:ascii="Arial" w:cs="Arial" w:eastAsia="Arial" w:hAnsi="Arial"/>
                <w:sz w:val="18"/>
                <w:szCs w:val="18"/>
                <w:color w:val="auto"/>
                <w:w w:val="84"/>
              </w:rPr>
              <w:t>September 26, 2012</w:t>
            </w:r>
          </w:p>
        </w:tc>
      </w:tr>
      <w:tr>
        <w:trPr>
          <w:trHeight w:val="547"/>
        </w:trPr>
        <w:tc>
          <w:tcPr>
            <w:tcW w:w="3760" w:type="dxa"/>
            <w:vAlign w:val="bottom"/>
          </w:tcPr>
          <w:p>
            <w:pPr>
              <w:jc w:val="center"/>
              <w:ind w:right="716"/>
              <w:spacing w:after="0"/>
              <w:rPr>
                <w:sz w:val="20"/>
                <w:szCs w:val="20"/>
                <w:color w:val="auto"/>
              </w:rPr>
            </w:pPr>
            <w:r>
              <w:rPr>
                <w:rFonts w:ascii="Arial" w:cs="Arial" w:eastAsia="Arial" w:hAnsi="Arial"/>
                <w:sz w:val="18"/>
                <w:szCs w:val="18"/>
                <w:color w:val="auto"/>
                <w:w w:val="89"/>
              </w:rPr>
              <w:t>Senior Vice President and Chief Financial</w:t>
            </w:r>
          </w:p>
        </w:tc>
        <w:tc>
          <w:tcPr>
            <w:tcW w:w="2220" w:type="dxa"/>
            <w:vAlign w:val="bottom"/>
          </w:tcPr>
          <w:p>
            <w:pPr>
              <w:ind w:left="820"/>
              <w:spacing w:after="0"/>
              <w:rPr>
                <w:sz w:val="20"/>
                <w:szCs w:val="20"/>
                <w:color w:val="auto"/>
              </w:rPr>
            </w:pPr>
            <w:r>
              <w:rPr>
                <w:rFonts w:ascii="Arial" w:cs="Arial" w:eastAsia="Arial" w:hAnsi="Arial"/>
                <w:sz w:val="18"/>
                <w:szCs w:val="18"/>
                <w:color w:val="auto"/>
                <w:w w:val="84"/>
              </w:rPr>
              <w:t>September 26, 2012</w:t>
            </w:r>
          </w:p>
        </w:tc>
      </w:tr>
      <w:tr>
        <w:trPr>
          <w:trHeight w:val="222"/>
        </w:trPr>
        <w:tc>
          <w:tcPr>
            <w:tcW w:w="3760" w:type="dxa"/>
            <w:vAlign w:val="bottom"/>
          </w:tcPr>
          <w:p>
            <w:pPr>
              <w:jc w:val="center"/>
              <w:ind w:right="696"/>
              <w:spacing w:after="0"/>
              <w:rPr>
                <w:sz w:val="20"/>
                <w:szCs w:val="20"/>
                <w:color w:val="auto"/>
              </w:rPr>
            </w:pPr>
            <w:r>
              <w:rPr>
                <w:rFonts w:ascii="Arial" w:cs="Arial" w:eastAsia="Arial" w:hAnsi="Arial"/>
                <w:sz w:val="18"/>
                <w:szCs w:val="18"/>
                <w:color w:val="auto"/>
                <w:w w:val="90"/>
              </w:rPr>
              <w:t>Officer of Wynn Las Vegas, LLC</w:t>
            </w:r>
          </w:p>
        </w:tc>
        <w:tc>
          <w:tcPr>
            <w:tcW w:w="2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-1507490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3520" w:space="720"/>
            <w:col w:w="5980"/>
          </w:cols>
          <w:pgMar w:left="1440" w:top="276"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66040</wp:posOffset>
            </wp:positionV>
            <wp:extent cx="724662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92075</wp:posOffset>
            </wp:positionV>
            <wp:extent cx="724662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107315</wp:posOffset>
            </wp:positionV>
            <wp:extent cx="151765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127000</wp:posOffset>
            </wp:positionV>
            <wp:extent cx="151765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4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114300</wp:posOffset>
            </wp:positionV>
            <wp:extent cx="151765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113665</wp:posOffset>
            </wp:positionV>
            <wp:extent cx="151765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5240" w:type="dxa"/>
            <w:vAlign w:val="bottom"/>
            <w:gridSpan w:val="2"/>
          </w:tcPr>
          <w:p>
            <w:pPr>
              <w:jc w:val="right"/>
              <w:ind w:right="676"/>
              <w:spacing w:after="0"/>
              <w:rPr>
                <w:sz w:val="20"/>
                <w:szCs w:val="20"/>
                <w:color w:val="auto"/>
              </w:rPr>
            </w:pPr>
            <w:r>
              <w:rPr>
                <w:rFonts w:ascii="Arial" w:cs="Arial" w:eastAsia="Arial" w:hAnsi="Arial"/>
                <w:sz w:val="18"/>
                <w:szCs w:val="18"/>
                <w:b w:val="1"/>
                <w:bCs w:val="1"/>
                <w:color w:val="auto"/>
              </w:rPr>
              <w:t>31-0841368</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00" w:type="dxa"/>
            <w:vAlign w:val="bottom"/>
            <w:gridSpan w:val="3"/>
          </w:tcPr>
          <w:p>
            <w:pPr>
              <w:jc w:val="center"/>
              <w:ind w:left="1919"/>
              <w:spacing w:after="0"/>
              <w:rPr>
                <w:sz w:val="20"/>
                <w:szCs w:val="20"/>
                <w:color w:val="auto"/>
              </w:rPr>
            </w:pPr>
            <w:r>
              <w:rPr>
                <w:rFonts w:ascii="Arial" w:cs="Arial" w:eastAsia="Arial" w:hAnsi="Arial"/>
                <w:sz w:val="18"/>
                <w:szCs w:val="18"/>
                <w:b w:val="1"/>
                <w:bCs w:val="1"/>
                <w:color w:val="auto"/>
                <w:w w:val="91"/>
              </w:rPr>
              <w:t>I.R.S. Employer Identification No.</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100" w:type="dxa"/>
            <w:vAlign w:val="bottom"/>
            <w:gridSpan w:val="3"/>
          </w:tcPr>
          <w:p>
            <w:pPr>
              <w:jc w:val="center"/>
              <w:ind w:right="3620"/>
              <w:spacing w:after="0"/>
              <w:rPr>
                <w:sz w:val="20"/>
                <w:szCs w:val="20"/>
                <w:color w:val="auto"/>
              </w:rPr>
            </w:pPr>
            <w:r>
              <w:rPr>
                <w:rFonts w:ascii="Arial" w:cs="Arial" w:eastAsia="Arial" w:hAnsi="Arial"/>
                <w:sz w:val="18"/>
                <w:szCs w:val="18"/>
                <w:b w:val="1"/>
                <w:bCs w:val="1"/>
                <w:color w:val="auto"/>
                <w:w w:val="91"/>
              </w:rPr>
              <w:t>800 Nicollet Mall</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100" w:type="dxa"/>
            <w:vAlign w:val="bottom"/>
            <w:gridSpan w:val="3"/>
          </w:tcPr>
          <w:p>
            <w:pPr>
              <w:jc w:val="center"/>
              <w:ind w:right="3640"/>
              <w:spacing w:after="0"/>
              <w:rPr>
                <w:sz w:val="20"/>
                <w:szCs w:val="20"/>
                <w:color w:val="auto"/>
              </w:rPr>
            </w:pPr>
            <w:r>
              <w:rPr>
                <w:rFonts w:ascii="Arial" w:cs="Arial" w:eastAsia="Arial" w:hAnsi="Arial"/>
                <w:sz w:val="18"/>
                <w:szCs w:val="18"/>
                <w:b w:val="1"/>
                <w:bCs w:val="1"/>
                <w:color w:val="auto"/>
                <w:w w:val="89"/>
              </w:rPr>
              <w:t>Minneapolis, Minnesota</w:t>
            </w:r>
          </w:p>
        </w:tc>
        <w:tc>
          <w:tcPr>
            <w:tcW w:w="1420" w:type="dxa"/>
            <w:vAlign w:val="bottom"/>
          </w:tcPr>
          <w:p>
            <w:pPr>
              <w:jc w:val="center"/>
              <w:ind w:left="302"/>
              <w:spacing w:after="0"/>
              <w:rPr>
                <w:sz w:val="20"/>
                <w:szCs w:val="20"/>
                <w:color w:val="auto"/>
              </w:rPr>
            </w:pPr>
            <w:r>
              <w:rPr>
                <w:rFonts w:ascii="Arial" w:cs="Arial" w:eastAsia="Arial" w:hAnsi="Arial"/>
                <w:sz w:val="18"/>
                <w:szCs w:val="18"/>
                <w:b w:val="1"/>
                <w:bCs w:val="1"/>
                <w:color w:val="auto"/>
                <w:w w:val="87"/>
              </w:rPr>
              <w:t>55402</w:t>
            </w:r>
          </w:p>
        </w:tc>
        <w:tc>
          <w:tcPr>
            <w:tcW w:w="0" w:type="dxa"/>
            <w:vAlign w:val="bottom"/>
          </w:tcPr>
          <w:p>
            <w:pPr>
              <w:spacing w:after="0"/>
              <w:rPr>
                <w:sz w:val="1"/>
                <w:szCs w:val="1"/>
                <w:color w:val="auto"/>
              </w:rPr>
            </w:pPr>
          </w:p>
        </w:tc>
      </w:tr>
      <w:tr>
        <w:trPr>
          <w:trHeight w:val="174"/>
        </w:trPr>
        <w:tc>
          <w:tcPr>
            <w:tcW w:w="6100" w:type="dxa"/>
            <w:vAlign w:val="bottom"/>
            <w:gridSpan w:val="3"/>
          </w:tcPr>
          <w:p>
            <w:pPr>
              <w:jc w:val="center"/>
              <w:ind w:right="36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420" w:type="dxa"/>
            <w:vAlign w:val="bottom"/>
          </w:tcPr>
          <w:p>
            <w:pPr>
              <w:jc w:val="center"/>
              <w:ind w:left="282"/>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351"/>
        </w:trPr>
        <w:tc>
          <w:tcPr>
            <w:tcW w:w="2860" w:type="dxa"/>
            <w:vAlign w:val="bottom"/>
          </w:tcPr>
          <w:p>
            <w:pPr>
              <w:spacing w:after="0"/>
              <w:rPr>
                <w:sz w:val="24"/>
                <w:szCs w:val="24"/>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8"/>
              </w:rPr>
              <w:t>Raymond S. Haverstock</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7"/>
              </w:rPr>
              <w:t>U.S. Bank National Association</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7"/>
              </w:rPr>
              <w:t>60 Livingston Avenue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1"/>
              </w:rPr>
              <w:t>St. Paul, MN 55107</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jc w:val="right"/>
              <w:ind w:right="556"/>
              <w:spacing w:after="0"/>
              <w:rPr>
                <w:sz w:val="20"/>
                <w:szCs w:val="20"/>
                <w:color w:val="auto"/>
              </w:rPr>
            </w:pPr>
            <w:r>
              <w:rPr>
                <w:rFonts w:ascii="Arial" w:cs="Arial" w:eastAsia="Arial" w:hAnsi="Arial"/>
                <w:sz w:val="18"/>
                <w:szCs w:val="18"/>
                <w:b w:val="1"/>
                <w:bCs w:val="1"/>
                <w:color w:val="auto"/>
              </w:rPr>
              <w:t>(651) 466-6299</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100" w:type="dxa"/>
            <w:vAlign w:val="bottom"/>
            <w:gridSpan w:val="3"/>
          </w:tcPr>
          <w:p>
            <w:pPr>
              <w:jc w:val="center"/>
              <w:ind w:left="1939"/>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860" w:type="dxa"/>
            <w:vAlign w:val="bottom"/>
          </w:tcPr>
          <w:p>
            <w:pPr>
              <w:spacing w:after="0"/>
              <w:rPr>
                <w:sz w:val="24"/>
                <w:szCs w:val="24"/>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0"/>
              </w:rPr>
              <w:t>Wynn Las Vegas, LLC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00" w:type="dxa"/>
            <w:vAlign w:val="bottom"/>
            <w:gridSpan w:val="3"/>
          </w:tcPr>
          <w:p>
            <w:pPr>
              <w:jc w:val="center"/>
              <w:ind w:left="1919"/>
              <w:spacing w:after="0"/>
              <w:rPr>
                <w:sz w:val="20"/>
                <w:szCs w:val="20"/>
                <w:color w:val="auto"/>
              </w:rPr>
            </w:pPr>
            <w:r>
              <w:rPr>
                <w:rFonts w:ascii="Arial" w:cs="Arial" w:eastAsia="Arial" w:hAnsi="Arial"/>
                <w:sz w:val="18"/>
                <w:szCs w:val="18"/>
                <w:b w:val="1"/>
                <w:bCs w:val="1"/>
                <w:color w:val="auto"/>
                <w:w w:val="90"/>
              </w:rPr>
              <w:t>Wynn Las Vegas Capital Corp *</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vMerge w:val="restart"/>
          </w:tcPr>
          <w:p>
            <w:pPr>
              <w:jc w:val="center"/>
              <w:ind w:left="282"/>
              <w:spacing w:after="0"/>
              <w:rPr>
                <w:sz w:val="20"/>
                <w:szCs w:val="20"/>
                <w:color w:val="auto"/>
              </w:rPr>
            </w:pPr>
            <w:r>
              <w:rPr>
                <w:rFonts w:ascii="Arial" w:cs="Arial" w:eastAsia="Arial" w:hAnsi="Arial"/>
                <w:sz w:val="18"/>
                <w:szCs w:val="18"/>
                <w:b w:val="1"/>
                <w:bCs w:val="1"/>
                <w:color w:val="auto"/>
                <w:w w:val="89"/>
              </w:rPr>
              <w:t>88-0494875</w:t>
            </w:r>
          </w:p>
        </w:tc>
        <w:tc>
          <w:tcPr>
            <w:tcW w:w="0" w:type="dxa"/>
            <w:vAlign w:val="bottom"/>
          </w:tcPr>
          <w:p>
            <w:pPr>
              <w:spacing w:after="0"/>
              <w:rPr>
                <w:sz w:val="1"/>
                <w:szCs w:val="1"/>
                <w:color w:val="auto"/>
              </w:rPr>
            </w:pPr>
          </w:p>
        </w:tc>
      </w:tr>
      <w:tr>
        <w:trPr>
          <w:trHeight w:val="303"/>
        </w:trPr>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100" w:type="dxa"/>
            <w:vAlign w:val="bottom"/>
            <w:gridSpan w:val="3"/>
          </w:tcPr>
          <w:p>
            <w:pPr>
              <w:jc w:val="center"/>
              <w:ind w:right="3640"/>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center"/>
              <w:ind w:left="282"/>
              <w:spacing w:after="0"/>
              <w:rPr>
                <w:sz w:val="20"/>
                <w:szCs w:val="20"/>
                <w:color w:val="auto"/>
              </w:rPr>
            </w:pPr>
            <w:r>
              <w:rPr>
                <w:rFonts w:ascii="Arial" w:cs="Arial" w:eastAsia="Arial" w:hAnsi="Arial"/>
                <w:sz w:val="18"/>
                <w:szCs w:val="18"/>
                <w:b w:val="1"/>
                <w:bCs w:val="1"/>
                <w:color w:val="auto"/>
                <w:w w:val="89"/>
              </w:rPr>
              <w:t>46-0484992</w:t>
            </w:r>
          </w:p>
        </w:tc>
        <w:tc>
          <w:tcPr>
            <w:tcW w:w="0" w:type="dxa"/>
            <w:vAlign w:val="bottom"/>
          </w:tcPr>
          <w:p>
            <w:pPr>
              <w:spacing w:after="0"/>
              <w:rPr>
                <w:sz w:val="1"/>
                <w:szCs w:val="1"/>
                <w:color w:val="auto"/>
              </w:rPr>
            </w:pPr>
          </w:p>
        </w:tc>
      </w:tr>
      <w:tr>
        <w:trPr>
          <w:trHeight w:val="149"/>
        </w:trPr>
        <w:tc>
          <w:tcPr>
            <w:tcW w:w="6100" w:type="dxa"/>
            <w:vAlign w:val="bottom"/>
            <w:gridSpan w:val="3"/>
          </w:tcPr>
          <w:p>
            <w:pPr>
              <w:jc w:val="center"/>
              <w:ind w:right="36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20" w:type="dxa"/>
            <w:vAlign w:val="bottom"/>
          </w:tcPr>
          <w:p>
            <w:pPr>
              <w:jc w:val="center"/>
              <w:ind w:left="28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6100" w:type="dxa"/>
            <w:vAlign w:val="bottom"/>
            <w:gridSpan w:val="3"/>
          </w:tcPr>
          <w:p>
            <w:pPr>
              <w:jc w:val="center"/>
              <w:ind w:right="3620"/>
              <w:spacing w:after="0"/>
              <w:rPr>
                <w:sz w:val="20"/>
                <w:szCs w:val="20"/>
                <w:color w:val="auto"/>
              </w:rPr>
            </w:pPr>
            <w:r>
              <w:rPr>
                <w:rFonts w:ascii="Arial" w:cs="Arial" w:eastAsia="Arial" w:hAnsi="Arial"/>
                <w:sz w:val="14"/>
                <w:szCs w:val="14"/>
                <w:b w:val="1"/>
                <w:bCs w:val="1"/>
                <w:color w:val="auto"/>
                <w:w w:val="88"/>
              </w:rPr>
              <w:t>incorporation or organization)</w:t>
            </w:r>
          </w:p>
        </w:tc>
        <w:tc>
          <w:tcPr>
            <w:tcW w:w="1420" w:type="dxa"/>
            <w:vAlign w:val="bottom"/>
          </w:tcPr>
          <w:p>
            <w:pPr>
              <w:jc w:val="center"/>
              <w:ind w:left="28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18"/>
        </w:trPr>
        <w:tc>
          <w:tcPr>
            <w:tcW w:w="6100" w:type="dxa"/>
            <w:vAlign w:val="bottom"/>
            <w:gridSpan w:val="3"/>
          </w:tcPr>
          <w:p>
            <w:pPr>
              <w:jc w:val="center"/>
              <w:ind w:right="3640"/>
              <w:spacing w:after="0"/>
              <w:rPr>
                <w:sz w:val="20"/>
                <w:szCs w:val="20"/>
                <w:color w:val="auto"/>
              </w:rPr>
            </w:pPr>
            <w:r>
              <w:rPr>
                <w:rFonts w:ascii="Arial" w:cs="Arial" w:eastAsia="Arial" w:hAnsi="Arial"/>
                <w:sz w:val="18"/>
                <w:szCs w:val="18"/>
                <w:b w:val="1"/>
                <w:bCs w:val="1"/>
                <w:color w:val="auto"/>
                <w:w w:val="86"/>
              </w:rPr>
              <w:t>3131 Las Vegas Boulevard South</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100" w:type="dxa"/>
            <w:vAlign w:val="bottom"/>
            <w:gridSpan w:val="3"/>
          </w:tcPr>
          <w:p>
            <w:pPr>
              <w:jc w:val="center"/>
              <w:ind w:right="3640"/>
              <w:spacing w:after="0"/>
              <w:rPr>
                <w:sz w:val="20"/>
                <w:szCs w:val="20"/>
                <w:color w:val="auto"/>
              </w:rPr>
            </w:pPr>
            <w:r>
              <w:rPr>
                <w:rFonts w:ascii="Arial" w:cs="Arial" w:eastAsia="Arial" w:hAnsi="Arial"/>
                <w:sz w:val="18"/>
                <w:szCs w:val="18"/>
                <w:b w:val="1"/>
                <w:bCs w:val="1"/>
                <w:color w:val="auto"/>
                <w:w w:val="87"/>
              </w:rPr>
              <w:t>Las Vegas, Nevada</w:t>
            </w:r>
          </w:p>
        </w:tc>
        <w:tc>
          <w:tcPr>
            <w:tcW w:w="1420" w:type="dxa"/>
            <w:vAlign w:val="bottom"/>
          </w:tcPr>
          <w:p>
            <w:pPr>
              <w:jc w:val="center"/>
              <w:ind w:left="302"/>
              <w:spacing w:after="0"/>
              <w:rPr>
                <w:sz w:val="20"/>
                <w:szCs w:val="20"/>
                <w:color w:val="auto"/>
              </w:rPr>
            </w:pPr>
            <w:r>
              <w:rPr>
                <w:rFonts w:ascii="Arial" w:cs="Arial" w:eastAsia="Arial" w:hAnsi="Arial"/>
                <w:sz w:val="18"/>
                <w:szCs w:val="18"/>
                <w:b w:val="1"/>
                <w:bCs w:val="1"/>
                <w:color w:val="auto"/>
                <w:w w:val="87"/>
              </w:rPr>
              <w:t>89109</w:t>
            </w:r>
          </w:p>
        </w:tc>
        <w:tc>
          <w:tcPr>
            <w:tcW w:w="0" w:type="dxa"/>
            <w:vAlign w:val="bottom"/>
          </w:tcPr>
          <w:p>
            <w:pPr>
              <w:spacing w:after="0"/>
              <w:rPr>
                <w:sz w:val="1"/>
                <w:szCs w:val="1"/>
                <w:color w:val="auto"/>
              </w:rPr>
            </w:pPr>
          </w:p>
        </w:tc>
      </w:tr>
      <w:tr>
        <w:trPr>
          <w:trHeight w:val="174"/>
        </w:trPr>
        <w:tc>
          <w:tcPr>
            <w:tcW w:w="6100" w:type="dxa"/>
            <w:vAlign w:val="bottom"/>
            <w:gridSpan w:val="3"/>
          </w:tcPr>
          <w:p>
            <w:pPr>
              <w:jc w:val="center"/>
              <w:ind w:right="36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20" w:type="dxa"/>
            <w:vAlign w:val="bottom"/>
          </w:tcPr>
          <w:p>
            <w:pPr>
              <w:jc w:val="center"/>
              <w:ind w:left="282"/>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128905</wp:posOffset>
            </wp:positionV>
            <wp:extent cx="151765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5.375% First Mortgage Notes Due 2022</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Guarantees related to the 5.375% First Mortgage Notes Due 2022</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96520</wp:posOffset>
            </wp:positionV>
            <wp:extent cx="724662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125" w:right="239" w:bottom="1440" w:gutter="0" w:footer="0" w:header="0"/>
        </w:sectPr>
      </w:pPr>
    </w:p>
    <w:bookmarkStart w:id="254" w:name="page255"/>
    <w:bookmarkEnd w:id="254"/>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1480" w:hanging="567"/>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20" w:right="5560" w:hanging="807"/>
        <w:spacing w:after="0" w:line="362"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140" w:right="28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1480" w:right="420" w:hanging="567"/>
        <w:spacing w:after="0" w:line="268"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2012 published pursuant to law or the requirements of its supervising or examining authority, attached as Exhibit 7.</w:t>
      </w:r>
    </w:p>
    <w:p>
      <w:pPr>
        <w:spacing w:after="0" w:line="172" w:lineRule="exact"/>
        <w:rPr>
          <w:rFonts w:ascii="Arial" w:cs="Arial" w:eastAsia="Arial" w:hAnsi="Arial"/>
          <w:sz w:val="18"/>
          <w:szCs w:val="18"/>
          <w:color w:val="auto"/>
        </w:rPr>
      </w:pPr>
    </w:p>
    <w:p>
      <w:pPr>
        <w:ind w:left="46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255" w:name="page256"/>
    <w:bookmarkEnd w:id="25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15</w:t>
      </w:r>
      <w:r>
        <w:rPr>
          <w:rFonts w:ascii="Arial" w:cs="Arial" w:eastAsia="Arial" w:hAnsi="Arial"/>
          <w:sz w:val="10"/>
          <w:szCs w:val="10"/>
          <w:color w:val="auto"/>
        </w:rPr>
        <w:t>th</w:t>
      </w:r>
      <w:r>
        <w:rPr>
          <w:rFonts w:ascii="Arial" w:cs="Arial" w:eastAsia="Arial" w:hAnsi="Arial"/>
          <w:sz w:val="16"/>
          <w:szCs w:val="16"/>
          <w:color w:val="auto"/>
        </w:rPr>
        <w:t xml:space="preserve"> of September, 2012.</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256" w:name="page257"/>
    <w:bookmarkEnd w:id="25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4629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16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CERTIFICATE OF CORPORATE EXISTENCE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90" w:lineRule="exact"/>
        <w:rPr>
          <w:sz w:val="20"/>
          <w:szCs w:val="20"/>
          <w:color w:val="auto"/>
        </w:rPr>
      </w:pPr>
    </w:p>
    <w:p>
      <w:pPr>
        <w:ind w:firstLine="8"/>
        <w:spacing w:after="0" w:line="268" w:lineRule="auto"/>
        <w:tabs>
          <w:tab w:leader="none" w:pos="17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50" w:lineRule="exact"/>
        <w:rPr>
          <w:rFonts w:ascii="Arial" w:cs="Arial" w:eastAsia="Arial" w:hAnsi="Arial"/>
          <w:sz w:val="18"/>
          <w:szCs w:val="18"/>
          <w:color w:val="auto"/>
        </w:rPr>
      </w:pPr>
    </w:p>
    <w:p>
      <w:pPr>
        <w:ind w:right="460" w:firstLine="8"/>
        <w:spacing w:after="0" w:line="268" w:lineRule="auto"/>
        <w:tabs>
          <w:tab w:leader="none" w:pos="17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72" w:lineRule="exact"/>
        <w:rPr>
          <w:sz w:val="20"/>
          <w:szCs w:val="20"/>
          <w:color w:val="auto"/>
        </w:rPr>
      </w:pPr>
    </w:p>
    <w:p>
      <w:pPr>
        <w:ind w:left="5820" w:right="20"/>
        <w:spacing w:after="0" w:line="256" w:lineRule="auto"/>
        <w:rPr>
          <w:sz w:val="20"/>
          <w:szCs w:val="20"/>
          <w:color w:val="auto"/>
        </w:rPr>
      </w:pPr>
      <w:r>
        <w:rPr>
          <w:rFonts w:ascii="Arial" w:cs="Arial" w:eastAsia="Arial" w:hAnsi="Arial"/>
          <w:sz w:val="18"/>
          <w:szCs w:val="18"/>
          <w:color w:val="auto"/>
        </w:rPr>
        <w:t>IN TESTIMONY WHEREOF, today, May 9, 2012,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13550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4662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Comptroller of the Currency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57" w:name="page258"/>
    <w:bookmarkEnd w:id="257"/>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4375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16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CERTIFICATION OF FIDUCIARY POWERS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Walsh, Acting Comptroller of the Currency, do hereby certify that:</w:t>
      </w:r>
    </w:p>
    <w:p>
      <w:pPr>
        <w:spacing w:after="0" w:line="90" w:lineRule="exact"/>
        <w:rPr>
          <w:sz w:val="20"/>
          <w:szCs w:val="20"/>
          <w:color w:val="auto"/>
        </w:rPr>
      </w:pPr>
    </w:p>
    <w:p>
      <w:pPr>
        <w:ind w:right="460" w:firstLine="8"/>
        <w:spacing w:after="0" w:line="332" w:lineRule="auto"/>
        <w:tabs>
          <w:tab w:leader="none" w:pos="17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4" w:lineRule="exact"/>
        <w:rPr>
          <w:rFonts w:ascii="Arial" w:cs="Arial" w:eastAsia="Arial" w:hAnsi="Arial"/>
          <w:sz w:val="16"/>
          <w:szCs w:val="16"/>
          <w:color w:val="auto"/>
        </w:rPr>
      </w:pPr>
    </w:p>
    <w:p>
      <w:pPr>
        <w:ind w:right="60" w:firstLine="8"/>
        <w:spacing w:after="0" w:line="259" w:lineRule="auto"/>
        <w:tabs>
          <w:tab w:leader="none" w:pos="17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181" w:lineRule="exact"/>
        <w:rPr>
          <w:sz w:val="20"/>
          <w:szCs w:val="20"/>
          <w:color w:val="auto"/>
        </w:rPr>
      </w:pPr>
    </w:p>
    <w:p>
      <w:pPr>
        <w:ind w:left="6060"/>
        <w:spacing w:after="0" w:line="256" w:lineRule="auto"/>
        <w:rPr>
          <w:sz w:val="20"/>
          <w:szCs w:val="20"/>
          <w:color w:val="auto"/>
        </w:rPr>
      </w:pPr>
      <w:r>
        <w:rPr>
          <w:rFonts w:ascii="Arial" w:cs="Arial" w:eastAsia="Arial" w:hAnsi="Arial"/>
          <w:sz w:val="18"/>
          <w:szCs w:val="18"/>
          <w:color w:val="auto"/>
        </w:rPr>
        <w:t>IN TESTIMONY WHEREOF, today, September 14, 2011,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1260475" cy="12522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60475" cy="125222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156210</wp:posOffset>
            </wp:positionV>
            <wp:extent cx="3550285" cy="3689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5502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Acting Comptroller of the Currency</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258" w:name="page259"/>
    <w:bookmarkEnd w:id="25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15,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Exhibit 7</w:t>
            </w:r>
          </w:p>
        </w:tc>
        <w:tc>
          <w:tcPr>
            <w:tcW w:w="4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320" w:type="dxa"/>
            <w:vAlign w:val="bottom"/>
          </w:tcPr>
          <w:p>
            <w:pPr>
              <w:spacing w:after="0"/>
              <w:rPr>
                <w:sz w:val="19"/>
                <w:szCs w:val="19"/>
                <w:color w:val="auto"/>
              </w:rPr>
            </w:pPr>
          </w:p>
        </w:tc>
        <w:tc>
          <w:tcPr>
            <w:tcW w:w="612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87"/>
              </w:rPr>
              <w:t>U.S. Bank National Association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tcPr>
          <w:p>
            <w:pPr>
              <w:spacing w:after="0"/>
              <w:rPr>
                <w:sz w:val="18"/>
                <w:szCs w:val="18"/>
                <w:color w:val="auto"/>
              </w:rPr>
            </w:pPr>
          </w:p>
        </w:tc>
        <w:tc>
          <w:tcPr>
            <w:tcW w:w="612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88"/>
              </w:rPr>
              <w:t>Statement of Financial Condition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320" w:type="dxa"/>
            <w:vAlign w:val="bottom"/>
          </w:tcPr>
          <w:p>
            <w:pPr>
              <w:spacing w:after="0"/>
              <w:rPr>
                <w:sz w:val="19"/>
                <w:szCs w:val="19"/>
                <w:color w:val="auto"/>
              </w:rPr>
            </w:pPr>
          </w:p>
        </w:tc>
        <w:tc>
          <w:tcPr>
            <w:tcW w:w="612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87"/>
              </w:rPr>
              <w:t>As of 6/30/2012</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4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60" w:type="dxa"/>
            <w:vAlign w:val="bottom"/>
            <w:gridSpan w:val="3"/>
          </w:tcPr>
          <w:p>
            <w:pPr>
              <w:jc w:val="center"/>
              <w:ind w:right="4400"/>
              <w:spacing w:after="0"/>
              <w:rPr>
                <w:sz w:val="20"/>
                <w:szCs w:val="20"/>
                <w:color w:val="auto"/>
              </w:rPr>
            </w:pPr>
            <w:r>
              <w:rPr>
                <w:rFonts w:ascii="Arial" w:cs="Arial" w:eastAsia="Arial" w:hAnsi="Arial"/>
                <w:sz w:val="18"/>
                <w:szCs w:val="18"/>
                <w:b w:val="1"/>
                <w:bCs w:val="1"/>
                <w:color w:val="auto"/>
                <w:w w:val="86"/>
              </w:rPr>
              <w:t>($000’s)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3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3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6/30/2012</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w w:val="91"/>
              </w:rPr>
              <w:t>Cash and Balances Due From Depository Institutions</w:t>
            </w:r>
          </w:p>
        </w:tc>
        <w:tc>
          <w:tcPr>
            <w:tcW w:w="6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15,399,893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72,720,824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75,584</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211,830,660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5,286,747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12,383,063</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25,125,941</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342,822,712</w:t>
            </w:r>
          </w:p>
        </w:tc>
        <w:tc>
          <w:tcPr>
            <w:tcW w:w="100" w:type="dxa"/>
            <w:vAlign w:val="bottom"/>
            <w:shd w:val="clear" w:color="auto" w:fill="CCEEFF"/>
          </w:tcPr>
          <w:p>
            <w:pPr>
              <w:spacing w:after="0"/>
              <w:rPr>
                <w:sz w:val="18"/>
                <w:szCs w:val="18"/>
                <w:color w:val="auto"/>
              </w:rPr>
            </w:pPr>
          </w:p>
        </w:tc>
      </w:tr>
      <w:tr>
        <w:trPr>
          <w:trHeight w:val="323"/>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245,043,009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6,587,299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937,898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35,563,317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5,829,815</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11,359,611</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305,320,949</w:t>
            </w:r>
          </w:p>
        </w:tc>
        <w:tc>
          <w:tcPr>
            <w:tcW w:w="100" w:type="dxa"/>
            <w:vAlign w:val="bottom"/>
            <w:shd w:val="clear" w:color="auto" w:fill="CCEEFF"/>
          </w:tcPr>
          <w:p>
            <w:pPr>
              <w:spacing w:after="0"/>
              <w:rPr>
                <w:sz w:val="18"/>
                <w:szCs w:val="18"/>
                <w:color w:val="auto"/>
              </w:rPr>
            </w:pPr>
          </w:p>
        </w:tc>
      </w:tr>
      <w:tr>
        <w:trPr>
          <w:trHeight w:val="323"/>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2,015,054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14,133,323</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21,335,186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Equity Capital</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37,501,763</w:t>
            </w:r>
          </w:p>
        </w:tc>
        <w:tc>
          <w:tcPr>
            <w:tcW w:w="100" w:type="dxa"/>
            <w:vAlign w:val="bottom"/>
            <w:shd w:val="clear" w:color="auto" w:fill="CCEEFF"/>
          </w:tcPr>
          <w:p>
            <w:pPr>
              <w:spacing w:after="0"/>
              <w:rPr>
                <w:sz w:val="18"/>
                <w:szCs w:val="18"/>
                <w:color w:val="auto"/>
              </w:rPr>
            </w:pPr>
          </w:p>
        </w:tc>
      </w:tr>
      <w:tr>
        <w:trPr>
          <w:trHeight w:val="322"/>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342,822,712</w:t>
            </w:r>
          </w:p>
        </w:tc>
        <w:tc>
          <w:tcPr>
            <w:tcW w:w="100" w:type="dxa"/>
            <w:vAlign w:val="bottom"/>
          </w:tcPr>
          <w:p>
            <w:pPr>
              <w:spacing w:after="0"/>
              <w:rPr>
                <w:sz w:val="24"/>
                <w:szCs w:val="24"/>
                <w:color w:val="auto"/>
              </w:rPr>
            </w:pP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2"/>
              <w:spacing w:after="0"/>
              <w:rPr>
                <w:sz w:val="20"/>
                <w:szCs w:val="20"/>
                <w:color w:val="auto"/>
              </w:rPr>
            </w:pPr>
            <w:r>
              <w:rPr>
                <w:rFonts w:ascii="Arial" w:cs="Arial" w:eastAsia="Arial" w:hAnsi="Arial"/>
                <w:sz w:val="18"/>
                <w:szCs w:val="18"/>
                <w:color w:val="auto"/>
              </w:rPr>
              <w:t>7</w:t>
            </w: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0" w:name="page261"/>
    <w:bookmarkEnd w:id="260"/>
    <w:p>
      <w:pPr>
        <w:ind w:left="10520"/>
        <w:spacing w:after="0"/>
        <w:rPr>
          <w:sz w:val="20"/>
          <w:szCs w:val="20"/>
          <w:color w:val="auto"/>
        </w:rPr>
      </w:pPr>
      <w:r>
        <w:rPr>
          <w:rFonts w:ascii="Arial" w:cs="Arial" w:eastAsia="Arial" w:hAnsi="Arial"/>
          <w:sz w:val="16"/>
          <w:szCs w:val="16"/>
          <w:b w:val="1"/>
          <w:bCs w:val="1"/>
          <w:color w:val="auto"/>
        </w:rPr>
        <w:t>Exhibit 99.1</w:t>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LETTER OF TRANSMITTAL</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Offer to Exchange</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$900,000,000 of their outstanding</w:t>
      </w:r>
    </w:p>
    <w:p>
      <w:pPr>
        <w:ind w:left="3920"/>
        <w:spacing w:after="0" w:line="230" w:lineRule="auto"/>
        <w:rPr>
          <w:sz w:val="20"/>
          <w:szCs w:val="20"/>
          <w:color w:val="auto"/>
        </w:rPr>
      </w:pPr>
      <w:r>
        <w:rPr>
          <w:rFonts w:ascii="Arial" w:cs="Arial" w:eastAsia="Arial" w:hAnsi="Arial"/>
          <w:sz w:val="22"/>
          <w:szCs w:val="22"/>
          <w:b w:val="1"/>
          <w:bCs w:val="1"/>
          <w:color w:val="auto"/>
        </w:rPr>
        <w:t>5.375% First Mortgage Notes due 2022</w:t>
      </w:r>
    </w:p>
    <w:p>
      <w:pPr>
        <w:ind w:left="3880"/>
        <w:spacing w:after="0" w:line="231" w:lineRule="auto"/>
        <w:rPr>
          <w:sz w:val="20"/>
          <w:szCs w:val="20"/>
          <w:color w:val="auto"/>
        </w:rPr>
      </w:pPr>
      <w:r>
        <w:rPr>
          <w:rFonts w:ascii="Arial" w:cs="Arial" w:eastAsia="Arial" w:hAnsi="Arial"/>
          <w:sz w:val="22"/>
          <w:szCs w:val="22"/>
          <w:b w:val="1"/>
          <w:bCs w:val="1"/>
          <w:color w:val="auto"/>
        </w:rPr>
        <w:t>(CUSIPs 983130 AS4 and U98347 AH7)</w:t>
      </w:r>
    </w:p>
    <w:p>
      <w:pPr>
        <w:jc w:val="center"/>
        <w:ind w:right="40"/>
        <w:spacing w:after="0" w:line="230" w:lineRule="auto"/>
        <w:rPr>
          <w:sz w:val="20"/>
          <w:szCs w:val="20"/>
          <w:color w:val="auto"/>
        </w:rPr>
      </w:pPr>
      <w:r>
        <w:rPr>
          <w:rFonts w:ascii="Arial" w:cs="Arial" w:eastAsia="Arial" w:hAnsi="Arial"/>
          <w:sz w:val="22"/>
          <w:szCs w:val="22"/>
          <w:b w:val="1"/>
          <w:bCs w:val="1"/>
          <w:color w:val="auto"/>
        </w:rPr>
        <w:t>Issued on March 12, 2012</w:t>
      </w:r>
    </w:p>
    <w:p>
      <w:pPr>
        <w:jc w:val="center"/>
        <w:ind w:right="40"/>
        <w:spacing w:after="0" w:line="231" w:lineRule="auto"/>
        <w:rPr>
          <w:sz w:val="20"/>
          <w:szCs w:val="20"/>
          <w:color w:val="auto"/>
        </w:rPr>
      </w:pPr>
      <w:r>
        <w:rPr>
          <w:rFonts w:ascii="Arial" w:cs="Arial" w:eastAsia="Arial" w:hAnsi="Arial"/>
          <w:sz w:val="22"/>
          <w:szCs w:val="22"/>
          <w:b w:val="1"/>
          <w:bCs w:val="1"/>
          <w:color w:val="auto"/>
        </w:rPr>
        <w:t>for</w:t>
      </w:r>
    </w:p>
    <w:p>
      <w:pPr>
        <w:jc w:val="center"/>
        <w:ind w:right="40"/>
        <w:spacing w:after="0" w:line="231" w:lineRule="auto"/>
        <w:rPr>
          <w:sz w:val="20"/>
          <w:szCs w:val="20"/>
          <w:color w:val="auto"/>
        </w:rPr>
      </w:pPr>
      <w:r>
        <w:rPr>
          <w:rFonts w:ascii="Arial" w:cs="Arial" w:eastAsia="Arial" w:hAnsi="Arial"/>
          <w:sz w:val="22"/>
          <w:szCs w:val="22"/>
          <w:b w:val="1"/>
          <w:bCs w:val="1"/>
          <w:color w:val="auto"/>
        </w:rPr>
        <w:t>5.375% First Mortgage Notes due 2022</w:t>
      </w:r>
    </w:p>
    <w:p>
      <w:pPr>
        <w:jc w:val="center"/>
        <w:ind w:right="40"/>
        <w:spacing w:after="0" w:line="230" w:lineRule="auto"/>
        <w:rPr>
          <w:sz w:val="20"/>
          <w:szCs w:val="20"/>
          <w:color w:val="auto"/>
        </w:rPr>
      </w:pPr>
      <w:r>
        <w:rPr>
          <w:rFonts w:ascii="Arial" w:cs="Arial" w:eastAsia="Arial" w:hAnsi="Arial"/>
          <w:sz w:val="22"/>
          <w:szCs w:val="22"/>
          <w:b w:val="1"/>
          <w:bCs w:val="1"/>
          <w:color w:val="auto"/>
        </w:rPr>
        <w:t>(CUSIP 983130 AT2)</w:t>
      </w:r>
    </w:p>
    <w:p>
      <w:pPr>
        <w:jc w:val="center"/>
        <w:ind w:right="40"/>
        <w:spacing w:after="0" w:line="231" w:lineRule="auto"/>
        <w:rPr>
          <w:sz w:val="20"/>
          <w:szCs w:val="20"/>
          <w:color w:val="auto"/>
        </w:rPr>
      </w:pPr>
      <w:r>
        <w:rPr>
          <w:rFonts w:ascii="Arial" w:cs="Arial" w:eastAsia="Arial" w:hAnsi="Arial"/>
          <w:sz w:val="22"/>
          <w:szCs w:val="22"/>
          <w:b w:val="1"/>
          <w:bCs w:val="1"/>
          <w:color w:val="auto"/>
        </w:rPr>
        <w:t>That Have Been Registered Under</w:t>
      </w:r>
    </w:p>
    <w:p>
      <w:pPr>
        <w:jc w:val="center"/>
        <w:ind w:right="40"/>
        <w:spacing w:after="0" w:line="231" w:lineRule="auto"/>
        <w:rPr>
          <w:sz w:val="20"/>
          <w:szCs w:val="20"/>
          <w:color w:val="auto"/>
        </w:rPr>
      </w:pPr>
      <w:r>
        <w:rPr>
          <w:rFonts w:ascii="Arial" w:cs="Arial" w:eastAsia="Arial" w:hAnsi="Arial"/>
          <w:sz w:val="22"/>
          <w:szCs w:val="22"/>
          <w:b w:val="1"/>
          <w:bCs w:val="1"/>
          <w:color w:val="auto"/>
        </w:rPr>
        <w:t>the Securities Act of 1933, as Amended,</w:t>
      </w:r>
    </w:p>
    <w:tbl>
      <w:tblPr>
        <w:tblLayout w:type="fixed"/>
        <w:tblInd w:w="0" w:type="dxa"/>
        <w:tblCellMar>
          <w:top w:w="0" w:type="dxa"/>
          <w:left w:w="0" w:type="dxa"/>
          <w:bottom w:w="0" w:type="dxa"/>
          <w:right w:w="0" w:type="dxa"/>
        </w:tblCellMar>
      </w:tblPr>
      <w:tr>
        <w:trPr>
          <w:trHeight w:val="281"/>
        </w:trPr>
        <w:tc>
          <w:tcPr>
            <w:tcW w:w="7200" w:type="dxa"/>
            <w:vAlign w:val="bottom"/>
          </w:tcPr>
          <w:p>
            <w:pPr>
              <w:ind w:left="3420"/>
              <w:spacing w:after="0"/>
              <w:rPr>
                <w:sz w:val="20"/>
                <w:szCs w:val="20"/>
                <w:color w:val="auto"/>
              </w:rPr>
            </w:pPr>
            <w:r>
              <w:rPr>
                <w:rFonts w:ascii="Arial" w:cs="Arial" w:eastAsia="Arial" w:hAnsi="Arial"/>
                <w:sz w:val="22"/>
                <w:szCs w:val="22"/>
                <w:b w:val="1"/>
                <w:bCs w:val="1"/>
                <w:color w:val="auto"/>
              </w:rPr>
              <w:t>Pursuant to the Prospectus, dated</w:t>
            </w:r>
          </w:p>
        </w:tc>
        <w:tc>
          <w:tcPr>
            <w:tcW w:w="4260" w:type="dxa"/>
            <w:vAlign w:val="bottom"/>
          </w:tcPr>
          <w:p>
            <w:pPr>
              <w:jc w:val="right"/>
              <w:ind w:right="3362"/>
              <w:spacing w:after="0"/>
              <w:rPr>
                <w:sz w:val="20"/>
                <w:szCs w:val="20"/>
                <w:color w:val="auto"/>
              </w:rPr>
            </w:pPr>
            <w:r>
              <w:rPr>
                <w:rFonts w:ascii="Arial" w:cs="Arial" w:eastAsia="Arial" w:hAnsi="Arial"/>
                <w:sz w:val="22"/>
                <w:szCs w:val="22"/>
                <w:b w:val="1"/>
                <w:bCs w:val="1"/>
                <w:color w:val="auto"/>
              </w:rPr>
              <w:t>, 2012</w:t>
            </w:r>
          </w:p>
        </w:tc>
      </w:tr>
      <w:tr>
        <w:trPr>
          <w:trHeight w:val="165"/>
        </w:trPr>
        <w:tc>
          <w:tcPr>
            <w:tcW w:w="720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r>
      <w:tr>
        <w:trPr>
          <w:trHeight w:val="238"/>
        </w:trPr>
        <w:tc>
          <w:tcPr>
            <w:tcW w:w="7200" w:type="dxa"/>
            <w:vAlign w:val="bottom"/>
          </w:tcPr>
          <w:p>
            <w:pPr>
              <w:ind w:left="260"/>
              <w:spacing w:after="0"/>
              <w:rPr>
                <w:sz w:val="20"/>
                <w:szCs w:val="20"/>
                <w:color w:val="auto"/>
              </w:rPr>
            </w:pPr>
            <w:r>
              <w:rPr>
                <w:rFonts w:ascii="Arial" w:cs="Arial" w:eastAsia="Arial" w:hAnsi="Arial"/>
                <w:sz w:val="18"/>
                <w:szCs w:val="18"/>
                <w:b w:val="1"/>
                <w:bCs w:val="1"/>
                <w:color w:val="auto"/>
              </w:rPr>
              <w:t>THE EXCHANGE OFFER WILL EXPIRE AT 5:00 P.M. NEW YORK CITY TIME, ON</w:t>
            </w:r>
          </w:p>
        </w:tc>
        <w:tc>
          <w:tcPr>
            <w:tcW w:w="4260" w:type="dxa"/>
            <w:vAlign w:val="bottom"/>
          </w:tcPr>
          <w:p>
            <w:pPr>
              <w:jc w:val="right"/>
              <w:ind w:right="722"/>
              <w:spacing w:after="0"/>
              <w:rPr>
                <w:sz w:val="20"/>
                <w:szCs w:val="20"/>
                <w:color w:val="auto"/>
              </w:rPr>
            </w:pPr>
            <w:r>
              <w:rPr>
                <w:rFonts w:ascii="Arial" w:cs="Arial" w:eastAsia="Arial" w:hAnsi="Arial"/>
                <w:sz w:val="18"/>
                <w:szCs w:val="18"/>
                <w:b w:val="1"/>
                <w:bCs w:val="1"/>
                <w:color w:val="auto"/>
              </w:rPr>
              <w:t>, 2012, UNLESS EXTENDED BY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76465" cy="48450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ind w:left="260" w:right="760"/>
        <w:spacing w:after="0" w:line="261" w:lineRule="auto"/>
        <w:rPr>
          <w:sz w:val="20"/>
          <w:szCs w:val="20"/>
          <w:color w:val="auto"/>
        </w:rPr>
      </w:pPr>
      <w:r>
        <w:rPr>
          <w:rFonts w:ascii="Arial" w:cs="Arial" w:eastAsia="Arial" w:hAnsi="Arial"/>
          <w:sz w:val="18"/>
          <w:szCs w:val="18"/>
          <w:b w:val="1"/>
          <w:bCs w:val="1"/>
          <w:color w:val="auto"/>
        </w:rPr>
        <w:t>ISSUERS (THE “EXPIRATION DATE”). TENDERS MAY BE WITHDRAWN PRIOR TO 5:00 P.M., NEW YORK CITY TIME, ON THE EXPIRATION DATE.</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 xml:space="preserve">Delivery To: </w:t>
      </w:r>
      <w:r>
        <w:rPr>
          <w:rFonts w:ascii="Arial" w:cs="Arial" w:eastAsia="Arial" w:hAnsi="Arial"/>
          <w:sz w:val="18"/>
          <w:szCs w:val="18"/>
          <w:b w:val="1"/>
          <w:bCs w:val="1"/>
          <w:color w:val="auto"/>
        </w:rPr>
        <w:t>U.S. Bank National Association,</w:t>
      </w:r>
      <w:r>
        <w:rPr>
          <w:rFonts w:ascii="Arial" w:cs="Arial" w:eastAsia="Arial" w:hAnsi="Arial"/>
          <w:sz w:val="18"/>
          <w:szCs w:val="18"/>
          <w:b w:val="1"/>
          <w:bCs w:val="1"/>
          <w:i w:val="1"/>
          <w:iCs w:val="1"/>
          <w:color w:val="auto"/>
        </w:rPr>
        <w:t xml:space="preserve"> Exchange Agent</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Hand, Overnight Delivery or by Mail:</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 Livingston Avenue St. Paul, Minnesota 55107-1419 Attention: Specialized Finance Dept.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Facsimile Transmission: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651-466-6299</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Confirm by Telephone: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800-934-6802</w:t>
      </w:r>
    </w:p>
    <w:p>
      <w:pPr>
        <w:spacing w:after="0" w:line="16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DELIVERY OF THIS INSTRUMENT TO AN ADDRESS OTHER THAN AS SET FORTH ABOVE, OR TRANSMISSION OF INSTRUCTIONS VIA FACSIMILE OTHER THAN AS SET FORTH ABOVE, WILL NOT CONSTITUTE A VALID DELIVERY.</w:t>
      </w:r>
    </w:p>
    <w:p>
      <w:pPr>
        <w:spacing w:after="0" w:line="12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undersigned acknowledges that he or she has received the Prospectus, dated , 2012 (the “Prospectus”), of Wynn Las Vegas, LLC, a Nevada limited liability company, and Wynn Las Vegas Capital Corp., a Nevada corporation (together, the “Issuers”), and this Letter of Transmittal (the “Letter”), which together constitute the Issuers’ offer (the “Exchange Offer”) to exchange an aggregate principal amount of up to $900,000,000 of the Issuers’ 5.375% First Mortgage Notes due 2022 (the “New Notes”) that have been registered under the Securities Act of 1933, as amended (the “Securities Act”), for a like principal amount of the Issuers’ issued and outstanding 5.375% First Mortgage Notes due 2022 issued on March 12, 2012 (the “Old Notes”) from the registered holders thereof (the “Holders”).</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For each $2,000 aggregate principal amount and integral multiples of $1,000 in excess of $2,000 of Old Notes properly tendered and not withdrawn prior to the Expiration Date, the Holder will receive $2,000 principal amount and integral multiples of $1,000 in excess of $2,000 of New Notes.</w:t>
      </w:r>
    </w:p>
    <w:p>
      <w:pPr>
        <w:sectPr>
          <w:pgSz w:w="11900" w:h="16838" w:orient="portrait"/>
          <w:cols w:equalWidth="0" w:num="1">
            <w:col w:w="11460"/>
          </w:cols>
          <w:pgMar w:left="240" w:top="125" w:right="199" w:bottom="1440" w:gutter="0" w:footer="0" w:header="0"/>
        </w:sectPr>
      </w:pPr>
    </w:p>
    <w:bookmarkStart w:id="261" w:name="page262"/>
    <w:bookmarkEnd w:id="261"/>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New Notes will bear interest from the date of original issuance of the Old Notes or, if interest has already been paid, from the date it was most recently paid on the New Notes (or the Old Notes surrendered in exchange for the New Notes). Accordingly, registered Holders of New Notes on the relevant record date for the first interest payment date following the consummation of the Exchange Offer will receive interest accruing from the most recent date to which interest has been paid, or if interest has not been paid on the New Notes (or the Old Notes surrendered in exchange for the New Notes), from the date of original issuance of the Old Notes. Old Notes accepted for exchange will cease to accrue interest from and after the date of consummation of the Exchange Offer. Holders of Old Notes whose Old Notes are accepted for exchange will not receive any payment in respect of accrued interest on such Old Notes otherwise payable on any interest payment date the record date for which occurs on or after consummation of the Exchange Offer, except as described above with respect to the New Notes issued in exchange for such Old Notes.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This Letter is to be completed by a holder of Old Notes either if certificates are to be forwarded herewith or if a tender of Old Notes is to be made by book-entry transfer to the account maintained by the Exchange Agent at The Depository Trust Company (the “Book-Entry Transfer Facility”) pursuant to the procedures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(as defined below), which states that the Book-Entry Transfer Facility has received an express acknowledgment from the tendering participant, which acknowledgment states that such participant has received and agrees to be bound by this Letter and that the Issuers may enforce this Letter against such participant. Holders of Old Notes whose certificates are not immediately available, or who are unable to deliver their certificates or confirmation of the book-entry tender of their Old Notes into the Exchange Agent’s account at the Book-Entry Transfer Facility (a “Book-Entry Confirmation”) and all other documents required by this Letter to the Exchange Agent prior to the Expiration Date, must tender their Old Notes according to the guaranteed delivery procedures set forth in “The Exchange Offer—Guaranteed Delivery Procedures” section of the Prospectus. See Instruction 1.</w:t>
      </w:r>
    </w:p>
    <w:p>
      <w:pPr>
        <w:spacing w:after="0" w:line="121" w:lineRule="exact"/>
        <w:rPr>
          <w:sz w:val="20"/>
          <w:szCs w:val="20"/>
          <w:color w:val="auto"/>
        </w:rPr>
      </w:pPr>
    </w:p>
    <w:p>
      <w:pPr>
        <w:ind w:right="940" w:firstLine="456"/>
        <w:spacing w:after="0" w:line="275" w:lineRule="auto"/>
        <w:rPr>
          <w:sz w:val="20"/>
          <w:szCs w:val="20"/>
          <w:color w:val="auto"/>
        </w:rPr>
      </w:pPr>
      <w:r>
        <w:rPr>
          <w:rFonts w:ascii="Arial" w:cs="Arial" w:eastAsia="Arial" w:hAnsi="Arial"/>
          <w:sz w:val="18"/>
          <w:szCs w:val="18"/>
          <w:b w:val="1"/>
          <w:bCs w:val="1"/>
          <w:color w:val="auto"/>
        </w:rPr>
        <w:t>DELIVERY OF DOCUMENTS TO THE BOOK-ENTRY TRANSFER FACILITY DOES NOT CONSTITUTE DELIVERY TO THE EXCHANGE AGENT.</w:t>
      </w:r>
    </w:p>
    <w:p>
      <w:pPr>
        <w:spacing w:after="0" w:line="1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undersigned has completed the appropriate boxes below and signed this Letter to indicate the action the undersigned desires to take with respect to the Exchange Offer.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List below the Old Notes to which this Letter relates. If the space provided below is inadequate, the certificate numbers, if applicable, and principal amount of Old Notes should be listed on a separate signed schedule affixed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54875" cy="15265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4875" cy="152654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Borders>
              <w:top w:val="single" w:sz="8" w:color="auto"/>
              <w:bottom w:val="single" w:sz="8" w:color="auto"/>
            </w:tcBorders>
          </w:tcPr>
          <w:p>
            <w:pPr>
              <w:spacing w:after="0"/>
              <w:rPr>
                <w:sz w:val="19"/>
                <w:szCs w:val="19"/>
                <w:color w:val="auto"/>
              </w:rPr>
            </w:pPr>
          </w:p>
        </w:tc>
        <w:tc>
          <w:tcPr>
            <w:tcW w:w="6660" w:type="dxa"/>
            <w:vAlign w:val="bottom"/>
            <w:tcBorders>
              <w:top w:val="single" w:sz="8" w:color="auto"/>
              <w:bottom w:val="single" w:sz="8" w:color="auto"/>
              <w:right w:val="single" w:sz="8" w:color="auto"/>
            </w:tcBorders>
          </w:tcPr>
          <w:p>
            <w:pPr>
              <w:jc w:val="center"/>
              <w:ind w:right="402"/>
              <w:spacing w:after="0"/>
              <w:rPr>
                <w:sz w:val="20"/>
                <w:szCs w:val="20"/>
                <w:color w:val="auto"/>
              </w:rPr>
            </w:pPr>
            <w:r>
              <w:rPr>
                <w:rFonts w:ascii="Arial" w:cs="Arial" w:eastAsia="Arial" w:hAnsi="Arial"/>
                <w:sz w:val="18"/>
                <w:szCs w:val="18"/>
                <w:b w:val="1"/>
                <w:bCs w:val="1"/>
                <w:color w:val="auto"/>
                <w:w w:val="98"/>
              </w:rPr>
              <w:t>DESCRIPTION OF OLD NOTES</w:t>
            </w:r>
          </w:p>
        </w:tc>
        <w:tc>
          <w:tcPr>
            <w:tcW w:w="1640" w:type="dxa"/>
            <w:vAlign w:val="bottom"/>
            <w:tcBorders>
              <w:top w:val="single" w:sz="8" w:color="auto"/>
              <w:bottom w:val="single" w:sz="8" w:color="auto"/>
              <w:right w:val="single" w:sz="8" w:color="auto"/>
            </w:tcBorders>
          </w:tcPr>
          <w:p>
            <w:pPr>
              <w:jc w:val="center"/>
              <w:ind w:right="67"/>
              <w:spacing w:after="0"/>
              <w:rPr>
                <w:sz w:val="20"/>
                <w:szCs w:val="20"/>
                <w:color w:val="auto"/>
              </w:rPr>
            </w:pPr>
            <w:r>
              <w:rPr>
                <w:rFonts w:ascii="Arial" w:cs="Arial" w:eastAsia="Arial" w:hAnsi="Arial"/>
                <w:sz w:val="18"/>
                <w:szCs w:val="18"/>
                <w:b w:val="1"/>
                <w:bCs w:val="1"/>
                <w:color w:val="auto"/>
                <w:w w:val="99"/>
              </w:rPr>
              <w:t>1</w:t>
            </w:r>
          </w:p>
        </w:tc>
        <w:tc>
          <w:tcPr>
            <w:tcW w:w="1220" w:type="dxa"/>
            <w:vAlign w:val="bottom"/>
            <w:tcBorders>
              <w:top w:val="single" w:sz="8" w:color="auto"/>
              <w:bottom w:val="single" w:sz="8" w:color="auto"/>
              <w:right w:val="single" w:sz="8" w:color="auto"/>
            </w:tcBorders>
          </w:tcPr>
          <w:p>
            <w:pPr>
              <w:jc w:val="center"/>
              <w:ind w:left="428"/>
              <w:spacing w:after="0"/>
              <w:rPr>
                <w:sz w:val="20"/>
                <w:szCs w:val="20"/>
                <w:color w:val="auto"/>
              </w:rPr>
            </w:pPr>
            <w:r>
              <w:rPr>
                <w:rFonts w:ascii="Arial" w:cs="Arial" w:eastAsia="Arial" w:hAnsi="Arial"/>
                <w:sz w:val="18"/>
                <w:szCs w:val="18"/>
                <w:b w:val="1"/>
                <w:bCs w:val="1"/>
                <w:color w:val="auto"/>
                <w:w w:val="79"/>
              </w:rPr>
              <w:t>2</w:t>
            </w:r>
          </w:p>
        </w:tc>
        <w:tc>
          <w:tcPr>
            <w:tcW w:w="1340" w:type="dxa"/>
            <w:vAlign w:val="bottom"/>
            <w:tcBorders>
              <w:top w:val="single" w:sz="8" w:color="auto"/>
              <w:bottom w:val="single" w:sz="8" w:color="auto"/>
            </w:tcBorders>
          </w:tcPr>
          <w:p>
            <w:pPr>
              <w:jc w:val="center"/>
              <w:ind w:left="327"/>
              <w:spacing w:after="0"/>
              <w:rPr>
                <w:sz w:val="20"/>
                <w:szCs w:val="20"/>
                <w:color w:val="auto"/>
              </w:rPr>
            </w:pPr>
            <w:r>
              <w:rPr>
                <w:rFonts w:ascii="Arial" w:cs="Arial" w:eastAsia="Arial" w:hAnsi="Arial"/>
                <w:sz w:val="18"/>
                <w:szCs w:val="18"/>
                <w:b w:val="1"/>
                <w:bCs w:val="1"/>
                <w:color w:val="auto"/>
                <w:w w:val="99"/>
              </w:rPr>
              <w:t>3</w:t>
            </w:r>
          </w:p>
        </w:tc>
      </w:tr>
      <w:tr>
        <w:trPr>
          <w:trHeight w:val="129"/>
        </w:trPr>
        <w:tc>
          <w:tcPr>
            <w:tcW w:w="580" w:type="dxa"/>
            <w:vAlign w:val="bottom"/>
          </w:tcPr>
          <w:p>
            <w:pPr>
              <w:spacing w:after="0"/>
              <w:rPr>
                <w:sz w:val="11"/>
                <w:szCs w:val="11"/>
                <w:color w:val="auto"/>
              </w:rPr>
            </w:pPr>
          </w:p>
        </w:tc>
        <w:tc>
          <w:tcPr>
            <w:tcW w:w="666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ind w:left="448"/>
              <w:spacing w:after="0" w:line="129" w:lineRule="exact"/>
              <w:rPr>
                <w:sz w:val="20"/>
                <w:szCs w:val="20"/>
                <w:color w:val="auto"/>
              </w:rPr>
            </w:pPr>
            <w:r>
              <w:rPr>
                <w:rFonts w:ascii="Arial" w:cs="Arial" w:eastAsia="Arial" w:hAnsi="Arial"/>
                <w:sz w:val="14"/>
                <w:szCs w:val="14"/>
                <w:b w:val="1"/>
                <w:bCs w:val="1"/>
                <w:color w:val="auto"/>
                <w:w w:val="83"/>
              </w:rPr>
              <w:t>Aggregate</w:t>
            </w:r>
          </w:p>
        </w:tc>
        <w:tc>
          <w:tcPr>
            <w:tcW w:w="134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666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jc w:val="center"/>
              <w:ind w:left="448"/>
              <w:spacing w:after="0" w:line="149" w:lineRule="exact"/>
              <w:rPr>
                <w:sz w:val="20"/>
                <w:szCs w:val="20"/>
                <w:color w:val="auto"/>
              </w:rPr>
            </w:pPr>
            <w:r>
              <w:rPr>
                <w:rFonts w:ascii="Arial" w:cs="Arial" w:eastAsia="Arial" w:hAnsi="Arial"/>
                <w:sz w:val="14"/>
                <w:szCs w:val="14"/>
                <w:b w:val="1"/>
                <w:bCs w:val="1"/>
                <w:color w:val="auto"/>
                <w:w w:val="91"/>
              </w:rPr>
              <w:t>Principal</w:t>
            </w:r>
          </w:p>
        </w:tc>
        <w:tc>
          <w:tcPr>
            <w:tcW w:w="13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1"/>
              </w:rPr>
              <w:t>Principal</w:t>
            </w:r>
          </w:p>
        </w:tc>
      </w:tr>
      <w:tr>
        <w:trPr>
          <w:trHeight w:val="149"/>
        </w:trPr>
        <w:tc>
          <w:tcPr>
            <w:tcW w:w="580" w:type="dxa"/>
            <w:vAlign w:val="bottom"/>
          </w:tcPr>
          <w:p>
            <w:pPr>
              <w:spacing w:after="0"/>
              <w:rPr>
                <w:sz w:val="12"/>
                <w:szCs w:val="12"/>
                <w:color w:val="auto"/>
              </w:rPr>
            </w:pPr>
          </w:p>
        </w:tc>
        <w:tc>
          <w:tcPr>
            <w:tcW w:w="6660" w:type="dxa"/>
            <w:vAlign w:val="bottom"/>
            <w:tcBorders>
              <w:right w:val="single" w:sz="8" w:color="auto"/>
            </w:tcBorders>
          </w:tcPr>
          <w:p>
            <w:pPr>
              <w:jc w:val="center"/>
              <w:ind w:right="402"/>
              <w:spacing w:after="0" w:line="149" w:lineRule="exact"/>
              <w:rPr>
                <w:sz w:val="20"/>
                <w:szCs w:val="20"/>
                <w:color w:val="auto"/>
              </w:rPr>
            </w:pPr>
            <w:r>
              <w:rPr>
                <w:rFonts w:ascii="Arial" w:cs="Arial" w:eastAsia="Arial" w:hAnsi="Arial"/>
                <w:sz w:val="14"/>
                <w:szCs w:val="14"/>
                <w:b w:val="1"/>
                <w:bCs w:val="1"/>
                <w:color w:val="auto"/>
                <w:w w:val="86"/>
              </w:rPr>
              <w:t>Name(s) and Address(es) of Registered Holder(s)</w:t>
            </w:r>
          </w:p>
        </w:tc>
        <w:tc>
          <w:tcPr>
            <w:tcW w:w="1640" w:type="dxa"/>
            <w:vAlign w:val="bottom"/>
            <w:tcBorders>
              <w:right w:val="single" w:sz="8" w:color="auto"/>
            </w:tcBorders>
          </w:tcPr>
          <w:p>
            <w:pPr>
              <w:jc w:val="center"/>
              <w:ind w:right="67"/>
              <w:spacing w:after="0" w:line="149" w:lineRule="exact"/>
              <w:rPr>
                <w:sz w:val="20"/>
                <w:szCs w:val="20"/>
                <w:color w:val="auto"/>
              </w:rPr>
            </w:pPr>
            <w:r>
              <w:rPr>
                <w:rFonts w:ascii="Arial" w:cs="Arial" w:eastAsia="Arial" w:hAnsi="Arial"/>
                <w:sz w:val="14"/>
                <w:szCs w:val="14"/>
                <w:b w:val="1"/>
                <w:bCs w:val="1"/>
                <w:color w:val="auto"/>
                <w:w w:val="90"/>
              </w:rPr>
              <w:t>Certificate</w:t>
            </w:r>
          </w:p>
        </w:tc>
        <w:tc>
          <w:tcPr>
            <w:tcW w:w="1220" w:type="dxa"/>
            <w:vAlign w:val="bottom"/>
            <w:tcBorders>
              <w:right w:val="single" w:sz="8" w:color="auto"/>
            </w:tcBorders>
          </w:tcPr>
          <w:p>
            <w:pPr>
              <w:jc w:val="center"/>
              <w:ind w:left="448"/>
              <w:spacing w:after="0" w:line="149" w:lineRule="exact"/>
              <w:rPr>
                <w:sz w:val="20"/>
                <w:szCs w:val="20"/>
                <w:color w:val="auto"/>
              </w:rPr>
            </w:pPr>
            <w:r>
              <w:rPr>
                <w:rFonts w:ascii="Arial" w:cs="Arial" w:eastAsia="Arial" w:hAnsi="Arial"/>
                <w:sz w:val="14"/>
                <w:szCs w:val="14"/>
                <w:b w:val="1"/>
                <w:bCs w:val="1"/>
                <w:color w:val="auto"/>
                <w:w w:val="88"/>
              </w:rPr>
              <w:t>Amount of</w:t>
            </w:r>
          </w:p>
        </w:tc>
        <w:tc>
          <w:tcPr>
            <w:tcW w:w="13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5"/>
        </w:trPr>
        <w:tc>
          <w:tcPr>
            <w:tcW w:w="580" w:type="dxa"/>
            <w:vAlign w:val="bottom"/>
            <w:tcBorders>
              <w:bottom w:val="single" w:sz="8" w:color="auto"/>
            </w:tcBorders>
          </w:tcPr>
          <w:p>
            <w:pPr>
              <w:spacing w:after="0"/>
              <w:rPr>
                <w:sz w:val="15"/>
                <w:szCs w:val="15"/>
                <w:color w:val="auto"/>
              </w:rPr>
            </w:pPr>
          </w:p>
        </w:tc>
        <w:tc>
          <w:tcPr>
            <w:tcW w:w="6660" w:type="dxa"/>
            <w:vAlign w:val="bottom"/>
            <w:tcBorders>
              <w:bottom w:val="single" w:sz="8" w:color="auto"/>
              <w:right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88"/>
              </w:rPr>
              <w:t>(Please fill in, if blank)</w:t>
            </w:r>
          </w:p>
        </w:tc>
        <w:tc>
          <w:tcPr>
            <w:tcW w:w="164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2"/>
              </w:rPr>
              <w:t>Number(s)*</w:t>
            </w:r>
          </w:p>
        </w:tc>
        <w:tc>
          <w:tcPr>
            <w:tcW w:w="1220" w:type="dxa"/>
            <w:vAlign w:val="bottom"/>
            <w:tcBorders>
              <w:bottom w:val="single" w:sz="8" w:color="auto"/>
              <w:right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87"/>
              </w:rPr>
              <w:t>Old Note(s)</w:t>
            </w:r>
          </w:p>
        </w:tc>
        <w:tc>
          <w:tcPr>
            <w:tcW w:w="1340" w:type="dxa"/>
            <w:vAlign w:val="bottom"/>
            <w:tcBorders>
              <w:bottom w:val="single" w:sz="8" w:color="auto"/>
            </w:tcBorders>
          </w:tcPr>
          <w:p>
            <w:pPr>
              <w:jc w:val="center"/>
              <w:ind w:left="327"/>
              <w:spacing w:after="0"/>
              <w:rPr>
                <w:sz w:val="20"/>
                <w:szCs w:val="20"/>
                <w:color w:val="auto"/>
              </w:rPr>
            </w:pPr>
            <w:r>
              <w:rPr>
                <w:rFonts w:ascii="Arial" w:cs="Arial" w:eastAsia="Arial" w:hAnsi="Arial"/>
                <w:sz w:val="14"/>
                <w:szCs w:val="14"/>
                <w:b w:val="1"/>
                <w:bCs w:val="1"/>
                <w:color w:val="auto"/>
                <w:w w:val="89"/>
              </w:rPr>
              <w:t>Tendered**</w:t>
            </w:r>
          </w:p>
        </w:tc>
      </w:tr>
      <w:tr>
        <w:trPr>
          <w:trHeight w:val="142"/>
        </w:trPr>
        <w:tc>
          <w:tcPr>
            <w:tcW w:w="580" w:type="dxa"/>
            <w:vAlign w:val="bottom"/>
          </w:tcPr>
          <w:p>
            <w:pPr>
              <w:spacing w:after="0"/>
              <w:rPr>
                <w:sz w:val="12"/>
                <w:szCs w:val="12"/>
                <w:color w:val="auto"/>
              </w:rPr>
            </w:pPr>
          </w:p>
        </w:tc>
        <w:tc>
          <w:tcPr>
            <w:tcW w:w="6660" w:type="dxa"/>
            <w:vAlign w:val="bottom"/>
            <w:tcBorders>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6660" w:type="dxa"/>
            <w:vAlign w:val="bottom"/>
            <w:tcBorders>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6660" w:type="dxa"/>
            <w:vAlign w:val="bottom"/>
            <w:tcBorders>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142"/>
        </w:trPr>
        <w:tc>
          <w:tcPr>
            <w:tcW w:w="580" w:type="dxa"/>
            <w:vAlign w:val="bottom"/>
            <w:tcBorders>
              <w:bottom w:val="single" w:sz="8" w:color="auto"/>
            </w:tcBorders>
          </w:tcPr>
          <w:p>
            <w:pPr>
              <w:spacing w:after="0"/>
              <w:rPr>
                <w:sz w:val="12"/>
                <w:szCs w:val="12"/>
                <w:color w:val="auto"/>
              </w:rPr>
            </w:pPr>
          </w:p>
        </w:tc>
        <w:tc>
          <w:tcPr>
            <w:tcW w:w="6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ind w:left="800"/>
              <w:spacing w:after="0" w:line="142" w:lineRule="exact"/>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215"/>
        </w:trPr>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60" w:type="dxa"/>
            <w:vAlign w:val="bottom"/>
          </w:tcPr>
          <w:p>
            <w:pPr>
              <w:ind w:left="160"/>
              <w:spacing w:after="0"/>
              <w:rPr>
                <w:sz w:val="20"/>
                <w:szCs w:val="20"/>
                <w:color w:val="auto"/>
              </w:rPr>
            </w:pPr>
            <w:r>
              <w:rPr>
                <w:rFonts w:ascii="Arial" w:cs="Arial" w:eastAsia="Arial" w:hAnsi="Arial"/>
                <w:sz w:val="18"/>
                <w:szCs w:val="18"/>
                <w:color w:val="auto"/>
              </w:rPr>
              <w:t>Need not be completed if Old Notes are being tendered by book-entry transfer.</w:t>
            </w: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jc w:val="both"/>
        <w:ind w:left="740" w:right="220" w:hanging="431"/>
        <w:spacing w:after="0" w:line="251" w:lineRule="auto"/>
        <w:tabs>
          <w:tab w:leader="none" w:pos="720" w:val="left"/>
        </w:tabs>
        <w:rPr>
          <w:sz w:val="20"/>
          <w:szCs w:val="20"/>
          <w:color w:val="auto"/>
        </w:rPr>
      </w:pPr>
      <w:r>
        <w:rPr>
          <w:rFonts w:ascii="Arial" w:cs="Arial" w:eastAsia="Arial" w:hAnsi="Arial"/>
          <w:sz w:val="18"/>
          <w:szCs w:val="18"/>
          <w:color w:val="auto"/>
        </w:rPr>
        <w:t>**</w:t>
        <w:tab/>
        <w:t>Unless otherwise indicated in this column, a holder will be deemed to have tendered ALL of the Old Notes represented by the Old Notes indicated in column 2. See Instruction 2. Old Notes tendered hereby must be in denominations of principal amount of $2,000 and integral multiples of $1,000 in excess of $2,000. See Instruction 1.</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80" w:right="219" w:bottom="1440" w:gutter="0" w:footer="0" w:header="0"/>
        </w:sectPr>
      </w:pPr>
    </w:p>
    <w:bookmarkStart w:id="262" w:name="page263"/>
    <w:bookmarkEnd w:id="262"/>
    <w:p>
      <w:pPr>
        <w:ind w:left="460" w:right="180" w:hanging="452"/>
        <w:spacing w:after="0" w:line="309" w:lineRule="auto"/>
        <w:tabs>
          <w:tab w:leader="none" w:pos="460" w:val="left"/>
        </w:tabs>
        <w:numPr>
          <w:ilvl w:val="0"/>
          <w:numId w:val="211"/>
        </w:numPr>
        <w:rPr>
          <w:rFonts w:ascii="MS PGothic" w:cs="MS PGothic" w:eastAsia="MS PGothic" w:hAnsi="MS PGothic"/>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CHECK HERE IF TENDERED OLD NOTES ARE BEING DELIVERED BY BOOK-ENTRY TRANSFER MADE TO THE ACCOUNT MAINTAINED BY THE EXCHANGE AGENT WITH THE BOOK-ENTRY TRANSFER FACILITY AND COMPLETE THE FOLLOWING: </w:t>
      </w: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-34925</wp:posOffset>
            </wp:positionV>
            <wp:extent cx="49911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10"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10795</wp:posOffset>
            </wp:positionV>
            <wp:extent cx="572833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By crediting the Old Notes to the Exchange Agent’s account at the Book-Entry Transfer Facility’s Automated Tender Offer Program (“ATOP”) and by complying with applicable ATOP procedures with respect to the Exchange Offer, including transmitting to the Exchange Agent a computer-generated Agent’s Message in which the holder of the Old Notes acknowledges and agrees to be bound by the terms of, and makes the representations and warranties contained in, this Letter, the participant in the Book-Entry Transfer Facility confirms on behalf of itself and the beneficial owners of such Old Notes all provisions of this Letter (including all representations and warranties) applicable to it and such beneficial owner as fully as if it had completed the information required herein and executed and transmitted this Letter to the Exchange Agent.</w:t>
      </w:r>
    </w:p>
    <w:p>
      <w:pPr>
        <w:spacing w:after="0" w:line="179" w:lineRule="exact"/>
        <w:rPr>
          <w:sz w:val="20"/>
          <w:szCs w:val="20"/>
          <w:color w:val="auto"/>
        </w:rPr>
      </w:pPr>
    </w:p>
    <w:p>
      <w:pPr>
        <w:ind w:left="460" w:right="600" w:hanging="452"/>
        <w:spacing w:after="0" w:line="275" w:lineRule="auto"/>
        <w:tabs>
          <w:tab w:leader="none" w:pos="460" w:val="left"/>
        </w:tabs>
        <w:numPr>
          <w:ilvl w:val="0"/>
          <w:numId w:val="212"/>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OLD NOTES ARE BEING DELIVERED PURSUANT TO A NOTICE OF GUARANTEED DELIVERY PREVIOUSLY SENT TO THE EXCHANGE AGENT AND COMPLETE THE FOLLOWING:</w:t>
      </w:r>
    </w:p>
    <w:p>
      <w:pPr>
        <w:spacing w:after="0" w:line="166" w:lineRule="exact"/>
        <w:rPr>
          <w:rFonts w:ascii="MS PGothic" w:cs="MS PGothic" w:eastAsia="MS PGothic" w:hAnsi="MS PGothic"/>
          <w:sz w:val="18"/>
          <w:szCs w:val="18"/>
          <w:color w:val="auto"/>
        </w:rPr>
      </w:pPr>
    </w:p>
    <w:p>
      <w:pPr>
        <w:jc w:val="both"/>
        <w:ind w:left="460" w:right="8620"/>
        <w:spacing w:after="0" w:line="431" w:lineRule="auto"/>
        <w:rPr>
          <w:rFonts w:ascii="MS PGothic" w:cs="MS PGothic" w:eastAsia="MS PGothic" w:hAnsi="MS PGothic"/>
          <w:sz w:val="18"/>
          <w:szCs w:val="18"/>
          <w:color w:val="auto"/>
        </w:rPr>
      </w:pPr>
      <w:r>
        <w:rPr>
          <w:rFonts w:ascii="Arial" w:cs="Arial" w:eastAsia="Arial" w:hAnsi="Arial"/>
          <w:sz w:val="16"/>
          <w:szCs w:val="16"/>
          <w:color w:val="auto"/>
        </w:rPr>
        <w:t>Name(s) of Registered Holder(s) Window Ticket Number (if any)</w:t>
      </w:r>
    </w:p>
    <w:p>
      <w:pPr>
        <w:ind w:left="460" w:right="7260"/>
        <w:spacing w:after="0" w:line="471" w:lineRule="auto"/>
        <w:rPr>
          <w:rFonts w:ascii="MS PGothic" w:cs="MS PGothic" w:eastAsia="MS PGothic" w:hAnsi="MS PGothic"/>
          <w:sz w:val="18"/>
          <w:szCs w:val="18"/>
          <w:color w:val="auto"/>
        </w:rPr>
      </w:pPr>
      <w:r>
        <w:rPr>
          <w:rFonts w:ascii="Arial" w:cs="Arial" w:eastAsia="Arial" w:hAnsi="Arial"/>
          <w:sz w:val="16"/>
          <w:szCs w:val="16"/>
          <w:color w:val="auto"/>
        </w:rPr>
        <w:t>Date of Execution of Notice of Guaranteed Delivery 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-529590</wp:posOffset>
            </wp:positionV>
            <wp:extent cx="486219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-735330</wp:posOffset>
            </wp:positionV>
            <wp:extent cx="486219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-315595</wp:posOffset>
            </wp:positionV>
            <wp:extent cx="379031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790315"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-100965</wp:posOffset>
            </wp:positionV>
            <wp:extent cx="399605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If Delivered by Book-Entry Transfer, Complete the Following:</w:t>
      </w:r>
    </w:p>
    <w:p>
      <w:pPr>
        <w:spacing w:after="0" w:line="9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10795</wp:posOffset>
            </wp:positionV>
            <wp:extent cx="572833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10795</wp:posOffset>
            </wp:positionV>
            <wp:extent cx="632904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156845</wp:posOffset>
            </wp:positionV>
            <wp:extent cx="66636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10795</wp:posOffset>
            </wp:positionV>
            <wp:extent cx="619188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3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represents that it is not an “affiliate” of the Issuers as defined in Rule 405 under the Securities Act, that it acquired the New Notes in the ordinary course of its business, and that at the time of the commencement of the Exchange Offer, neither the undersigned nor, to the knowledge of the undersigned, anyone receiving New Notes from the undersigned, has any arrangement or understanding with any person to participate in the distribution, as defined in the Securities Act, of the New Notes in violation of the Securities Act. If the undersigned is not a broker-dealer, the undersigned represents that it is not engaged in, and does not intend to engage in, a distribution of the New Notes and it has no arrangements or understandings with any person to participate in a distribution of the New Notes, as defined in the Securities Act. If the undersigned is a broker-dealer, it represents that it will receive the New Notes for its own account in exchange for the Old Notes that were acquired by it as a result of its market-making or other trading activities and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READ THE ACCOMPANYING INSTRUCTIONS CAREFULLY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Upon the terms and subject to the conditions of the Exchange Offer, the undersigned hereby tenders to the Issuers the aggregate principal amount of Old Notes indicated above. Subject to, and effective upon, the acceptance for exchange of the Old Notes tendered hereby, the undersigned hereby sells, assigns and transfers to, or upon the order of, the Issuers all right, title and interest in and to such Old Notes as are being tendered hereby.</w:t>
      </w:r>
    </w:p>
    <w:p>
      <w:pPr>
        <w:spacing w:after="0" w:line="10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undersigned hereby irrevocably constitutes and appoints the Exchange Agent as the undersigned’s true and lawful agent and attorney-in-fact with respect to such tendered Old Notes, with full power of substitution, among other things, to cause the Old Notes to be assigned, transferred and exchanged. The undersigned hereby represents and warrants that the undersigned has full power and authority to tender, sell, assign and transfer the Old Notes, and to acquire New Notes issuable upon the exchange of such tendered Old Notes, and that, when the same are accepted for exchange, the Issuers will acquire good and unencumbered title thereto, free and clear of all liens, restrictions, charges and encumbrances and not subject to any adverse claim when the same are accepted by the Issuers. The undersigned hereby further represents that: (i) any New Notes received by the undersigned will be received in the ordinary course of business,</w:t>
      </w:r>
    </w:p>
    <w:p>
      <w:pPr>
        <w:spacing w:after="0" w:line="1" w:lineRule="exact"/>
        <w:rPr>
          <w:sz w:val="20"/>
          <w:szCs w:val="20"/>
          <w:color w:val="auto"/>
        </w:rPr>
      </w:pPr>
    </w:p>
    <w:p>
      <w:pPr>
        <w:ind w:right="40" w:firstLine="8"/>
        <w:spacing w:after="0" w:line="290" w:lineRule="auto"/>
        <w:tabs>
          <w:tab w:leader="none" w:pos="25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undersigned will have no arrangement or understanding with any person to participate in the distribution of the Old Notes or the New Notes within the meaning of the Securities Act, (iii) the undersigned is not an “affiliate” (as such term is defined in Rule 501(b) of Regulation D of the Securities Act) of the Issuers or the guarantors, or if the undersigned is an affiliate, then the undersigned will comply with the registration and prospectus delivery requirements of the Securities Act to the extent applicable, (iv) if the undersigned is not a broker-dealer, then it is not engaged in, and does not intend to engage in, the distribution of the New Notes, and (v) if the undersigned is a broker-dealer, then it will receive the New Notes for its own account in exchange for the Old Notes that were acquired as a result of market-making activities or other trading activities and that it will deliver a prospectus in connection with any resale of the New Notes.</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undersigned acknowledges that this Exchange Offer is being made in reliance on interpretations by the staff of the Securities and Exchange Commission (the “SEC”), as set forth in no-action letters issued to third parties, that the New Notes issued pursuant to the Exchange Offer in exchange for the Old Notes may be offered for resale, resold and otherwise transferred by Holders thereof (other than any such Holder that is an “affiliate” of the Issuers or the guarantors within the meaning of Rule 501(b) of Regulation D of the Securities Act), without compliance with the registration and prospectus delivery provisions of the Securities Act, provided that such New Notes are acquired in the ordinary course of such Holders’ business and such Holders have no arrangement with any person to participate in the distribution of such New Notes. However, the SEC has not considered the Exchange Offer in the context of a no-action letter and there can be no assurance that the staff of the SEC would make a similar determination with respect to the Exchange Offer as in other circumstances. If the undersigned is not a broker-dealer, the undersigned represents that it is not engaged in, and does not intend to engage in, a distribution of New Notes and has no arrangement or understanding to participate in a distribution of New Notes. If any Holder is an affiliate of the Issuers or is engaged in or intends to engage in or has any arrangement or understanding with respect to the distribution of the New Notes to be acquired pursuant to the Exchange Offer, such Holder (i) could not rely on the applicable interpretations of the staff of the SEC and (ii) must comply with the registration and prospectus delivery requirements of the Securities Act in connection with any resale transaction. If the undersigned is a broker-dealer that will receive New Notes for its own account in exchange for Old Notes, it represents that the Old Notes to be exchanged for the New Notes were acquired by it as a result of market-making activities or other trading activities and acknowledges that it will deliver a prospectus meeting the requirements of the Securities Act in connection with any resale of such New Notes; however, by so acknowledging and by delivering a prospectus, the undersigned will not be deemed to admit that it is an “underwriter” within the meaning of the Securities Act.</w:t>
      </w:r>
    </w:p>
    <w:p>
      <w:pPr>
        <w:spacing w:after="0" w:line="12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undersigned will, upon request, execute and deliver any additional documents deemed by the Issuers to be necessary or desirable to complete the sale, assignment and transfer of the Old Notes tendered hereby. All authority conferred or agreed to be conferred in this Letter and every obligation of the undersigned hereunder shall be binding upon the successors, assigns, heirs, executors, administrators, trustees in bankruptcy and legal representatives of the undersigned and</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64" w:name="page265"/>
    <w:bookmarkEnd w:id="26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be affected by, and shall survive, the death or incapacity of the undersigned. The Exchange Offer may be withdrawn in accordance with the procedures set forth in “The Exchange Offer—Withdrawal Rights” section of the Prospectus.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Unless otherwise indicated herein in the box entitled “Special Issuance Instructions” below, please deliver the New Notes (and, if applicable, substitute certificates representing Old Notes for any Old Notes not exchanged) in the name of the undersigned or, in the case of a book-entry delivery of Old Notes, please credit the account indicated above maintained at the Book-Entry Transfer Facility. Similarly, unless otherwise indicated under the box entitled “Special Delivery Instructions” below, please send the New Notes (and, if applicable, substitute certificates representing Old Notes for any Old Notes not exchanged) to the undersigned at the address shown above in the boxes entitled “Description of Old Notes.”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265" w:name="page266"/>
    <w:bookmarkEnd w:id="265"/>
    <w:p>
      <w:pPr>
        <w:jc w:val="both"/>
        <w:ind w:right="1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BY COMPLETING THE BOX AND/OR BOXES ENTITLED “DESCRIPTION OF OLD NOTES” ABOVE AND SIGNING THIS LETTER, WILL BE DEEMED TO HAVE TENDERED THE OLD NOTES AS SET FORTH IN SUCH BOX AND/OR BOXES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98995" cy="383730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98995" cy="3837305"/>
                    </a:xfrm>
                    <a:prstGeom prst="rect">
                      <a:avLst/>
                    </a:prstGeom>
                    <a:noFill/>
                  </pic:spPr>
                </pic:pic>
              </a:graphicData>
            </a:graphic>
          </wp:anchor>
        </w:drawing>
      </w:r>
    </w:p>
    <w:p>
      <w:pPr>
        <w:sectPr>
          <w:pgSz w:w="11900" w:h="16838" w:orient="portrait"/>
          <w:cols w:equalWidth="0" w:num="1">
            <w:col w:w="11000"/>
          </w:cols>
          <w:pgMar w:left="240" w:top="274" w:right="659" w:bottom="1440" w:gutter="0" w:footer="0" w:header="0"/>
        </w:sectPr>
      </w:pPr>
    </w:p>
    <w:p>
      <w:pPr>
        <w:spacing w:after="0" w:line="254"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auto"/>
        </w:rPr>
        <w:t>SPECIAL ISSUANCE INSTRUCTIONS</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auto"/>
        </w:rPr>
        <w:t>(See Instructions 3 and 4)</w:t>
      </w:r>
    </w:p>
    <w:p>
      <w:pPr>
        <w:spacing w:after="0" w:line="327" w:lineRule="exact"/>
        <w:rPr>
          <w:sz w:val="20"/>
          <w:szCs w:val="20"/>
          <w:color w:val="auto"/>
        </w:rPr>
      </w:pPr>
    </w:p>
    <w:p>
      <w:pPr>
        <w:ind w:left="240" w:right="120" w:firstLine="432"/>
        <w:spacing w:after="0" w:line="290" w:lineRule="auto"/>
        <w:rPr>
          <w:sz w:val="20"/>
          <w:szCs w:val="20"/>
          <w:color w:val="auto"/>
        </w:rPr>
      </w:pPr>
      <w:r>
        <w:rPr>
          <w:rFonts w:ascii="Arial" w:cs="Arial" w:eastAsia="Arial" w:hAnsi="Arial"/>
          <w:sz w:val="16"/>
          <w:szCs w:val="16"/>
          <w:color w:val="auto"/>
        </w:rPr>
        <w:t>To be completed ONLY if certificates for Old Notes not exchanged and/or New Notes are to be issued in the name of and sent to someone other than the person or persons whose signature(s) appear(s) on this Letter below, or if Old Notes delivered by book-entry transfer which are not accepted for exchange are to be returned by credit to an account maintained at the Book-Entry Transfer Facility other than the account indicated above.</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 New Notes and/or Old Notes to:</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(Please Type or Print)</w:t>
      </w:r>
    </w:p>
    <w:p>
      <w:pPr>
        <w:spacing w:after="0" w:line="220"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(Please Type or Print)</w:t>
      </w:r>
    </w:p>
    <w:p>
      <w:pPr>
        <w:spacing w:after="0" w:line="163"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(Address)</w:t>
      </w:r>
    </w:p>
    <w:p>
      <w:pPr>
        <w:spacing w:after="0" w:line="231"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(Zip Code)</w:t>
      </w:r>
    </w:p>
    <w:p>
      <w:pPr>
        <w:spacing w:after="0" w:line="136"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(Complete Substitute Form W-9)</w:t>
      </w:r>
    </w:p>
    <w:p>
      <w:pPr>
        <w:spacing w:after="0" w:line="141" w:lineRule="exact"/>
        <w:rPr>
          <w:sz w:val="20"/>
          <w:szCs w:val="20"/>
          <w:color w:val="auto"/>
        </w:rPr>
      </w:pPr>
    </w:p>
    <w:p>
      <w:pPr>
        <w:ind w:left="1060" w:right="200" w:hanging="814"/>
        <w:spacing w:after="0" w:line="259" w:lineRule="auto"/>
        <w:tabs>
          <w:tab w:leader="none" w:pos="1236" w:val="left"/>
        </w:tabs>
        <w:numPr>
          <w:ilvl w:val="0"/>
          <w:numId w:val="214"/>
        </w:numPr>
        <w:rPr>
          <w:rFonts w:ascii="MS PGothic" w:cs="MS PGothic" w:eastAsia="MS PGothic" w:hAnsi="MS PGothic"/>
          <w:sz w:val="18"/>
          <w:szCs w:val="18"/>
          <w:color w:val="auto"/>
        </w:rPr>
      </w:pPr>
      <w:r>
        <w:rPr>
          <w:rFonts w:ascii="Arial" w:cs="Arial" w:eastAsia="Arial" w:hAnsi="Arial"/>
          <w:sz w:val="18"/>
          <w:szCs w:val="18"/>
          <w:color w:val="auto"/>
        </w:rPr>
        <w:t>Credit unexchanged Old Notes delivered by book-entry transfer to the Book-Entry Transfer Facility account set forth below.</w:t>
      </w:r>
    </w:p>
    <w:p>
      <w:pPr>
        <w:spacing w:after="0" w:line="149"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(Book-Entry Transfer Facility</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Account Number, if applicable)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DELIVERY ISSUANCE INSTRUCTIONS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(See Instructions 3 and 4)</w:t>
      </w:r>
    </w:p>
    <w:p>
      <w:pPr>
        <w:spacing w:after="0" w:line="165" w:lineRule="exact"/>
        <w:rPr>
          <w:sz w:val="20"/>
          <w:szCs w:val="20"/>
          <w:color w:val="auto"/>
        </w:rPr>
      </w:pPr>
    </w:p>
    <w:p>
      <w:pPr>
        <w:ind w:firstLine="432"/>
        <w:spacing w:after="0" w:line="294" w:lineRule="auto"/>
        <w:rPr>
          <w:sz w:val="20"/>
          <w:szCs w:val="20"/>
          <w:color w:val="auto"/>
        </w:rPr>
      </w:pPr>
      <w:r>
        <w:rPr>
          <w:rFonts w:ascii="Arial" w:cs="Arial" w:eastAsia="Arial" w:hAnsi="Arial"/>
          <w:sz w:val="16"/>
          <w:szCs w:val="16"/>
          <w:color w:val="auto"/>
        </w:rPr>
        <w:t>To be completed ONLY if certificates for Old Notes not exchanged and/or New Notes are to be sent to someone other than the person or persons whose signature(s) appear(s) on this Letter below or to such person or persons at an address other than shown in the box entitled “Description of Old Notes” on this Letter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Mail New Notes and/or Old Notes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(Please Type or Print)</w:t>
      </w:r>
    </w:p>
    <w:p>
      <w:pPr>
        <w:spacing w:after="0" w:line="125"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(Please Type or Print)</w:t>
      </w:r>
    </w:p>
    <w:p>
      <w:pPr>
        <w:spacing w:after="0" w:line="200" w:lineRule="exact"/>
        <w:rPr>
          <w:sz w:val="20"/>
          <w:szCs w:val="20"/>
          <w:color w:val="auto"/>
        </w:rPr>
      </w:pPr>
    </w:p>
    <w:p>
      <w:pPr>
        <w:spacing w:after="0" w:line="220"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(Address)</w:t>
      </w:r>
    </w:p>
    <w:p>
      <w:pPr>
        <w:spacing w:after="0" w:line="231"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(Zip Code)</w:t>
      </w:r>
    </w:p>
    <w:p>
      <w:pPr>
        <w:spacing w:after="0" w:line="2090" w:lineRule="exact"/>
        <w:rPr>
          <w:sz w:val="20"/>
          <w:szCs w:val="20"/>
          <w:color w:val="auto"/>
        </w:rPr>
      </w:pPr>
    </w:p>
    <w:p>
      <w:pPr>
        <w:sectPr>
          <w:pgSz w:w="11900" w:h="16838" w:orient="portrait"/>
          <w:cols w:equalWidth="0" w:num="2">
            <w:col w:w="5340" w:space="720"/>
            <w:col w:w="4940"/>
          </w:cols>
          <w:pgMar w:left="240" w:top="274" w:right="659" w:bottom="1440" w:gutter="0" w:footer="0" w:header="0"/>
          <w:type w:val="continuous"/>
        </w:sectPr>
      </w:pP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000"/>
          </w:cols>
          <w:pgMar w:left="240" w:top="274" w:right="659" w:bottom="1440" w:gutter="0" w:footer="0" w:header="0"/>
          <w:type w:val="continuous"/>
        </w:sectPr>
      </w:pPr>
    </w:p>
    <w:bookmarkStart w:id="266" w:name="page267"/>
    <w:bookmarkEnd w:id="266"/>
    <w:p>
      <w:pPr>
        <w:ind w:right="6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THIS LETTER OR A FACSIMILE HEREOF OR AN AGENT’S MESSAGE IN LIEU HEREOF (TOGETHER WITH THE CERTIFICATES FOR OLD NOTES OR A BOOK-ENTRY CONFIRMATION AND ALL OTHER REQUIRED DOCUMENTS OR THE NOTICE OF GUARANTEED DELIVERY) MUST BE RECEIVED BY THE EXCHANGE AGENT PRIOR TO 5:00 P.M., NEW YORK CITY TIME, ON THE EXPIRATION DATE.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2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8"/>
              </w:rPr>
              <w:t>PLEASE READ THIS ENTIRE LETTER OF TRANSMITTAL</w:t>
            </w:r>
          </w:p>
        </w:tc>
      </w:tr>
      <w:tr>
        <w:trPr>
          <w:trHeight w:val="228"/>
        </w:trPr>
        <w:tc>
          <w:tcPr>
            <w:tcW w:w="240" w:type="dxa"/>
            <w:vAlign w:val="bottom"/>
          </w:tcPr>
          <w:p>
            <w:pPr>
              <w:spacing w:after="0"/>
              <w:rPr>
                <w:sz w:val="19"/>
                <w:szCs w:val="19"/>
                <w:color w:val="auto"/>
              </w:rPr>
            </w:pPr>
          </w:p>
        </w:tc>
        <w:tc>
          <w:tcPr>
            <w:tcW w:w="112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8"/>
              </w:rPr>
              <w:t>CAREFULLY BEFORE COMPLETING ANY BOX ABOVE.</w:t>
            </w:r>
          </w:p>
        </w:tc>
      </w:tr>
      <w:tr>
        <w:trPr>
          <w:trHeight w:val="201"/>
        </w:trPr>
        <w:tc>
          <w:tcPr>
            <w:tcW w:w="24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225"/>
        </w:trPr>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180" w:type="dxa"/>
            <w:vAlign w:val="bottom"/>
            <w:gridSpan w:val="5"/>
          </w:tcPr>
          <w:p>
            <w:pPr>
              <w:jc w:val="center"/>
              <w:ind w:right="4280"/>
              <w:spacing w:after="0"/>
              <w:rPr>
                <w:sz w:val="20"/>
                <w:szCs w:val="20"/>
                <w:color w:val="auto"/>
              </w:rPr>
            </w:pPr>
            <w:r>
              <w:rPr>
                <w:rFonts w:ascii="Arial" w:cs="Arial" w:eastAsia="Arial" w:hAnsi="Arial"/>
                <w:sz w:val="18"/>
                <w:szCs w:val="18"/>
                <w:b w:val="1"/>
                <w:bCs w:val="1"/>
                <w:color w:val="auto"/>
                <w:w w:val="96"/>
              </w:rPr>
              <w:t>PLEASE SIGN HERE</w:t>
            </w:r>
          </w:p>
        </w:tc>
      </w:tr>
      <w:tr>
        <w:trPr>
          <w:trHeight w:val="216"/>
        </w:trPr>
        <w:tc>
          <w:tcPr>
            <w:tcW w:w="240" w:type="dxa"/>
            <w:vAlign w:val="bottom"/>
          </w:tcPr>
          <w:p>
            <w:pPr>
              <w:spacing w:after="0"/>
              <w:rPr>
                <w:sz w:val="18"/>
                <w:szCs w:val="18"/>
                <w:color w:val="auto"/>
              </w:rPr>
            </w:pPr>
          </w:p>
        </w:tc>
        <w:tc>
          <w:tcPr>
            <w:tcW w:w="112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8"/>
              </w:rPr>
              <w:t>(TO BE COMPLETED BY ALL TENDERING HOLDERS)</w:t>
            </w:r>
          </w:p>
        </w:tc>
      </w:tr>
      <w:tr>
        <w:trPr>
          <w:trHeight w:val="228"/>
        </w:trPr>
        <w:tc>
          <w:tcPr>
            <w:tcW w:w="240" w:type="dxa"/>
            <w:vAlign w:val="bottom"/>
          </w:tcPr>
          <w:p>
            <w:pPr>
              <w:spacing w:after="0"/>
              <w:rPr>
                <w:sz w:val="19"/>
                <w:szCs w:val="19"/>
                <w:color w:val="auto"/>
              </w:rPr>
            </w:pPr>
          </w:p>
        </w:tc>
        <w:tc>
          <w:tcPr>
            <w:tcW w:w="112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(Complete Accompanying Substitute Form W-9 Below)</w:t>
            </w:r>
          </w:p>
        </w:tc>
      </w:tr>
      <w:tr>
        <w:trPr>
          <w:trHeight w:val="379"/>
        </w:trPr>
        <w:tc>
          <w:tcPr>
            <w:tcW w:w="240" w:type="dxa"/>
            <w:vAlign w:val="bottom"/>
          </w:tcPr>
          <w:p>
            <w:pPr>
              <w:ind w:left="20"/>
              <w:spacing w:after="0"/>
              <w:rPr>
                <w:sz w:val="20"/>
                <w:szCs w:val="20"/>
                <w:color w:val="auto"/>
              </w:rPr>
            </w:pPr>
            <w:r>
              <w:rPr>
                <w:rFonts w:ascii="Arial" w:cs="Arial" w:eastAsia="Arial" w:hAnsi="Arial"/>
                <w:sz w:val="18"/>
                <w:szCs w:val="18"/>
                <w:color w:val="auto"/>
              </w:rPr>
              <w:t>X</w:t>
            </w:r>
          </w:p>
        </w:tc>
        <w:tc>
          <w:tcPr>
            <w:tcW w:w="5300" w:type="dxa"/>
            <w:vAlign w:val="bottom"/>
            <w:tcBorders>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2012</w:t>
            </w:r>
          </w:p>
        </w:tc>
        <w:tc>
          <w:tcPr>
            <w:tcW w:w="140" w:type="dxa"/>
            <w:vAlign w:val="bottom"/>
          </w:tcPr>
          <w:p>
            <w:pPr>
              <w:spacing w:after="0"/>
              <w:rPr>
                <w:sz w:val="24"/>
                <w:szCs w:val="24"/>
                <w:color w:val="auto"/>
              </w:rPr>
            </w:pPr>
          </w:p>
        </w:tc>
      </w:tr>
      <w:tr>
        <w:trPr>
          <w:trHeight w:val="358"/>
        </w:trPr>
        <w:tc>
          <w:tcPr>
            <w:tcW w:w="240" w:type="dxa"/>
            <w:vAlign w:val="bottom"/>
          </w:tcPr>
          <w:p>
            <w:pPr>
              <w:ind w:left="20"/>
              <w:spacing w:after="0"/>
              <w:rPr>
                <w:sz w:val="20"/>
                <w:szCs w:val="20"/>
                <w:color w:val="auto"/>
              </w:rPr>
            </w:pPr>
            <w:r>
              <w:rPr>
                <w:rFonts w:ascii="Arial" w:cs="Arial" w:eastAsia="Arial" w:hAnsi="Arial"/>
                <w:sz w:val="18"/>
                <w:szCs w:val="18"/>
                <w:color w:val="auto"/>
              </w:rPr>
              <w:t>X</w:t>
            </w:r>
          </w:p>
        </w:tc>
        <w:tc>
          <w:tcPr>
            <w:tcW w:w="5300" w:type="dxa"/>
            <w:vAlign w:val="bottom"/>
            <w:tcBorders>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2012</w:t>
            </w:r>
          </w:p>
        </w:tc>
        <w:tc>
          <w:tcPr>
            <w:tcW w:w="140" w:type="dxa"/>
            <w:vAlign w:val="bottom"/>
          </w:tcPr>
          <w:p>
            <w:pPr>
              <w:spacing w:after="0"/>
              <w:rPr>
                <w:sz w:val="24"/>
                <w:szCs w:val="24"/>
                <w:color w:val="auto"/>
              </w:rPr>
            </w:pPr>
          </w:p>
        </w:tc>
      </w:tr>
      <w:tr>
        <w:trPr>
          <w:trHeight w:val="305"/>
        </w:trPr>
        <w:tc>
          <w:tcPr>
            <w:tcW w:w="240" w:type="dxa"/>
            <w:vAlign w:val="bottom"/>
          </w:tcPr>
          <w:p>
            <w:pPr>
              <w:spacing w:after="0"/>
              <w:rPr>
                <w:sz w:val="24"/>
                <w:szCs w:val="24"/>
                <w:color w:val="auto"/>
              </w:rPr>
            </w:pPr>
          </w:p>
        </w:tc>
        <w:tc>
          <w:tcPr>
            <w:tcW w:w="11220" w:type="dxa"/>
            <w:vAlign w:val="bottom"/>
            <w:gridSpan w:val="6"/>
          </w:tcPr>
          <w:p>
            <w:pPr>
              <w:ind w:left="2200"/>
              <w:spacing w:after="0"/>
              <w:rPr>
                <w:sz w:val="20"/>
                <w:szCs w:val="20"/>
                <w:color w:val="auto"/>
              </w:rPr>
            </w:pPr>
            <w:r>
              <w:rPr>
                <w:rFonts w:ascii="Arial" w:cs="Arial" w:eastAsia="Arial" w:hAnsi="Arial"/>
                <w:sz w:val="14"/>
                <w:szCs w:val="14"/>
                <w:b w:val="1"/>
                <w:bCs w:val="1"/>
                <w:color w:val="auto"/>
              </w:rPr>
              <w:t>(Signature(s) of Owner)</w:t>
            </w:r>
          </w:p>
        </w:tc>
      </w:tr>
      <w:tr>
        <w:trPr>
          <w:trHeight w:val="283"/>
        </w:trPr>
        <w:tc>
          <w:tcPr>
            <w:tcW w:w="240" w:type="dxa"/>
            <w:vAlign w:val="bottom"/>
          </w:tcPr>
          <w:p>
            <w:pPr>
              <w:spacing w:after="0"/>
              <w:rPr>
                <w:sz w:val="24"/>
                <w:szCs w:val="24"/>
                <w:color w:val="auto"/>
              </w:rPr>
            </w:pPr>
          </w:p>
        </w:tc>
        <w:tc>
          <w:tcPr>
            <w:tcW w:w="4040" w:type="dxa"/>
            <w:vAlign w:val="bottom"/>
          </w:tcPr>
          <w:p>
            <w:pPr>
              <w:ind w:left="1560"/>
              <w:spacing w:after="0"/>
              <w:rPr>
                <w:sz w:val="20"/>
                <w:szCs w:val="20"/>
                <w:color w:val="auto"/>
              </w:rPr>
            </w:pPr>
            <w:r>
              <w:rPr>
                <w:rFonts w:ascii="Arial" w:cs="Arial" w:eastAsia="Arial" w:hAnsi="Arial"/>
                <w:sz w:val="18"/>
                <w:szCs w:val="18"/>
                <w:color w:val="auto"/>
                <w:w w:val="87"/>
              </w:rPr>
              <w:t>Area Code and Telephone Number</w:t>
            </w:r>
          </w:p>
        </w:tc>
        <w:tc>
          <w:tcPr>
            <w:tcW w:w="7040" w:type="dxa"/>
            <w:vAlign w:val="bottom"/>
            <w:tcBorders>
              <w:bottom w:val="single" w:sz="8" w:color="auto"/>
            </w:tcBorders>
            <w:gridSpan w:val="4"/>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-1313815</wp:posOffset>
            </wp:positionV>
            <wp:extent cx="7276465" cy="561276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76465" cy="5612765"/>
                    </a:xfrm>
                    <a:prstGeom prst="rect">
                      <a:avLst/>
                    </a:prstGeom>
                    <a:noFill/>
                  </pic:spPr>
                </pic:pic>
              </a:graphicData>
            </a:graphic>
          </wp:anchor>
        </w:drawing>
      </w:r>
    </w:p>
    <w:p>
      <w:pPr>
        <w:spacing w:after="0" w:line="134" w:lineRule="exact"/>
        <w:rPr>
          <w:sz w:val="20"/>
          <w:szCs w:val="20"/>
          <w:color w:val="auto"/>
        </w:rPr>
      </w:pPr>
    </w:p>
    <w:p>
      <w:pPr>
        <w:ind w:left="20" w:right="120" w:firstLine="432"/>
        <w:spacing w:after="0" w:line="306" w:lineRule="auto"/>
        <w:rPr>
          <w:sz w:val="20"/>
          <w:szCs w:val="20"/>
          <w:color w:val="auto"/>
        </w:rPr>
      </w:pPr>
      <w:r>
        <w:rPr>
          <w:rFonts w:ascii="Arial" w:cs="Arial" w:eastAsia="Arial" w:hAnsi="Arial"/>
          <w:sz w:val="16"/>
          <w:szCs w:val="16"/>
          <w:color w:val="auto"/>
        </w:rPr>
        <w:t>If a holder is tendering any Old Notes, this Letter must be signed by the registered holder(s) as the name(s) appear(s) on the certificate(s) for the Old Notes or by any person(s) authorized to become registered holder(s) by endorsements and documents transmitted herewith. If signature is by a trustee, executor, administrator, guardian, officer or other person acting in a fiduciary or representative capacity, please set forth full title. See Instruction 3.</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(Please Type or Print)</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Capacity:</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(Including Zip Code)</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Identification No.:</w:t>
      </w:r>
    </w:p>
    <w:p>
      <w:pPr>
        <w:spacing w:after="0" w:line="200" w:lineRule="exact"/>
        <w:rPr>
          <w:sz w:val="20"/>
          <w:szCs w:val="20"/>
          <w:color w:val="auto"/>
        </w:rPr>
      </w:pPr>
    </w:p>
    <w:p>
      <w:pPr>
        <w:spacing w:after="0" w:line="26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SIGNATURE GUARANTEE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(If required by Instruction 3)</w:t>
      </w:r>
    </w:p>
    <w:p>
      <w:pPr>
        <w:spacing w:after="0" w:line="200" w:lineRule="exact"/>
        <w:rPr>
          <w:sz w:val="20"/>
          <w:szCs w:val="20"/>
          <w:color w:val="auto"/>
        </w:rPr>
      </w:pPr>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Signature(s) Guaranteed by</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 Eligible Institution:</w:t>
      </w:r>
    </w:p>
    <w:p>
      <w:pPr>
        <w:spacing w:after="0" w:line="12" w:lineRule="exact"/>
        <w:rPr>
          <w:sz w:val="20"/>
          <w:szCs w:val="20"/>
          <w:color w:val="auto"/>
        </w:rPr>
      </w:pPr>
    </w:p>
    <w:p>
      <w:pPr>
        <w:jc w:val="center"/>
        <w:ind w:left="2500"/>
        <w:spacing w:after="0"/>
        <w:rPr>
          <w:sz w:val="20"/>
          <w:szCs w:val="20"/>
          <w:color w:val="auto"/>
        </w:rPr>
      </w:pPr>
      <w:r>
        <w:rPr>
          <w:rFonts w:ascii="Arial" w:cs="Arial" w:eastAsia="Arial" w:hAnsi="Arial"/>
          <w:sz w:val="14"/>
          <w:szCs w:val="14"/>
          <w:b w:val="1"/>
          <w:bCs w:val="1"/>
          <w:color w:val="auto"/>
        </w:rPr>
        <w:t>(Authorized Signature)</w:t>
      </w:r>
    </w:p>
    <w:p>
      <w:pPr>
        <w:spacing w:after="0" w:line="150" w:lineRule="exact"/>
        <w:rPr>
          <w:sz w:val="20"/>
          <w:szCs w:val="20"/>
          <w:color w:val="auto"/>
        </w:rPr>
      </w:pPr>
    </w:p>
    <w:p>
      <w:pPr>
        <w:jc w:val="center"/>
        <w:ind w:left="2500"/>
        <w:spacing w:after="0"/>
        <w:rPr>
          <w:sz w:val="20"/>
          <w:szCs w:val="20"/>
          <w:color w:val="auto"/>
        </w:rPr>
      </w:pPr>
      <w:r>
        <w:rPr>
          <w:rFonts w:ascii="Arial" w:cs="Arial" w:eastAsia="Arial" w:hAnsi="Arial"/>
          <w:sz w:val="14"/>
          <w:szCs w:val="14"/>
          <w:b w:val="1"/>
          <w:bCs w:val="1"/>
          <w:color w:val="auto"/>
        </w:rPr>
        <w:t>(Title)</w:t>
      </w:r>
    </w:p>
    <w:p>
      <w:pPr>
        <w:spacing w:after="0" w:line="150"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(Name and Firm)</w:t>
      </w:r>
    </w:p>
    <w:p>
      <w:pPr>
        <w:spacing w:after="0" w:line="200" w:lineRule="exact"/>
        <w:rPr>
          <w:sz w:val="20"/>
          <w:szCs w:val="20"/>
          <w:color w:val="auto"/>
        </w:rPr>
      </w:pPr>
    </w:p>
    <w:p>
      <w:pPr>
        <w:spacing w:after="0" w:line="319" w:lineRule="exact"/>
        <w:rPr>
          <w:sz w:val="20"/>
          <w:szCs w:val="20"/>
          <w:color w:val="auto"/>
        </w:rPr>
      </w:pPr>
    </w:p>
    <w:p>
      <w:pPr>
        <w:ind w:left="140"/>
        <w:spacing w:after="0"/>
        <w:tabs>
          <w:tab w:leader="none" w:pos="3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60"/>
          </w:cols>
          <w:pgMar w:left="240" w:top="274" w:right="199" w:bottom="1440" w:gutter="0" w:footer="0" w:header="0"/>
        </w:sectPr>
      </w:pPr>
    </w:p>
    <w:bookmarkStart w:id="267" w:name="page268"/>
    <w:bookmarkEnd w:id="267"/>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Forming Part of the Terms and Conditions of the Exchange Offer for the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5.375% First Mortgage Notes due 2022 (CUSIPs 983130 AS4 and U98347 AH7) Issued on March 12, 2012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Wynn Las Vegas Capital Corp.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Exchange for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5.375% First Mortgage Notes due 2022 (CUSIP 983130 AT2) of Wynn Las Vegas, LLC and Wynn Las Vegas Capital Corp. That Have Been Registered</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199" w:lineRule="exact"/>
        <w:rPr>
          <w:sz w:val="20"/>
          <w:szCs w:val="20"/>
          <w:color w:val="auto"/>
        </w:rPr>
      </w:pPr>
    </w:p>
    <w:p>
      <w:pPr>
        <w:ind w:left="340" w:hanging="332"/>
        <w:spacing w:after="0"/>
        <w:tabs>
          <w:tab w:leader="none" w:pos="3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this Letter and Old Notes; Guaranteed Delivery Procedures.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Letter is to be completed by holders of Old Notes either if certificates are to be forwarded herewith or if tenders are to be made pursuant to the procedures for delivery by book-entry transfer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which states that the Book-Entry Transfer Facility has received an express acknowledgment from the tendering participant, which acknowledgment states that such participant has received and agrees to be bound by the Letter of Transmittal and that the Issuers may enforce the Letter of Transmittal against such participant. Certificates for all physically tendered Old Notes, or Book-Entry Confirmation, as the case may be, as well as a properly completed and duly executed Letter (or manually signed facsimile hereof or Agent’s Message in lieu thereof) and any other documents required by this Letter, must be received by the Exchange Agent at the address set forth herein prior to the Expiration Date, or the tendering holder must comply with the guaranteed delivery procedures referred to below and set forth in “The Exchange Offer—Guaranteed Delivery Procedures” section of the Prospectus. Old Notes tendered hereby must be in denominations of principal amount of $2,000 and integral multiples of $1,000 in excess of $2,000.</w:t>
      </w:r>
    </w:p>
    <w:p>
      <w:pPr>
        <w:spacing w:after="0" w:line="12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Holders whose certificates for Old Notes are not immediately available or who cannot deliver their certificates and all other required documents to the Exchange Agent prior to the Expiration Date, or who cannot complete the procedure for book-entry transfer on a timely basis, may tender their Old Notes pursuant to the guaranteed delivery procedures set forth in “The Exchange Offer—Guaranteed Delivery Procedures” section of the Prospectus. Pursuant to such procedures, (i) such tender must be made through an Eligible Institution, (ii) prior to 5:00 p.m., New York City time, on the Expiration Date, the Exchange Agent must receive from such Eligible Institution a properly completed and duly executed Notice of Guaranteed Delivery, substantially in the form provided by the Issuers (by telegram, facsimile transmission, mail or hand delivery), setting forth the name and address of the Holder and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this Letter properly completed and duly executed (or facsimile hereof or Agent’s Message in lieu hereof) with any required signature guarantees and any other documents required by this Letter will be deposited by the Eligible Institution with the Exchange Agent, and (iii) the certificates for all physically tendered Old Notes, in proper form for transfer, or a Book-Entry Confirmation, as the case may be, together with this Letter properly completed and duly executed (or facsimile hereof or Agent’s Message in lieu hereof) with any required signature guarantees and all other documents required by this Letter, are received by the Exchange Agent within three NYSE trading days after the date of execution of the Notice of Guaranteed Delivery.</w:t>
      </w:r>
    </w:p>
    <w:p>
      <w:pPr>
        <w:spacing w:after="0" w:line="12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method of delivery of this Letter, the Old Notes and all other required documents is at the election and risk of the tendering holders, but the delivery will be deemed made only when actually received or confirmed by the Exchange Agent. If Old Notes are sent by mail, it is suggested that the mailing be registered mail, properly insured, with return receipt requested, made sufficiently in advance of the Expiration Date to permit delivery to the Exchange Agent prior to 5:00 p.m., New York City time, on the Expiration Date.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68" w:name="page269"/>
    <w:bookmarkEnd w:id="2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See “The Exchange Offer” section of the Prospectus.</w:t>
      </w:r>
    </w:p>
    <w:p>
      <w:pPr>
        <w:spacing w:after="0" w:line="287" w:lineRule="exact"/>
        <w:rPr>
          <w:sz w:val="20"/>
          <w:szCs w:val="20"/>
          <w:color w:val="auto"/>
        </w:rPr>
      </w:pPr>
    </w:p>
    <w:p>
      <w:pPr>
        <w:ind w:left="340" w:hanging="332"/>
        <w:spacing w:after="0"/>
        <w:tabs>
          <w:tab w:leader="none" w:pos="3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Partial Tenders (not applicable to noteholders who tender by book-entry transfer).</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If less than all of the Old Notes evidenced by a submitted certificate are to be tendered, the tendering holder(s) should fill in the aggregate principal amount of Old Notes to be tendered in the box or boxes above entitled “Description of Old Notes—Principal Amount Tendered.” A reissued certificate representing the balance of nontendered Old Notes will be sent to such tendering holder, unless otherwise provided in the appropriate box on this Letter, promptly after the Expiration Date. </w:t>
      </w:r>
      <w:r>
        <w:rPr>
          <w:rFonts w:ascii="Arial" w:cs="Arial" w:eastAsia="Arial" w:hAnsi="Arial"/>
          <w:sz w:val="15"/>
          <w:szCs w:val="15"/>
          <w:b w:val="1"/>
          <w:bCs w:val="1"/>
          <w:color w:val="auto"/>
        </w:rPr>
        <w:t>All of the Old Notes delivered to the Exchange Agent will be deemed to have been tendered unless otherwise indicated.</w:t>
      </w:r>
    </w:p>
    <w:p>
      <w:pPr>
        <w:spacing w:after="0" w:line="213" w:lineRule="exact"/>
        <w:rPr>
          <w:sz w:val="20"/>
          <w:szCs w:val="20"/>
          <w:color w:val="auto"/>
        </w:rPr>
      </w:pPr>
    </w:p>
    <w:p>
      <w:pPr>
        <w:ind w:left="340" w:hanging="332"/>
        <w:spacing w:after="0"/>
        <w:tabs>
          <w:tab w:leader="none" w:pos="3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on this Letter; Bond Powers and Endorsements; Guarantee of 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this Letter is signed by the registered holder of the Old Notes tendered hereby, the signature must correspond exactly with the name as written on the face of the certificates without any change whatsoever.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tendered Old Notes are owned of record by two or more joint owners, all of such owners must sign this Letter.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any tendered Old Notes are registered in different names on several certificates, it will be necessary to complete, sign and submit as many separate copies of this Letter as there are different registrations of certificates.</w:t>
      </w:r>
    </w:p>
    <w:p>
      <w:pPr>
        <w:spacing w:after="0" w:line="132"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When this Letter is signed by the registered holder or holders of the Old Notes specified herein and tendered hereby, no endorsements of certificates or separate bond powers are required. If, however, the New Notes are to be issued, or any untendered Old Notes are to be reissued, to a person other than the registered holder, then endorsements of any certificates transmitted hereby or separate bond powers are required. Signatures on such certificate(s) must be guaranteed by an Eligible Institution.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this Letter is signed by a person other than the registered holder or holders of any certificate(s) specified herein, such certificate(s) must be endorsed or accompanied by appropriate bond powers, in either case signed exactly as the name or names of the registered holder or holders appear(s) on the certificate(s) and signatures on such certificate(s) must be guaranteed by an Eligible Institution.</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this Letter or any certificates or bond powers are signed by trustees, executors, administrators, guardians, attorneys-in-fact, officers of corporations or others acting in a fiduciary or representative capacity, such persons should so indicate when signing, and, unless waived by the Issuers, proper evidence satisfactory to the Issuers of their authority to so act must be submitted.</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Endorsements on certificates for Old Notes or signatures on bond powers required by this Instruction 3 must be guaranteed by a firm that is a financial institution (including most banks, savings and loan associations and brokerage houses) that is a participant in the Securities Transfer Agents Medallion Program, the New York Stock Exchange Medallion Signature Program or the Stock Exchanges Medallion Program (each an “Eligible Institution”).</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Signatures on this Letter need not be guaranteed by an Eligible Institution, provided the Old Notes are tendered: (i) by a registered holder (which term, for purposes of the Exchange Offer, includes any participant in the Book-Entry Transfer Facility system whose name appears on a security position listing as the holder of such Old Notes) who has not completed the box entitled “Special Issuance Instructions” or “Special Delivery Instructions” on this Letter, or (ii) for the account of an Eligible Institution.</w:t>
      </w:r>
    </w:p>
    <w:p>
      <w:pPr>
        <w:spacing w:after="0" w:line="259" w:lineRule="exact"/>
        <w:rPr>
          <w:sz w:val="20"/>
          <w:szCs w:val="20"/>
          <w:color w:val="auto"/>
        </w:rPr>
      </w:pPr>
    </w:p>
    <w:p>
      <w:pPr>
        <w:ind w:left="340" w:hanging="332"/>
        <w:spacing w:after="0"/>
        <w:tabs>
          <w:tab w:leader="none" w:pos="3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Special Issuance and Delivery Instructions.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Tendering holders of Old Notes should indicate in the applicable box the name and address to which New Notes issued pursuant to the Exchange Offer and/or substitute certificates evidencing Old Notes not exchanged are to be issued or sent, if different from the name or address of the person signing this Letter. In the case of issuance in a different name, the employer identification or social security number of the person named must also be indicated. Noteholders tendering Old Notes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69" w:name="page270"/>
    <w:bookmarkEnd w:id="269"/>
    <w:p>
      <w:pPr>
        <w:ind w:right="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transfer may request that Old Notes not exchanged be credited to such account maintained at the Book-Entry Transfer Facility as such noteholder may designate hereon. If no such instructions are given, such Old Notes not exchanged will be returned to the name and address of the person signing this Letter.</w:t>
      </w:r>
    </w:p>
    <w:p>
      <w:pPr>
        <w:spacing w:after="0" w:line="178" w:lineRule="exact"/>
        <w:rPr>
          <w:sz w:val="20"/>
          <w:szCs w:val="20"/>
          <w:color w:val="auto"/>
        </w:rPr>
      </w:pPr>
    </w:p>
    <w:p>
      <w:pPr>
        <w:ind w:left="340" w:hanging="332"/>
        <w:spacing w:after="0"/>
        <w:tabs>
          <w:tab w:leader="none" w:pos="34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Taxpayer Identification Number and Certification of Foreign Status.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Federal income tax law generally requires that a tendering holder whose Old Notes are accepted for exchange must provide the Issuers (as payors) with such holder’s correct Taxpayer Identification Number (“TIN”) on the Substitute Form W-9 below, which generally is such holder’s social security number or employer identification number, or otherwise establish an exemption. If the Issuers are not provided with the current TIN or an adequate basis for an exemption from backup withholding, such tendering holder may be subject to a $50 penalty imposed by the Internal Revenue Service (the “IRS”) and backup withholding at the then applicable rate on the amount of any reportable payments made after the exchange to such tendering holder of New Notes. If withholding results in an overpayment of taxes, a refund may be obtained provided that the required information is timely furnished to the IRS.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Exempt holders of Old Notes (including, among others, all corporations and certain foreign individuals) are not subject to these backup withholding and reporting requirements. To prevent possible backup withholding an exempt holder that is a U.S. person should write “Exempt” in Part 3 of Substitute Form W-9. See the enclosed Guidelines of Certification of Taxpayer Identification Number on Substitute Form W-9 (the “W-9 Guidelines”) for additional instructions.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prevent backup withholding, each tendering holder of Old Notes must provide its correct TIN by completing the Substitute Form W-9 set forth below, certifying, under penalties of perjury, that (A) the TIN provided is correct (or that such holder is awaiting a TIN), (B) the holder is a U.S. person, and (C) (i) the holder is exempt from backup withholding, (ii) the holder has not been notified by the IRS that such holder is subject to backup withholding as a result of a failure to report all interest or dividends or (iii) the IRS has notified the holder that such holder is no longer subject to backup withholding.</w:t>
      </w:r>
    </w:p>
    <w:p>
      <w:pPr>
        <w:spacing w:after="0" w:line="11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If a holder that is a U.S. person does not have a TIN, such holder should consult the W-9 Guidelines for instructions on applying for a TIN, check the box in Part 2 of the Substitute Form W-9 and write “applied for” in the space for the TIN in Part 3 of the Substitute Form W-9. Note: Checking this box and writing “applied for” on the form means that such holder has already applied for a TIN or that such holder intends to apply for one in the near future. If the box in Part 2 of the Substitute Form W-9 is checked, and the Exchange Agent is not provided with a TIN by the time of payment, the Exchange Agent may withhold a portion of all reportable payments to the holder thereafter until such holder furnishes its TIN to the Exchange Agent.</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the tendering holder of Old Notes is a nonresident alien or foreign entity not subject to backup withholding, such holder must give the Exchange Agent a completed Form W-8BEN, Certificate of Foreign Status. These forms may be obtained from the Exchange Agent. If the Old Notes are in more than one name or are not in the name of the actual owner, such holder should consult the W-9 Guidelines for information on which TIN to report.</w:t>
      </w:r>
    </w:p>
    <w:p>
      <w:pPr>
        <w:spacing w:after="0" w:line="222" w:lineRule="exact"/>
        <w:rPr>
          <w:sz w:val="20"/>
          <w:szCs w:val="20"/>
          <w:color w:val="auto"/>
        </w:rPr>
      </w:pPr>
    </w:p>
    <w:p>
      <w:pPr>
        <w:ind w:left="340" w:hanging="332"/>
        <w:spacing w:after="0"/>
        <w:tabs>
          <w:tab w:leader="none" w:pos="3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Issuers will pay or cause to be paid all transfer taxes, if any, applicable to the transfer of Old Notes to them or their order pursuant to the Exchange Offer. If, however, New Notes are to be delivered to, or are to be registered or issued in the name of, any person other than the registered holder of the Old Notes tendered hereby, or if tendered Old Notes are registered in the name of any person other than the person signing this Letter, or if a transfer tax is imposed for any reason other than the transfer of Old Notes to the Issuers or their order pursuant to the Exchange Offer, 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provided in this Instruction 6, it will not be necessary for transfer tax stamps to be affixed to the Old Notes specified in this Letter.</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70" w:name="page271"/>
    <w:bookmarkEnd w:id="270"/>
    <w:p>
      <w:pPr>
        <w:ind w:left="340" w:hanging="332"/>
        <w:spacing w:after="0"/>
        <w:tabs>
          <w:tab w:leader="none" w:pos="3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reserve the absolute right to waive satisfaction of any or all conditions enumerated in the Prospectus.</w:t>
      </w:r>
    </w:p>
    <w:p>
      <w:pPr>
        <w:spacing w:after="0" w:line="287" w:lineRule="exact"/>
        <w:rPr>
          <w:sz w:val="20"/>
          <w:szCs w:val="20"/>
          <w:color w:val="auto"/>
        </w:rPr>
      </w:pPr>
    </w:p>
    <w:p>
      <w:pPr>
        <w:ind w:left="340" w:hanging="332"/>
        <w:spacing w:after="0"/>
        <w:tabs>
          <w:tab w:leader="none" w:pos="3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No Conditional Tenders.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alternative, conditional, irregular or contingent tenders will be accepted. All tendering holders of Old Notes, by execution of this Letter, shall waive any right to receive notice of the acceptance of their Old Notes for exchange.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None of the Issuers, the Exchange Agent nor any other person is obligated to give notice of any defect or irregularity with respect to any tender of Old Notes nor shall any of them incur any liability for failure to give any such notice.</w:t>
      </w:r>
    </w:p>
    <w:p>
      <w:pPr>
        <w:spacing w:after="0" w:line="248" w:lineRule="exact"/>
        <w:rPr>
          <w:sz w:val="20"/>
          <w:szCs w:val="20"/>
          <w:color w:val="auto"/>
        </w:rPr>
      </w:pPr>
    </w:p>
    <w:p>
      <w:pPr>
        <w:ind w:left="340" w:hanging="332"/>
        <w:spacing w:after="0"/>
        <w:tabs>
          <w:tab w:leader="none" w:pos="3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Mutilated, Lost, Stolen or Destroyed Old Notes.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holder whose Old Notes have been mutilated, lost, stolen or destroyed should contact the Exchange Agent at the address indicated above for further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Withdrawal Rights.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Tenders of Old Notes may be withdrawn at any time prior to 5:00 p.m., New York City time, on the Expiration Date.</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For a withdrawal of a tender of Old Notes to be effective, a written notice of withdrawal must be received by the Exchange Agent at the address set forth above prior to 5:00 p.m., New York City time, on the Expiration Date. Any such notice of withdrawal must (i) specify the name of the person having tendered the Old Notes to be withdrawn (the “Depositor”), (ii) identify the Old Notes to be withdrawn (including certificate number or numbers, if certificated, and the name and number of the account at the Book-Entry Transfer Facility to be credited with the withdrawn Old Notes, if tendered pursuant to the procedure for book-entry transfer, and the principal amount of such Old Notes), (iii) contain a statement that such Holder is withdrawing its election to have such Old Notes exchanged,</w:t>
      </w:r>
    </w:p>
    <w:p>
      <w:pPr>
        <w:spacing w:after="0" w:line="2" w:lineRule="exact"/>
        <w:rPr>
          <w:sz w:val="20"/>
          <w:szCs w:val="20"/>
          <w:color w:val="auto"/>
        </w:rPr>
      </w:pPr>
    </w:p>
    <w:p>
      <w:pPr>
        <w:ind w:firstLine="8"/>
        <w:spacing w:after="0" w:line="285" w:lineRule="auto"/>
        <w:tabs>
          <w:tab w:leader="none" w:pos="29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be signed by the Holder in the same manner as the original signature on the Letter by which such Old Notes were tendered (including any required signature guarantees) or be accompanied by documents of transfer to have the Trustee with respect to the Old Notes register the transfer of such Old Notes in the name of the person withdrawing the tender and (v) specify the name in which such Old Notes are registered, if different from that of the Depositor. If Old Notes have been tendered pursuant to the procedure for book-entry transfer set forth in “The Exchange Offer—Book-Entry Transfers” section of the Prospectus, any notice of withdrawal must specify the name and number of the account at the Book-Entry Transfer Facility to be credited with the withdrawn Old Notes and otherwise comply with the procedures of such facility. All questions as to the validity, form and eligibility (including time of receipt) of such notices will be determined by the Issuers, whose determination shall be final and binding on all parties. Any Old Notes so withdrawn will be deemed not to have been validly tendered for exchange for purposes of the Exchange Offer and no New Notes will be issued with respect thereto unless the Old Notes so withdrawn are validly retendered prior to the Expiration Date. Any Old Notes that have been tendered for exchange but which are not exchanged for any reason will be returned to the Holder thereof without cost to such Holder (or, in the case of Old Notes tendered by book-entry transfer into the Exchange Agent’s account at the Book-Entry Transfer Facility pursuant to the book-entry transfer procedures set forth in “The Exchange Offer—Book-Entry Transfers” section of the Prospectus, such Old Notes will be credited to an account maintained with the Book-Entry Transfer Facility for the Old Notes) as soon as practicable after withdrawal, rejection of tender or termination of the Exchange Offer. Properly withdrawn Old Notes may be retendered by following the procedures described above at any time prior to 5:00 p.m., New York City time, on the Expiration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Requests for Assistance or Additional Copies.</w:t>
      </w:r>
    </w:p>
    <w:p>
      <w:pPr>
        <w:spacing w:after="0" w:line="1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Questions relating to the procedure for tendering, as well as requests for additional copies of the Prospectus and this Letter, and requests for Notices of Guaranteed Delivery and other related documents may be directed to the Exchange Agent, at the address and telephone number indicated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71" w:name="page272"/>
    <w:bookmarkEnd w:id="27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COMPLETED BY ALL TENDERING HOLDERS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Instruction 5)</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PAYOR’S NAME: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55829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4875" cy="5582920"/>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0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—PLEASE PROVIDE YOUR</w:t>
            </w: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gridSpan w:val="5"/>
          </w:tcPr>
          <w:p>
            <w:pPr>
              <w:spacing w:after="0"/>
              <w:rPr>
                <w:sz w:val="20"/>
                <w:szCs w:val="20"/>
                <w:color w:val="auto"/>
              </w:rPr>
            </w:pPr>
            <w:r>
              <w:rPr>
                <w:rFonts w:ascii="Arial" w:cs="Arial" w:eastAsia="Arial" w:hAnsi="Arial"/>
                <w:sz w:val="18"/>
                <w:szCs w:val="18"/>
                <w:b w:val="1"/>
                <w:bCs w:val="1"/>
                <w:color w:val="auto"/>
              </w:rPr>
              <w:t>Please fill in your name and address below.</w:t>
            </w:r>
          </w:p>
        </w:tc>
        <w:tc>
          <w:tcPr>
            <w:tcW w:w="5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4"/>
          </w:tcPr>
          <w:p>
            <w:pPr>
              <w:ind w:left="220"/>
              <w:spacing w:after="0"/>
              <w:rPr>
                <w:sz w:val="20"/>
                <w:szCs w:val="20"/>
                <w:color w:val="auto"/>
              </w:rPr>
            </w:pPr>
            <w:r>
              <w:rPr>
                <w:rFonts w:ascii="Arial" w:cs="Arial" w:eastAsia="Arial" w:hAnsi="Arial"/>
                <w:sz w:val="18"/>
                <w:szCs w:val="18"/>
                <w:color w:val="auto"/>
              </w:rPr>
              <w:t>TIN IN THE BOX BELOW AND</w:t>
            </w: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SUBSTITUTE</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4"/>
          </w:tcPr>
          <w:p>
            <w:pPr>
              <w:ind w:left="220"/>
              <w:spacing w:after="0"/>
              <w:rPr>
                <w:sz w:val="20"/>
                <w:szCs w:val="20"/>
                <w:color w:val="auto"/>
              </w:rPr>
            </w:pPr>
            <w:r>
              <w:rPr>
                <w:rFonts w:ascii="Arial" w:cs="Arial" w:eastAsia="Arial" w:hAnsi="Arial"/>
                <w:sz w:val="18"/>
                <w:szCs w:val="18"/>
                <w:color w:val="auto"/>
              </w:rPr>
              <w:t>CERTIFY BY SIGNING AND DATING</w:t>
            </w:r>
          </w:p>
        </w:tc>
        <w:tc>
          <w:tcPr>
            <w:tcW w:w="0" w:type="dxa"/>
            <w:vAlign w:val="bottom"/>
          </w:tcPr>
          <w:p>
            <w:pPr>
              <w:spacing w:after="0"/>
              <w:rPr>
                <w:sz w:val="1"/>
                <w:szCs w:val="1"/>
                <w:color w:val="auto"/>
              </w:rPr>
            </w:pPr>
          </w:p>
        </w:tc>
      </w:tr>
      <w:tr>
        <w:trPr>
          <w:trHeight w:val="49"/>
        </w:trPr>
        <w:tc>
          <w:tcPr>
            <w:tcW w:w="2200" w:type="dxa"/>
            <w:vAlign w:val="bottom"/>
            <w:tcBorders>
              <w:right w:val="single" w:sz="8" w:color="auto"/>
            </w:tcBorders>
            <w:vMerge w:val="continue"/>
          </w:tcPr>
          <w:p>
            <w:pPr>
              <w:spacing w:after="0"/>
              <w:rPr>
                <w:sz w:val="4"/>
                <w:szCs w:val="4"/>
                <w:color w:val="auto"/>
              </w:rPr>
            </w:pPr>
          </w:p>
        </w:tc>
        <w:tc>
          <w:tcPr>
            <w:tcW w:w="340" w:type="dxa"/>
            <w:vAlign w:val="bottom"/>
            <w:vMerge w:val="restart"/>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320" w:type="dxa"/>
            <w:vAlign w:val="bottom"/>
            <w:gridSpan w:val="4"/>
            <w:vMerge w:val="restart"/>
          </w:tcPr>
          <w:p>
            <w:pPr>
              <w:ind w:left="220"/>
              <w:spacing w:after="0"/>
              <w:rPr>
                <w:sz w:val="20"/>
                <w:szCs w:val="20"/>
                <w:color w:val="auto"/>
              </w:rPr>
            </w:pPr>
            <w:r>
              <w:rPr>
                <w:rFonts w:ascii="Arial" w:cs="Arial" w:eastAsia="Arial" w:hAnsi="Arial"/>
                <w:sz w:val="18"/>
                <w:szCs w:val="18"/>
                <w:color w:val="auto"/>
              </w:rPr>
              <w:t>BELOW.</w:t>
            </w:r>
          </w:p>
        </w:tc>
        <w:tc>
          <w:tcPr>
            <w:tcW w:w="0" w:type="dxa"/>
            <w:vAlign w:val="bottom"/>
          </w:tcPr>
          <w:p>
            <w:pPr>
              <w:spacing w:after="0"/>
              <w:rPr>
                <w:sz w:val="1"/>
                <w:szCs w:val="1"/>
                <w:color w:val="auto"/>
              </w:rPr>
            </w:pPr>
          </w:p>
        </w:tc>
      </w:tr>
      <w:tr>
        <w:trPr>
          <w:trHeight w:val="71"/>
        </w:trPr>
        <w:tc>
          <w:tcPr>
            <w:tcW w:w="2200" w:type="dxa"/>
            <w:vAlign w:val="bottom"/>
            <w:tcBorders>
              <w:right w:val="single" w:sz="8" w:color="auto"/>
            </w:tcBorders>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3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2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2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6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TIN:</w:t>
            </w:r>
          </w:p>
        </w:tc>
        <w:tc>
          <w:tcPr>
            <w:tcW w:w="2320" w:type="dxa"/>
            <w:vAlign w:val="bottom"/>
            <w:gridSpan w:val="2"/>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2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 xml:space="preserve">Form </w:t>
            </w:r>
            <w:r>
              <w:rPr>
                <w:rFonts w:ascii="Arial" w:cs="Arial" w:eastAsia="Arial" w:hAnsi="Arial"/>
                <w:sz w:val="43"/>
                <w:szCs w:val="43"/>
                <w:b w:val="1"/>
                <w:bCs w:val="1"/>
                <w:color w:val="auto"/>
              </w:rPr>
              <w:t>W-9</w:t>
            </w:r>
          </w:p>
        </w:tc>
        <w:tc>
          <w:tcPr>
            <w:tcW w:w="3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320" w:type="dxa"/>
            <w:vAlign w:val="bottom"/>
            <w:tcBorders>
              <w:bottom w:val="single" w:sz="8" w:color="auto"/>
            </w:tcBorders>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00" w:type="dxa"/>
            <w:vAlign w:val="bottom"/>
            <w:tcBorders>
              <w:right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gridSpan w:val="2"/>
            <w:vMerge w:val="restart"/>
          </w:tcPr>
          <w:p>
            <w:pPr>
              <w:jc w:val="center"/>
              <w:ind w:right="620"/>
              <w:spacing w:after="0"/>
              <w:rPr>
                <w:sz w:val="20"/>
                <w:szCs w:val="20"/>
                <w:color w:val="auto"/>
              </w:rPr>
            </w:pPr>
            <w:r>
              <w:rPr>
                <w:rFonts w:ascii="Arial" w:cs="Arial" w:eastAsia="Arial" w:hAnsi="Arial"/>
                <w:sz w:val="18"/>
                <w:szCs w:val="18"/>
                <w:b w:val="1"/>
                <w:bCs w:val="1"/>
                <w:color w:val="auto"/>
                <w:w w:val="88"/>
              </w:rPr>
              <w:t>Social Security Number or</w:t>
            </w:r>
          </w:p>
        </w:tc>
        <w:tc>
          <w:tcPr>
            <w:tcW w:w="0" w:type="dxa"/>
            <w:vAlign w:val="bottom"/>
          </w:tcPr>
          <w:p>
            <w:pPr>
              <w:spacing w:after="0"/>
              <w:rPr>
                <w:sz w:val="1"/>
                <w:szCs w:val="1"/>
                <w:color w:val="auto"/>
              </w:rPr>
            </w:pPr>
          </w:p>
        </w:tc>
      </w:tr>
      <w:tr>
        <w:trPr>
          <w:trHeight w:val="237"/>
        </w:trPr>
        <w:tc>
          <w:tcPr>
            <w:tcW w:w="2200" w:type="dxa"/>
            <w:vAlign w:val="bottom"/>
            <w:tcBorders>
              <w:right w:val="single" w:sz="8" w:color="auto"/>
            </w:tcBorders>
            <w:vMerge w:val="continue"/>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6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200" w:type="dxa"/>
            <w:vAlign w:val="bottom"/>
            <w:tcBorders>
              <w:right w:val="single" w:sz="8" w:color="auto"/>
            </w:tcBorders>
            <w:vMerge w:val="continue"/>
          </w:tcPr>
          <w:p>
            <w:pPr>
              <w:spacing w:after="0"/>
              <w:rPr>
                <w:sz w:val="7"/>
                <w:szCs w:val="7"/>
                <w:color w:val="auto"/>
              </w:rPr>
            </w:pPr>
          </w:p>
        </w:tc>
        <w:tc>
          <w:tcPr>
            <w:tcW w:w="340" w:type="dxa"/>
            <w:vAlign w:val="bottom"/>
          </w:tcPr>
          <w:p>
            <w:pPr>
              <w:spacing w:after="0"/>
              <w:rPr>
                <w:sz w:val="7"/>
                <w:szCs w:val="7"/>
                <w:color w:val="auto"/>
              </w:rPr>
            </w:pPr>
          </w:p>
        </w:tc>
        <w:tc>
          <w:tcPr>
            <w:tcW w:w="3920" w:type="dxa"/>
            <w:vAlign w:val="bottom"/>
            <w:gridSpan w:val="5"/>
            <w:vMerge w:val="restart"/>
          </w:tcPr>
          <w:p>
            <w:pPr>
              <w:spacing w:after="0"/>
              <w:rPr>
                <w:sz w:val="20"/>
                <w:szCs w:val="20"/>
                <w:color w:val="auto"/>
              </w:rPr>
            </w:pPr>
            <w:r>
              <w:rPr>
                <w:rFonts w:ascii="Arial" w:cs="Arial" w:eastAsia="Arial" w:hAnsi="Arial"/>
                <w:sz w:val="18"/>
                <w:szCs w:val="18"/>
                <w:color w:val="auto"/>
              </w:rPr>
              <w:t>Business Name (if different from above)</w:t>
            </w:r>
          </w:p>
        </w:tc>
        <w:tc>
          <w:tcPr>
            <w:tcW w:w="56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200" w:type="dxa"/>
            <w:vAlign w:val="bottom"/>
            <w:tcBorders>
              <w:right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392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gridSpan w:val="4"/>
            <w:vMerge w:val="restart"/>
          </w:tcPr>
          <w:p>
            <w:pPr>
              <w:jc w:val="center"/>
              <w:ind w:left="12"/>
              <w:spacing w:after="0"/>
              <w:rPr>
                <w:sz w:val="20"/>
                <w:szCs w:val="20"/>
                <w:color w:val="auto"/>
              </w:rPr>
            </w:pPr>
            <w:r>
              <w:rPr>
                <w:rFonts w:ascii="Arial" w:cs="Arial" w:eastAsia="Arial" w:hAnsi="Arial"/>
                <w:sz w:val="18"/>
                <w:szCs w:val="18"/>
                <w:b w:val="1"/>
                <w:bCs w:val="1"/>
                <w:color w:val="auto"/>
                <w:w w:val="90"/>
              </w:rPr>
              <w:t>Employer Identification Number</w:t>
            </w:r>
          </w:p>
        </w:tc>
        <w:tc>
          <w:tcPr>
            <w:tcW w:w="0" w:type="dxa"/>
            <w:vAlign w:val="bottom"/>
          </w:tcPr>
          <w:p>
            <w:pPr>
              <w:spacing w:after="0"/>
              <w:rPr>
                <w:sz w:val="1"/>
                <w:szCs w:val="1"/>
                <w:color w:val="auto"/>
              </w:rPr>
            </w:pPr>
          </w:p>
        </w:tc>
      </w:tr>
      <w:tr>
        <w:trPr>
          <w:trHeight w:val="98"/>
        </w:trPr>
        <w:tc>
          <w:tcPr>
            <w:tcW w:w="22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Department of the</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3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200" w:type="dxa"/>
            <w:vAlign w:val="bottom"/>
            <w:tcBorders>
              <w:right w:val="single" w:sz="8" w:color="auto"/>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200" w:type="dxa"/>
            <w:vAlign w:val="bottom"/>
            <w:tcBorders>
              <w:right w:val="single" w:sz="8" w:color="auto"/>
            </w:tcBorders>
            <w:vMerge w:val="restart"/>
          </w:tcPr>
          <w:p>
            <w:pPr>
              <w:ind w:left="120"/>
              <w:spacing w:after="0" w:line="149" w:lineRule="exact"/>
              <w:rPr>
                <w:sz w:val="20"/>
                <w:szCs w:val="20"/>
                <w:color w:val="auto"/>
              </w:rPr>
            </w:pPr>
            <w:r>
              <w:rPr>
                <w:rFonts w:ascii="Arial" w:cs="Arial" w:eastAsia="Arial" w:hAnsi="Arial"/>
                <w:sz w:val="14"/>
                <w:szCs w:val="14"/>
                <w:b w:val="1"/>
                <w:bCs w:val="1"/>
                <w:color w:val="auto"/>
              </w:rPr>
              <w:t>Treasury Internal</w:t>
            </w:r>
          </w:p>
        </w:tc>
        <w:tc>
          <w:tcPr>
            <w:tcW w:w="340" w:type="dxa"/>
            <w:vAlign w:val="bottom"/>
            <w:vMerge w:val="restart"/>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200" w:type="dxa"/>
            <w:vAlign w:val="bottom"/>
            <w:tcBorders>
              <w:right w:val="single" w:sz="8" w:color="auto"/>
            </w:tcBorders>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auto"/>
                <w:w w:val="94"/>
              </w:rPr>
              <w:t>Address (number and street)</w:t>
            </w: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20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rPr>
              <w:t>Revenue Service</w:t>
            </w:r>
          </w:p>
        </w:tc>
        <w:tc>
          <w:tcPr>
            <w:tcW w:w="340" w:type="dxa"/>
            <w:vAlign w:val="bottom"/>
          </w:tcPr>
          <w:p>
            <w:pPr>
              <w:spacing w:after="0"/>
              <w:rPr>
                <w:sz w:val="15"/>
                <w:szCs w:val="15"/>
                <w:color w:val="auto"/>
              </w:rPr>
            </w:pPr>
          </w:p>
        </w:tc>
        <w:tc>
          <w:tcPr>
            <w:tcW w:w="21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2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Payor’s Request</w:t>
            </w:r>
          </w:p>
        </w:tc>
        <w:tc>
          <w:tcPr>
            <w:tcW w:w="340" w:type="dxa"/>
            <w:vAlign w:val="bottom"/>
            <w:vMerge w:val="restart"/>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Borders>
              <w:right w:val="single" w:sz="8" w:color="auto"/>
            </w:tcBorders>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180" w:type="dxa"/>
            <w:vAlign w:val="bottom"/>
            <w:gridSpan w:val="3"/>
          </w:tcPr>
          <w:p>
            <w:pPr>
              <w:spacing w:after="0" w:line="195" w:lineRule="exact"/>
              <w:rPr>
                <w:sz w:val="20"/>
                <w:szCs w:val="20"/>
                <w:color w:val="auto"/>
              </w:rPr>
            </w:pPr>
            <w:r>
              <w:rPr>
                <w:rFonts w:ascii="Arial" w:cs="Arial" w:eastAsia="Arial" w:hAnsi="Arial"/>
                <w:sz w:val="18"/>
                <w:szCs w:val="18"/>
                <w:color w:val="auto"/>
              </w:rPr>
              <w:t>City, State and Zip Code</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2"/>
                <w:szCs w:val="22"/>
                <w:b w:val="1"/>
                <w:bCs w:val="1"/>
                <w:color w:val="auto"/>
              </w:rPr>
              <w:t>for Taxpayer</w:t>
            </w:r>
          </w:p>
        </w:tc>
        <w:tc>
          <w:tcPr>
            <w:tcW w:w="340" w:type="dxa"/>
            <w:vAlign w:val="bottom"/>
          </w:tcPr>
          <w:p>
            <w:pPr>
              <w:spacing w:after="0"/>
              <w:rPr>
                <w:sz w:val="18"/>
                <w:szCs w:val="18"/>
                <w:color w:val="auto"/>
              </w:rPr>
            </w:pPr>
          </w:p>
        </w:tc>
        <w:tc>
          <w:tcPr>
            <w:tcW w:w="2180" w:type="dxa"/>
            <w:vAlign w:val="bottom"/>
            <w:gridSpan w:val="3"/>
            <w:vMerge w:val="restart"/>
          </w:tcPr>
          <w:p>
            <w:pPr>
              <w:spacing w:after="0" w:line="207" w:lineRule="exact"/>
              <w:rPr>
                <w:sz w:val="20"/>
                <w:szCs w:val="20"/>
                <w:color w:val="auto"/>
              </w:rPr>
            </w:pPr>
            <w:r>
              <w:rPr>
                <w:rFonts w:ascii="Arial" w:cs="Arial" w:eastAsia="Arial" w:hAnsi="Arial"/>
                <w:sz w:val="18"/>
                <w:szCs w:val="18"/>
                <w:b w:val="1"/>
                <w:bCs w:val="1"/>
                <w:color w:val="auto"/>
                <w:w w:val="96"/>
              </w:rPr>
              <w:t xml:space="preserve">Check appropriate box: </w:t>
            </w:r>
            <w:r>
              <w:rPr>
                <w:rFonts w:ascii="MS PGothic" w:cs="MS PGothic" w:eastAsia="MS PGothic" w:hAnsi="MS PGothic"/>
                <w:sz w:val="18"/>
                <w:szCs w:val="18"/>
                <w:color w:val="auto"/>
                <w:w w:val="96"/>
              </w:rPr>
              <w:t>☐</w:t>
            </w:r>
          </w:p>
        </w:tc>
        <w:tc>
          <w:tcPr>
            <w:tcW w:w="1740" w:type="dxa"/>
            <w:vAlign w:val="bottom"/>
            <w:gridSpan w:val="2"/>
            <w:vMerge w:val="restart"/>
          </w:tcPr>
          <w:p>
            <w:pPr>
              <w:ind w:left="40"/>
              <w:spacing w:after="0" w:line="207" w:lineRule="exact"/>
              <w:rPr>
                <w:sz w:val="20"/>
                <w:szCs w:val="20"/>
                <w:color w:val="auto"/>
              </w:rPr>
            </w:pPr>
            <w:r>
              <w:rPr>
                <w:rFonts w:ascii="Arial" w:cs="Arial" w:eastAsia="Arial" w:hAnsi="Arial"/>
                <w:sz w:val="18"/>
                <w:szCs w:val="18"/>
                <w:b w:val="1"/>
                <w:bCs w:val="1"/>
                <w:color w:val="auto"/>
                <w:w w:val="91"/>
              </w:rPr>
              <w:t xml:space="preserve">Disregarded Entity </w:t>
            </w:r>
            <w:r>
              <w:rPr>
                <w:rFonts w:ascii="MS PGothic" w:cs="MS PGothic" w:eastAsia="MS PGothic" w:hAnsi="MS PGothic"/>
                <w:sz w:val="18"/>
                <w:szCs w:val="18"/>
                <w:color w:val="auto"/>
                <w:w w:val="91"/>
              </w:rPr>
              <w:t>☐</w:t>
            </w:r>
          </w:p>
        </w:tc>
        <w:tc>
          <w:tcPr>
            <w:tcW w:w="4980" w:type="dxa"/>
            <w:vAlign w:val="bottom"/>
            <w:gridSpan w:val="7"/>
            <w:vMerge w:val="restart"/>
          </w:tcPr>
          <w:p>
            <w:pPr>
              <w:ind w:left="160"/>
              <w:spacing w:after="0"/>
              <w:rPr>
                <w:sz w:val="20"/>
                <w:szCs w:val="20"/>
                <w:color w:val="auto"/>
              </w:rPr>
            </w:pPr>
            <w:r>
              <w:rPr>
                <w:rFonts w:ascii="Arial" w:cs="Arial" w:eastAsia="Arial" w:hAnsi="Arial"/>
                <w:sz w:val="18"/>
                <w:szCs w:val="18"/>
                <w:b w:val="1"/>
                <w:bCs w:val="1"/>
                <w:color w:val="auto"/>
              </w:rPr>
              <w:t>Individual/Sole</w:t>
            </w:r>
          </w:p>
        </w:tc>
        <w:tc>
          <w:tcPr>
            <w:tcW w:w="0" w:type="dxa"/>
            <w:vAlign w:val="bottom"/>
          </w:tcPr>
          <w:p>
            <w:pPr>
              <w:spacing w:after="0"/>
              <w:rPr>
                <w:sz w:val="1"/>
                <w:szCs w:val="1"/>
                <w:color w:val="auto"/>
              </w:rPr>
            </w:pPr>
          </w:p>
        </w:tc>
      </w:tr>
      <w:tr>
        <w:trPr>
          <w:trHeight w:val="81"/>
        </w:trPr>
        <w:tc>
          <w:tcPr>
            <w:tcW w:w="2200" w:type="dxa"/>
            <w:vAlign w:val="bottom"/>
            <w:tcBorders>
              <w:right w:val="single" w:sz="8" w:color="auto"/>
            </w:tcBorders>
            <w:vMerge w:val="restart"/>
          </w:tcPr>
          <w:p>
            <w:pPr>
              <w:ind w:left="120"/>
              <w:spacing w:after="0" w:line="243" w:lineRule="exact"/>
              <w:rPr>
                <w:sz w:val="20"/>
                <w:szCs w:val="20"/>
                <w:color w:val="auto"/>
              </w:rPr>
            </w:pPr>
            <w:r>
              <w:rPr>
                <w:rFonts w:ascii="Arial" w:cs="Arial" w:eastAsia="Arial" w:hAnsi="Arial"/>
                <w:sz w:val="22"/>
                <w:szCs w:val="22"/>
                <w:b w:val="1"/>
                <w:bCs w:val="1"/>
                <w:color w:val="auto"/>
              </w:rPr>
              <w:t>Identification</w:t>
            </w:r>
          </w:p>
        </w:tc>
        <w:tc>
          <w:tcPr>
            <w:tcW w:w="3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4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00" w:type="dxa"/>
            <w:vAlign w:val="bottom"/>
            <w:tcBorders>
              <w:right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3"/>
            <w:vMerge w:val="restart"/>
          </w:tcPr>
          <w:p>
            <w:pPr>
              <w:spacing w:after="0" w:line="207" w:lineRule="exact"/>
              <w:rPr>
                <w:sz w:val="20"/>
                <w:szCs w:val="20"/>
                <w:color w:val="auto"/>
              </w:rPr>
            </w:pPr>
            <w:r>
              <w:rPr>
                <w:rFonts w:ascii="Arial" w:cs="Arial" w:eastAsia="Arial" w:hAnsi="Arial"/>
                <w:sz w:val="18"/>
                <w:szCs w:val="18"/>
                <w:b w:val="1"/>
                <w:bCs w:val="1"/>
                <w:color w:val="auto"/>
                <w:w w:val="96"/>
              </w:rPr>
              <w:t xml:space="preserve">Proprietor </w:t>
            </w:r>
            <w:r>
              <w:rPr>
                <w:rFonts w:ascii="MS PGothic" w:cs="MS PGothic" w:eastAsia="MS PGothic" w:hAnsi="MS PGothic"/>
                <w:sz w:val="18"/>
                <w:szCs w:val="18"/>
                <w:color w:val="auto"/>
                <w:w w:val="96"/>
              </w:rPr>
              <w:t>☐</w:t>
            </w:r>
            <w:r>
              <w:rPr>
                <w:rFonts w:ascii="Arial" w:cs="Arial" w:eastAsia="Arial" w:hAnsi="Arial"/>
                <w:sz w:val="18"/>
                <w:szCs w:val="18"/>
                <w:b w:val="1"/>
                <w:bCs w:val="1"/>
                <w:color w:val="auto"/>
                <w:w w:val="96"/>
              </w:rPr>
              <w:t xml:space="preserve">  Corporation</w:t>
            </w:r>
          </w:p>
        </w:tc>
        <w:tc>
          <w:tcPr>
            <w:tcW w:w="1740" w:type="dxa"/>
            <w:vAlign w:val="bottom"/>
            <w:gridSpan w:val="2"/>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Partnership </w:t>
            </w:r>
            <w:r>
              <w:rPr>
                <w:rFonts w:ascii="MS PGothic" w:cs="MS PGothic" w:eastAsia="MS PGothic" w:hAnsi="MS PGothic"/>
                <w:sz w:val="18"/>
                <w:szCs w:val="18"/>
                <w:color w:val="auto"/>
              </w:rPr>
              <w:t>☐</w:t>
            </w:r>
          </w:p>
        </w:tc>
        <w:tc>
          <w:tcPr>
            <w:tcW w:w="498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54"/>
        </w:trPr>
        <w:tc>
          <w:tcPr>
            <w:tcW w:w="2200" w:type="dxa"/>
            <w:vAlign w:val="bottom"/>
            <w:tcBorders>
              <w:right w:val="single" w:sz="8" w:color="auto"/>
            </w:tcBorders>
            <w:vMerge w:val="restart"/>
          </w:tcPr>
          <w:p>
            <w:pPr>
              <w:ind w:left="120"/>
              <w:spacing w:after="0" w:line="243" w:lineRule="exact"/>
              <w:rPr>
                <w:sz w:val="20"/>
                <w:szCs w:val="20"/>
                <w:color w:val="auto"/>
              </w:rPr>
            </w:pPr>
            <w:r>
              <w:rPr>
                <w:rFonts w:ascii="Arial" w:cs="Arial" w:eastAsia="Arial" w:hAnsi="Arial"/>
                <w:sz w:val="22"/>
                <w:szCs w:val="22"/>
                <w:b w:val="1"/>
                <w:bCs w:val="1"/>
                <w:color w:val="auto"/>
              </w:rPr>
              <w:t>Number (“TIN”)</w:t>
            </w:r>
          </w:p>
        </w:tc>
        <w:tc>
          <w:tcPr>
            <w:tcW w:w="34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49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00" w:type="dxa"/>
            <w:vAlign w:val="bottom"/>
            <w:tcBorders>
              <w:right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200" w:type="dxa"/>
            <w:vAlign w:val="bottom"/>
            <w:tcBorders>
              <w:right w:val="single" w:sz="8" w:color="auto"/>
            </w:tcBorders>
          </w:tcPr>
          <w:p>
            <w:pPr>
              <w:ind w:left="120"/>
              <w:spacing w:after="0" w:line="222" w:lineRule="exact"/>
              <w:rPr>
                <w:sz w:val="20"/>
                <w:szCs w:val="20"/>
                <w:color w:val="auto"/>
              </w:rPr>
            </w:pPr>
            <w:r>
              <w:rPr>
                <w:rFonts w:ascii="Arial" w:cs="Arial" w:eastAsia="Arial" w:hAnsi="Arial"/>
                <w:sz w:val="22"/>
                <w:szCs w:val="22"/>
                <w:b w:val="1"/>
                <w:bCs w:val="1"/>
                <w:color w:val="auto"/>
              </w:rPr>
              <w:t>and Certification</w:t>
            </w:r>
          </w:p>
        </w:tc>
        <w:tc>
          <w:tcPr>
            <w:tcW w:w="340" w:type="dxa"/>
            <w:vAlign w:val="bottom"/>
          </w:tcPr>
          <w:p>
            <w:pPr>
              <w:spacing w:after="0"/>
              <w:rPr>
                <w:sz w:val="19"/>
                <w:szCs w:val="19"/>
                <w:color w:val="auto"/>
              </w:rPr>
            </w:pPr>
          </w:p>
        </w:tc>
        <w:tc>
          <w:tcPr>
            <w:tcW w:w="8900" w:type="dxa"/>
            <w:vAlign w:val="bottom"/>
            <w:gridSpan w:val="12"/>
          </w:tcPr>
          <w:p>
            <w:pPr>
              <w:spacing w:after="0"/>
              <w:rPr>
                <w:sz w:val="20"/>
                <w:szCs w:val="20"/>
                <w:color w:val="auto"/>
              </w:rPr>
            </w:pPr>
            <w:r>
              <w:rPr>
                <w:rFonts w:ascii="Arial" w:cs="Arial" w:eastAsia="Arial" w:hAnsi="Arial"/>
                <w:sz w:val="18"/>
                <w:szCs w:val="18"/>
                <w:color w:val="auto"/>
              </w:rPr>
              <w:t>(If you are an LLC, check the box marked “Other,” write “LLC,” and also check one of the other</w:t>
            </w: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900" w:type="dxa"/>
            <w:vAlign w:val="bottom"/>
            <w:gridSpan w:val="12"/>
          </w:tcPr>
          <w:p>
            <w:pPr>
              <w:spacing w:after="0"/>
              <w:rPr>
                <w:sz w:val="20"/>
                <w:szCs w:val="20"/>
                <w:color w:val="auto"/>
              </w:rPr>
            </w:pPr>
            <w:r>
              <w:rPr>
                <w:rFonts w:ascii="Arial" w:cs="Arial" w:eastAsia="Arial" w:hAnsi="Arial"/>
                <w:sz w:val="18"/>
                <w:szCs w:val="18"/>
                <w:color w:val="auto"/>
              </w:rPr>
              <w:t>boxes to indicate your tax status (e.g., disregarded entity, individual/sole proprietor, corporation,</w:t>
            </w:r>
          </w:p>
        </w:tc>
        <w:tc>
          <w:tcPr>
            <w:tcW w:w="0" w:type="dxa"/>
            <w:vAlign w:val="bottom"/>
          </w:tcPr>
          <w:p>
            <w:pPr>
              <w:spacing w:after="0"/>
              <w:rPr>
                <w:sz w:val="1"/>
                <w:szCs w:val="1"/>
                <w:color w:val="auto"/>
              </w:rPr>
            </w:pPr>
          </w:p>
        </w:tc>
      </w:tr>
      <w:tr>
        <w:trPr>
          <w:trHeight w:val="222"/>
        </w:trPr>
        <w:tc>
          <w:tcPr>
            <w:tcW w:w="22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partnership).)</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20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b w:val="1"/>
                <w:bCs w:val="1"/>
                <w:color w:val="auto"/>
              </w:rPr>
              <w:t xml:space="preserve">Part 2—Awaiting TIN </w:t>
            </w: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900" w:type="dxa"/>
            <w:vAlign w:val="bottom"/>
            <w:gridSpan w:val="12"/>
          </w:tcPr>
          <w:p>
            <w:pPr>
              <w:spacing w:after="0"/>
              <w:rPr>
                <w:sz w:val="20"/>
                <w:szCs w:val="20"/>
                <w:color w:val="auto"/>
              </w:rPr>
            </w:pPr>
            <w:r>
              <w:rPr>
                <w:rFonts w:ascii="Arial" w:cs="Arial" w:eastAsia="Arial" w:hAnsi="Arial"/>
                <w:sz w:val="18"/>
                <w:szCs w:val="18"/>
                <w:b w:val="1"/>
                <w:bCs w:val="1"/>
                <w:color w:val="auto"/>
              </w:rPr>
              <w:t>Part 3—</w:t>
            </w:r>
            <w:r>
              <w:rPr>
                <w:rFonts w:ascii="Arial" w:cs="Arial" w:eastAsia="Arial" w:hAnsi="Arial"/>
                <w:sz w:val="18"/>
                <w:szCs w:val="18"/>
                <w:color w:val="auto"/>
              </w:rPr>
              <w:t>CERTIFICATION:  UNDER THE PENALTIES OF PERJURY, I CERTIFY THAT:</w:t>
            </w:r>
          </w:p>
        </w:tc>
        <w:tc>
          <w:tcPr>
            <w:tcW w:w="0" w:type="dxa"/>
            <w:vAlign w:val="bottom"/>
          </w:tcPr>
          <w:p>
            <w:pPr>
              <w:spacing w:after="0"/>
              <w:rPr>
                <w:sz w:val="1"/>
                <w:szCs w:val="1"/>
                <w:color w:val="auto"/>
              </w:rPr>
            </w:pPr>
          </w:p>
        </w:tc>
      </w:tr>
      <w:tr>
        <w:trPr>
          <w:trHeight w:val="323"/>
        </w:trPr>
        <w:tc>
          <w:tcPr>
            <w:tcW w:w="22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900" w:type="dxa"/>
            <w:vAlign w:val="bottom"/>
            <w:gridSpan w:val="12"/>
          </w:tcPr>
          <w:p>
            <w:pPr>
              <w:spacing w:after="0"/>
              <w:rPr>
                <w:sz w:val="20"/>
                <w:szCs w:val="20"/>
                <w:color w:val="auto"/>
              </w:rPr>
            </w:pPr>
            <w:r>
              <w:rPr>
                <w:rFonts w:ascii="Arial" w:cs="Arial" w:eastAsia="Arial" w:hAnsi="Arial"/>
                <w:sz w:val="18"/>
                <w:szCs w:val="18"/>
                <w:color w:val="auto"/>
              </w:rPr>
              <w:t>(1)  the number shown on this form is my correct TIN (or I am waiting for a number to be issued to me),</w:t>
            </w:r>
          </w:p>
        </w:tc>
        <w:tc>
          <w:tcPr>
            <w:tcW w:w="0" w:type="dxa"/>
            <w:vAlign w:val="bottom"/>
          </w:tcPr>
          <w:p>
            <w:pPr>
              <w:spacing w:after="0"/>
              <w:rPr>
                <w:sz w:val="1"/>
                <w:szCs w:val="1"/>
                <w:color w:val="auto"/>
              </w:rPr>
            </w:pPr>
          </w:p>
        </w:tc>
      </w:tr>
      <w:tr>
        <w:trPr>
          <w:trHeight w:val="331"/>
        </w:trPr>
        <w:tc>
          <w:tcPr>
            <w:tcW w:w="22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900" w:type="dxa"/>
            <w:vAlign w:val="bottom"/>
            <w:gridSpan w:val="12"/>
          </w:tcPr>
          <w:p>
            <w:pPr>
              <w:spacing w:after="0"/>
              <w:rPr>
                <w:sz w:val="20"/>
                <w:szCs w:val="20"/>
                <w:color w:val="auto"/>
              </w:rPr>
            </w:pPr>
            <w:r>
              <w:rPr>
                <w:rFonts w:ascii="Arial" w:cs="Arial" w:eastAsia="Arial" w:hAnsi="Arial"/>
                <w:sz w:val="18"/>
                <w:szCs w:val="18"/>
                <w:color w:val="auto"/>
                <w:w w:val="95"/>
              </w:rPr>
              <w:t>(2)  I am not subject to backup withholding either because: (a) I am exempt from backup withholding, or (b) I have not</w:t>
            </w: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900" w:type="dxa"/>
            <w:vAlign w:val="bottom"/>
            <w:gridSpan w:val="12"/>
          </w:tcPr>
          <w:p>
            <w:pPr>
              <w:ind w:left="420"/>
              <w:spacing w:after="0"/>
              <w:rPr>
                <w:sz w:val="20"/>
                <w:szCs w:val="20"/>
                <w:color w:val="auto"/>
              </w:rPr>
            </w:pPr>
            <w:r>
              <w:rPr>
                <w:rFonts w:ascii="Arial" w:cs="Arial" w:eastAsia="Arial" w:hAnsi="Arial"/>
                <w:sz w:val="18"/>
                <w:szCs w:val="18"/>
                <w:color w:val="auto"/>
                <w:w w:val="94"/>
              </w:rPr>
              <w:t>been notified by the Internal Revenue Service (the “IRS”) that I am subject to backup withholding as a result of a</w:t>
            </w: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900" w:type="dxa"/>
            <w:vAlign w:val="bottom"/>
            <w:gridSpan w:val="12"/>
          </w:tcPr>
          <w:p>
            <w:pPr>
              <w:ind w:left="420"/>
              <w:spacing w:after="0"/>
              <w:rPr>
                <w:sz w:val="20"/>
                <w:szCs w:val="20"/>
                <w:color w:val="auto"/>
              </w:rPr>
            </w:pPr>
            <w:r>
              <w:rPr>
                <w:rFonts w:ascii="Arial" w:cs="Arial" w:eastAsia="Arial" w:hAnsi="Arial"/>
                <w:sz w:val="18"/>
                <w:szCs w:val="18"/>
                <w:color w:val="auto"/>
                <w:w w:val="99"/>
              </w:rPr>
              <w:t>failure to report all interest or dividends, or (c) the IRS has notified me that I am no longer subject to backup</w:t>
            </w:r>
          </w:p>
        </w:tc>
        <w:tc>
          <w:tcPr>
            <w:tcW w:w="0" w:type="dxa"/>
            <w:vAlign w:val="bottom"/>
          </w:tcPr>
          <w:p>
            <w:pPr>
              <w:spacing w:after="0"/>
              <w:rPr>
                <w:sz w:val="1"/>
                <w:szCs w:val="1"/>
                <w:color w:val="auto"/>
              </w:rPr>
            </w:pPr>
          </w:p>
        </w:tc>
      </w:tr>
      <w:tr>
        <w:trPr>
          <w:trHeight w:val="222"/>
        </w:trPr>
        <w:tc>
          <w:tcPr>
            <w:tcW w:w="22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3"/>
          </w:tcPr>
          <w:p>
            <w:pPr>
              <w:ind w:left="420"/>
              <w:spacing w:after="0"/>
              <w:rPr>
                <w:sz w:val="20"/>
                <w:szCs w:val="20"/>
                <w:color w:val="auto"/>
              </w:rPr>
            </w:pPr>
            <w:r>
              <w:rPr>
                <w:rFonts w:ascii="Arial" w:cs="Arial" w:eastAsia="Arial" w:hAnsi="Arial"/>
                <w:sz w:val="18"/>
                <w:szCs w:val="18"/>
                <w:color w:val="auto"/>
              </w:rPr>
              <w:t>withholding, and</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2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900" w:type="dxa"/>
            <w:vAlign w:val="bottom"/>
            <w:gridSpan w:val="12"/>
          </w:tcPr>
          <w:p>
            <w:pPr>
              <w:spacing w:after="0"/>
              <w:rPr>
                <w:sz w:val="20"/>
                <w:szCs w:val="20"/>
                <w:color w:val="auto"/>
              </w:rPr>
            </w:pPr>
            <w:r>
              <w:rPr>
                <w:rFonts w:ascii="Arial" w:cs="Arial" w:eastAsia="Arial" w:hAnsi="Arial"/>
                <w:sz w:val="18"/>
                <w:szCs w:val="18"/>
                <w:color w:val="auto"/>
              </w:rPr>
              <w:t>(3)  I am a U.S. person (including a U.S. resident alien).</w:t>
            </w:r>
          </w:p>
        </w:tc>
        <w:tc>
          <w:tcPr>
            <w:tcW w:w="0" w:type="dxa"/>
            <w:vAlign w:val="bottom"/>
          </w:tcPr>
          <w:p>
            <w:pPr>
              <w:spacing w:after="0"/>
              <w:rPr>
                <w:sz w:val="1"/>
                <w:szCs w:val="1"/>
                <w:color w:val="auto"/>
              </w:rPr>
            </w:pPr>
          </w:p>
        </w:tc>
      </w:tr>
      <w:tr>
        <w:trPr>
          <w:trHeight w:val="331"/>
        </w:trPr>
        <w:tc>
          <w:tcPr>
            <w:tcW w:w="22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900" w:type="dxa"/>
            <w:vAlign w:val="bottom"/>
            <w:gridSpan w:val="12"/>
          </w:tcPr>
          <w:p>
            <w:pPr>
              <w:spacing w:after="0"/>
              <w:rPr>
                <w:sz w:val="20"/>
                <w:szCs w:val="20"/>
                <w:color w:val="auto"/>
              </w:rPr>
            </w:pPr>
            <w:r>
              <w:rPr>
                <w:rFonts w:ascii="Arial" w:cs="Arial" w:eastAsia="Arial" w:hAnsi="Arial"/>
                <w:sz w:val="18"/>
                <w:szCs w:val="18"/>
                <w:color w:val="auto"/>
              </w:rPr>
              <w:t>For U.S. Payees Exempt from Backup Withholding (write “Exempt” in</w:t>
            </w:r>
          </w:p>
        </w:tc>
        <w:tc>
          <w:tcPr>
            <w:tcW w:w="0" w:type="dxa"/>
            <w:vAlign w:val="bottom"/>
          </w:tcPr>
          <w:p>
            <w:pPr>
              <w:spacing w:after="0"/>
              <w:rPr>
                <w:sz w:val="1"/>
                <w:szCs w:val="1"/>
                <w:color w:val="auto"/>
              </w:rPr>
            </w:pPr>
          </w:p>
        </w:tc>
      </w:tr>
      <w:tr>
        <w:trPr>
          <w:trHeight w:val="184"/>
        </w:trPr>
        <w:tc>
          <w:tcPr>
            <w:tcW w:w="22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spacing w:after="0" w:line="184" w:lineRule="exact"/>
              <w:rPr>
                <w:sz w:val="20"/>
                <w:szCs w:val="20"/>
                <w:color w:val="auto"/>
              </w:rPr>
            </w:pPr>
            <w:r>
              <w:rPr>
                <w:rFonts w:ascii="Arial" w:cs="Arial" w:eastAsia="Arial" w:hAnsi="Arial"/>
                <w:sz w:val="18"/>
                <w:szCs w:val="18"/>
                <w:color w:val="auto"/>
                <w:w w:val="97"/>
              </w:rPr>
              <w:t>this space):</w:t>
            </w: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2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gridSpan w:val="5"/>
          </w:tcPr>
          <w:p>
            <w:pPr>
              <w:spacing w:after="0"/>
              <w:rPr>
                <w:sz w:val="20"/>
                <w:szCs w:val="20"/>
                <w:color w:val="auto"/>
              </w:rPr>
            </w:pPr>
            <w:r>
              <w:rPr>
                <w:rFonts w:ascii="Arial" w:cs="Arial" w:eastAsia="Arial" w:hAnsi="Arial"/>
                <w:sz w:val="18"/>
                <w:szCs w:val="18"/>
                <w:color w:val="auto"/>
              </w:rPr>
              <w:t>SIGNATUREOF U.S. PERSON</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20" w:right="480"/>
        <w:spacing w:after="0" w:line="306" w:lineRule="auto"/>
        <w:rPr>
          <w:sz w:val="20"/>
          <w:szCs w:val="20"/>
          <w:color w:val="auto"/>
        </w:rPr>
      </w:pPr>
      <w:r>
        <w:rPr>
          <w:rFonts w:ascii="Arial" w:cs="Arial" w:eastAsia="Arial" w:hAnsi="Arial"/>
          <w:sz w:val="16"/>
          <w:szCs w:val="16"/>
          <w:color w:val="auto"/>
        </w:rPr>
        <w:t>You must cross out item (2) of the above certification if you have been notified by the IRS that you are subject to backup withholding because of underreporting of interest or dividends on your tax return and you have not been notified by the IRS that you are no longer subject to backup withholding. (Also see instructions in the enclosed Guidelines for Certification of Taxpayer Identification Number on Substitute Form W-9.)</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YOU MUST COMPLETE THE FOLLOWING CERTIFICATE IF YOU CHECKED THE BOX</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PART 2 OF SUBSTITUTE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76465" cy="11963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76465" cy="1196340"/>
                    </a:xfrm>
                    <a:prstGeom prst="rect">
                      <a:avLst/>
                    </a:prstGeom>
                    <a:noFill/>
                  </pic:spPr>
                </pic:pic>
              </a:graphicData>
            </a:graphic>
          </wp:anchor>
        </w:drawing>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123" w:lineRule="exact"/>
        <w:rPr>
          <w:sz w:val="20"/>
          <w:szCs w:val="20"/>
          <w:color w:val="auto"/>
        </w:rPr>
      </w:pPr>
    </w:p>
    <w:p>
      <w:pPr>
        <w:ind w:left="260" w:right="540" w:firstLine="438"/>
        <w:spacing w:after="0" w:line="286" w:lineRule="auto"/>
        <w:rPr>
          <w:sz w:val="20"/>
          <w:szCs w:val="20"/>
          <w:color w:val="auto"/>
        </w:rPr>
      </w:pPr>
      <w:r>
        <w:rPr>
          <w:rFonts w:ascii="Arial" w:cs="Arial" w:eastAsia="Arial" w:hAnsi="Arial"/>
          <w:sz w:val="16"/>
          <w:szCs w:val="16"/>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w:t>
      </w:r>
    </w:p>
    <w:p>
      <w:pPr>
        <w:ind w:left="260" w:right="240" w:hanging="6"/>
        <w:spacing w:after="0" w:line="255" w:lineRule="auto"/>
        <w:tabs>
          <w:tab w:leader="none" w:pos="50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intend to mail or deliver an application in the near future. I understand that if I do not provide a Taxpayer Identification Number by the time of the exchange, an amount equal to the then applicable backup withholding rate on all reportable payments made to me thereafter will be withheld until I provide a number.</w:t>
      </w:r>
    </w:p>
    <w:p>
      <w:pPr>
        <w:spacing w:after="0" w:line="98" w:lineRule="exact"/>
        <w:rPr>
          <w:sz w:val="20"/>
          <w:szCs w:val="20"/>
          <w:color w:val="auto"/>
        </w:rPr>
      </w:pPr>
    </w:p>
    <w:p>
      <w:pPr>
        <w:ind w:left="220"/>
        <w:spacing w:after="0"/>
        <w:tabs>
          <w:tab w:leader="none" w:pos="62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490" w:right="21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GUIDELINES FOR CERTIFICATION OF TAXPAYER IDENTIFICATION NUMBER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SUBSTITUTE FORM W-9</w:t>
      </w:r>
    </w:p>
    <w:p>
      <w:pPr>
        <w:spacing w:after="0" w:line="159"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GUIDELINES FOR DETERMINING THE PROPER IDENTIFICATION NUMBER TO GIVE THE PAYOR</w:t>
      </w:r>
      <w:r>
        <w:rPr>
          <w:rFonts w:ascii="Arial" w:cs="Arial" w:eastAsia="Arial" w:hAnsi="Arial"/>
          <w:sz w:val="18"/>
          <w:szCs w:val="18"/>
          <w:color w:val="auto"/>
        </w:rPr>
        <w:t>—Social security numbers have nine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digits separated by two hyphens, </w:t>
      </w:r>
      <w:r>
        <w:rPr>
          <w:rFonts w:ascii="Arial" w:cs="Arial" w:eastAsia="Arial" w:hAnsi="Arial"/>
          <w:sz w:val="18"/>
          <w:szCs w:val="18"/>
          <w:i w:val="1"/>
          <w:iCs w:val="1"/>
          <w:color w:val="auto"/>
        </w:rPr>
        <w:t>e.g</w:t>
      </w:r>
      <w:r>
        <w:rPr>
          <w:rFonts w:ascii="Arial" w:cs="Arial" w:eastAsia="Arial" w:hAnsi="Arial"/>
          <w:sz w:val="18"/>
          <w:szCs w:val="18"/>
          <w:color w:val="auto"/>
        </w:rPr>
        <w:t xml:space="preserve">., 000-00-0000. Employer identification numbers have nine digits separated by only one hyphen, </w:t>
      </w:r>
      <w:r>
        <w:rPr>
          <w:rFonts w:ascii="Arial" w:cs="Arial" w:eastAsia="Arial" w:hAnsi="Arial"/>
          <w:sz w:val="18"/>
          <w:szCs w:val="18"/>
          <w:i w:val="1"/>
          <w:iCs w:val="1"/>
          <w:color w:val="auto"/>
        </w:rPr>
        <w:t>e.g</w:t>
      </w:r>
      <w:r>
        <w:rPr>
          <w:rFonts w:ascii="Arial" w:cs="Arial" w:eastAsia="Arial" w:hAnsi="Arial"/>
          <w:sz w:val="18"/>
          <w:szCs w:val="18"/>
          <w:color w:val="auto"/>
        </w:rPr>
        <w:t>., 00-0000000. The table below will help determine the number to give the payor.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Give the name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0" w:type="dxa"/>
            <w:vAlign w:val="bottom"/>
            <w:gridSpan w:val="2"/>
          </w:tcPr>
          <w:p>
            <w:pPr>
              <w:ind w:left="60"/>
              <w:spacing w:after="0"/>
              <w:rPr>
                <w:sz w:val="20"/>
                <w:szCs w:val="20"/>
                <w:color w:val="auto"/>
              </w:rPr>
            </w:pPr>
            <w:r>
              <w:rPr>
                <w:rFonts w:ascii="Arial" w:cs="Arial" w:eastAsia="Arial" w:hAnsi="Arial"/>
                <w:sz w:val="18"/>
                <w:szCs w:val="18"/>
                <w:b w:val="1"/>
                <w:bCs w:val="1"/>
                <w:color w:val="auto"/>
              </w:rPr>
              <w:t>Give the name* and</w:t>
            </w: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b w:val="1"/>
                <w:bCs w:val="1"/>
                <w:color w:val="auto"/>
              </w:rPr>
              <w:t>EMPLOYER</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0" w:type="dxa"/>
            <w:vAlign w:val="bottom"/>
            <w:gridSpan w:val="2"/>
          </w:tcPr>
          <w:p>
            <w:pPr>
              <w:ind w:left="60"/>
              <w:spacing w:after="0"/>
              <w:rPr>
                <w:sz w:val="20"/>
                <w:szCs w:val="20"/>
                <w:color w:val="auto"/>
              </w:rPr>
            </w:pPr>
            <w:r>
              <w:rPr>
                <w:rFonts w:ascii="Arial" w:cs="Arial" w:eastAsia="Arial" w:hAnsi="Arial"/>
                <w:sz w:val="18"/>
                <w:szCs w:val="18"/>
                <w:b w:val="1"/>
                <w:bCs w:val="1"/>
                <w:color w:val="auto"/>
              </w:rPr>
              <w:t>SOCIAL SECURITY</w:t>
            </w: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b w:val="1"/>
                <w:bCs w:val="1"/>
                <w:color w:val="auto"/>
              </w:rPr>
              <w:t>IDENTIFICATION</w:t>
            </w:r>
          </w:p>
        </w:tc>
      </w:tr>
      <w:tr>
        <w:trPr>
          <w:trHeight w:val="229"/>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For this type of account:</w:t>
            </w:r>
          </w:p>
        </w:tc>
        <w:tc>
          <w:tcPr>
            <w:tcW w:w="340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 of—</w:t>
            </w:r>
          </w:p>
        </w:tc>
        <w:tc>
          <w:tcPr>
            <w:tcW w:w="372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this type of account:</w:t>
            </w:r>
          </w:p>
        </w:tc>
        <w:tc>
          <w:tcPr>
            <w:tcW w:w="1860" w:type="dxa"/>
            <w:vAlign w:val="bottom"/>
          </w:tcPr>
          <w:p>
            <w:pPr>
              <w:ind w:left="60"/>
              <w:spacing w:after="0"/>
              <w:rPr>
                <w:sz w:val="20"/>
                <w:szCs w:val="20"/>
                <w:color w:val="auto"/>
              </w:rPr>
            </w:pPr>
            <w:r>
              <w:rPr>
                <w:rFonts w:ascii="Arial" w:cs="Arial" w:eastAsia="Arial" w:hAnsi="Arial"/>
                <w:sz w:val="18"/>
                <w:szCs w:val="18"/>
                <w:b w:val="1"/>
                <w:bCs w:val="1"/>
                <w:color w:val="auto"/>
              </w:rPr>
              <w:t>number of—</w:t>
            </w:r>
          </w:p>
        </w:tc>
      </w:tr>
      <w:tr>
        <w:trPr>
          <w:trHeight w:val="132"/>
        </w:trPr>
        <w:tc>
          <w:tcPr>
            <w:tcW w:w="20" w:type="dxa"/>
            <w:vAlign w:val="bottom"/>
          </w:tcPr>
          <w:p>
            <w:pPr>
              <w:spacing w:after="0"/>
              <w:rPr>
                <w:sz w:val="11"/>
                <w:szCs w:val="11"/>
                <w:color w:val="auto"/>
              </w:rPr>
            </w:pPr>
          </w:p>
        </w:tc>
        <w:tc>
          <w:tcPr>
            <w:tcW w:w="440" w:type="dxa"/>
            <w:vAlign w:val="bottom"/>
            <w:tcBorders>
              <w:top w:val="single" w:sz="8" w:color="auto"/>
            </w:tcBorders>
          </w:tcPr>
          <w:p>
            <w:pPr>
              <w:jc w:val="right"/>
              <w:ind w:right="212"/>
              <w:spacing w:after="0" w:line="133" w:lineRule="exact"/>
              <w:rPr>
                <w:sz w:val="20"/>
                <w:szCs w:val="20"/>
                <w:color w:val="auto"/>
              </w:rPr>
            </w:pPr>
            <w:r>
              <w:rPr>
                <w:rFonts w:ascii="Arial" w:cs="Arial" w:eastAsia="Arial" w:hAnsi="Arial"/>
                <w:sz w:val="14"/>
                <w:szCs w:val="14"/>
                <w:color w:val="auto"/>
              </w:rPr>
              <w:t>1.</w:t>
            </w:r>
          </w:p>
        </w:tc>
        <w:tc>
          <w:tcPr>
            <w:tcW w:w="1980" w:type="dxa"/>
            <w:vAlign w:val="bottom"/>
            <w:tcBorders>
              <w:top w:val="single" w:sz="8" w:color="auto"/>
            </w:tcBorders>
          </w:tcPr>
          <w:p>
            <w:pPr>
              <w:ind w:left="260"/>
              <w:spacing w:after="0" w:line="133" w:lineRule="exact"/>
              <w:rPr>
                <w:sz w:val="20"/>
                <w:szCs w:val="20"/>
                <w:color w:val="auto"/>
              </w:rPr>
            </w:pPr>
            <w:r>
              <w:rPr>
                <w:rFonts w:ascii="Arial" w:cs="Arial" w:eastAsia="Arial" w:hAnsi="Arial"/>
                <w:sz w:val="14"/>
                <w:szCs w:val="14"/>
                <w:color w:val="auto"/>
              </w:rPr>
              <w:t>Individual</w:t>
            </w:r>
          </w:p>
        </w:tc>
        <w:tc>
          <w:tcPr>
            <w:tcW w:w="326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color w:val="auto"/>
              </w:rPr>
              <w:t>The individual</w:t>
            </w:r>
          </w:p>
        </w:tc>
        <w:tc>
          <w:tcPr>
            <w:tcW w:w="140" w:type="dxa"/>
            <w:vAlign w:val="bottom"/>
          </w:tcPr>
          <w:p>
            <w:pPr>
              <w:spacing w:after="0"/>
              <w:rPr>
                <w:sz w:val="11"/>
                <w:szCs w:val="11"/>
                <w:color w:val="auto"/>
              </w:rPr>
            </w:pPr>
          </w:p>
        </w:tc>
        <w:tc>
          <w:tcPr>
            <w:tcW w:w="380" w:type="dxa"/>
            <w:vAlign w:val="bottom"/>
            <w:tcBorders>
              <w:top w:val="single" w:sz="8" w:color="auto"/>
            </w:tcBorders>
          </w:tcPr>
          <w:p>
            <w:pPr>
              <w:jc w:val="right"/>
              <w:ind w:right="90"/>
              <w:spacing w:after="0" w:line="133" w:lineRule="exact"/>
              <w:rPr>
                <w:sz w:val="20"/>
                <w:szCs w:val="20"/>
                <w:color w:val="auto"/>
              </w:rPr>
            </w:pPr>
            <w:r>
              <w:rPr>
                <w:rFonts w:ascii="Arial" w:cs="Arial" w:eastAsia="Arial" w:hAnsi="Arial"/>
                <w:sz w:val="14"/>
                <w:szCs w:val="14"/>
                <w:color w:val="auto"/>
              </w:rPr>
              <w:t>6.</w:t>
            </w:r>
          </w:p>
        </w:tc>
        <w:tc>
          <w:tcPr>
            <w:tcW w:w="3340" w:type="dxa"/>
            <w:vAlign w:val="bottom"/>
            <w:tcBorders>
              <w:top w:val="single" w:sz="8" w:color="auto"/>
            </w:tcBorders>
          </w:tcPr>
          <w:p>
            <w:pPr>
              <w:ind w:left="160"/>
              <w:spacing w:after="0" w:line="133" w:lineRule="exact"/>
              <w:rPr>
                <w:sz w:val="20"/>
                <w:szCs w:val="20"/>
                <w:color w:val="auto"/>
              </w:rPr>
            </w:pPr>
            <w:r>
              <w:rPr>
                <w:rFonts w:ascii="Arial" w:cs="Arial" w:eastAsia="Arial" w:hAnsi="Arial"/>
                <w:sz w:val="14"/>
                <w:szCs w:val="14"/>
                <w:color w:val="auto"/>
              </w:rPr>
              <w:t>Sole proprietorship or</w:t>
            </w:r>
          </w:p>
        </w:tc>
        <w:tc>
          <w:tcPr>
            <w:tcW w:w="186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color w:val="auto"/>
              </w:rPr>
              <w:t>The owner(3)</w:t>
            </w: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ind w:left="160"/>
              <w:spacing w:after="0"/>
              <w:rPr>
                <w:sz w:val="20"/>
                <w:szCs w:val="20"/>
                <w:color w:val="auto"/>
              </w:rPr>
            </w:pPr>
            <w:r>
              <w:rPr>
                <w:rFonts w:ascii="Arial" w:cs="Arial" w:eastAsia="Arial" w:hAnsi="Arial"/>
                <w:sz w:val="14"/>
                <w:szCs w:val="14"/>
                <w:color w:val="auto"/>
              </w:rPr>
              <w:t>single-owner LLC</w:t>
            </w:r>
          </w:p>
        </w:tc>
        <w:tc>
          <w:tcPr>
            <w:tcW w:w="1860" w:type="dxa"/>
            <w:vAlign w:val="bottom"/>
          </w:tcPr>
          <w:p>
            <w:pPr>
              <w:spacing w:after="0"/>
              <w:rPr>
                <w:sz w:val="14"/>
                <w:szCs w:val="14"/>
                <w:color w:val="auto"/>
              </w:rPr>
            </w:pPr>
          </w:p>
        </w:tc>
      </w:tr>
      <w:tr>
        <w:trPr>
          <w:trHeight w:val="233"/>
        </w:trPr>
        <w:tc>
          <w:tcPr>
            <w:tcW w:w="460" w:type="dxa"/>
            <w:vAlign w:val="bottom"/>
            <w:gridSpan w:val="2"/>
          </w:tcPr>
          <w:p>
            <w:pPr>
              <w:jc w:val="right"/>
              <w:ind w:right="212"/>
              <w:spacing w:after="0"/>
              <w:rPr>
                <w:sz w:val="20"/>
                <w:szCs w:val="20"/>
                <w:color w:val="auto"/>
              </w:rPr>
            </w:pPr>
            <w:r>
              <w:rPr>
                <w:rFonts w:ascii="Arial" w:cs="Arial" w:eastAsia="Arial" w:hAnsi="Arial"/>
                <w:sz w:val="14"/>
                <w:szCs w:val="14"/>
                <w:color w:val="auto"/>
              </w:rPr>
              <w:t>2.</w:t>
            </w:r>
          </w:p>
        </w:tc>
        <w:tc>
          <w:tcPr>
            <w:tcW w:w="1980" w:type="dxa"/>
            <w:vAlign w:val="bottom"/>
          </w:tcPr>
          <w:p>
            <w:pPr>
              <w:ind w:left="260"/>
              <w:spacing w:after="0"/>
              <w:rPr>
                <w:sz w:val="20"/>
                <w:szCs w:val="20"/>
                <w:color w:val="auto"/>
              </w:rPr>
            </w:pPr>
            <w:r>
              <w:rPr>
                <w:rFonts w:ascii="Arial" w:cs="Arial" w:eastAsia="Arial" w:hAnsi="Arial"/>
                <w:sz w:val="14"/>
                <w:szCs w:val="14"/>
                <w:color w:val="auto"/>
                <w:w w:val="93"/>
              </w:rPr>
              <w:t>Two or more individuals (joint</w:t>
            </w:r>
          </w:p>
        </w:tc>
        <w:tc>
          <w:tcPr>
            <w:tcW w:w="3400" w:type="dxa"/>
            <w:vAlign w:val="bottom"/>
            <w:gridSpan w:val="2"/>
          </w:tcPr>
          <w:p>
            <w:pPr>
              <w:ind w:left="60"/>
              <w:spacing w:after="0"/>
              <w:rPr>
                <w:sz w:val="20"/>
                <w:szCs w:val="20"/>
                <w:color w:val="auto"/>
              </w:rPr>
            </w:pPr>
            <w:r>
              <w:rPr>
                <w:rFonts w:ascii="Arial" w:cs="Arial" w:eastAsia="Arial" w:hAnsi="Arial"/>
                <w:sz w:val="14"/>
                <w:szCs w:val="14"/>
                <w:color w:val="auto"/>
              </w:rPr>
              <w:t>The actual owner of the account</w:t>
            </w:r>
          </w:p>
        </w:tc>
        <w:tc>
          <w:tcPr>
            <w:tcW w:w="380" w:type="dxa"/>
            <w:vAlign w:val="bottom"/>
          </w:tcPr>
          <w:p>
            <w:pPr>
              <w:jc w:val="right"/>
              <w:ind w:right="90"/>
              <w:spacing w:after="0"/>
              <w:rPr>
                <w:sz w:val="20"/>
                <w:szCs w:val="20"/>
                <w:color w:val="auto"/>
              </w:rPr>
            </w:pPr>
            <w:r>
              <w:rPr>
                <w:rFonts w:ascii="Arial" w:cs="Arial" w:eastAsia="Arial" w:hAnsi="Arial"/>
                <w:sz w:val="14"/>
                <w:szCs w:val="14"/>
                <w:color w:val="auto"/>
              </w:rPr>
              <w:t>7.</w:t>
            </w:r>
          </w:p>
        </w:tc>
        <w:tc>
          <w:tcPr>
            <w:tcW w:w="3340" w:type="dxa"/>
            <w:vAlign w:val="bottom"/>
          </w:tcPr>
          <w:p>
            <w:pPr>
              <w:ind w:left="160"/>
              <w:spacing w:after="0"/>
              <w:rPr>
                <w:sz w:val="20"/>
                <w:szCs w:val="20"/>
                <w:color w:val="auto"/>
              </w:rPr>
            </w:pPr>
            <w:r>
              <w:rPr>
                <w:rFonts w:ascii="Arial" w:cs="Arial" w:eastAsia="Arial" w:hAnsi="Arial"/>
                <w:sz w:val="14"/>
                <w:szCs w:val="14"/>
                <w:color w:val="auto"/>
              </w:rPr>
              <w:t>A valid trust, estate, or pension trust</w:t>
            </w:r>
          </w:p>
        </w:tc>
        <w:tc>
          <w:tcPr>
            <w:tcW w:w="1860" w:type="dxa"/>
            <w:vAlign w:val="bottom"/>
          </w:tcPr>
          <w:p>
            <w:pPr>
              <w:ind w:left="60"/>
              <w:spacing w:after="0"/>
              <w:rPr>
                <w:sz w:val="20"/>
                <w:szCs w:val="20"/>
                <w:color w:val="auto"/>
              </w:rPr>
            </w:pPr>
            <w:r>
              <w:rPr>
                <w:rFonts w:ascii="Arial" w:cs="Arial" w:eastAsia="Arial" w:hAnsi="Arial"/>
                <w:sz w:val="14"/>
                <w:szCs w:val="14"/>
                <w:color w:val="auto"/>
              </w:rPr>
              <w:t>Legal entity(4)</w:t>
            </w: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ind w:left="260"/>
              <w:spacing w:after="0"/>
              <w:rPr>
                <w:sz w:val="20"/>
                <w:szCs w:val="20"/>
                <w:color w:val="auto"/>
              </w:rPr>
            </w:pPr>
            <w:r>
              <w:rPr>
                <w:rFonts w:ascii="Arial" w:cs="Arial" w:eastAsia="Arial" w:hAnsi="Arial"/>
                <w:sz w:val="14"/>
                <w:szCs w:val="14"/>
                <w:color w:val="auto"/>
              </w:rPr>
              <w:t>account)</w:t>
            </w:r>
          </w:p>
        </w:tc>
        <w:tc>
          <w:tcPr>
            <w:tcW w:w="3400" w:type="dxa"/>
            <w:vAlign w:val="bottom"/>
            <w:gridSpan w:val="2"/>
          </w:tcPr>
          <w:p>
            <w:pPr>
              <w:ind w:left="60"/>
              <w:spacing w:after="0"/>
              <w:rPr>
                <w:sz w:val="20"/>
                <w:szCs w:val="20"/>
                <w:color w:val="auto"/>
              </w:rPr>
            </w:pPr>
            <w:r>
              <w:rPr>
                <w:rFonts w:ascii="Arial" w:cs="Arial" w:eastAsia="Arial" w:hAnsi="Arial"/>
                <w:sz w:val="14"/>
                <w:szCs w:val="14"/>
                <w:color w:val="auto"/>
                <w:w w:val="92"/>
              </w:rPr>
              <w:t>or, if combined funds, the first individual on the account(1)</w:t>
            </w: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3"/>
        </w:trPr>
        <w:tc>
          <w:tcPr>
            <w:tcW w:w="460" w:type="dxa"/>
            <w:vAlign w:val="bottom"/>
            <w:gridSpan w:val="2"/>
          </w:tcPr>
          <w:p>
            <w:pPr>
              <w:jc w:val="right"/>
              <w:ind w:right="212"/>
              <w:spacing w:after="0"/>
              <w:rPr>
                <w:sz w:val="20"/>
                <w:szCs w:val="20"/>
                <w:color w:val="auto"/>
              </w:rPr>
            </w:pPr>
            <w:r>
              <w:rPr>
                <w:rFonts w:ascii="Arial" w:cs="Arial" w:eastAsia="Arial" w:hAnsi="Arial"/>
                <w:sz w:val="14"/>
                <w:szCs w:val="14"/>
                <w:color w:val="auto"/>
              </w:rPr>
              <w:t>3.</w:t>
            </w:r>
          </w:p>
        </w:tc>
        <w:tc>
          <w:tcPr>
            <w:tcW w:w="1980" w:type="dxa"/>
            <w:vAlign w:val="bottom"/>
          </w:tcPr>
          <w:p>
            <w:pPr>
              <w:ind w:left="260"/>
              <w:spacing w:after="0"/>
              <w:rPr>
                <w:sz w:val="20"/>
                <w:szCs w:val="20"/>
                <w:color w:val="auto"/>
              </w:rPr>
            </w:pPr>
            <w:r>
              <w:rPr>
                <w:rFonts w:ascii="Arial" w:cs="Arial" w:eastAsia="Arial" w:hAnsi="Arial"/>
                <w:sz w:val="14"/>
                <w:szCs w:val="14"/>
                <w:color w:val="auto"/>
                <w:w w:val="93"/>
              </w:rPr>
              <w:t>Custodian account of a minor</w:t>
            </w:r>
          </w:p>
        </w:tc>
        <w:tc>
          <w:tcPr>
            <w:tcW w:w="3400" w:type="dxa"/>
            <w:vAlign w:val="bottom"/>
            <w:gridSpan w:val="2"/>
          </w:tcPr>
          <w:p>
            <w:pPr>
              <w:ind w:left="60"/>
              <w:spacing w:after="0"/>
              <w:rPr>
                <w:sz w:val="20"/>
                <w:szCs w:val="20"/>
                <w:color w:val="auto"/>
              </w:rPr>
            </w:pPr>
            <w:r>
              <w:rPr>
                <w:rFonts w:ascii="Arial" w:cs="Arial" w:eastAsia="Arial" w:hAnsi="Arial"/>
                <w:sz w:val="14"/>
                <w:szCs w:val="14"/>
                <w:color w:val="auto"/>
              </w:rPr>
              <w:t>The minor(2)</w:t>
            </w:r>
          </w:p>
        </w:tc>
        <w:tc>
          <w:tcPr>
            <w:tcW w:w="380" w:type="dxa"/>
            <w:vAlign w:val="bottom"/>
          </w:tcPr>
          <w:p>
            <w:pPr>
              <w:jc w:val="right"/>
              <w:ind w:right="90"/>
              <w:spacing w:after="0"/>
              <w:rPr>
                <w:sz w:val="20"/>
                <w:szCs w:val="20"/>
                <w:color w:val="auto"/>
              </w:rPr>
            </w:pPr>
            <w:r>
              <w:rPr>
                <w:rFonts w:ascii="Arial" w:cs="Arial" w:eastAsia="Arial" w:hAnsi="Arial"/>
                <w:sz w:val="14"/>
                <w:szCs w:val="14"/>
                <w:color w:val="auto"/>
              </w:rPr>
              <w:t>8.</w:t>
            </w:r>
          </w:p>
        </w:tc>
        <w:tc>
          <w:tcPr>
            <w:tcW w:w="3340" w:type="dxa"/>
            <w:vAlign w:val="bottom"/>
          </w:tcPr>
          <w:p>
            <w:pPr>
              <w:ind w:left="160"/>
              <w:spacing w:after="0"/>
              <w:rPr>
                <w:sz w:val="20"/>
                <w:szCs w:val="20"/>
                <w:color w:val="auto"/>
              </w:rPr>
            </w:pPr>
            <w:r>
              <w:rPr>
                <w:rFonts w:ascii="Arial" w:cs="Arial" w:eastAsia="Arial" w:hAnsi="Arial"/>
                <w:sz w:val="14"/>
                <w:szCs w:val="14"/>
                <w:color w:val="auto"/>
                <w:w w:val="88"/>
              </w:rPr>
              <w:t>Corporate or LLC electing corporate status on Form 8832</w:t>
            </w:r>
          </w:p>
        </w:tc>
        <w:tc>
          <w:tcPr>
            <w:tcW w:w="1860" w:type="dxa"/>
            <w:vAlign w:val="bottom"/>
          </w:tcPr>
          <w:p>
            <w:pPr>
              <w:ind w:left="60"/>
              <w:spacing w:after="0"/>
              <w:rPr>
                <w:sz w:val="20"/>
                <w:szCs w:val="20"/>
                <w:color w:val="auto"/>
              </w:rPr>
            </w:pPr>
            <w:r>
              <w:rPr>
                <w:rFonts w:ascii="Arial" w:cs="Arial" w:eastAsia="Arial" w:hAnsi="Arial"/>
                <w:sz w:val="14"/>
                <w:szCs w:val="14"/>
                <w:color w:val="auto"/>
              </w:rPr>
              <w:t>The corporation</w:t>
            </w: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ind w:left="260"/>
              <w:spacing w:after="0"/>
              <w:rPr>
                <w:sz w:val="20"/>
                <w:szCs w:val="20"/>
                <w:color w:val="auto"/>
              </w:rPr>
            </w:pPr>
            <w:r>
              <w:rPr>
                <w:rFonts w:ascii="Arial" w:cs="Arial" w:eastAsia="Arial" w:hAnsi="Arial"/>
                <w:sz w:val="14"/>
                <w:szCs w:val="14"/>
                <w:color w:val="auto"/>
              </w:rPr>
              <w:t>(Uniform Gift to Minors Act)</w:t>
            </w: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3"/>
        </w:trPr>
        <w:tc>
          <w:tcPr>
            <w:tcW w:w="460" w:type="dxa"/>
            <w:vAlign w:val="bottom"/>
            <w:gridSpan w:val="2"/>
          </w:tcPr>
          <w:p>
            <w:pPr>
              <w:jc w:val="right"/>
              <w:ind w:right="212"/>
              <w:spacing w:after="0"/>
              <w:rPr>
                <w:sz w:val="20"/>
                <w:szCs w:val="20"/>
                <w:color w:val="auto"/>
              </w:rPr>
            </w:pPr>
            <w:r>
              <w:rPr>
                <w:rFonts w:ascii="Arial" w:cs="Arial" w:eastAsia="Arial" w:hAnsi="Arial"/>
                <w:sz w:val="14"/>
                <w:szCs w:val="14"/>
                <w:color w:val="auto"/>
              </w:rPr>
              <w:t>4.</w:t>
            </w:r>
          </w:p>
        </w:tc>
        <w:tc>
          <w:tcPr>
            <w:tcW w:w="1980" w:type="dxa"/>
            <w:vAlign w:val="bottom"/>
          </w:tcPr>
          <w:p>
            <w:pPr>
              <w:ind w:left="260"/>
              <w:spacing w:after="0"/>
              <w:rPr>
                <w:sz w:val="20"/>
                <w:szCs w:val="20"/>
                <w:color w:val="auto"/>
              </w:rPr>
            </w:pPr>
            <w:r>
              <w:rPr>
                <w:rFonts w:ascii="Arial" w:cs="Arial" w:eastAsia="Arial" w:hAnsi="Arial"/>
                <w:sz w:val="14"/>
                <w:szCs w:val="14"/>
                <w:color w:val="auto"/>
              </w:rPr>
              <w:t>a. The usual revocable</w:t>
            </w:r>
          </w:p>
        </w:tc>
        <w:tc>
          <w:tcPr>
            <w:tcW w:w="3400" w:type="dxa"/>
            <w:vAlign w:val="bottom"/>
            <w:gridSpan w:val="2"/>
          </w:tcPr>
          <w:p>
            <w:pPr>
              <w:ind w:left="60"/>
              <w:spacing w:after="0"/>
              <w:rPr>
                <w:sz w:val="20"/>
                <w:szCs w:val="20"/>
                <w:color w:val="auto"/>
              </w:rPr>
            </w:pPr>
            <w:r>
              <w:rPr>
                <w:rFonts w:ascii="Arial" w:cs="Arial" w:eastAsia="Arial" w:hAnsi="Arial"/>
                <w:sz w:val="14"/>
                <w:szCs w:val="14"/>
                <w:color w:val="auto"/>
              </w:rPr>
              <w:t>The grantor-trustee(1)</w:t>
            </w:r>
          </w:p>
        </w:tc>
        <w:tc>
          <w:tcPr>
            <w:tcW w:w="380" w:type="dxa"/>
            <w:vAlign w:val="bottom"/>
          </w:tcPr>
          <w:p>
            <w:pPr>
              <w:jc w:val="right"/>
              <w:ind w:right="90"/>
              <w:spacing w:after="0"/>
              <w:rPr>
                <w:sz w:val="20"/>
                <w:szCs w:val="20"/>
                <w:color w:val="auto"/>
              </w:rPr>
            </w:pPr>
            <w:r>
              <w:rPr>
                <w:rFonts w:ascii="Arial" w:cs="Arial" w:eastAsia="Arial" w:hAnsi="Arial"/>
                <w:sz w:val="14"/>
                <w:szCs w:val="14"/>
                <w:color w:val="auto"/>
              </w:rPr>
              <w:t>9.</w:t>
            </w:r>
          </w:p>
        </w:tc>
        <w:tc>
          <w:tcPr>
            <w:tcW w:w="3340" w:type="dxa"/>
            <w:vAlign w:val="bottom"/>
          </w:tcPr>
          <w:p>
            <w:pPr>
              <w:ind w:left="160"/>
              <w:spacing w:after="0"/>
              <w:rPr>
                <w:sz w:val="20"/>
                <w:szCs w:val="20"/>
                <w:color w:val="auto"/>
              </w:rPr>
            </w:pPr>
            <w:r>
              <w:rPr>
                <w:rFonts w:ascii="Arial" w:cs="Arial" w:eastAsia="Arial" w:hAnsi="Arial"/>
                <w:sz w:val="14"/>
                <w:szCs w:val="14"/>
                <w:color w:val="auto"/>
                <w:w w:val="95"/>
              </w:rPr>
              <w:t>Association, club, religious, charitable, educational or</w:t>
            </w:r>
          </w:p>
        </w:tc>
        <w:tc>
          <w:tcPr>
            <w:tcW w:w="1860" w:type="dxa"/>
            <w:vAlign w:val="bottom"/>
          </w:tcPr>
          <w:p>
            <w:pPr>
              <w:ind w:left="60"/>
              <w:spacing w:after="0"/>
              <w:rPr>
                <w:sz w:val="20"/>
                <w:szCs w:val="20"/>
                <w:color w:val="auto"/>
              </w:rPr>
            </w:pPr>
            <w:r>
              <w:rPr>
                <w:rFonts w:ascii="Arial" w:cs="Arial" w:eastAsia="Arial" w:hAnsi="Arial"/>
                <w:sz w:val="14"/>
                <w:szCs w:val="14"/>
                <w:color w:val="auto"/>
              </w:rPr>
              <w:t>The organization</w:t>
            </w: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tcPr>
          <w:p>
            <w:pPr>
              <w:ind w:left="480"/>
              <w:spacing w:after="0" w:line="149" w:lineRule="exact"/>
              <w:rPr>
                <w:sz w:val="20"/>
                <w:szCs w:val="20"/>
                <w:color w:val="auto"/>
              </w:rPr>
            </w:pPr>
            <w:r>
              <w:rPr>
                <w:rFonts w:ascii="Arial" w:cs="Arial" w:eastAsia="Arial" w:hAnsi="Arial"/>
                <w:sz w:val="14"/>
                <w:szCs w:val="14"/>
                <w:color w:val="auto"/>
              </w:rPr>
              <w:t>savings trust (grantor is</w:t>
            </w: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8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ind w:left="480"/>
              <w:spacing w:after="0"/>
              <w:rPr>
                <w:sz w:val="20"/>
                <w:szCs w:val="20"/>
                <w:color w:val="auto"/>
              </w:rPr>
            </w:pPr>
            <w:r>
              <w:rPr>
                <w:rFonts w:ascii="Arial" w:cs="Arial" w:eastAsia="Arial" w:hAnsi="Arial"/>
                <w:sz w:val="14"/>
                <w:szCs w:val="14"/>
                <w:color w:val="auto"/>
              </w:rPr>
              <w:t>also trustee)</w:t>
            </w: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ind w:left="160"/>
              <w:spacing w:after="0"/>
              <w:rPr>
                <w:sz w:val="20"/>
                <w:szCs w:val="20"/>
                <w:color w:val="auto"/>
              </w:rPr>
            </w:pPr>
            <w:r>
              <w:rPr>
                <w:rFonts w:ascii="Arial" w:cs="Arial" w:eastAsia="Arial" w:hAnsi="Arial"/>
                <w:sz w:val="14"/>
                <w:szCs w:val="14"/>
                <w:color w:val="auto"/>
              </w:rPr>
              <w:t>tax-exempt organization</w:t>
            </w:r>
          </w:p>
        </w:tc>
        <w:tc>
          <w:tcPr>
            <w:tcW w:w="186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tcPr>
          <w:p>
            <w:pPr>
              <w:ind w:left="260"/>
              <w:spacing w:after="0"/>
              <w:rPr>
                <w:sz w:val="20"/>
                <w:szCs w:val="20"/>
                <w:color w:val="auto"/>
              </w:rPr>
            </w:pPr>
            <w:r>
              <w:rPr>
                <w:rFonts w:ascii="Arial" w:cs="Arial" w:eastAsia="Arial" w:hAnsi="Arial"/>
                <w:sz w:val="14"/>
                <w:szCs w:val="14"/>
                <w:color w:val="auto"/>
              </w:rPr>
              <w:t>b. So-called “trust” account</w:t>
            </w:r>
          </w:p>
        </w:tc>
        <w:tc>
          <w:tcPr>
            <w:tcW w:w="3400" w:type="dxa"/>
            <w:vAlign w:val="bottom"/>
            <w:gridSpan w:val="2"/>
          </w:tcPr>
          <w:p>
            <w:pPr>
              <w:ind w:left="60"/>
              <w:spacing w:after="0"/>
              <w:rPr>
                <w:sz w:val="20"/>
                <w:szCs w:val="20"/>
                <w:color w:val="auto"/>
              </w:rPr>
            </w:pPr>
            <w:r>
              <w:rPr>
                <w:rFonts w:ascii="Arial" w:cs="Arial" w:eastAsia="Arial" w:hAnsi="Arial"/>
                <w:sz w:val="14"/>
                <w:szCs w:val="14"/>
                <w:color w:val="auto"/>
              </w:rPr>
              <w:t>The actual owner(1)</w:t>
            </w:r>
          </w:p>
        </w:tc>
        <w:tc>
          <w:tcPr>
            <w:tcW w:w="38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3340" w:type="dxa"/>
            <w:vAlign w:val="bottom"/>
          </w:tcPr>
          <w:p>
            <w:pPr>
              <w:ind w:left="160"/>
              <w:spacing w:after="0"/>
              <w:rPr>
                <w:sz w:val="20"/>
                <w:szCs w:val="20"/>
                <w:color w:val="auto"/>
              </w:rPr>
            </w:pPr>
            <w:r>
              <w:rPr>
                <w:rFonts w:ascii="Arial" w:cs="Arial" w:eastAsia="Arial" w:hAnsi="Arial"/>
                <w:sz w:val="14"/>
                <w:szCs w:val="14"/>
                <w:color w:val="auto"/>
              </w:rPr>
              <w:t>Partnership or Multi-Member LLC</w:t>
            </w:r>
          </w:p>
        </w:tc>
        <w:tc>
          <w:tcPr>
            <w:tcW w:w="1860" w:type="dxa"/>
            <w:vAlign w:val="bottom"/>
          </w:tcPr>
          <w:p>
            <w:pPr>
              <w:ind w:left="60"/>
              <w:spacing w:after="0"/>
              <w:rPr>
                <w:sz w:val="20"/>
                <w:szCs w:val="20"/>
                <w:color w:val="auto"/>
              </w:rPr>
            </w:pPr>
            <w:r>
              <w:rPr>
                <w:rFonts w:ascii="Arial" w:cs="Arial" w:eastAsia="Arial" w:hAnsi="Arial"/>
                <w:sz w:val="14"/>
                <w:szCs w:val="14"/>
                <w:color w:val="auto"/>
              </w:rPr>
              <w:t>The partnership</w:t>
            </w: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tcPr>
          <w:p>
            <w:pPr>
              <w:ind w:left="480"/>
              <w:spacing w:after="0" w:line="149" w:lineRule="exact"/>
              <w:rPr>
                <w:sz w:val="20"/>
                <w:szCs w:val="20"/>
                <w:color w:val="auto"/>
              </w:rPr>
            </w:pPr>
            <w:r>
              <w:rPr>
                <w:rFonts w:ascii="Arial" w:cs="Arial" w:eastAsia="Arial" w:hAnsi="Arial"/>
                <w:sz w:val="14"/>
                <w:szCs w:val="14"/>
                <w:color w:val="auto"/>
                <w:w w:val="95"/>
              </w:rPr>
              <w:t>that is not a legal or valid</w:t>
            </w: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ind w:left="480"/>
              <w:spacing w:after="0"/>
              <w:rPr>
                <w:sz w:val="20"/>
                <w:szCs w:val="20"/>
                <w:color w:val="auto"/>
              </w:rPr>
            </w:pPr>
            <w:r>
              <w:rPr>
                <w:rFonts w:ascii="Arial" w:cs="Arial" w:eastAsia="Arial" w:hAnsi="Arial"/>
                <w:sz w:val="14"/>
                <w:szCs w:val="14"/>
                <w:color w:val="auto"/>
              </w:rPr>
              <w:t>trust under state law</w:t>
            </w: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3"/>
        </w:trPr>
        <w:tc>
          <w:tcPr>
            <w:tcW w:w="460" w:type="dxa"/>
            <w:vAlign w:val="bottom"/>
            <w:gridSpan w:val="2"/>
          </w:tcPr>
          <w:p>
            <w:pPr>
              <w:jc w:val="right"/>
              <w:ind w:right="212"/>
              <w:spacing w:after="0"/>
              <w:rPr>
                <w:sz w:val="20"/>
                <w:szCs w:val="20"/>
                <w:color w:val="auto"/>
              </w:rPr>
            </w:pPr>
            <w:r>
              <w:rPr>
                <w:rFonts w:ascii="Arial" w:cs="Arial" w:eastAsia="Arial" w:hAnsi="Arial"/>
                <w:sz w:val="14"/>
                <w:szCs w:val="14"/>
                <w:color w:val="auto"/>
              </w:rPr>
              <w:t>5.</w:t>
            </w:r>
          </w:p>
        </w:tc>
        <w:tc>
          <w:tcPr>
            <w:tcW w:w="1980" w:type="dxa"/>
            <w:vAlign w:val="bottom"/>
          </w:tcPr>
          <w:p>
            <w:pPr>
              <w:ind w:left="260"/>
              <w:spacing w:after="0"/>
              <w:rPr>
                <w:sz w:val="20"/>
                <w:szCs w:val="20"/>
                <w:color w:val="auto"/>
              </w:rPr>
            </w:pPr>
            <w:r>
              <w:rPr>
                <w:rFonts w:ascii="Arial" w:cs="Arial" w:eastAsia="Arial" w:hAnsi="Arial"/>
                <w:sz w:val="14"/>
                <w:szCs w:val="14"/>
                <w:color w:val="auto"/>
              </w:rPr>
              <w:t>Soleproprietorship or</w:t>
            </w:r>
          </w:p>
        </w:tc>
        <w:tc>
          <w:tcPr>
            <w:tcW w:w="3400" w:type="dxa"/>
            <w:vAlign w:val="bottom"/>
            <w:gridSpan w:val="2"/>
          </w:tcPr>
          <w:p>
            <w:pPr>
              <w:ind w:left="60"/>
              <w:spacing w:after="0"/>
              <w:rPr>
                <w:sz w:val="20"/>
                <w:szCs w:val="20"/>
                <w:color w:val="auto"/>
              </w:rPr>
            </w:pPr>
            <w:r>
              <w:rPr>
                <w:rFonts w:ascii="Arial" w:cs="Arial" w:eastAsia="Arial" w:hAnsi="Arial"/>
                <w:sz w:val="14"/>
                <w:szCs w:val="14"/>
                <w:color w:val="auto"/>
              </w:rPr>
              <w:t>The owner(3)</w:t>
            </w:r>
          </w:p>
        </w:tc>
        <w:tc>
          <w:tcPr>
            <w:tcW w:w="380" w:type="dxa"/>
            <w:vAlign w:val="bottom"/>
          </w:tcPr>
          <w:p>
            <w:pPr>
              <w:jc w:val="right"/>
              <w:ind w:right="110"/>
              <w:spacing w:after="0"/>
              <w:rPr>
                <w:sz w:val="20"/>
                <w:szCs w:val="20"/>
                <w:color w:val="auto"/>
              </w:rPr>
            </w:pPr>
            <w:r>
              <w:rPr>
                <w:rFonts w:ascii="Arial" w:cs="Arial" w:eastAsia="Arial" w:hAnsi="Arial"/>
                <w:sz w:val="14"/>
                <w:szCs w:val="14"/>
                <w:color w:val="auto"/>
                <w:w w:val="92"/>
              </w:rPr>
              <w:t>11.</w:t>
            </w:r>
          </w:p>
        </w:tc>
        <w:tc>
          <w:tcPr>
            <w:tcW w:w="3340" w:type="dxa"/>
            <w:vAlign w:val="bottom"/>
          </w:tcPr>
          <w:p>
            <w:pPr>
              <w:ind w:left="160"/>
              <w:spacing w:after="0"/>
              <w:rPr>
                <w:sz w:val="20"/>
                <w:szCs w:val="20"/>
                <w:color w:val="auto"/>
              </w:rPr>
            </w:pPr>
            <w:r>
              <w:rPr>
                <w:rFonts w:ascii="Arial" w:cs="Arial" w:eastAsia="Arial" w:hAnsi="Arial"/>
                <w:sz w:val="14"/>
                <w:szCs w:val="14"/>
                <w:color w:val="auto"/>
              </w:rPr>
              <w:t>A broker or registered nominee</w:t>
            </w:r>
          </w:p>
        </w:tc>
        <w:tc>
          <w:tcPr>
            <w:tcW w:w="1860" w:type="dxa"/>
            <w:vAlign w:val="bottom"/>
          </w:tcPr>
          <w:p>
            <w:pPr>
              <w:ind w:left="60"/>
              <w:spacing w:after="0"/>
              <w:rPr>
                <w:sz w:val="20"/>
                <w:szCs w:val="20"/>
                <w:color w:val="auto"/>
              </w:rPr>
            </w:pPr>
            <w:r>
              <w:rPr>
                <w:rFonts w:ascii="Arial" w:cs="Arial" w:eastAsia="Arial" w:hAnsi="Arial"/>
                <w:sz w:val="14"/>
                <w:szCs w:val="14"/>
                <w:color w:val="auto"/>
              </w:rPr>
              <w:t>The broker or nominee</w:t>
            </w: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ind w:left="260"/>
              <w:spacing w:after="0"/>
              <w:rPr>
                <w:sz w:val="20"/>
                <w:szCs w:val="20"/>
                <w:color w:val="auto"/>
              </w:rPr>
            </w:pPr>
            <w:r>
              <w:rPr>
                <w:rFonts w:ascii="Arial" w:cs="Arial" w:eastAsia="Arial" w:hAnsi="Arial"/>
                <w:sz w:val="14"/>
                <w:szCs w:val="14"/>
                <w:color w:val="auto"/>
              </w:rPr>
              <w:t>single-ownerLLC</w:t>
            </w: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46"/>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ind w:right="90"/>
              <w:spacing w:after="0"/>
              <w:rPr>
                <w:sz w:val="20"/>
                <w:szCs w:val="20"/>
                <w:color w:val="auto"/>
              </w:rPr>
            </w:pPr>
            <w:r>
              <w:rPr>
                <w:rFonts w:ascii="Arial" w:cs="Arial" w:eastAsia="Arial" w:hAnsi="Arial"/>
                <w:sz w:val="14"/>
                <w:szCs w:val="14"/>
                <w:color w:val="auto"/>
              </w:rPr>
              <w:t>12.</w:t>
            </w:r>
          </w:p>
        </w:tc>
        <w:tc>
          <w:tcPr>
            <w:tcW w:w="3340" w:type="dxa"/>
            <w:vAlign w:val="bottom"/>
          </w:tcPr>
          <w:p>
            <w:pPr>
              <w:ind w:left="160"/>
              <w:spacing w:after="0"/>
              <w:rPr>
                <w:sz w:val="20"/>
                <w:szCs w:val="20"/>
                <w:color w:val="auto"/>
              </w:rPr>
            </w:pPr>
            <w:r>
              <w:rPr>
                <w:rFonts w:ascii="Arial" w:cs="Arial" w:eastAsia="Arial" w:hAnsi="Arial"/>
                <w:sz w:val="14"/>
                <w:szCs w:val="14"/>
                <w:color w:val="auto"/>
                <w:w w:val="92"/>
              </w:rPr>
              <w:t>Account with the Department of Agriculture in the name</w:t>
            </w:r>
          </w:p>
        </w:tc>
        <w:tc>
          <w:tcPr>
            <w:tcW w:w="1860" w:type="dxa"/>
            <w:vAlign w:val="bottom"/>
          </w:tcPr>
          <w:p>
            <w:pPr>
              <w:ind w:left="60"/>
              <w:spacing w:after="0"/>
              <w:rPr>
                <w:sz w:val="20"/>
                <w:szCs w:val="20"/>
                <w:color w:val="auto"/>
              </w:rPr>
            </w:pPr>
            <w:r>
              <w:rPr>
                <w:rFonts w:ascii="Arial" w:cs="Arial" w:eastAsia="Arial" w:hAnsi="Arial"/>
                <w:sz w:val="14"/>
                <w:szCs w:val="14"/>
                <w:color w:val="auto"/>
              </w:rPr>
              <w:t>The public entity</w:t>
            </w: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w w:val="94"/>
              </w:rPr>
              <w:t>of a public entity (such as a state or local government,</w:t>
            </w:r>
          </w:p>
        </w:tc>
        <w:tc>
          <w:tcPr>
            <w:tcW w:w="18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school district, or prison) that receives agricultural</w:t>
            </w:r>
          </w:p>
        </w:tc>
        <w:tc>
          <w:tcPr>
            <w:tcW w:w="18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ind w:left="160"/>
              <w:spacing w:after="0"/>
              <w:rPr>
                <w:sz w:val="20"/>
                <w:szCs w:val="20"/>
                <w:color w:val="auto"/>
              </w:rPr>
            </w:pPr>
            <w:r>
              <w:rPr>
                <w:rFonts w:ascii="Arial" w:cs="Arial" w:eastAsia="Arial" w:hAnsi="Arial"/>
                <w:sz w:val="14"/>
                <w:szCs w:val="14"/>
                <w:color w:val="auto"/>
              </w:rPr>
              <w:t>program payments</w:t>
            </w:r>
          </w:p>
        </w:tc>
        <w:tc>
          <w:tcPr>
            <w:tcW w:w="1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683514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15" w:lineRule="exact"/>
        <w:rPr>
          <w:sz w:val="20"/>
          <w:szCs w:val="20"/>
          <w:color w:val="auto"/>
        </w:rPr>
      </w:pPr>
    </w:p>
    <w:p>
      <w:pPr>
        <w:ind w:left="460" w:right="60" w:hanging="452"/>
        <w:spacing w:after="0" w:line="305" w:lineRule="auto"/>
        <w:tabs>
          <w:tab w:leader="none" w:pos="46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If you are an individual, you must generally enter the name shown on your social security card. However, if you have changed your last name, for instance, due to marriage, without informing the Social Security Administration of the name change, enter your first name, the last name shown on your social</w:t>
      </w:r>
    </w:p>
    <w:p>
      <w:pPr>
        <w:ind w:left="460"/>
        <w:spacing w:after="0"/>
        <w:rPr>
          <w:sz w:val="20"/>
          <w:szCs w:val="20"/>
          <w:color w:val="auto"/>
        </w:rPr>
      </w:pPr>
      <w:r>
        <w:rPr>
          <w:rFonts w:ascii="Arial" w:cs="Arial" w:eastAsia="Arial" w:hAnsi="Arial"/>
          <w:sz w:val="18"/>
          <w:szCs w:val="18"/>
          <w:color w:val="auto"/>
        </w:rPr>
        <w:t>security card, and your new last name.</w:t>
      </w:r>
    </w:p>
    <w:p>
      <w:pPr>
        <w:spacing w:after="0" w:line="9" w:lineRule="exact"/>
        <w:rPr>
          <w:sz w:val="20"/>
          <w:szCs w:val="20"/>
          <w:color w:val="auto"/>
        </w:rPr>
      </w:pPr>
    </w:p>
    <w:p>
      <w:pPr>
        <w:ind w:left="460" w:right="400" w:hanging="452"/>
        <w:spacing w:after="0" w:line="250"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 social security number, that person’s number must be furnished.</w:t>
      </w: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You must show your individual name and you may also enter your business or “DBA” name on the second name line. You may use either your social security number or employer identification number (if you have one). If you are a sole proprietor, the Internal Revenue Service encourages you to use your social security number.</w:t>
      </w:r>
    </w:p>
    <w:p>
      <w:pPr>
        <w:spacing w:after="0" w:line="1"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TIN of the personal representative or trustee unless the legal entity itself is not designated in the account title.)</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8"/>
          <w:szCs w:val="18"/>
          <w:color w:val="auto"/>
        </w:rPr>
        <w:t>If no name is circled when more than one name is listed, the number will be considered to be that of the first name listed.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28" w:right="23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GUIDELINES FOR CERTIFICATION OF TAXPAYER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IDENTIFICATION NUMBER ON SUBSTITUTE FORM W-9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TIN</w:t>
      </w:r>
    </w:p>
    <w:p>
      <w:pPr>
        <w:spacing w:after="0" w:line="9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 xml:space="preserve">If you do not have a TIN or you do not know your number, obtain </w:t>
      </w:r>
      <w:r>
        <w:rPr>
          <w:rFonts w:ascii="Arial" w:cs="Arial" w:eastAsia="Arial" w:hAnsi="Arial"/>
          <w:sz w:val="16"/>
          <w:szCs w:val="16"/>
          <w:b w:val="1"/>
          <w:bCs w:val="1"/>
          <w:color w:val="auto"/>
        </w:rPr>
        <w:t>Form SS-5</w:t>
      </w:r>
      <w:r>
        <w:rPr>
          <w:rFonts w:ascii="Arial" w:cs="Arial" w:eastAsia="Arial" w:hAnsi="Arial"/>
          <w:sz w:val="16"/>
          <w:szCs w:val="16"/>
          <w:color w:val="auto"/>
        </w:rPr>
        <w:t xml:space="preserve">, Application for a Social Security Card (for resident individuals), </w:t>
      </w:r>
      <w:r>
        <w:rPr>
          <w:rFonts w:ascii="Arial" w:cs="Arial" w:eastAsia="Arial" w:hAnsi="Arial"/>
          <w:sz w:val="16"/>
          <w:szCs w:val="16"/>
          <w:b w:val="1"/>
          <w:bCs w:val="1"/>
          <w:color w:val="auto"/>
        </w:rPr>
        <w:t>Form SS-4</w:t>
      </w:r>
      <w:r>
        <w:rPr>
          <w:rFonts w:ascii="Arial" w:cs="Arial" w:eastAsia="Arial" w:hAnsi="Arial"/>
          <w:sz w:val="16"/>
          <w:szCs w:val="16"/>
          <w:color w:val="auto"/>
        </w:rPr>
        <w:t>, Application for Employer Identification Number (for businesses and all other entities),</w:t>
      </w:r>
      <w:r>
        <w:rPr>
          <w:rFonts w:ascii="Arial" w:cs="Arial" w:eastAsia="Arial" w:hAnsi="Arial"/>
          <w:sz w:val="16"/>
          <w:szCs w:val="16"/>
          <w:b w:val="1"/>
          <w:bCs w:val="1"/>
          <w:color w:val="auto"/>
        </w:rPr>
        <w:t xml:space="preserve"> Form W-7</w:t>
      </w:r>
      <w:r>
        <w:rPr>
          <w:rFonts w:ascii="Arial" w:cs="Arial" w:eastAsia="Arial" w:hAnsi="Arial"/>
          <w:sz w:val="16"/>
          <w:szCs w:val="16"/>
          <w:color w:val="auto"/>
        </w:rPr>
        <w:t>, Application for IRS Individual Taxpayer Identification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(for resident alien individuals required to file U.S. tax returns). You may obtain Form SS-5 from your local Social Security Administration Office and Forms SS-4 and W-7 from the IRS by calling 1-800-TAX-FORM (1-800-829-3676) or from the IRS’s Internet Web Site at </w:t>
      </w:r>
      <w:r>
        <w:rPr>
          <w:rFonts w:ascii="Arial" w:cs="Arial" w:eastAsia="Arial" w:hAnsi="Arial"/>
          <w:sz w:val="16"/>
          <w:szCs w:val="16"/>
          <w:i w:val="1"/>
          <w:iCs w:val="1"/>
          <w:color w:val="auto"/>
        </w:rPr>
        <w:t>www.irs.gov.</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To complete Substitute Form W-9 if you do not have a TIN, write “Applied For” in the space for the TIN in Part 1, sign and date the form, and give it to the payor. Generally, you will then have 60 days to obtain a TIN and furnish it to the payor. If the payor does not receive your TIN within 60 days, backup withholding, if applicable, will begin and will continue until you furnish your TIN to the payor. </w:t>
      </w:r>
      <w:r>
        <w:rPr>
          <w:rFonts w:ascii="Arial" w:cs="Arial" w:eastAsia="Arial" w:hAnsi="Arial"/>
          <w:sz w:val="18"/>
          <w:szCs w:val="18"/>
          <w:b w:val="1"/>
          <w:b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Writing “Applied For” means that you have already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applied for a TIN </w:t>
      </w:r>
      <w:r>
        <w:rPr>
          <w:rFonts w:ascii="Arial" w:cs="Arial" w:eastAsia="Arial" w:hAnsi="Arial"/>
          <w:sz w:val="18"/>
          <w:szCs w:val="18"/>
          <w:b w:val="1"/>
          <w:bCs w:val="1"/>
          <w:i w:val="1"/>
          <w:iCs w:val="1"/>
          <w:color w:val="auto"/>
        </w:rPr>
        <w:t>OR</w:t>
      </w:r>
      <w:r>
        <w:rPr>
          <w:rFonts w:ascii="Arial" w:cs="Arial" w:eastAsia="Arial" w:hAnsi="Arial"/>
          <w:sz w:val="18"/>
          <w:szCs w:val="18"/>
          <w:i w:val="1"/>
          <w:iCs w:val="1"/>
          <w:color w:val="auto"/>
        </w:rPr>
        <w:t xml:space="preserve"> that you intend to apply for one soon.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Unless otherwise noted herein, all references below to section numbers or to regulations are references to the Internal Revenue Code of 1986, as amended, and the regulations promulgated thereunder.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90" w:lineRule="exact"/>
        <w:rPr>
          <w:sz w:val="20"/>
          <w:szCs w:val="20"/>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any IRA, or a custodial account under section 403(b)(7) if the account satisfies the requirements of section 401(f)(2).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subdivisions, agencies or instrumentalities.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 international organization or any of its agencies or instrumentalities.</w:t>
      </w:r>
    </w:p>
    <w:p>
      <w:pPr>
        <w:spacing w:after="0" w:line="16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Exempt payees described above should file a Substitute Form W-9 to avoid possible backup withholding. FURNISH YOUR TIN IN PART 1, WRITE “EXEMPT” IN PART 3, SIGN AND DATE THE FORM AND RETURN IT TO THE PAYOR.</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payments not subject to information reporting also are not subject to backup withholding. For details, see sections 6041, 6041A(a), 6042, 6044, 6045, 6049, 6050A, and 6050N, and their regulations.</w:t>
      </w:r>
    </w:p>
    <w:p>
      <w:pPr>
        <w:spacing w:after="0" w:line="126"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b w:val="1"/>
          <w:bCs w:val="1"/>
          <w:color w:val="auto"/>
        </w:rPr>
        <w:t>Privacy Act Notice</w:t>
      </w:r>
      <w:r>
        <w:rPr>
          <w:rFonts w:ascii="Arial" w:cs="Arial" w:eastAsia="Arial" w:hAnsi="Arial"/>
          <w:sz w:val="15"/>
          <w:szCs w:val="15"/>
          <w:color w:val="auto"/>
        </w:rPr>
        <w:t>. Section 6109 requires you to give your correct TIN to persons who must file information returns with the IRS to report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and certain other payments. The IRS uses the numbers for identification purposes and to help verify the accuracy of your tax return. The IRS also may provide this information to the Department of Justice for civil and criminal litigation, and to cities, states and the District of Columbia to carry out their tax laws.</w:t>
      </w:r>
    </w:p>
    <w:p>
      <w:pPr>
        <w:spacing w:after="0" w:line="79"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You must provide your TIN to the payor whether or not you are required to file a tax return</w:t>
      </w:r>
      <w:r>
        <w:rPr>
          <w:rFonts w:ascii="Arial" w:cs="Arial" w:eastAsia="Arial" w:hAnsi="Arial"/>
          <w:sz w:val="18"/>
          <w:szCs w:val="18"/>
          <w:color w:val="auto"/>
        </w:rPr>
        <w:t>. Payors must generally withhold 28% of taxable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and certain other payments to a payee who does not give a TIN to a payor. Certain penalties also may apply.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90" w:lineRule="exact"/>
        <w:rPr>
          <w:sz w:val="20"/>
          <w:szCs w:val="20"/>
          <w:color w:val="auto"/>
        </w:rPr>
      </w:pPr>
    </w:p>
    <w:p>
      <w:pPr>
        <w:ind w:right="80" w:firstLine="464"/>
        <w:spacing w:after="0" w:line="275" w:lineRule="auto"/>
        <w:tabs>
          <w:tab w:leader="none" w:pos="705"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Penalty for Failure to Furnish a TIN</w:t>
      </w:r>
      <w:r>
        <w:rPr>
          <w:rFonts w:ascii="Arial" w:cs="Arial" w:eastAsia="Arial" w:hAnsi="Arial"/>
          <w:sz w:val="18"/>
          <w:szCs w:val="18"/>
          <w:color w:val="auto"/>
        </w:rPr>
        <w:t>—If you fail to furnish your TIN to a payor, you are subject to a penalty of $50 for each such failure unless your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is due to reasonable cause and not to willful neglect.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74" w:name="page275"/>
    <w:bookmarkEnd w:id="274"/>
    <w:p>
      <w:pPr>
        <w:ind w:left="-60" w:right="500" w:firstLine="464"/>
        <w:spacing w:after="0" w:line="275" w:lineRule="auto"/>
        <w:tabs>
          <w:tab w:leader="none" w:pos="645"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Civil Penalty for False Statements With Respect to Withholding</w:t>
      </w:r>
      <w:r>
        <w:rPr>
          <w:rFonts w:ascii="Arial" w:cs="Arial" w:eastAsia="Arial" w:hAnsi="Arial"/>
          <w:sz w:val="18"/>
          <w:szCs w:val="18"/>
          <w:color w:val="auto"/>
        </w:rPr>
        <w:t>—If you make a false statement with no reasonable basis which results in no</w:t>
      </w:r>
      <w:r>
        <w:rPr>
          <w:rFonts w:ascii="Arial" w:cs="Arial" w:eastAsia="Arial" w:hAnsi="Arial"/>
          <w:sz w:val="18"/>
          <w:szCs w:val="18"/>
          <w:b w:val="1"/>
          <w:bCs w:val="1"/>
          <w:color w:val="auto"/>
        </w:rPr>
        <w:t xml:space="preserve"> </w:t>
      </w:r>
      <w:r>
        <w:rPr>
          <w:rFonts w:ascii="Arial" w:cs="Arial" w:eastAsia="Arial" w:hAnsi="Arial"/>
          <w:sz w:val="18"/>
          <w:szCs w:val="18"/>
          <w:color w:val="auto"/>
        </w:rPr>
        <w:t>imposition of backup withholding, you are subject to a $500 penalty.</w:t>
      </w:r>
    </w:p>
    <w:p>
      <w:pPr>
        <w:spacing w:after="0" w:line="119" w:lineRule="exact"/>
        <w:rPr>
          <w:rFonts w:ascii="Arial" w:cs="Arial" w:eastAsia="Arial" w:hAnsi="Arial"/>
          <w:sz w:val="18"/>
          <w:szCs w:val="18"/>
          <w:color w:val="auto"/>
        </w:rPr>
      </w:pPr>
    </w:p>
    <w:p>
      <w:pPr>
        <w:ind w:left="-60" w:firstLine="464"/>
        <w:spacing w:after="0" w:line="275" w:lineRule="auto"/>
        <w:tabs>
          <w:tab w:leader="none" w:pos="645"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Criminal Penalty for Falsifying Information</w:t>
      </w:r>
      <w:r>
        <w:rPr>
          <w:rFonts w:ascii="Arial" w:cs="Arial" w:eastAsia="Arial" w:hAnsi="Arial"/>
          <w:sz w:val="18"/>
          <w:szCs w:val="18"/>
          <w:color w:val="auto"/>
        </w:rPr>
        <w:t>—Willfully falsifying certifications or affirmations may subject you to criminal penalties including fines</w:t>
      </w:r>
      <w:r>
        <w:rPr>
          <w:rFonts w:ascii="Arial" w:cs="Arial" w:eastAsia="Arial" w:hAnsi="Arial"/>
          <w:sz w:val="18"/>
          <w:szCs w:val="18"/>
          <w:b w:val="1"/>
          <w:bCs w:val="1"/>
          <w:color w:val="auto"/>
        </w:rPr>
        <w:t xml:space="preserve"> </w:t>
      </w:r>
      <w:r>
        <w:rPr>
          <w:rFonts w:ascii="Arial" w:cs="Arial" w:eastAsia="Arial" w:hAnsi="Arial"/>
          <w:sz w:val="18"/>
          <w:szCs w:val="18"/>
          <w:color w:val="auto"/>
        </w:rPr>
        <w:t>and/or imprisonment.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ADDITIONAL INFORMATION CONTACT YOUR TAX CONSULTANT OR THE INTERNAL REVENUE SERVICE.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00" w:top="328" w:right="299" w:bottom="1440" w:gutter="0" w:footer="0" w:header="0"/>
        </w:sectPr>
      </w:pPr>
    </w:p>
    <w:bookmarkStart w:id="275" w:name="page276"/>
    <w:bookmarkEnd w:id="275"/>
    <w:p>
      <w:pPr>
        <w:ind w:left="10460"/>
        <w:spacing w:after="0"/>
        <w:rPr>
          <w:sz w:val="20"/>
          <w:szCs w:val="20"/>
          <w:color w:val="auto"/>
        </w:rPr>
      </w:pPr>
      <w:r>
        <w:rPr>
          <w:rFonts w:ascii="Arial" w:cs="Arial" w:eastAsia="Arial" w:hAnsi="Arial"/>
          <w:sz w:val="16"/>
          <w:szCs w:val="16"/>
          <w:b w:val="1"/>
          <w:bCs w:val="1"/>
          <w:color w:val="auto"/>
        </w:rPr>
        <w:t>Exhibit 99.2</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NOTICE OF GUARANTEED DELIVERY</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CAPITAL CORP.</w:t>
      </w:r>
    </w:p>
    <w:p>
      <w:pPr>
        <w:spacing w:after="0" w:line="8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Offer to Exchange</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$900,000,000 of their outstanding</w:t>
      </w:r>
    </w:p>
    <w:p>
      <w:pPr>
        <w:ind w:left="3920"/>
        <w:spacing w:after="0" w:line="230" w:lineRule="auto"/>
        <w:rPr>
          <w:sz w:val="20"/>
          <w:szCs w:val="20"/>
          <w:color w:val="auto"/>
        </w:rPr>
      </w:pPr>
      <w:r>
        <w:rPr>
          <w:rFonts w:ascii="Arial" w:cs="Arial" w:eastAsia="Arial" w:hAnsi="Arial"/>
          <w:sz w:val="22"/>
          <w:szCs w:val="22"/>
          <w:b w:val="1"/>
          <w:bCs w:val="1"/>
          <w:color w:val="auto"/>
        </w:rPr>
        <w:t>5.375% First Mortgage Notes due 2022</w:t>
      </w:r>
    </w:p>
    <w:p>
      <w:pPr>
        <w:ind w:left="3880"/>
        <w:spacing w:after="0" w:line="231" w:lineRule="auto"/>
        <w:rPr>
          <w:sz w:val="20"/>
          <w:szCs w:val="20"/>
          <w:color w:val="auto"/>
        </w:rPr>
      </w:pPr>
      <w:r>
        <w:rPr>
          <w:rFonts w:ascii="Arial" w:cs="Arial" w:eastAsia="Arial" w:hAnsi="Arial"/>
          <w:sz w:val="22"/>
          <w:szCs w:val="22"/>
          <w:b w:val="1"/>
          <w:bCs w:val="1"/>
          <w:color w:val="auto"/>
        </w:rPr>
        <w:t>(CUSIPs 983130 AS4 and U98347 AH7)</w:t>
      </w:r>
    </w:p>
    <w:p>
      <w:pPr>
        <w:jc w:val="center"/>
        <w:ind w:right="40"/>
        <w:spacing w:after="0" w:line="230" w:lineRule="auto"/>
        <w:rPr>
          <w:sz w:val="20"/>
          <w:szCs w:val="20"/>
          <w:color w:val="auto"/>
        </w:rPr>
      </w:pPr>
      <w:r>
        <w:rPr>
          <w:rFonts w:ascii="Arial" w:cs="Arial" w:eastAsia="Arial" w:hAnsi="Arial"/>
          <w:sz w:val="22"/>
          <w:szCs w:val="22"/>
          <w:b w:val="1"/>
          <w:bCs w:val="1"/>
          <w:color w:val="auto"/>
        </w:rPr>
        <w:t>Issued on March 12, 2012</w:t>
      </w:r>
    </w:p>
    <w:p>
      <w:pPr>
        <w:jc w:val="center"/>
        <w:ind w:right="40"/>
        <w:spacing w:after="0" w:line="231" w:lineRule="auto"/>
        <w:rPr>
          <w:sz w:val="20"/>
          <w:szCs w:val="20"/>
          <w:color w:val="auto"/>
        </w:rPr>
      </w:pPr>
      <w:r>
        <w:rPr>
          <w:rFonts w:ascii="Arial" w:cs="Arial" w:eastAsia="Arial" w:hAnsi="Arial"/>
          <w:sz w:val="22"/>
          <w:szCs w:val="22"/>
          <w:b w:val="1"/>
          <w:bCs w:val="1"/>
          <w:color w:val="auto"/>
        </w:rPr>
        <w:t>for</w:t>
      </w:r>
    </w:p>
    <w:p>
      <w:pPr>
        <w:jc w:val="center"/>
        <w:ind w:right="40"/>
        <w:spacing w:after="0" w:line="231" w:lineRule="auto"/>
        <w:rPr>
          <w:sz w:val="20"/>
          <w:szCs w:val="20"/>
          <w:color w:val="auto"/>
        </w:rPr>
      </w:pPr>
      <w:r>
        <w:rPr>
          <w:rFonts w:ascii="Arial" w:cs="Arial" w:eastAsia="Arial" w:hAnsi="Arial"/>
          <w:sz w:val="22"/>
          <w:szCs w:val="22"/>
          <w:b w:val="1"/>
          <w:bCs w:val="1"/>
          <w:color w:val="auto"/>
        </w:rPr>
        <w:t>5.375% First Mortgage Notes due 2022</w:t>
      </w:r>
    </w:p>
    <w:p>
      <w:pPr>
        <w:jc w:val="center"/>
        <w:ind w:right="40"/>
        <w:spacing w:after="0" w:line="230" w:lineRule="auto"/>
        <w:rPr>
          <w:sz w:val="20"/>
          <w:szCs w:val="20"/>
          <w:color w:val="auto"/>
        </w:rPr>
      </w:pPr>
      <w:r>
        <w:rPr>
          <w:rFonts w:ascii="Arial" w:cs="Arial" w:eastAsia="Arial" w:hAnsi="Arial"/>
          <w:sz w:val="22"/>
          <w:szCs w:val="22"/>
          <w:b w:val="1"/>
          <w:bCs w:val="1"/>
          <w:color w:val="auto"/>
        </w:rPr>
        <w:t>(CUSIP 983130 AT2)</w:t>
      </w:r>
    </w:p>
    <w:p>
      <w:pPr>
        <w:jc w:val="center"/>
        <w:ind w:right="40"/>
        <w:spacing w:after="0" w:line="231" w:lineRule="auto"/>
        <w:rPr>
          <w:sz w:val="20"/>
          <w:szCs w:val="20"/>
          <w:color w:val="auto"/>
        </w:rPr>
      </w:pPr>
      <w:r>
        <w:rPr>
          <w:rFonts w:ascii="Arial" w:cs="Arial" w:eastAsia="Arial" w:hAnsi="Arial"/>
          <w:sz w:val="22"/>
          <w:szCs w:val="22"/>
          <w:b w:val="1"/>
          <w:bCs w:val="1"/>
          <w:color w:val="auto"/>
        </w:rPr>
        <w:t>That Have Been Registered Under</w:t>
      </w:r>
    </w:p>
    <w:p>
      <w:pPr>
        <w:jc w:val="center"/>
        <w:ind w:right="40"/>
        <w:spacing w:after="0" w:line="231" w:lineRule="auto"/>
        <w:rPr>
          <w:sz w:val="20"/>
          <w:szCs w:val="20"/>
          <w:color w:val="auto"/>
        </w:rPr>
      </w:pPr>
      <w:r>
        <w:rPr>
          <w:rFonts w:ascii="Arial" w:cs="Arial" w:eastAsia="Arial" w:hAnsi="Arial"/>
          <w:sz w:val="22"/>
          <w:szCs w:val="22"/>
          <w:b w:val="1"/>
          <w:bCs w:val="1"/>
          <w:color w:val="auto"/>
        </w:rPr>
        <w:t>the Securities Act of 1933, as Amended,</w:t>
      </w:r>
    </w:p>
    <w:tbl>
      <w:tblPr>
        <w:tblLayout w:type="fixed"/>
        <w:tblInd w:w="0" w:type="dxa"/>
        <w:tblCellMar>
          <w:top w:w="0" w:type="dxa"/>
          <w:left w:w="0" w:type="dxa"/>
          <w:bottom w:w="0" w:type="dxa"/>
          <w:right w:w="0" w:type="dxa"/>
        </w:tblCellMar>
      </w:tblPr>
      <w:tr>
        <w:trPr>
          <w:trHeight w:val="281"/>
        </w:trPr>
        <w:tc>
          <w:tcPr>
            <w:tcW w:w="7100" w:type="dxa"/>
            <w:vAlign w:val="bottom"/>
          </w:tcPr>
          <w:p>
            <w:pPr>
              <w:ind w:left="3640"/>
              <w:spacing w:after="0"/>
              <w:rPr>
                <w:sz w:val="20"/>
                <w:szCs w:val="20"/>
                <w:color w:val="auto"/>
              </w:rPr>
            </w:pPr>
            <w:r>
              <w:rPr>
                <w:rFonts w:ascii="Arial" w:cs="Arial" w:eastAsia="Arial" w:hAnsi="Arial"/>
                <w:sz w:val="22"/>
                <w:szCs w:val="22"/>
                <w:b w:val="1"/>
                <w:bCs w:val="1"/>
                <w:color w:val="auto"/>
                <w:w w:val="96"/>
              </w:rPr>
              <w:t>Pursuant to the Prospectus, dated</w:t>
            </w:r>
          </w:p>
        </w:tc>
        <w:tc>
          <w:tcPr>
            <w:tcW w:w="4360" w:type="dxa"/>
            <w:vAlign w:val="bottom"/>
          </w:tcPr>
          <w:p>
            <w:pPr>
              <w:jc w:val="right"/>
              <w:ind w:right="3582"/>
              <w:spacing w:after="0"/>
              <w:rPr>
                <w:sz w:val="20"/>
                <w:szCs w:val="20"/>
                <w:color w:val="auto"/>
              </w:rPr>
            </w:pPr>
            <w:r>
              <w:rPr>
                <w:rFonts w:ascii="Arial" w:cs="Arial" w:eastAsia="Arial" w:hAnsi="Arial"/>
                <w:sz w:val="22"/>
                <w:szCs w:val="22"/>
                <w:b w:val="1"/>
                <w:bCs w:val="1"/>
                <w:color w:val="auto"/>
              </w:rPr>
              <w:t>, 2012</w:t>
            </w:r>
          </w:p>
        </w:tc>
      </w:tr>
      <w:tr>
        <w:trPr>
          <w:trHeight w:val="111"/>
        </w:trPr>
        <w:tc>
          <w:tcPr>
            <w:tcW w:w="710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r>
      <w:tr>
        <w:trPr>
          <w:trHeight w:val="238"/>
        </w:trPr>
        <w:tc>
          <w:tcPr>
            <w:tcW w:w="7100" w:type="dxa"/>
            <w:vAlign w:val="bottom"/>
          </w:tcPr>
          <w:p>
            <w:pPr>
              <w:ind w:left="260"/>
              <w:spacing w:after="0"/>
              <w:rPr>
                <w:sz w:val="20"/>
                <w:szCs w:val="20"/>
                <w:color w:val="auto"/>
              </w:rPr>
            </w:pPr>
            <w:r>
              <w:rPr>
                <w:rFonts w:ascii="Arial" w:cs="Arial" w:eastAsia="Arial" w:hAnsi="Arial"/>
                <w:sz w:val="18"/>
                <w:szCs w:val="18"/>
                <w:b w:val="1"/>
                <w:bCs w:val="1"/>
                <w:color w:val="auto"/>
              </w:rPr>
              <w:t>THE EXCHANGE OFFER WILL EXPIRE AT 5:00 P.M. NEW YORK CITY TIME, ON</w:t>
            </w:r>
          </w:p>
        </w:tc>
        <w:tc>
          <w:tcPr>
            <w:tcW w:w="4360" w:type="dxa"/>
            <w:vAlign w:val="bottom"/>
          </w:tcPr>
          <w:p>
            <w:pPr>
              <w:jc w:val="right"/>
              <w:ind w:right="302"/>
              <w:spacing w:after="0"/>
              <w:rPr>
                <w:sz w:val="20"/>
                <w:szCs w:val="20"/>
                <w:color w:val="auto"/>
              </w:rPr>
            </w:pPr>
            <w:r>
              <w:rPr>
                <w:rFonts w:ascii="Arial" w:cs="Arial" w:eastAsia="Arial" w:hAnsi="Arial"/>
                <w:sz w:val="18"/>
                <w:szCs w:val="18"/>
                <w:b w:val="1"/>
                <w:bCs w:val="1"/>
                <w:color w:val="auto"/>
              </w:rPr>
              <w:t>, 2012, UNLESS EXTENDED BY THE ISSUERS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76465" cy="4845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ind w:left="260" w:right="380"/>
        <w:spacing w:after="0" w:line="261" w:lineRule="auto"/>
        <w:rPr>
          <w:sz w:val="20"/>
          <w:szCs w:val="20"/>
          <w:color w:val="auto"/>
        </w:rPr>
      </w:pPr>
      <w:r>
        <w:rPr>
          <w:rFonts w:ascii="Arial" w:cs="Arial" w:eastAsia="Arial" w:hAnsi="Arial"/>
          <w:sz w:val="18"/>
          <w:szCs w:val="18"/>
          <w:b w:val="1"/>
          <w:bCs w:val="1"/>
          <w:color w:val="auto"/>
        </w:rPr>
        <w:t>(THE “EXPIRATION DATE”). TENDERS MAY BE WITHDRAWN PRIOR TO 5:00 P.M., NEW YORK CITY TIME, ON THE EXPIRATION DATE.</w:t>
      </w:r>
    </w:p>
    <w:p>
      <w:pPr>
        <w:spacing w:after="0" w:line="178"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This form or one substantially equivalent hereto must be used to accept the offer (the “Exchange Offer”) of Wynn Las Vegas, LLC and Wynn Las Vegas Capital Corp. (together, the “Issuers”) to exchange an aggregate principal amount of up to $900,000,000 5.375% First Mortgage Notes due 2022 of the Issuers issued on March 12, 2012 (the “Old Notes”) for 5.375% First Mortgage Notes due 2022 of the Issuers that have been registered under the Securities Act of 1933,</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amended (the “New Notes”), upon the terms and subject to the conditions set forth in the Prospectus, dated , 2012 (the “Prospectus”) and the related Letter of Transmittal (the “Letter of Transmittal”), if certificates for the Old Notes are not immediately available or if the procedure for book-entry transfer cannot be completed on a timely basis or time will not permit all required documents to reach U.S. Bank National Association, as exchange agent (the “Exchange Agent”), prior to 5:00 p.m., New York City time, on the Expiration Date. Such form may be delivered or transmitted by facsimile transmission, mail or hand delivery to the Exchange Agent as set forth below. In addition, in order to utilize the guaranteed delivery procedure to tender Old Notes pursuant to the Exchange Offer, a completed, signed and dated Letter of Transmittal, or facsimile thereof or Agent’s Message in lieu thereof, must also be received by the Exchange Agent prior to 5:00 p.m., New York City time, on the Expiration Date. Capitalized terms not defined herein shall have the respective meanings set forth in the Prospectus.</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Delivery To: U.S. Bank National Association, Exchange Agent</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Hand, Overnight Delivery or by Mail:</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 Paul, Minnesota 55107-1419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Facsimile Transmission</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Eligible Institutions only):</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651-466-6299</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Confirm by Telephone:</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800-934-6802</w:t>
      </w:r>
    </w:p>
    <w:p>
      <w:pPr>
        <w:spacing w:after="0" w:line="8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DELIVERY OF THIS INSTRUMENT TO AN ADDRESS OTHER THAN AS SET FORTH ABOVE, OR TRANSMISSION OF THIS INSTRUMENT VIA FACSIMILE OTHER THAN AS SET FORTH ABOVE, WILL NOT CONSTITUTE A VALID DELIVERY.</w:t>
      </w:r>
    </w:p>
    <w:p>
      <w:pPr>
        <w:spacing w:after="0" w:line="7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This Notice is not to be used to guarantee signatures. If a signature on a Letter of Transmittal is required to be guaranteed by a “Medallion Signature</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Guarantor” under the instructions thereto, such signature guarantee must appear in the applicable space provided in the signature box on the Letter of Transmittal.</w:t>
      </w:r>
    </w:p>
    <w:p>
      <w:pPr>
        <w:sectPr>
          <w:pgSz w:w="11900" w:h="16838" w:orient="portrait"/>
          <w:cols w:equalWidth="0" w:num="1">
            <w:col w:w="11460"/>
          </w:cols>
          <w:pgMar w:left="240" w:top="125" w:right="19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Ladies and Gentlemen: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Upon the terms and conditions set forth in the Prospectus and the accompanying Letter of Transmittal, receipt of which the undersigned hereby acknowledges, the undersigned hereby tenders to the Issuers the aggregate principal amount of Old Notes set forth below pursuant to the guaranteed delivery procedures described in “The Exchange Offer—Guaranteed Delivery Procedures” section of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98995" cy="476377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98995" cy="4763770"/>
                    </a:xfrm>
                    <a:prstGeom prst="rect">
                      <a:avLst/>
                    </a:prstGeom>
                    <a:noFill/>
                  </pic:spPr>
                </pic:pic>
              </a:graphicData>
            </a:graphic>
          </wp:anchor>
        </w:drawing>
      </w:r>
    </w:p>
    <w:p>
      <w:pPr>
        <w:sectPr>
          <w:pgSz w:w="11900" w:h="16838" w:orient="portrait"/>
          <w:cols w:equalWidth="0" w:num="1">
            <w:col w:w="11100"/>
          </w:cols>
          <w:pgMar w:left="240" w:top="280" w:right="55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Aggregate Principal Amount of Old Notes Tendered (must be in denominations of principal amount of $2,000 and integral multiples of $1,000 in excess of $2,000)</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Name(s) of Holders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of Eligible Guarantor Institution Guaranteeing Delivery</w:t>
      </w:r>
    </w:p>
    <w:p>
      <w:pPr>
        <w:spacing w:after="0" w:line="225" w:lineRule="exact"/>
        <w:rPr>
          <w:sz w:val="20"/>
          <w:szCs w:val="20"/>
          <w:color w:val="auto"/>
        </w:rPr>
      </w:pPr>
    </w:p>
    <w:p>
      <w:pPr>
        <w:ind w:left="200" w:right="500"/>
        <w:spacing w:after="0" w:line="268" w:lineRule="auto"/>
        <w:rPr>
          <w:sz w:val="20"/>
          <w:szCs w:val="20"/>
          <w:color w:val="auto"/>
        </w:rPr>
      </w:pPr>
      <w:r>
        <w:rPr>
          <w:rFonts w:ascii="Arial" w:cs="Arial" w:eastAsia="Arial" w:hAnsi="Arial"/>
          <w:sz w:val="18"/>
          <w:szCs w:val="18"/>
          <w:color w:val="auto"/>
        </w:rPr>
        <w:t>Provide the following information for Old Notes certificates to be delivered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of Tendering Institution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DTC Account Number</w:t>
      </w:r>
    </w:p>
    <w:p>
      <w:pPr>
        <w:spacing w:after="0" w:line="219"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b w:val="1"/>
          <w:bCs w:val="1"/>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PLEASE SIGN HERE</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80"/>
        </w:trPr>
        <w:tc>
          <w:tcPr>
            <w:tcW w:w="200" w:type="dxa"/>
            <w:vAlign w:val="bottom"/>
          </w:tcPr>
          <w:p>
            <w:pPr>
              <w:ind w:left="60"/>
              <w:spacing w:after="0"/>
              <w:rPr>
                <w:sz w:val="20"/>
                <w:szCs w:val="20"/>
                <w:color w:val="auto"/>
              </w:rPr>
            </w:pPr>
            <w:r>
              <w:rPr>
                <w:rFonts w:ascii="Arial" w:cs="Arial" w:eastAsia="Arial" w:hAnsi="Arial"/>
                <w:sz w:val="18"/>
                <w:szCs w:val="18"/>
                <w:color w:val="auto"/>
                <w:w w:val="99"/>
              </w:rPr>
              <w:t>X</w:t>
            </w:r>
          </w:p>
        </w:tc>
        <w:tc>
          <w:tcPr>
            <w:tcW w:w="16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w w:val="84"/>
              </w:rPr>
              <w:t>Date</w:t>
            </w:r>
          </w:p>
        </w:tc>
        <w:tc>
          <w:tcPr>
            <w:tcW w:w="700" w:type="dxa"/>
            <w:vAlign w:val="bottom"/>
            <w:tcBorders>
              <w:bottom w:val="single" w:sz="8" w:color="auto"/>
            </w:tcBorders>
          </w:tcPr>
          <w:p>
            <w:pPr>
              <w:spacing w:after="0"/>
              <w:rPr>
                <w:sz w:val="24"/>
                <w:szCs w:val="24"/>
                <w:color w:val="auto"/>
              </w:rPr>
            </w:pPr>
          </w:p>
        </w:tc>
      </w:tr>
      <w:tr>
        <w:trPr>
          <w:trHeight w:val="473"/>
        </w:trPr>
        <w:tc>
          <w:tcPr>
            <w:tcW w:w="200" w:type="dxa"/>
            <w:vAlign w:val="bottom"/>
          </w:tcPr>
          <w:p>
            <w:pPr>
              <w:ind w:left="60"/>
              <w:spacing w:after="0"/>
              <w:rPr>
                <w:sz w:val="20"/>
                <w:szCs w:val="20"/>
                <w:color w:val="auto"/>
              </w:rPr>
            </w:pPr>
            <w:r>
              <w:rPr>
                <w:rFonts w:ascii="Arial" w:cs="Arial" w:eastAsia="Arial" w:hAnsi="Arial"/>
                <w:sz w:val="18"/>
                <w:szCs w:val="18"/>
                <w:color w:val="auto"/>
                <w:w w:val="99"/>
              </w:rPr>
              <w:t>X</w:t>
            </w:r>
          </w:p>
        </w:tc>
        <w:tc>
          <w:tcPr>
            <w:tcW w:w="16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color w:val="auto"/>
              </w:rPr>
              <w:t>Date</w:t>
            </w:r>
          </w:p>
        </w:tc>
      </w:tr>
      <w:tr>
        <w:trPr>
          <w:trHeight w:val="222"/>
        </w:trPr>
        <w:tc>
          <w:tcPr>
            <w:tcW w:w="2260" w:type="dxa"/>
            <w:vAlign w:val="bottom"/>
            <w:gridSpan w:val="3"/>
          </w:tcPr>
          <w:p>
            <w:pPr>
              <w:ind w:left="60"/>
              <w:spacing w:after="0"/>
              <w:rPr>
                <w:sz w:val="20"/>
                <w:szCs w:val="20"/>
                <w:color w:val="auto"/>
              </w:rPr>
            </w:pPr>
            <w:r>
              <w:rPr>
                <w:rFonts w:ascii="Arial" w:cs="Arial" w:eastAsia="Arial" w:hAnsi="Arial"/>
                <w:sz w:val="18"/>
                <w:szCs w:val="18"/>
                <w:color w:val="auto"/>
              </w:rPr>
              <w:t>Signature(s) of Owner(s)</w:t>
            </w:r>
          </w:p>
        </w:tc>
        <w:tc>
          <w:tcPr>
            <w:tcW w:w="7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22"/>
        </w:trPr>
        <w:tc>
          <w:tcPr>
            <w:tcW w:w="2260" w:type="dxa"/>
            <w:vAlign w:val="bottom"/>
            <w:gridSpan w:val="3"/>
          </w:tcPr>
          <w:p>
            <w:pPr>
              <w:ind w:left="60"/>
              <w:spacing w:after="0"/>
              <w:rPr>
                <w:sz w:val="20"/>
                <w:szCs w:val="20"/>
                <w:color w:val="auto"/>
              </w:rPr>
            </w:pPr>
            <w:r>
              <w:rPr>
                <w:rFonts w:ascii="Arial" w:cs="Arial" w:eastAsia="Arial" w:hAnsi="Arial"/>
                <w:sz w:val="18"/>
                <w:szCs w:val="18"/>
                <w:color w:val="auto"/>
              </w:rPr>
              <w:t>or Authorized Signatory</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Area Code and Telephone Number</w:t>
      </w:r>
    </w:p>
    <w:p>
      <w:pPr>
        <w:spacing w:after="0" w:line="117" w:lineRule="exact"/>
        <w:rPr>
          <w:sz w:val="20"/>
          <w:szCs w:val="20"/>
          <w:color w:val="auto"/>
        </w:rPr>
      </w:pPr>
    </w:p>
    <w:p>
      <w:pPr>
        <w:ind w:left="60"/>
        <w:spacing w:after="0" w:line="306" w:lineRule="auto"/>
        <w:rPr>
          <w:sz w:val="20"/>
          <w:szCs w:val="20"/>
          <w:color w:val="auto"/>
        </w:rPr>
      </w:pPr>
      <w:r>
        <w:rPr>
          <w:rFonts w:ascii="Arial" w:cs="Arial" w:eastAsia="Arial" w:hAnsi="Arial"/>
          <w:sz w:val="15"/>
          <w:szCs w:val="15"/>
          <w:color w:val="auto"/>
        </w:rPr>
        <w:t>The Notice of Guaranteed Delivery must be signed by the registered holder(s) of the Old Notes certificate(s),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If signature is by a trustee, executor, administrator, guardian, attorney-in-fact, officer of a corporation or other person acting in a fiduciary or representative capacity, such person must set forth his or her full title below and, unless waived by the Issuers, submit proper evidence satisfactory to the Issuers of such person’s authority to so act. Please print name(s) and address(es).</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Name(s)</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Address(es)</w:t>
      </w:r>
    </w:p>
    <w:p>
      <w:pPr>
        <w:spacing w:after="0" w:line="200" w:lineRule="exact"/>
        <w:rPr>
          <w:sz w:val="20"/>
          <w:szCs w:val="20"/>
          <w:color w:val="auto"/>
        </w:rPr>
      </w:pPr>
    </w:p>
    <w:p>
      <w:pPr>
        <w:sectPr>
          <w:pgSz w:w="11900" w:h="16838" w:orient="portrait"/>
          <w:cols w:equalWidth="0" w:num="2">
            <w:col w:w="5320" w:space="580"/>
            <w:col w:w="5200"/>
          </w:cols>
          <w:pgMar w:left="240" w:top="280" w:right="559" w:bottom="1440" w:gutter="0" w:footer="0" w:header="0"/>
          <w:type w:val="continuous"/>
        </w:sectPr>
      </w:pPr>
    </w:p>
    <w:p>
      <w:pPr>
        <w:spacing w:after="0" w:line="147"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00"/>
          </w:cols>
          <w:pgMar w:left="240" w:top="280" w:right="559" w:bottom="1440" w:gutter="0" w:footer="0" w:header="0"/>
          <w:type w:val="continuous"/>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09816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098165"/>
                    </a:xfrm>
                    <a:prstGeom prst="rect">
                      <a:avLst/>
                    </a:prstGeom>
                    <a:noFill/>
                  </pic:spPr>
                </pic:pic>
              </a:graphicData>
            </a:graphic>
          </wp:anchor>
        </w:drawing>
        <w:t>GUARANTEE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to be Used for Signature Guarantees)</w:t>
      </w:r>
    </w:p>
    <w:p>
      <w:pPr>
        <w:spacing w:after="0" w:line="165" w:lineRule="exact"/>
        <w:rPr>
          <w:sz w:val="20"/>
          <w:szCs w:val="20"/>
          <w:color w:val="auto"/>
        </w:rPr>
      </w:pPr>
    </w:p>
    <w:p>
      <w:pPr>
        <w:ind w:left="140" w:right="200" w:firstLine="348"/>
        <w:spacing w:after="0" w:line="290" w:lineRule="auto"/>
        <w:rPr>
          <w:sz w:val="20"/>
          <w:szCs w:val="20"/>
          <w:color w:val="auto"/>
        </w:rPr>
      </w:pPr>
      <w:r>
        <w:rPr>
          <w:rFonts w:ascii="Arial" w:cs="Arial" w:eastAsia="Arial" w:hAnsi="Arial"/>
          <w:sz w:val="16"/>
          <w:szCs w:val="16"/>
          <w:color w:val="auto"/>
        </w:rPr>
        <w:t>The undersigned, a financial institution (including most banks, savings and loan associations and brokerage houses) that is a participant in the Securities Transfer Agents Medallion Program, the New York Stock Exchange Medallion Signature Program or the Stock Exchange Medallion Program, hereby guarantees that the certificates representing the principal amount of Old Notes tendered hereby in proper form for transfer, or timely confirmation of the book-entry transfer of such Old Notes into the Exchange Agent’s account at The Depository Trust Company pursuant to the procedures set forth in “The Exchange Offer—Guaranteed Delivery Procedures” section of the Prospectus, together with one or more properly and duly executed Letters of Transmittal, or facsimile thereof or Agent’s Message in lieu thereof, and any required signature guarantee and any other documents required by the Letter of Transmittal, will be received by the Exchange Agent at the address set forth above, no later than three New York Stock Exchange trading days after the Expiration Date.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200" w:type="dxa"/>
            <w:vAlign w:val="bottom"/>
            <w:tcBorders>
              <w:top w:val="single" w:sz="8" w:color="auto"/>
            </w:tcBorders>
          </w:tcPr>
          <w:p>
            <w:pPr>
              <w:jc w:val="center"/>
              <w:ind w:left="112"/>
              <w:spacing w:after="0"/>
              <w:rPr>
                <w:sz w:val="20"/>
                <w:szCs w:val="20"/>
                <w:color w:val="auto"/>
              </w:rPr>
            </w:pPr>
            <w:r>
              <w:rPr>
                <w:rFonts w:ascii="Arial" w:cs="Arial" w:eastAsia="Arial" w:hAnsi="Arial"/>
                <w:sz w:val="18"/>
                <w:szCs w:val="18"/>
                <w:color w:val="auto"/>
                <w:w w:val="91"/>
              </w:rPr>
              <w:t>Name of Firm</w:t>
            </w: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jc w:val="center"/>
              <w:ind w:right="1252"/>
              <w:spacing w:after="0"/>
              <w:rPr>
                <w:sz w:val="20"/>
                <w:szCs w:val="20"/>
                <w:color w:val="auto"/>
              </w:rPr>
            </w:pPr>
            <w:r>
              <w:rPr>
                <w:rFonts w:ascii="Arial" w:cs="Arial" w:eastAsia="Arial" w:hAnsi="Arial"/>
                <w:sz w:val="18"/>
                <w:szCs w:val="18"/>
                <w:color w:val="auto"/>
                <w:w w:val="89"/>
              </w:rPr>
              <w:t>Authorized Signature</w:t>
            </w:r>
          </w:p>
        </w:tc>
        <w:tc>
          <w:tcPr>
            <w:tcW w:w="140" w:type="dxa"/>
            <w:vAlign w:val="bottom"/>
          </w:tcPr>
          <w:p>
            <w:pPr>
              <w:spacing w:after="0"/>
              <w:rPr>
                <w:sz w:val="20"/>
                <w:szCs w:val="20"/>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20" w:type="dxa"/>
            <w:vAlign w:val="bottom"/>
            <w:gridSpan w:val="2"/>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jc w:val="center"/>
              <w:ind w:left="112"/>
              <w:spacing w:after="0"/>
              <w:rPr>
                <w:sz w:val="20"/>
                <w:szCs w:val="20"/>
                <w:color w:val="auto"/>
              </w:rPr>
            </w:pPr>
            <w:r>
              <w:rPr>
                <w:rFonts w:ascii="Arial" w:cs="Arial" w:eastAsia="Arial" w:hAnsi="Arial"/>
                <w:sz w:val="18"/>
                <w:szCs w:val="18"/>
                <w:color w:val="auto"/>
                <w:w w:val="84"/>
              </w:rPr>
              <w:t>Address</w:t>
            </w: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jc w:val="center"/>
              <w:ind w:right="1252"/>
              <w:spacing w:after="0"/>
              <w:rPr>
                <w:sz w:val="20"/>
                <w:szCs w:val="20"/>
                <w:color w:val="auto"/>
              </w:rPr>
            </w:pPr>
            <w:r>
              <w:rPr>
                <w:rFonts w:ascii="Arial" w:cs="Arial" w:eastAsia="Arial" w:hAnsi="Arial"/>
                <w:sz w:val="18"/>
                <w:szCs w:val="18"/>
                <w:color w:val="auto"/>
                <w:w w:val="99"/>
              </w:rPr>
              <w:t>Title</w:t>
            </w:r>
          </w:p>
        </w:tc>
        <w:tc>
          <w:tcPr>
            <w:tcW w:w="140" w:type="dxa"/>
            <w:vAlign w:val="bottom"/>
          </w:tcPr>
          <w:p>
            <w:pPr>
              <w:spacing w:after="0"/>
              <w:rPr>
                <w:sz w:val="18"/>
                <w:szCs w:val="18"/>
                <w:color w:val="auto"/>
              </w:rPr>
            </w:pPr>
          </w:p>
        </w:tc>
      </w:tr>
      <w:tr>
        <w:trPr>
          <w:trHeight w:val="243"/>
        </w:trPr>
        <w:tc>
          <w:tcPr>
            <w:tcW w:w="1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09"/>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0" w:type="dxa"/>
            <w:vAlign w:val="bottom"/>
          </w:tcPr>
          <w:p>
            <w:pPr>
              <w:jc w:val="center"/>
              <w:ind w:left="92"/>
              <w:spacing w:after="0"/>
              <w:rPr>
                <w:sz w:val="20"/>
                <w:szCs w:val="20"/>
                <w:color w:val="auto"/>
              </w:rPr>
            </w:pPr>
            <w:r>
              <w:rPr>
                <w:rFonts w:ascii="Arial" w:cs="Arial" w:eastAsia="Arial" w:hAnsi="Arial"/>
                <w:sz w:val="18"/>
                <w:szCs w:val="18"/>
                <w:color w:val="auto"/>
                <w:w w:val="90"/>
              </w:rPr>
              <w:t>Zip Code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20" w:type="dxa"/>
            <w:vAlign w:val="bottom"/>
            <w:gridSpan w:val="2"/>
          </w:tcPr>
          <w:p>
            <w:pPr>
              <w:jc w:val="center"/>
              <w:ind w:right="1480"/>
              <w:spacing w:after="0" w:line="202" w:lineRule="exact"/>
              <w:rPr>
                <w:sz w:val="20"/>
                <w:szCs w:val="20"/>
                <w:color w:val="auto"/>
              </w:rPr>
            </w:pPr>
            <w:r>
              <w:rPr>
                <w:rFonts w:ascii="Arial" w:cs="Arial" w:eastAsia="Arial" w:hAnsi="Arial"/>
                <w:sz w:val="18"/>
                <w:szCs w:val="18"/>
                <w:color w:val="auto"/>
                <w:w w:val="87"/>
              </w:rPr>
              <w:t>(Please Type or Print)</w:t>
            </w:r>
          </w:p>
        </w:tc>
      </w:tr>
      <w:tr>
        <w:trPr>
          <w:trHeight w:val="385"/>
        </w:trPr>
        <w:tc>
          <w:tcPr>
            <w:tcW w:w="12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Area Code and Tel. No:</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Dated:</w:t>
            </w:r>
          </w:p>
        </w:tc>
        <w:tc>
          <w:tcPr>
            <w:tcW w:w="3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57"/>
        </w:trPr>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NOTE:</w:t>
            </w:r>
          </w:p>
        </w:tc>
        <w:tc>
          <w:tcPr>
            <w:tcW w:w="10600" w:type="dxa"/>
            <w:vAlign w:val="bottom"/>
            <w:gridSpan w:val="6"/>
          </w:tcPr>
          <w:p>
            <w:pPr>
              <w:ind w:left="200"/>
              <w:spacing w:after="0"/>
              <w:rPr>
                <w:sz w:val="20"/>
                <w:szCs w:val="20"/>
                <w:color w:val="auto"/>
              </w:rPr>
            </w:pPr>
            <w:r>
              <w:rPr>
                <w:rFonts w:ascii="Arial" w:cs="Arial" w:eastAsia="Arial" w:hAnsi="Arial"/>
                <w:sz w:val="18"/>
                <w:szCs w:val="18"/>
                <w:b w:val="1"/>
                <w:bCs w:val="1"/>
                <w:color w:val="auto"/>
              </w:rPr>
              <w:t>DO NOT SEND THE PHYSICAL CERTIFICATES REPRESENTING OLD NOTES WITH THIS NOTICE. SUCH PHYSICAL</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0" w:type="dxa"/>
            <w:vAlign w:val="bottom"/>
            <w:gridSpan w:val="6"/>
          </w:tcPr>
          <w:p>
            <w:pPr>
              <w:ind w:left="200"/>
              <w:spacing w:after="0"/>
              <w:rPr>
                <w:sz w:val="20"/>
                <w:szCs w:val="20"/>
                <w:color w:val="auto"/>
              </w:rPr>
            </w:pPr>
            <w:r>
              <w:rPr>
                <w:rFonts w:ascii="Arial" w:cs="Arial" w:eastAsia="Arial" w:hAnsi="Arial"/>
                <w:sz w:val="18"/>
                <w:szCs w:val="18"/>
                <w:b w:val="1"/>
                <w:bCs w:val="1"/>
                <w:color w:val="auto"/>
              </w:rPr>
              <w:t>CERTIFICATES SHOULD BE SENT TO THE EXCHANGE AGENT, TOGETHER WITH A COPY OF YOUR PREVIOUSLY</w:t>
            </w:r>
          </w:p>
        </w:tc>
      </w:tr>
      <w:tr>
        <w:trPr>
          <w:trHeight w:val="228"/>
        </w:trPr>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EXECUTED LETTER OF TRANSMITTAL.</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3"/>
        </w:trPr>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359"/>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60"/>
          </w:cols>
          <w:pgMar w:left="240" w:top="315" w:right="1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99.3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to Exchange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$900,000,000 of their outstanding</w:t>
      </w:r>
    </w:p>
    <w:p>
      <w:pPr>
        <w:ind w:left="3920"/>
        <w:spacing w:after="0" w:line="230" w:lineRule="auto"/>
        <w:rPr>
          <w:sz w:val="20"/>
          <w:szCs w:val="20"/>
          <w:color w:val="auto"/>
        </w:rPr>
      </w:pPr>
      <w:r>
        <w:rPr>
          <w:rFonts w:ascii="Arial" w:cs="Arial" w:eastAsia="Arial" w:hAnsi="Arial"/>
          <w:sz w:val="22"/>
          <w:szCs w:val="22"/>
          <w:b w:val="1"/>
          <w:bCs w:val="1"/>
          <w:color w:val="auto"/>
        </w:rPr>
        <w:t>5.375% First Mortgage Notes due 2022</w:t>
      </w:r>
    </w:p>
    <w:p>
      <w:pPr>
        <w:ind w:left="3880"/>
        <w:spacing w:after="0" w:line="231" w:lineRule="auto"/>
        <w:rPr>
          <w:sz w:val="20"/>
          <w:szCs w:val="20"/>
          <w:color w:val="auto"/>
        </w:rPr>
      </w:pPr>
      <w:r>
        <w:rPr>
          <w:rFonts w:ascii="Arial" w:cs="Arial" w:eastAsia="Arial" w:hAnsi="Arial"/>
          <w:sz w:val="22"/>
          <w:szCs w:val="22"/>
          <w:b w:val="1"/>
          <w:bCs w:val="1"/>
          <w:color w:val="auto"/>
        </w:rPr>
        <w:t>(CUSIPs 983130 AS4 and U98347 AH7)</w:t>
      </w:r>
    </w:p>
    <w:p>
      <w:pPr>
        <w:jc w:val="center"/>
        <w:spacing w:after="0" w:line="230" w:lineRule="auto"/>
        <w:rPr>
          <w:sz w:val="20"/>
          <w:szCs w:val="20"/>
          <w:color w:val="auto"/>
        </w:rPr>
      </w:pPr>
      <w:r>
        <w:rPr>
          <w:rFonts w:ascii="Arial" w:cs="Arial" w:eastAsia="Arial" w:hAnsi="Arial"/>
          <w:sz w:val="22"/>
          <w:szCs w:val="22"/>
          <w:b w:val="1"/>
          <w:bCs w:val="1"/>
          <w:color w:val="auto"/>
        </w:rPr>
        <w:t>Issued on March 12, 2012</w:t>
      </w:r>
    </w:p>
    <w:p>
      <w:pPr>
        <w:jc w:val="center"/>
        <w:spacing w:after="0" w:line="231" w:lineRule="auto"/>
        <w:rPr>
          <w:sz w:val="20"/>
          <w:szCs w:val="20"/>
          <w:color w:val="auto"/>
        </w:rPr>
      </w:pPr>
      <w:r>
        <w:rPr>
          <w:rFonts w:ascii="Arial" w:cs="Arial" w:eastAsia="Arial" w:hAnsi="Arial"/>
          <w:sz w:val="22"/>
          <w:szCs w:val="22"/>
          <w:b w:val="1"/>
          <w:bCs w:val="1"/>
          <w:color w:val="auto"/>
        </w:rPr>
        <w:t>for</w:t>
      </w:r>
    </w:p>
    <w:p>
      <w:pPr>
        <w:jc w:val="center"/>
        <w:spacing w:after="0" w:line="231" w:lineRule="auto"/>
        <w:rPr>
          <w:sz w:val="20"/>
          <w:szCs w:val="20"/>
          <w:color w:val="auto"/>
        </w:rPr>
      </w:pPr>
      <w:r>
        <w:rPr>
          <w:rFonts w:ascii="Arial" w:cs="Arial" w:eastAsia="Arial" w:hAnsi="Arial"/>
          <w:sz w:val="22"/>
          <w:szCs w:val="22"/>
          <w:b w:val="1"/>
          <w:bCs w:val="1"/>
          <w:color w:val="auto"/>
        </w:rPr>
        <w:t>5.375% First Mortgage Notes due 2022</w:t>
      </w:r>
    </w:p>
    <w:p>
      <w:pPr>
        <w:jc w:val="center"/>
        <w:spacing w:after="0" w:line="230" w:lineRule="auto"/>
        <w:rPr>
          <w:sz w:val="20"/>
          <w:szCs w:val="20"/>
          <w:color w:val="auto"/>
        </w:rPr>
      </w:pPr>
      <w:r>
        <w:rPr>
          <w:rFonts w:ascii="Arial" w:cs="Arial" w:eastAsia="Arial" w:hAnsi="Arial"/>
          <w:sz w:val="22"/>
          <w:szCs w:val="22"/>
          <w:b w:val="1"/>
          <w:bCs w:val="1"/>
          <w:color w:val="auto"/>
        </w:rPr>
        <w:t>(CUSIP 983130 AT2)</w:t>
      </w:r>
    </w:p>
    <w:p>
      <w:pPr>
        <w:jc w:val="center"/>
        <w:spacing w:after="0" w:line="231" w:lineRule="auto"/>
        <w:rPr>
          <w:sz w:val="20"/>
          <w:szCs w:val="20"/>
          <w:color w:val="auto"/>
        </w:rPr>
      </w:pPr>
      <w:r>
        <w:rPr>
          <w:rFonts w:ascii="Arial" w:cs="Arial" w:eastAsia="Arial" w:hAnsi="Arial"/>
          <w:sz w:val="22"/>
          <w:szCs w:val="22"/>
          <w:b w:val="1"/>
          <w:bCs w:val="1"/>
          <w:color w:val="auto"/>
        </w:rPr>
        <w:t>That Have Been Registered Under</w:t>
      </w:r>
    </w:p>
    <w:p>
      <w:pPr>
        <w:jc w:val="center"/>
        <w:spacing w:after="0" w:line="231" w:lineRule="auto"/>
        <w:rPr>
          <w:sz w:val="20"/>
          <w:szCs w:val="20"/>
          <w:color w:val="auto"/>
        </w:rPr>
      </w:pPr>
      <w:r>
        <w:rPr>
          <w:rFonts w:ascii="Arial" w:cs="Arial" w:eastAsia="Arial" w:hAnsi="Arial"/>
          <w:sz w:val="22"/>
          <w:szCs w:val="22"/>
          <w:b w:val="1"/>
          <w:bCs w:val="1"/>
          <w:color w:val="auto"/>
        </w:rPr>
        <w:t>the Securities Act of 1933, as Amended,</w:t>
      </w:r>
    </w:p>
    <w:p>
      <w:pPr>
        <w:jc w:val="center"/>
        <w:ind w:right="-19"/>
        <w:spacing w:after="0"/>
        <w:tabs>
          <w:tab w:leader="none" w:pos="420" w:val="left"/>
        </w:tabs>
        <w:rPr>
          <w:sz w:val="20"/>
          <w:szCs w:val="20"/>
          <w:color w:val="auto"/>
        </w:rPr>
      </w:pPr>
      <w:r>
        <w:rPr>
          <w:rFonts w:ascii="Arial" w:cs="Arial" w:eastAsia="Arial" w:hAnsi="Arial"/>
          <w:sz w:val="22"/>
          <w:szCs w:val="22"/>
          <w:b w:val="1"/>
          <w:bCs w:val="1"/>
          <w:color w:val="auto"/>
        </w:rPr>
        <w:t>Pursuant to the Prospectus, dated</w:t>
      </w:r>
      <w:r>
        <w:rPr>
          <w:sz w:val="20"/>
          <w:szCs w:val="20"/>
          <w:color w:val="auto"/>
        </w:rPr>
        <w:tab/>
      </w:r>
      <w:r>
        <w:rPr>
          <w:rFonts w:ascii="Arial" w:cs="Arial" w:eastAsia="Arial" w:hAnsi="Arial"/>
          <w:sz w:val="19"/>
          <w:szCs w:val="19"/>
          <w:b w:val="1"/>
          <w:bCs w:val="1"/>
          <w:color w:val="auto"/>
        </w:rPr>
        <w:t>, 2012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Our Clients:</w:t>
      </w:r>
    </w:p>
    <w:p>
      <w:pPr>
        <w:spacing w:after="0" w:line="177" w:lineRule="exact"/>
        <w:rPr>
          <w:sz w:val="20"/>
          <w:szCs w:val="20"/>
          <w:color w:val="auto"/>
        </w:rPr>
      </w:pPr>
    </w:p>
    <w:p>
      <w:pPr>
        <w:ind w:left="460"/>
        <w:spacing w:after="0"/>
        <w:tabs>
          <w:tab w:leader="none" w:pos="4600" w:val="left"/>
        </w:tabs>
        <w:rPr>
          <w:sz w:val="20"/>
          <w:szCs w:val="20"/>
          <w:color w:val="auto"/>
        </w:rPr>
      </w:pPr>
      <w:r>
        <w:rPr>
          <w:rFonts w:ascii="Arial" w:cs="Arial" w:eastAsia="Arial" w:hAnsi="Arial"/>
          <w:sz w:val="18"/>
          <w:szCs w:val="18"/>
          <w:color w:val="auto"/>
        </w:rPr>
        <w:t>Enclosed for your consideration is a Prospectus, dated</w:t>
      </w:r>
      <w:r>
        <w:rPr>
          <w:sz w:val="20"/>
          <w:szCs w:val="20"/>
          <w:color w:val="auto"/>
        </w:rPr>
        <w:tab/>
      </w:r>
      <w:r>
        <w:rPr>
          <w:rFonts w:ascii="Arial" w:cs="Arial" w:eastAsia="Arial" w:hAnsi="Arial"/>
          <w:sz w:val="16"/>
          <w:szCs w:val="16"/>
          <w:color w:val="auto"/>
        </w:rPr>
        <w:t>, 2012 (the “Prospectus”), and the related Letter of Transmittal (the “Letter of Transmittal”),</w:t>
      </w:r>
    </w:p>
    <w:p>
      <w:pPr>
        <w:spacing w:after="0" w:line="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relating to the offer (the “Exchange Offer”) of Wynn Las Vegas, LLC and Wynn Las Vegas Capital Corp. (together, the “Issuers”) to exchange an aggregate principal amount of up to $900,000,000 5.375% First Mortgage Notes due 2022 of the Issuers issued on March 12, 2012 (the “Old Notes”) for 5.375% First Mortgage Notes due 2022 of the Issuers that have been registered under the Securities Act of 1933, as amended (the “New Notes”), upon the terms and subject to the conditions set forth in the Prospectus and the Letter of Transmittal. The Exchange Offer is being made to satisfy certain obligations of the Issuers contained in the Registration Rights Agreement, dated as of March 12, 2012, by and among the Issuers, the guarantors referred to therein and the initial purchasers referred to therein.</w:t>
      </w:r>
    </w:p>
    <w:p>
      <w:pPr>
        <w:spacing w:after="0" w:line="14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material is being forwarded to you as the beneficial owner of the Old Notes held by us for your account but not registered in your name. A TENDER OF SUCH OLD NOTES MAY ONLY BE MADE BY US AS THE HOLDER OF RECORD AND PURSUANT TO YOUR INSTRUCTIONS.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Accordingly, we request instructions as to whether you wish us to tender on your behalf the Old Notes held by us for your account, pursuant to the terms and conditions set forth in the enclosed Prospectus and Letter of Transmittal.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instructions should be forwarded to us as promptly as possible in order to permit us to tender the Old Notes on your behalf in accordance with the</w:t>
      </w:r>
    </w:p>
    <w:p>
      <w:pPr>
        <w:spacing w:after="0" w:line="3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provisions of the Exchange Offer. The Exchange Offer will expire at 5:00 p.m., New York City time, on , 2012, unless extended by the Issuers. Any Old Notes tendered pursuant to the Exchange Offer may be withdrawn at any time before the Expiration Date.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attention is directed to the following:</w:t>
      </w:r>
    </w:p>
    <w:p>
      <w:pPr>
        <w:spacing w:after="0" w:line="90" w:lineRule="exact"/>
        <w:rPr>
          <w:sz w:val="20"/>
          <w:szCs w:val="20"/>
          <w:color w:val="auto"/>
        </w:rPr>
      </w:pPr>
    </w:p>
    <w:p>
      <w:pPr>
        <w:ind w:left="1080" w:hanging="177"/>
        <w:spacing w:after="0"/>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Exchange Offer is for any and all Old Notes.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07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Exchange Offer is subject to certain conditions set forth in the Prospectus in the section captioned “The Exchange Offer—Conditions to the Exchange Offer.”</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7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transfer taxes incident to the transfer of Old Notes from the holder to the Issuers will be paid by the Issuers, except as otherwise provided in the Instructions in the Letter of Transmittal.</w:t>
      </w:r>
    </w:p>
    <w:p>
      <w:pPr>
        <w:spacing w:after="0" w:line="51" w:lineRule="exact"/>
        <w:rPr>
          <w:sz w:val="20"/>
          <w:szCs w:val="20"/>
          <w:color w:val="auto"/>
        </w:rPr>
      </w:pPr>
    </w:p>
    <w:p>
      <w:pPr>
        <w:ind w:left="900"/>
        <w:spacing w:after="0"/>
        <w:tabs>
          <w:tab w:leader="none" w:pos="6040" w:val="left"/>
        </w:tabs>
        <w:rPr>
          <w:sz w:val="20"/>
          <w:szCs w:val="20"/>
          <w:color w:val="auto"/>
        </w:rPr>
      </w:pPr>
      <w:r>
        <w:rPr>
          <w:rFonts w:ascii="Arial" w:cs="Arial" w:eastAsia="Arial" w:hAnsi="Arial"/>
          <w:sz w:val="18"/>
          <w:szCs w:val="18"/>
          <w:color w:val="auto"/>
        </w:rPr>
        <w:t>4. The Exchange Offer expires at 5:00 p.m., New York City time, on</w:t>
      </w:r>
      <w:r>
        <w:rPr>
          <w:sz w:val="20"/>
          <w:szCs w:val="20"/>
          <w:color w:val="auto"/>
        </w:rPr>
        <w:tab/>
      </w:r>
      <w:r>
        <w:rPr>
          <w:rFonts w:ascii="Arial" w:cs="Arial" w:eastAsia="Arial" w:hAnsi="Arial"/>
          <w:sz w:val="15"/>
          <w:szCs w:val="15"/>
          <w:color w:val="auto"/>
        </w:rPr>
        <w:t>, 2012, unless extended by the Issuers.</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If you wish to have us tender your Old Notes, please so instruct us by completing, executing and returning to us the instruction form on the back of this letter. THE LETTER OF TRANSMITTAL IS FURNISHED TO YOU FOR INFORMATION ONLY AND MAY NOT BE USED DIRECTLY BY YOU TO TENDER OLD NOTES.</w:t>
      </w:r>
    </w:p>
    <w:p>
      <w:pPr>
        <w:sectPr>
          <w:pgSz w:w="11900" w:h="16838" w:orient="portrait"/>
          <w:cols w:equalWidth="0" w:num="1">
            <w:col w:w="11420"/>
          </w:cols>
          <w:pgMar w:left="240" w:top="125" w:right="239" w:bottom="1440" w:gutter="0" w:footer="0" w:header="0"/>
        </w:sectPr>
      </w:pPr>
    </w:p>
    <w:bookmarkStart w:id="279" w:name="page280"/>
    <w:bookmarkEnd w:id="27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WITH RESPECT TO</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EXCHANGE OFFER</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undersigned acknowledge(s) receipt of your letter and the enclosed material referred to therein relating to the Exchange Offer made by Wynn Las Vegas, LLC and Wynn Las Vegas Capital Corp. with respect to the Old Notes.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will instruct you to tender the Old Notes held by you for the account of the undersigned, upon the terms and subject to the conditions set forth in the Prospectus and the related Letter of Transmittal.</w:t>
      </w:r>
    </w:p>
    <w:p>
      <w:pPr>
        <w:spacing w:after="0" w:line="132"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tender, sell, assign and transfer all right, title and interest in the Old Notes and to acquire the New Notes, issuable upon the exchange of such Old Notes, and that, when such validly tendered Old Notes are accepted by the Issuers for exchange, the Issuers will acquire good and unencumbered title thereto, free and clear of all liens, restrictions, charges and encumbrances and not subject to any adverse claim.</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By completing, executing and delivering these Instructions, the undersigned hereby (i) makes the acknowledgments, representations and warranties referred to above, (ii) instructs you to tender the Old Notes held by you for the account of the undersigned, upon the terms and subject to the conditions set forth in the Prospectus and Letter of Transmittal and (iii) expressly agrees to be bound by the Letter of Transmittal and that such Letter of Transmittal may be enforced against the undersigned.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Please tender the </w:t>
      </w:r>
      <w:r>
        <w:rPr>
          <w:rFonts w:ascii="Arial" w:cs="Arial" w:eastAsia="Arial" w:hAnsi="Arial"/>
          <w:sz w:val="18"/>
          <w:szCs w:val="18"/>
          <w:b w:val="1"/>
          <w:bCs w:val="1"/>
          <w:u w:val="single" w:color="auto"/>
          <w:color w:val="auto"/>
        </w:rPr>
        <w:t>Old Notes</w:t>
      </w:r>
      <w:r>
        <w:rPr>
          <w:rFonts w:ascii="Arial" w:cs="Arial" w:eastAsia="Arial" w:hAnsi="Arial"/>
          <w:sz w:val="18"/>
          <w:szCs w:val="18"/>
          <w:color w:val="auto"/>
        </w:rPr>
        <w:t xml:space="preserve"> held by you for my account as indicated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5.375% FIRST MORTGAGE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15005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54875" cy="150050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900" w:type="dxa"/>
            <w:vAlign w:val="bottom"/>
            <w:tcBorders>
              <w:top w:val="single" w:sz="8" w:color="auto"/>
              <w:right w:val="single" w:sz="8" w:color="auto"/>
            </w:tcBorders>
          </w:tcPr>
          <w:p>
            <w:pPr>
              <w:spacing w:after="0"/>
              <w:rPr>
                <w:sz w:val="11"/>
                <w:szCs w:val="11"/>
                <w:color w:val="auto"/>
              </w:rPr>
            </w:pPr>
          </w:p>
        </w:tc>
        <w:tc>
          <w:tcPr>
            <w:tcW w:w="3780" w:type="dxa"/>
            <w:vAlign w:val="bottom"/>
            <w:tcBorders>
              <w:top w:val="single" w:sz="8" w:color="auto"/>
              <w:right w:val="single" w:sz="8" w:color="auto"/>
            </w:tcBorders>
          </w:tcPr>
          <w:p>
            <w:pPr>
              <w:spacing w:after="0"/>
              <w:rPr>
                <w:sz w:val="11"/>
                <w:szCs w:val="11"/>
                <w:color w:val="auto"/>
              </w:rPr>
            </w:pPr>
          </w:p>
        </w:tc>
        <w:tc>
          <w:tcPr>
            <w:tcW w:w="3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7"/>
              </w:rPr>
              <w:t>Old Notes are</w:t>
            </w:r>
          </w:p>
        </w:tc>
      </w:tr>
      <w:tr>
        <w:trPr>
          <w:trHeight w:val="149"/>
        </w:trPr>
        <w:tc>
          <w:tcPr>
            <w:tcW w:w="3900" w:type="dxa"/>
            <w:vAlign w:val="bottom"/>
            <w:tcBorders>
              <w:right w:val="single" w:sz="8" w:color="auto"/>
            </w:tcBorders>
          </w:tcPr>
          <w:p>
            <w:pPr>
              <w:spacing w:after="0"/>
              <w:rPr>
                <w:sz w:val="12"/>
                <w:szCs w:val="12"/>
                <w:color w:val="auto"/>
              </w:rPr>
            </w:pPr>
          </w:p>
        </w:tc>
        <w:tc>
          <w:tcPr>
            <w:tcW w:w="3780" w:type="dxa"/>
            <w:vAlign w:val="bottom"/>
            <w:tcBorders>
              <w:right w:val="single" w:sz="8" w:color="auto"/>
            </w:tcBorders>
          </w:tcPr>
          <w:p>
            <w:pPr>
              <w:spacing w:after="0"/>
              <w:rPr>
                <w:sz w:val="12"/>
                <w:szCs w:val="12"/>
                <w:color w:val="auto"/>
              </w:rPr>
            </w:pPr>
          </w:p>
        </w:tc>
        <w:tc>
          <w:tcPr>
            <w:tcW w:w="3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Tendered</w:t>
            </w:r>
          </w:p>
        </w:tc>
      </w:tr>
      <w:tr>
        <w:trPr>
          <w:trHeight w:val="175"/>
        </w:trPr>
        <w:tc>
          <w:tcPr>
            <w:tcW w:w="390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Certificate Numbers*</w:t>
            </w:r>
          </w:p>
        </w:tc>
        <w:tc>
          <w:tcPr>
            <w:tcW w:w="378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Principal Amount**</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(“Yes” or “No”)***</w:t>
            </w:r>
          </w:p>
        </w:tc>
      </w:tr>
      <w:tr>
        <w:trPr>
          <w:trHeight w:val="250"/>
        </w:trPr>
        <w:tc>
          <w:tcPr>
            <w:tcW w:w="3900" w:type="dxa"/>
            <w:vAlign w:val="bottom"/>
            <w:tcBorders>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r>
      <w:tr>
        <w:trPr>
          <w:trHeight w:val="250"/>
        </w:trPr>
        <w:tc>
          <w:tcPr>
            <w:tcW w:w="3900" w:type="dxa"/>
            <w:vAlign w:val="bottom"/>
            <w:tcBorders>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r>
    </w:tbl>
    <w:p>
      <w:pPr>
        <w:ind w:left="520" w:hanging="390"/>
        <w:spacing w:after="0"/>
        <w:tabs>
          <w:tab w:leader="none" w:pos="5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Need not be completed if Old Notes are being tendered by book-entry transfer.</w:t>
      </w:r>
    </w:p>
    <w:p>
      <w:pPr>
        <w:spacing w:after="0" w:line="7" w:lineRule="exact"/>
        <w:rPr>
          <w:sz w:val="20"/>
          <w:szCs w:val="20"/>
          <w:color w:val="auto"/>
        </w:rPr>
      </w:pPr>
    </w:p>
    <w:p>
      <w:pPr>
        <w:ind w:left="340" w:right="360" w:hanging="210"/>
        <w:spacing w:after="0" w:line="250" w:lineRule="auto"/>
        <w:tabs>
          <w:tab w:leader="none" w:pos="51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Unless otherwise indicated in this column, a holder will be deemed to have tendered ALL of the Old Notes represented by the Old Notes indicated in column 2. See Instruction 2 of the Letter of Transmittal. Old Notes tendered hereby must be in denominations of principal amount of $2,000 and integral multiples of $1,000 in excess of $2,000. See Instruction 1 of the Letter of Transmittal.</w:t>
      </w:r>
    </w:p>
    <w:p>
      <w:pPr>
        <w:spacing w:after="0" w:line="1" w:lineRule="exact"/>
        <w:rPr>
          <w:rFonts w:ascii="Arial" w:cs="Arial" w:eastAsia="Arial" w:hAnsi="Arial"/>
          <w:sz w:val="18"/>
          <w:szCs w:val="18"/>
          <w:color w:val="auto"/>
        </w:rPr>
      </w:pPr>
    </w:p>
    <w:p>
      <w:pPr>
        <w:ind w:left="480" w:hanging="350"/>
        <w:spacing w:after="0"/>
        <w:tabs>
          <w:tab w:leader="none" w:pos="4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Unless otherwise indicated, “yes” will be assumed.</w:t>
      </w:r>
    </w:p>
    <w:p>
      <w:pPr>
        <w:spacing w:after="0" w:line="232" w:lineRule="exact"/>
        <w:rPr>
          <w:sz w:val="20"/>
          <w:szCs w:val="20"/>
          <w:color w:val="auto"/>
        </w:rPr>
      </w:pPr>
    </w:p>
    <w:p>
      <w:pPr>
        <w:ind w:left="2380" w:hanging="441"/>
        <w:spacing w:after="0"/>
        <w:tabs>
          <w:tab w:leader="none" w:pos="2380" w:val="left"/>
        </w:tabs>
        <w:numPr>
          <w:ilvl w:val="0"/>
          <w:numId w:val="235"/>
        </w:numPr>
        <w:rPr>
          <w:rFonts w:ascii="MS PGothic" w:cs="MS PGothic" w:eastAsia="MS PGothic" w:hAnsi="MS PGothic"/>
          <w:sz w:val="18"/>
          <w:szCs w:val="18"/>
          <w:color w:val="auto"/>
        </w:rPr>
      </w:pPr>
      <w:r>
        <w:rPr>
          <w:rFonts w:ascii="Arial" w:cs="Arial" w:eastAsia="Arial" w:hAnsi="Arial"/>
          <w:sz w:val="18"/>
          <w:szCs w:val="18"/>
          <w:color w:val="auto"/>
        </w:rPr>
        <w:t>Please do not tender any Old Notes held by you for my account.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10795</wp:posOffset>
            </wp:positionV>
            <wp:extent cx="638048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10795</wp:posOffset>
            </wp:positionV>
            <wp:extent cx="595185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60286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0286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10795</wp:posOffset>
            </wp:positionV>
            <wp:extent cx="478536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413385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My Account Number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10795</wp:posOffset>
            </wp:positionV>
            <wp:extent cx="515429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327"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-13970</wp:posOffset>
            </wp:positionV>
            <wp:extent cx="152654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280" w:name="page281"/>
    <w:bookmarkEnd w:id="28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 be signed by the registered holder(s) of the Old Notes,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(as defined in the Letter of Transmittal). If signature is by a trustee, executor, administrator, guardian, attorney-in-fact, officer of a corporation or other person acting in a fiduciary or representative capacity, such person must set forth his or her full title next to his or her name above and, unless waived by the Issuers, submit proper evidence satisfactory to the Issuers of such person’s authority to so act. See Instruction 3 to the Letter of Transmittal.)</w:t>
      </w:r>
    </w:p>
    <w:p>
      <w:pPr>
        <w:spacing w:after="0" w:line="12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None of the Old Notes held by us for your account will be tendered unless we receive written instructions from you to do so. Unless a specific contrary instruction is given in the space provided, your signature(s) hereon shall constitute an instruction to us to tender all the Old Notes held by us for your account.</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81" w:name="page282"/>
    <w:bookmarkEnd w:id="281"/>
    <w:p>
      <w:pPr>
        <w:jc w:val="right"/>
        <w:ind w:right="40"/>
        <w:spacing w:after="0"/>
        <w:rPr>
          <w:sz w:val="20"/>
          <w:szCs w:val="20"/>
          <w:color w:val="auto"/>
        </w:rPr>
      </w:pPr>
      <w:r>
        <w:rPr>
          <w:rFonts w:ascii="Arial" w:cs="Arial" w:eastAsia="Arial" w:hAnsi="Arial"/>
          <w:sz w:val="18"/>
          <w:szCs w:val="18"/>
          <w:b w:val="1"/>
          <w:bCs w:val="1"/>
          <w:color w:val="auto"/>
        </w:rPr>
        <w:t>Exhibit 99.4</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LLC</w:t>
      </w:r>
    </w:p>
    <w:p>
      <w:pPr>
        <w:jc w:val="center"/>
        <w:ind w:right="40"/>
        <w:spacing w:after="0"/>
        <w:rPr>
          <w:sz w:val="20"/>
          <w:szCs w:val="20"/>
          <w:color w:val="auto"/>
        </w:rPr>
      </w:pPr>
      <w:r>
        <w:rPr>
          <w:rFonts w:ascii="Arial" w:cs="Arial" w:eastAsia="Arial" w:hAnsi="Arial"/>
          <w:sz w:val="32"/>
          <w:szCs w:val="32"/>
          <w:b w:val="1"/>
          <w:bCs w:val="1"/>
          <w:color w:val="auto"/>
        </w:rPr>
        <w:t>WYNN LAS VEGAS CAPITAL CORP.</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Offer to Exchange</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$900,000,000 of their outstanding</w:t>
      </w:r>
    </w:p>
    <w:p>
      <w:pPr>
        <w:ind w:left="3920"/>
        <w:spacing w:after="0" w:line="230" w:lineRule="auto"/>
        <w:rPr>
          <w:sz w:val="20"/>
          <w:szCs w:val="20"/>
          <w:color w:val="auto"/>
        </w:rPr>
      </w:pPr>
      <w:r>
        <w:rPr>
          <w:rFonts w:ascii="Arial" w:cs="Arial" w:eastAsia="Arial" w:hAnsi="Arial"/>
          <w:sz w:val="22"/>
          <w:szCs w:val="22"/>
          <w:b w:val="1"/>
          <w:bCs w:val="1"/>
          <w:color w:val="auto"/>
        </w:rPr>
        <w:t>5.375% First Mortgage Notes due 2022</w:t>
      </w:r>
    </w:p>
    <w:p>
      <w:pPr>
        <w:ind w:left="3880"/>
        <w:spacing w:after="0" w:line="231" w:lineRule="auto"/>
        <w:rPr>
          <w:sz w:val="20"/>
          <w:szCs w:val="20"/>
          <w:color w:val="auto"/>
        </w:rPr>
      </w:pPr>
      <w:r>
        <w:rPr>
          <w:rFonts w:ascii="Arial" w:cs="Arial" w:eastAsia="Arial" w:hAnsi="Arial"/>
          <w:sz w:val="22"/>
          <w:szCs w:val="22"/>
          <w:b w:val="1"/>
          <w:bCs w:val="1"/>
          <w:color w:val="auto"/>
        </w:rPr>
        <w:t>(CUSIPs 983130 AS4 and U98347 AH7)</w:t>
      </w:r>
    </w:p>
    <w:p>
      <w:pPr>
        <w:jc w:val="center"/>
        <w:ind w:right="40"/>
        <w:spacing w:after="0" w:line="230" w:lineRule="auto"/>
        <w:rPr>
          <w:sz w:val="20"/>
          <w:szCs w:val="20"/>
          <w:color w:val="auto"/>
        </w:rPr>
      </w:pPr>
      <w:r>
        <w:rPr>
          <w:rFonts w:ascii="Arial" w:cs="Arial" w:eastAsia="Arial" w:hAnsi="Arial"/>
          <w:sz w:val="22"/>
          <w:szCs w:val="22"/>
          <w:b w:val="1"/>
          <w:bCs w:val="1"/>
          <w:color w:val="auto"/>
        </w:rPr>
        <w:t>Issued on March 12, 2012</w:t>
      </w:r>
    </w:p>
    <w:p>
      <w:pPr>
        <w:jc w:val="center"/>
        <w:ind w:right="40"/>
        <w:spacing w:after="0" w:line="231" w:lineRule="auto"/>
        <w:rPr>
          <w:sz w:val="20"/>
          <w:szCs w:val="20"/>
          <w:color w:val="auto"/>
        </w:rPr>
      </w:pPr>
      <w:r>
        <w:rPr>
          <w:rFonts w:ascii="Arial" w:cs="Arial" w:eastAsia="Arial" w:hAnsi="Arial"/>
          <w:sz w:val="22"/>
          <w:szCs w:val="22"/>
          <w:b w:val="1"/>
          <w:bCs w:val="1"/>
          <w:color w:val="auto"/>
        </w:rPr>
        <w:t>for</w:t>
      </w:r>
    </w:p>
    <w:p>
      <w:pPr>
        <w:jc w:val="center"/>
        <w:ind w:right="40"/>
        <w:spacing w:after="0" w:line="231" w:lineRule="auto"/>
        <w:rPr>
          <w:sz w:val="20"/>
          <w:szCs w:val="20"/>
          <w:color w:val="auto"/>
        </w:rPr>
      </w:pPr>
      <w:r>
        <w:rPr>
          <w:rFonts w:ascii="Arial" w:cs="Arial" w:eastAsia="Arial" w:hAnsi="Arial"/>
          <w:sz w:val="22"/>
          <w:szCs w:val="22"/>
          <w:b w:val="1"/>
          <w:bCs w:val="1"/>
          <w:color w:val="auto"/>
        </w:rPr>
        <w:t>5.375% First Mortgage Notes due 2022</w:t>
      </w:r>
    </w:p>
    <w:p>
      <w:pPr>
        <w:jc w:val="center"/>
        <w:ind w:right="40"/>
        <w:spacing w:after="0" w:line="230" w:lineRule="auto"/>
        <w:rPr>
          <w:sz w:val="20"/>
          <w:szCs w:val="20"/>
          <w:color w:val="auto"/>
        </w:rPr>
      </w:pPr>
      <w:r>
        <w:rPr>
          <w:rFonts w:ascii="Arial" w:cs="Arial" w:eastAsia="Arial" w:hAnsi="Arial"/>
          <w:sz w:val="22"/>
          <w:szCs w:val="22"/>
          <w:b w:val="1"/>
          <w:bCs w:val="1"/>
          <w:color w:val="auto"/>
        </w:rPr>
        <w:t>(CUSIP 983130 AT2)</w:t>
      </w:r>
    </w:p>
    <w:p>
      <w:pPr>
        <w:jc w:val="center"/>
        <w:ind w:right="40"/>
        <w:spacing w:after="0" w:line="231" w:lineRule="auto"/>
        <w:rPr>
          <w:sz w:val="20"/>
          <w:szCs w:val="20"/>
          <w:color w:val="auto"/>
        </w:rPr>
      </w:pPr>
      <w:r>
        <w:rPr>
          <w:rFonts w:ascii="Arial" w:cs="Arial" w:eastAsia="Arial" w:hAnsi="Arial"/>
          <w:sz w:val="22"/>
          <w:szCs w:val="22"/>
          <w:b w:val="1"/>
          <w:bCs w:val="1"/>
          <w:color w:val="auto"/>
        </w:rPr>
        <w:t>That Have Been Registered Under</w:t>
      </w:r>
    </w:p>
    <w:p>
      <w:pPr>
        <w:jc w:val="center"/>
        <w:ind w:right="40"/>
        <w:spacing w:after="0" w:line="231" w:lineRule="auto"/>
        <w:rPr>
          <w:sz w:val="20"/>
          <w:szCs w:val="20"/>
          <w:color w:val="auto"/>
        </w:rPr>
      </w:pPr>
      <w:r>
        <w:rPr>
          <w:rFonts w:ascii="Arial" w:cs="Arial" w:eastAsia="Arial" w:hAnsi="Arial"/>
          <w:sz w:val="22"/>
          <w:szCs w:val="22"/>
          <w:b w:val="1"/>
          <w:bCs w:val="1"/>
          <w:color w:val="auto"/>
        </w:rPr>
        <w:t>the Securities Act of 1933, as Amended,</w:t>
      </w:r>
    </w:p>
    <w:tbl>
      <w:tblPr>
        <w:tblLayout w:type="fixed"/>
        <w:tblInd w:w="0" w:type="dxa"/>
        <w:tblCellMar>
          <w:top w:w="0" w:type="dxa"/>
          <w:left w:w="0" w:type="dxa"/>
          <w:bottom w:w="0" w:type="dxa"/>
          <w:right w:w="0" w:type="dxa"/>
        </w:tblCellMar>
      </w:tblPr>
      <w:tr>
        <w:trPr>
          <w:trHeight w:val="281"/>
        </w:trPr>
        <w:tc>
          <w:tcPr>
            <w:tcW w:w="7080" w:type="dxa"/>
            <w:vAlign w:val="bottom"/>
          </w:tcPr>
          <w:p>
            <w:pPr>
              <w:ind w:left="3680"/>
              <w:spacing w:after="0"/>
              <w:rPr>
                <w:sz w:val="20"/>
                <w:szCs w:val="20"/>
                <w:color w:val="auto"/>
              </w:rPr>
            </w:pPr>
            <w:r>
              <w:rPr>
                <w:rFonts w:ascii="Arial" w:cs="Arial" w:eastAsia="Arial" w:hAnsi="Arial"/>
                <w:sz w:val="22"/>
                <w:szCs w:val="22"/>
                <w:b w:val="1"/>
                <w:bCs w:val="1"/>
                <w:color w:val="auto"/>
                <w:w w:val="94"/>
              </w:rPr>
              <w:t>Pursuant to the Prospectus, dated</w:t>
            </w:r>
          </w:p>
        </w:tc>
        <w:tc>
          <w:tcPr>
            <w:tcW w:w="4380" w:type="dxa"/>
            <w:vAlign w:val="bottom"/>
          </w:tcPr>
          <w:p>
            <w:pPr>
              <w:jc w:val="right"/>
              <w:ind w:right="3602"/>
              <w:spacing w:after="0"/>
              <w:rPr>
                <w:sz w:val="20"/>
                <w:szCs w:val="20"/>
                <w:color w:val="auto"/>
              </w:rPr>
            </w:pPr>
            <w:r>
              <w:rPr>
                <w:rFonts w:ascii="Arial" w:cs="Arial" w:eastAsia="Arial" w:hAnsi="Arial"/>
                <w:sz w:val="22"/>
                <w:szCs w:val="22"/>
                <w:b w:val="1"/>
                <w:bCs w:val="1"/>
                <w:color w:val="auto"/>
              </w:rPr>
              <w:t>, 2012</w:t>
            </w:r>
          </w:p>
        </w:tc>
      </w:tr>
      <w:tr>
        <w:trPr>
          <w:trHeight w:val="165"/>
        </w:trPr>
        <w:tc>
          <w:tcPr>
            <w:tcW w:w="708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tcPr>
          <w:p>
            <w:pPr>
              <w:spacing w:after="0"/>
              <w:rPr>
                <w:sz w:val="14"/>
                <w:szCs w:val="14"/>
                <w:color w:val="auto"/>
              </w:rPr>
            </w:pPr>
          </w:p>
        </w:tc>
      </w:tr>
      <w:tr>
        <w:trPr>
          <w:trHeight w:val="238"/>
        </w:trPr>
        <w:tc>
          <w:tcPr>
            <w:tcW w:w="7080" w:type="dxa"/>
            <w:vAlign w:val="bottom"/>
          </w:tcPr>
          <w:p>
            <w:pPr>
              <w:ind w:left="260"/>
              <w:spacing w:after="0"/>
              <w:rPr>
                <w:sz w:val="20"/>
                <w:szCs w:val="20"/>
                <w:color w:val="auto"/>
              </w:rPr>
            </w:pPr>
            <w:r>
              <w:rPr>
                <w:rFonts w:ascii="Arial" w:cs="Arial" w:eastAsia="Arial" w:hAnsi="Arial"/>
                <w:sz w:val="18"/>
                <w:szCs w:val="18"/>
                <w:b w:val="1"/>
                <w:bCs w:val="1"/>
                <w:color w:val="auto"/>
              </w:rPr>
              <w:t>THE EXCHANGE OFFER WILL EXPIRE AT 5:00 P.M. NEW YORK CITY TIME, ON</w:t>
            </w:r>
          </w:p>
        </w:tc>
        <w:tc>
          <w:tcPr>
            <w:tcW w:w="4380" w:type="dxa"/>
            <w:vAlign w:val="bottom"/>
          </w:tcPr>
          <w:p>
            <w:pPr>
              <w:jc w:val="right"/>
              <w:ind w:right="342"/>
              <w:spacing w:after="0"/>
              <w:rPr>
                <w:sz w:val="20"/>
                <w:szCs w:val="20"/>
                <w:color w:val="auto"/>
              </w:rPr>
            </w:pPr>
            <w:r>
              <w:rPr>
                <w:rFonts w:ascii="Arial" w:cs="Arial" w:eastAsia="Arial" w:hAnsi="Arial"/>
                <w:sz w:val="18"/>
                <w:szCs w:val="18"/>
                <w:b w:val="1"/>
                <w:bCs w:val="1"/>
                <w:color w:val="auto"/>
              </w:rPr>
              <w:t>, 2012, UNLESS EXTENDED BY THE ISSUERS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76465" cy="4845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ind w:left="260" w:right="380"/>
        <w:spacing w:after="0" w:line="261" w:lineRule="auto"/>
        <w:rPr>
          <w:sz w:val="20"/>
          <w:szCs w:val="20"/>
          <w:color w:val="auto"/>
        </w:rPr>
      </w:pPr>
      <w:r>
        <w:rPr>
          <w:rFonts w:ascii="Arial" w:cs="Arial" w:eastAsia="Arial" w:hAnsi="Arial"/>
          <w:sz w:val="18"/>
          <w:szCs w:val="18"/>
          <w:b w:val="1"/>
          <w:bCs w:val="1"/>
          <w:color w:val="auto"/>
        </w:rPr>
        <w:t>(THE “EXPIRATION DATE”). TENDERS MAY BE WITHDRAWN PRIOR TO 5:00 P.M., NEW YORK CITY TIME, ON THE EXPIRATION DATE.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LLC and Wynn Las Vegas Capital Corp. (together, the “Issuers”) are offering to exchange an aggregate principal amount of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$900,000,000 5.375% First Mortgage Notes due 2022 of the Issuers issued on March 12, 2012 (the “Old Notes”) for 5.375% First Mortgage Notes due 2022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Issuers that have been registered under the Securities Act of 1933, as amended (the “New Notes”), upon the terms and subject to the conditions set forth in the</w:t>
      </w:r>
    </w:p>
    <w:p>
      <w:pPr>
        <w:spacing w:after="0" w:line="44"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2012 (the “Prospectus”) and the enclosed Letter of Transmittal (the “Letter of Transmittal”). The Exchange Offer is being made to satisfy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certain obligations of the Issuers contained in the Registration Rights Agreement, dated as of March 12, 2012, by and among the Issuers, the guarantors 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therein and the initial purchasers referred to therein.</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requesting that you contact your clients for whom you hold Old Notes regarding the Exchange Offer. For your information and for forwarding to your clients for whom you hold Old Notes registered in your name or in the name of your nominee, or who hold Old Notes registered in their own names, we are enclosing the following documents: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540" w:type="dxa"/>
            <w:vAlign w:val="bottom"/>
          </w:tcPr>
          <w:p>
            <w:pPr>
              <w:spacing w:after="0"/>
              <w:rPr>
                <w:sz w:val="20"/>
                <w:szCs w:val="20"/>
                <w:color w:val="auto"/>
              </w:rPr>
            </w:pPr>
            <w:r>
              <w:rPr>
                <w:rFonts w:ascii="Arial" w:cs="Arial" w:eastAsia="Arial" w:hAnsi="Arial"/>
                <w:sz w:val="18"/>
                <w:szCs w:val="18"/>
                <w:color w:val="auto"/>
                <w:w w:val="94"/>
              </w:rPr>
              <w:t>1. Prospectus dated</w:t>
            </w:r>
          </w:p>
        </w:tc>
        <w:tc>
          <w:tcPr>
            <w:tcW w:w="660" w:type="dxa"/>
            <w:vAlign w:val="bottom"/>
          </w:tcPr>
          <w:p>
            <w:pPr>
              <w:jc w:val="right"/>
              <w:spacing w:after="0"/>
              <w:rPr>
                <w:sz w:val="20"/>
                <w:szCs w:val="20"/>
                <w:color w:val="auto"/>
              </w:rPr>
            </w:pPr>
            <w:r>
              <w:rPr>
                <w:rFonts w:ascii="Arial" w:cs="Arial" w:eastAsia="Arial" w:hAnsi="Arial"/>
                <w:sz w:val="18"/>
                <w:szCs w:val="18"/>
                <w:color w:val="auto"/>
              </w:rPr>
              <w:t>, 2012;</w:t>
            </w:r>
          </w:p>
        </w:tc>
      </w:tr>
    </w:tbl>
    <w:p>
      <w:pPr>
        <w:spacing w:after="0" w:line="75" w:lineRule="exact"/>
        <w:rPr>
          <w:sz w:val="20"/>
          <w:szCs w:val="20"/>
          <w:color w:val="auto"/>
        </w:rPr>
      </w:pPr>
    </w:p>
    <w:p>
      <w:pPr>
        <w:ind w:left="640" w:hanging="180"/>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Letter of Transmittal for your use and for the information of your clients;</w:t>
      </w:r>
    </w:p>
    <w:p>
      <w:pPr>
        <w:spacing w:after="0" w:line="90" w:lineRule="exact"/>
        <w:rPr>
          <w:rFonts w:ascii="Arial" w:cs="Arial" w:eastAsia="Arial" w:hAnsi="Arial"/>
          <w:sz w:val="18"/>
          <w:szCs w:val="18"/>
          <w:color w:val="auto"/>
        </w:rPr>
      </w:pPr>
    </w:p>
    <w:p>
      <w:pPr>
        <w:ind w:left="240" w:right="220" w:firstLine="220"/>
        <w:spacing w:after="0" w:line="259" w:lineRule="auto"/>
        <w:tabs>
          <w:tab w:leader="none" w:pos="63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Notice of Guaranteed Delivery to be used to accept the Exchange Offer if certificates for Old Notes are not immediately available or time will not permit all required documents to reach the Exchange Agent prior to the Expiration Date or if the procedure for book-entry transfer cannot be completed on a timely basis;</w:t>
      </w:r>
    </w:p>
    <w:p>
      <w:pPr>
        <w:spacing w:after="0" w:line="59" w:lineRule="exact"/>
        <w:rPr>
          <w:rFonts w:ascii="Arial" w:cs="Arial" w:eastAsia="Arial" w:hAnsi="Arial"/>
          <w:sz w:val="18"/>
          <w:szCs w:val="18"/>
          <w:color w:val="auto"/>
        </w:rPr>
      </w:pPr>
    </w:p>
    <w:p>
      <w:pPr>
        <w:ind w:left="240" w:right="380" w:firstLine="220"/>
        <w:spacing w:after="0" w:line="268" w:lineRule="auto"/>
        <w:tabs>
          <w:tab w:leader="none" w:pos="63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 you hold Old Notes registered in your name or the name of your nominee, with space provided for obtaining such clients’ instructions with regard to the Exchange Offer;</w:t>
      </w:r>
    </w:p>
    <w:p>
      <w:pPr>
        <w:spacing w:after="0" w:line="50" w:lineRule="exact"/>
        <w:rPr>
          <w:rFonts w:ascii="Arial" w:cs="Arial" w:eastAsia="Arial" w:hAnsi="Arial"/>
          <w:sz w:val="18"/>
          <w:szCs w:val="18"/>
          <w:color w:val="auto"/>
        </w:rPr>
      </w:pPr>
    </w:p>
    <w:p>
      <w:pPr>
        <w:ind w:left="640" w:hanging="180"/>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and</w:t>
      </w:r>
    </w:p>
    <w:p>
      <w:pPr>
        <w:spacing w:after="0" w:line="90" w:lineRule="exact"/>
        <w:rPr>
          <w:rFonts w:ascii="Arial" w:cs="Arial" w:eastAsia="Arial" w:hAnsi="Arial"/>
          <w:sz w:val="18"/>
          <w:szCs w:val="18"/>
          <w:color w:val="auto"/>
        </w:rPr>
      </w:pPr>
    </w:p>
    <w:p>
      <w:pPr>
        <w:ind w:left="640" w:hanging="180"/>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Return envelopes addressed to U.S. Bank National Association, the Exchange Agent for the Exchange Offer.</w:t>
      </w:r>
    </w:p>
    <w:p>
      <w:pPr>
        <w:spacing w:after="0" w:line="165"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YOUR PROMPT ACTION IS REQUESTED. THE EXCHANGE OFFER WILL EXPIRE AT 5:00 P.M., NEW YORK CITY TIME, ON , 2012, UNLESS EXTENDED BY THE ISSUERS. OLD NOTES TENDERED PURSUANT TO THE EXCHANGE OFFER MAY BE WITHDRAWN AT ANY TIME BEFORE THE EXPIRATION DATE.</w:t>
      </w:r>
    </w:p>
    <w:p>
      <w:pPr>
        <w:sectPr>
          <w:pgSz w:w="11900" w:h="16838" w:orient="portrait"/>
          <w:cols w:equalWidth="0" w:num="1">
            <w:col w:w="11460"/>
          </w:cols>
          <w:pgMar w:left="240" w:top="125" w:right="199" w:bottom="1440" w:gutter="0" w:footer="0" w:header="0"/>
        </w:sectPr>
      </w:pPr>
    </w:p>
    <w:bookmarkStart w:id="282" w:name="page283"/>
    <w:bookmarkEnd w:id="28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participate in the Exchange Offer, a duly executed and properly completed Letter of Transmittal (or facsimile thereof or Agent’s Message (as defined in the Letter of Transmittal) in lieu thereof), with any required signature guarantees and any other required documents, should be sent to the Exchange Agent and certificates representing the Old Notes should be delivered to the Exchange Agent, all in accordance with the instructions set forth in the Letter of Transmittal and the Prospectus.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 registered holder of Old Notes desires to tender Old Notes, but such Old Notes are not immediately available, or time will not permit such holder’s Old Notes or other required documents to reach the Exchange Agent before the Expiration Date, or the procedure for book-entry transfer cannot be completed on a timely basis, a tender may be effected by following the guaranteed delivery procedures described in the Prospectus under the caption “The Exchange Offer— Guaranteed Delivery Procedures.”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Issuers will, upon request, reimburse brokers, dealers, commercial banks and trust companies for reasonable and necessary costs and expenses incurred by them in forwarding the Prospectus and the related documents to the beneficial owners of Old Notes held by them as nominee or in a fiduciary capacity. The Issuers will pay or cause to be paid all stock transfer taxes applicable to the exchange of Old Notes pursuant to the Exchange Offer, except as set forth in Instruction 6 of the Letter of Transmittal.</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inquiries you may have with respect to the procedure for tendering Old Notes pursuant to the Exchange Offer, or requests for additional copies of the enclosed materials, should be directed to U.S. Bank National Association, the Exchange Agent for the Exchange Offer, at its address and telephone number set forth on the front of the Letter of Transmittal.</w:t>
      </w:r>
    </w:p>
    <w:p>
      <w:pPr>
        <w:spacing w:after="0" w:line="18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WYNN LAS VEGAS CAPITAL CORP.</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NOTHING HEREIN OR IN THE ENCLOSED DOCUMENTS SHALL CONSTITUTE YOU OR ANY PERSON AS AN AGENT OF THE ISSUERS OR THE EXCHANGE AGENT, OR AUTHORIZE YOU OR ANY OTHER PERSON TO USE ANY DOCUMENT OR MAKE ANY STATEMENTS ON BEHALF OF ANY OF THEM WITH RESPECT TO THE EXCHANGE OFFER, EXCEPT FOR STATEMENTS EXPRESSLY MADE IN THE PROSPECTUS OR THE LETTER OF TRANSMITTAL.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1)"/>
      <w:numFmt w:val="decimal"/>
      <w:start w:val="213"/>
    </w:lvl>
  </w:abstractNum>
  <w:abstractNum w:abstractNumId="1">
    <w:nsid w:val="4C9B0904"/>
    <w:multiLevelType w:val="hybridMultilevel"/>
    <w:lvl w:ilvl="0">
      <w:lvlJc w:val="left"/>
      <w:lvlText w:val="(%1)"/>
      <w:numFmt w:val="decimal"/>
      <w:start w:val="1"/>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
      <w:numFmt w:val="bullet"/>
      <w:start w:val="1"/>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
      <w:numFmt w:val="bullet"/>
      <w:start w:val="1"/>
    </w:lvl>
  </w:abstractNum>
  <w:abstractNum w:abstractNumId="6">
    <w:nsid w:val="3DB012B3"/>
    <w:multiLevelType w:val="hybridMultilevel"/>
    <w:lvl w:ilvl="0">
      <w:lvlJc w:val="left"/>
      <w:lvlText w:val="•"/>
      <w:numFmt w:val="bullet"/>
      <w:start w:val="1"/>
    </w:lvl>
  </w:abstractNum>
  <w:abstractNum w:abstractNumId="7">
    <w:nsid w:val="2708C9AF"/>
    <w:multiLevelType w:val="hybridMultilevel"/>
    <w:lvl w:ilvl="0">
      <w:lvlJc w:val="left"/>
      <w:lvlText w:val="•"/>
      <w:numFmt w:val="bullet"/>
      <w:start w:val="1"/>
    </w:lvl>
  </w:abstractNum>
  <w:abstractNum w:abstractNumId="8">
    <w:nsid w:val="5B25ACE2"/>
    <w:multiLevelType w:val="hybridMultilevel"/>
    <w:lvl w:ilvl="0">
      <w:lvlJc w:val="left"/>
      <w:lvlText w:val="•"/>
      <w:numFmt w:val="bullet"/>
      <w:start w:val="1"/>
    </w:lvl>
  </w:abstractNum>
  <w:abstractNum w:abstractNumId="9">
    <w:nsid w:val="175DFCF0"/>
    <w:multiLevelType w:val="hybridMultilevel"/>
    <w:lvl w:ilvl="0">
      <w:lvlJc w:val="left"/>
      <w:lvlText w:val="•"/>
      <w:numFmt w:val="bullet"/>
      <w:start w:val="1"/>
    </w:lvl>
  </w:abstractNum>
  <w:abstractNum w:abstractNumId="10">
    <w:nsid w:val="4F97E3E4"/>
    <w:multiLevelType w:val="hybridMultilevel"/>
    <w:lvl w:ilvl="0">
      <w:lvlJc w:val="left"/>
      <w:lvlText w:val="(%1)"/>
      <w:numFmt w:val="lowerRoman"/>
      <w:start w:val="2"/>
    </w:lvl>
  </w:abstractNum>
  <w:abstractNum w:abstractNumId="11">
    <w:nsid w:val="53B0A9E"/>
    <w:multiLevelType w:val="hybridMultilevel"/>
    <w:lvl w:ilvl="0">
      <w:lvlJc w:val="left"/>
      <w:lvlText w:val="•"/>
      <w:numFmt w:val="bullet"/>
      <w:start w:val="1"/>
    </w:lvl>
    <w:lvl w:ilvl="1">
      <w:lvlJc w:val="left"/>
      <w:lvlText w:val="•"/>
      <w:numFmt w:val="bullet"/>
      <w:start w:val="1"/>
    </w:lvl>
  </w:abstractNum>
  <w:abstractNum w:abstractNumId="12">
    <w:nsid w:val="34FD6B4F"/>
    <w:multiLevelType w:val="hybridMultilevel"/>
    <w:lvl w:ilvl="0">
      <w:lvlJc w:val="left"/>
      <w:lvlText w:val="•"/>
      <w:numFmt w:val="bullet"/>
      <w:start w:val="1"/>
    </w:lvl>
  </w:abstractNum>
  <w:abstractNum w:abstractNumId="13">
    <w:nsid w:val="5915FF32"/>
    <w:multiLevelType w:val="hybridMultilevel"/>
    <w:lvl w:ilvl="0">
      <w:lvlJc w:val="left"/>
      <w:lvlText w:val="•"/>
      <w:numFmt w:val="bullet"/>
      <w:start w:val="1"/>
    </w:lvl>
  </w:abstractNum>
  <w:abstractNum w:abstractNumId="14">
    <w:nsid w:val="56438D15"/>
    <w:multiLevelType w:val="hybridMultilevel"/>
    <w:lvl w:ilvl="0">
      <w:lvlJc w:val="left"/>
      <w:lvlText w:val="•"/>
      <w:numFmt w:val="bullet"/>
      <w:start w:val="1"/>
    </w:lvl>
  </w:abstractNum>
  <w:abstractNum w:abstractNumId="15">
    <w:nsid w:val="519E3149"/>
    <w:multiLevelType w:val="hybridMultilevel"/>
    <w:lvl w:ilvl="0">
      <w:lvlJc w:val="left"/>
      <w:lvlText w:val="•"/>
      <w:numFmt w:val="bullet"/>
      <w:start w:val="1"/>
    </w:lvl>
    <w:lvl w:ilvl="1">
      <w:lvlJc w:val="left"/>
      <w:lvlText w:val="•"/>
      <w:numFmt w:val="bullet"/>
      <w:start w:val="1"/>
    </w:lvl>
  </w:abstractNum>
  <w:abstractNum w:abstractNumId="16">
    <w:nsid w:val="2C6E4AFD"/>
    <w:multiLevelType w:val="hybridMultilevel"/>
    <w:lvl w:ilvl="0">
      <w:lvlJc w:val="left"/>
      <w:lvlText w:val="•"/>
      <w:numFmt w:val="bullet"/>
      <w:start w:val="1"/>
    </w:lvl>
  </w:abstractNum>
  <w:abstractNum w:abstractNumId="17">
    <w:nsid w:val="17A1B582"/>
    <w:multiLevelType w:val="hybridMultilevel"/>
    <w:lvl w:ilvl="0">
      <w:lvlJc w:val="left"/>
      <w:lvlText w:val="•"/>
      <w:numFmt w:val="bullet"/>
      <w:start w:val="1"/>
    </w:lvl>
  </w:abstractNum>
  <w:abstractNum w:abstractNumId="18">
    <w:nsid w:val="4DF72E4E"/>
    <w:multiLevelType w:val="hybridMultilevel"/>
    <w:lvl w:ilvl="0">
      <w:lvlJc w:val="left"/>
      <w:lvlText w:val="(%1)"/>
      <w:numFmt w:val="decimal"/>
      <w:start w:val="1"/>
    </w:lvl>
  </w:abstractNum>
  <w:abstractNum w:abstractNumId="19">
    <w:nsid w:val="5046B5A9"/>
    <w:multiLevelType w:val="hybridMultilevel"/>
    <w:lvl w:ilvl="0">
      <w:lvlJc w:val="left"/>
      <w:lvlText w:val="(%1)"/>
      <w:numFmt w:val="decimal"/>
      <w:start w:val="1"/>
    </w:lvl>
  </w:abstractNum>
  <w:abstractNum w:abstractNumId="20">
    <w:nsid w:val="5D888A08"/>
    <w:multiLevelType w:val="hybridMultilevel"/>
    <w:lvl w:ilvl="0">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1)"/>
      <w:numFmt w:val="decimal"/>
      <w:start w:val="1"/>
    </w:lvl>
  </w:abstractNum>
  <w:abstractNum w:abstractNumId="23">
    <w:nsid w:val="19E21BB2"/>
    <w:multiLevelType w:val="hybridMultilevel"/>
    <w:lvl w:ilvl="0">
      <w:lvlJc w:val="left"/>
      <w:lvlText w:val="•"/>
      <w:numFmt w:val="bullet"/>
      <w:start w:val="1"/>
    </w:lvl>
  </w:abstractNum>
  <w:abstractNum w:abstractNumId="24">
    <w:nsid w:val="75E0858A"/>
    <w:multiLevelType w:val="hybridMultilevel"/>
    <w:lvl w:ilvl="0">
      <w:lvlJc w:val="left"/>
      <w:lvlText w:val="•"/>
      <w:numFmt w:val="bullet"/>
      <w:start w:val="1"/>
    </w:lvl>
  </w:abstractNum>
  <w:abstractNum w:abstractNumId="25">
    <w:nsid w:val="57A61A29"/>
    <w:multiLevelType w:val="hybridMultilevel"/>
    <w:lvl w:ilvl="0">
      <w:lvlJc w:val="left"/>
      <w:lvlText w:val="•"/>
      <w:numFmt w:val="bullet"/>
      <w:start w:val="1"/>
    </w:lvl>
  </w:abstractNum>
  <w:abstractNum w:abstractNumId="26">
    <w:nsid w:val="5399C654"/>
    <w:multiLevelType w:val="hybridMultilevel"/>
    <w:lvl w:ilvl="0">
      <w:lvlJc w:val="left"/>
      <w:lvlText w:val="•"/>
      <w:numFmt w:val="bullet"/>
      <w:start w:val="1"/>
    </w:lvl>
  </w:abstractNum>
  <w:abstractNum w:abstractNumId="27">
    <w:nsid w:val="20EE1348"/>
    <w:multiLevelType w:val="hybridMultilevel"/>
    <w:lvl w:ilvl="0">
      <w:lvlJc w:val="left"/>
      <w:lvlText w:val="•"/>
      <w:numFmt w:val="bullet"/>
      <w:start w:val="1"/>
    </w:lvl>
  </w:abstractNum>
  <w:abstractNum w:abstractNumId="28">
    <w:nsid w:val="4427069A"/>
    <w:multiLevelType w:val="hybridMultilevel"/>
    <w:lvl w:ilvl="0">
      <w:lvlJc w:val="left"/>
      <w:lvlText w:val="•"/>
      <w:numFmt w:val="bullet"/>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1)"/>
      <w:numFmt w:val="decimal"/>
      <w:start w:val="2"/>
    </w:lvl>
  </w:abstractNum>
  <w:abstractNum w:abstractNumId="31">
    <w:nsid w:val="704E1DD5"/>
    <w:multiLevelType w:val="hybridMultilevel"/>
    <w:lvl w:ilvl="0">
      <w:lvlJc w:val="left"/>
      <w:lvlText w:val="(%1)"/>
      <w:numFmt w:val="decimal"/>
      <w:start w:val="1"/>
    </w:lvl>
  </w:abstractNum>
  <w:abstractNum w:abstractNumId="32">
    <w:nsid w:val="57D2F10E"/>
    <w:multiLevelType w:val="hybridMultilevel"/>
    <w:lvl w:ilvl="0">
      <w:lvlJc w:val="left"/>
      <w:lvlText w:val="(%1)"/>
      <w:numFmt w:val="decimal"/>
      <w:start w:val="2"/>
    </w:lvl>
  </w:abstractNum>
  <w:abstractNum w:abstractNumId="33">
    <w:nsid w:val="BFFAE18"/>
    <w:multiLevelType w:val="hybridMultilevel"/>
    <w:lvl w:ilvl="0">
      <w:lvlJc w:val="left"/>
      <w:lvlText w:val="(%1)"/>
      <w:numFmt w:val="decimal"/>
      <w:start w:val="1"/>
    </w:lvl>
  </w:abstractNum>
  <w:abstractNum w:abstractNumId="34">
    <w:nsid w:val="E3E47A8"/>
    <w:multiLevelType w:val="hybridMultilevel"/>
    <w:lvl w:ilvl="0">
      <w:lvlJc w:val="left"/>
      <w:lvlText w:val="•"/>
      <w:numFmt w:val="bullet"/>
      <w:start w:val="1"/>
    </w:lvl>
  </w:abstractNum>
  <w:abstractNum w:abstractNumId="35">
    <w:nsid w:val="2E48F044"/>
    <w:multiLevelType w:val="hybridMultilevel"/>
    <w:lvl w:ilvl="0">
      <w:lvlJc w:val="left"/>
      <w:lvlText w:val="•"/>
      <w:numFmt w:val="bullet"/>
      <w:start w:val="1"/>
    </w:lvl>
  </w:abstractNum>
  <w:abstractNum w:abstractNumId="36">
    <w:nsid w:val="49D0FEAC"/>
    <w:multiLevelType w:val="hybridMultilevel"/>
    <w:lvl w:ilvl="0">
      <w:lvlJc w:val="left"/>
      <w:lvlText w:val="•"/>
      <w:numFmt w:val="bullet"/>
      <w:start w:val="1"/>
    </w:lvl>
  </w:abstractNum>
  <w:abstractNum w:abstractNumId="37">
    <w:nsid w:val="4BEE5A5B"/>
    <w:multiLevelType w:val="hybridMultilevel"/>
    <w:lvl w:ilvl="0">
      <w:lvlJc w:val="left"/>
      <w:lvlText w:val="(%1)"/>
      <w:numFmt w:val="decimal"/>
      <w:start w:val="1"/>
    </w:lvl>
  </w:abstractNum>
  <w:abstractNum w:abstractNumId="38">
    <w:nsid w:val="5551B9F3"/>
    <w:multiLevelType w:val="hybridMultilevel"/>
    <w:lvl w:ilvl="0">
      <w:lvlJc w:val="left"/>
      <w:lvlText w:val="(%1)"/>
      <w:numFmt w:val="decimal"/>
      <w:start w:val="1"/>
    </w:lvl>
  </w:abstractNum>
  <w:abstractNum w:abstractNumId="39">
    <w:nsid w:val="24F6AB8E"/>
    <w:multiLevelType w:val="hybridMultilevel"/>
    <w:lvl w:ilvl="0">
      <w:lvlJc w:val="left"/>
      <w:lvlText w:val="(%1)"/>
      <w:numFmt w:val="decimal"/>
      <w:start w:val="2"/>
    </w:lvl>
    <w:lvl w:ilvl="1">
      <w:lvlJc w:val="left"/>
      <w:lvlText w:val="(%2)"/>
      <w:numFmt w:val="lowerRoman"/>
      <w:start w:val="1"/>
    </w:lvl>
  </w:abstractNum>
  <w:abstractNum w:abstractNumId="40">
    <w:nsid w:val="634C574C"/>
    <w:multiLevelType w:val="hybridMultilevel"/>
    <w:lvl w:ilvl="0">
      <w:lvlJc w:val="left"/>
      <w:lvlText w:val="(%1)"/>
      <w:numFmt w:val="lowerRoman"/>
      <w:start w:val="1"/>
    </w:lvl>
  </w:abstractNum>
  <w:abstractNum w:abstractNumId="41">
    <w:nsid w:val="24E99DD7"/>
    <w:multiLevelType w:val="hybridMultilevel"/>
    <w:lvl w:ilvl="0">
      <w:lvlJc w:val="left"/>
      <w:lvlText w:val="(%1)"/>
      <w:numFmt w:val="lowerRoman"/>
      <w:start w:val="1"/>
    </w:lvl>
  </w:abstractNum>
  <w:abstractNum w:abstractNumId="42">
    <w:nsid w:val="2A31B62D"/>
    <w:multiLevelType w:val="hybridMultilevel"/>
    <w:lvl w:ilvl="0">
      <w:lvlJc w:val="left"/>
      <w:lvlText w:val="(%1)"/>
      <w:numFmt w:val="lowerRoman"/>
      <w:start w:val="1"/>
    </w:lvl>
  </w:abstractNum>
  <w:abstractNum w:abstractNumId="43">
    <w:nsid w:val="1849C29B"/>
    <w:multiLevelType w:val="hybridMultilevel"/>
    <w:lvl w:ilvl="0">
      <w:lvlJc w:val="left"/>
      <w:lvlText w:val="(%1)"/>
      <w:numFmt w:val="lowerRoman"/>
      <w:start w:val="1"/>
    </w:lvl>
  </w:abstractNum>
  <w:abstractNum w:abstractNumId="44">
    <w:nsid w:val="7DFF9D09"/>
    <w:multiLevelType w:val="hybridMultilevel"/>
    <w:lvl w:ilvl="0">
      <w:lvlJc w:val="left"/>
      <w:lvlText w:val="(%1)"/>
      <w:numFmt w:val="decimal"/>
      <w:start w:val="1"/>
    </w:lvl>
    <w:lvl w:ilvl="1">
      <w:lvlJc w:val="left"/>
      <w:lvlText w:val="%2."/>
      <w:numFmt w:val="lowerLetter"/>
      <w:start w:val="1"/>
    </w:lvl>
  </w:abstractNum>
  <w:abstractNum w:abstractNumId="45">
    <w:nsid w:val="754342"/>
    <w:multiLevelType w:val="hybridMultilevel"/>
    <w:lvl w:ilvl="0">
      <w:lvlJc w:val="left"/>
      <w:lvlText w:val="(%1)"/>
      <w:numFmt w:val="lowerRoman"/>
      <w:start w:val="3"/>
    </w:lvl>
  </w:abstractNum>
  <w:abstractNum w:abstractNumId="46">
    <w:nsid w:val="69E7F3E5"/>
    <w:multiLevelType w:val="hybridMultilevel"/>
    <w:lvl w:ilvl="0">
      <w:lvlJc w:val="left"/>
      <w:lvlText w:val="(%1)"/>
      <w:numFmt w:val="lowerLetter"/>
      <w:start w:val="3"/>
    </w:lvl>
  </w:abstractNum>
  <w:abstractNum w:abstractNumId="47">
    <w:nsid w:val="2A6DE806"/>
    <w:multiLevelType w:val="hybridMultilevel"/>
    <w:lvl w:ilvl="0">
      <w:lvlJc w:val="left"/>
      <w:lvlText w:val="(%1)"/>
      <w:numFmt w:val="decimal"/>
      <w:start w:val="1"/>
    </w:lvl>
  </w:abstractNum>
  <w:abstractNum w:abstractNumId="48">
    <w:nsid w:val="1816F8C4"/>
    <w:multiLevelType w:val="hybridMultilevel"/>
    <w:lvl w:ilvl="0">
      <w:lvlJc w:val="left"/>
      <w:lvlText w:val="(%1)"/>
      <w:numFmt w:val="decimal"/>
      <w:start w:val="1"/>
    </w:lvl>
  </w:abstractNum>
  <w:abstractNum w:abstractNumId="49">
    <w:nsid w:val="37DF2233"/>
    <w:multiLevelType w:val="hybridMultilevel"/>
    <w:lvl w:ilvl="0">
      <w:lvlJc w:val="left"/>
      <w:lvlText w:val="(%1)"/>
      <w:numFmt w:val="decimal"/>
      <w:start w:val="5"/>
    </w:lvl>
  </w:abstractNum>
  <w:abstractNum w:abstractNumId="50">
    <w:nsid w:val="7AB49DAF"/>
    <w:multiLevelType w:val="hybridMultilevel"/>
    <w:lvl w:ilvl="0">
      <w:lvlJc w:val="left"/>
      <w:lvlText w:val="(%1)"/>
      <w:numFmt w:val="decimal"/>
      <w:start w:val="1"/>
    </w:lvl>
  </w:abstractNum>
  <w:abstractNum w:abstractNumId="51">
    <w:nsid w:val="759F82CD"/>
    <w:multiLevelType w:val="hybridMultilevel"/>
    <w:lvl w:ilvl="0">
      <w:lvlJc w:val="left"/>
      <w:lvlText w:val="(%1)"/>
      <w:numFmt w:val="decimal"/>
      <w:start w:val="1"/>
    </w:lvl>
  </w:abstractNum>
  <w:abstractNum w:abstractNumId="52">
    <w:nsid w:val="61E74EA3"/>
    <w:multiLevelType w:val="hybridMultilevel"/>
    <w:lvl w:ilvl="0">
      <w:lvlJc w:val="left"/>
      <w:lvlText w:val="(%1)"/>
      <w:numFmt w:val="decimal"/>
      <w:start w:val="1"/>
    </w:lvl>
  </w:abstractNum>
  <w:abstractNum w:abstractNumId="53">
    <w:nsid w:val="597B4D84"/>
    <w:multiLevelType w:val="hybridMultilevel"/>
    <w:lvl w:ilvl="0">
      <w:lvlJc w:val="left"/>
      <w:lvlText w:val="(%1)"/>
      <w:numFmt w:val="decimal"/>
      <w:start w:val="4"/>
    </w:lvl>
  </w:abstractNum>
  <w:abstractNum w:abstractNumId="54">
    <w:nsid w:val="F819E7F"/>
    <w:multiLevelType w:val="hybridMultilevel"/>
    <w:lvl w:ilvl="0">
      <w:lvlJc w:val="left"/>
      <w:lvlText w:val="(%1)"/>
      <w:numFmt w:val="decimal"/>
      <w:start w:val="1"/>
    </w:lvl>
  </w:abstractNum>
  <w:abstractNum w:abstractNumId="55">
    <w:nsid w:val="57C7D42D"/>
    <w:multiLevelType w:val="hybridMultilevel"/>
    <w:lvl w:ilvl="0">
      <w:lvlJc w:val="left"/>
      <w:lvlText w:val="*"/>
      <w:numFmt w:val="bullet"/>
      <w:start w:val="1"/>
    </w:lvl>
  </w:abstractNum>
  <w:abstractNum w:abstractNumId="56">
    <w:nsid w:val="312167AD"/>
    <w:multiLevelType w:val="hybridMultilevel"/>
    <w:lvl w:ilvl="0">
      <w:lvlJc w:val="left"/>
      <w:lvlText w:val="(%1)"/>
      <w:numFmt w:val="decimal"/>
      <w:start w:val="1"/>
    </w:lvl>
  </w:abstractNum>
  <w:abstractNum w:abstractNumId="57">
    <w:nsid w:val="631B64D4"/>
    <w:multiLevelType w:val="hybridMultilevel"/>
    <w:lvl w:ilvl="0">
      <w:lvlJc w:val="left"/>
      <w:lvlText w:val="(%1)"/>
      <w:numFmt w:val="decimal"/>
      <w:start w:val="4"/>
    </w:lvl>
  </w:abstractNum>
  <w:abstractNum w:abstractNumId="58">
    <w:nsid w:val="78B5E776"/>
    <w:multiLevelType w:val="hybridMultilevel"/>
    <w:lvl w:ilvl="0">
      <w:lvlJc w:val="left"/>
      <w:lvlText w:val="(%1)"/>
      <w:numFmt w:val="decimal"/>
      <w:start w:val="14"/>
    </w:lvl>
  </w:abstractNum>
  <w:abstractNum w:abstractNumId="59">
    <w:nsid w:val="75486E47"/>
    <w:multiLevelType w:val="hybridMultilevel"/>
    <w:lvl w:ilvl="0">
      <w:lvlJc w:val="left"/>
      <w:lvlText w:val="•"/>
      <w:numFmt w:val="bullet"/>
      <w:start w:val="1"/>
    </w:lvl>
  </w:abstractNum>
  <w:abstractNum w:abstractNumId="60">
    <w:nsid w:val="6E534CDE"/>
    <w:multiLevelType w:val="hybridMultilevel"/>
    <w:lvl w:ilvl="0">
      <w:lvlJc w:val="left"/>
      <w:lvlText w:val="•"/>
      <w:numFmt w:val="bullet"/>
      <w:start w:val="1"/>
    </w:lvl>
  </w:abstractNum>
  <w:abstractNum w:abstractNumId="61">
    <w:nsid w:val="1A0DDE32"/>
    <w:multiLevelType w:val="hybridMultilevel"/>
    <w:lvl w:ilvl="0">
      <w:lvlJc w:val="left"/>
      <w:lvlText w:val="•"/>
      <w:numFmt w:val="bullet"/>
      <w:start w:val="1"/>
    </w:lvl>
  </w:abstractNum>
  <w:abstractNum w:abstractNumId="62">
    <w:nsid w:val="65968C1C"/>
    <w:multiLevelType w:val="hybridMultilevel"/>
    <w:lvl w:ilvl="0">
      <w:lvlJc w:val="left"/>
      <w:lvlText w:val="•"/>
      <w:numFmt w:val="bullet"/>
      <w:start w:val="1"/>
    </w:lvl>
  </w:abstractNum>
  <w:abstractNum w:abstractNumId="63">
    <w:nsid w:val="46263DEC"/>
    <w:multiLevelType w:val="hybridMultilevel"/>
    <w:lvl w:ilvl="0">
      <w:lvlJc w:val="left"/>
      <w:lvlText w:val="•"/>
      <w:numFmt w:val="bullet"/>
      <w:start w:val="1"/>
    </w:lvl>
  </w:abstractNum>
  <w:abstractNum w:abstractNumId="64">
    <w:nsid w:val="260D8C4A"/>
    <w:multiLevelType w:val="hybridMultilevel"/>
    <w:lvl w:ilvl="0">
      <w:lvlJc w:val="left"/>
      <w:lvlText w:val="•"/>
      <w:numFmt w:val="bullet"/>
      <w:start w:val="1"/>
    </w:lvl>
  </w:abstractNum>
  <w:abstractNum w:abstractNumId="65">
    <w:nsid w:val="73D4D3C4"/>
    <w:multiLevelType w:val="hybridMultilevel"/>
    <w:lvl w:ilvl="0">
      <w:lvlJc w:val="left"/>
      <w:lvlText w:val="•"/>
      <w:numFmt w:val="bullet"/>
      <w:start w:val="1"/>
    </w:lvl>
  </w:abstractNum>
  <w:abstractNum w:abstractNumId="66">
    <w:nsid w:val="746F2E30"/>
    <w:multiLevelType w:val="hybridMultilevel"/>
    <w:lvl w:ilvl="0">
      <w:lvlJc w:val="left"/>
      <w:lvlText w:val="•"/>
      <w:numFmt w:val="bullet"/>
      <w:start w:val="1"/>
    </w:lvl>
  </w:abstractNum>
  <w:abstractNum w:abstractNumId="67">
    <w:nsid w:val="6FDE8AF6"/>
    <w:multiLevelType w:val="hybridMultilevel"/>
    <w:lvl w:ilvl="0">
      <w:lvlJc w:val="left"/>
      <w:lvlText w:val="•"/>
      <w:numFmt w:val="bullet"/>
      <w:start w:val="1"/>
    </w:lvl>
  </w:abstractNum>
  <w:abstractNum w:abstractNumId="68">
    <w:nsid w:val="3FC32E20"/>
    <w:multiLevelType w:val="hybridMultilevel"/>
    <w:lvl w:ilvl="0">
      <w:lvlJc w:val="left"/>
      <w:lvlText w:val="•"/>
      <w:numFmt w:val="bullet"/>
      <w:start w:val="1"/>
    </w:lvl>
  </w:abstractNum>
  <w:abstractNum w:abstractNumId="69">
    <w:nsid w:val="49C0E823"/>
    <w:multiLevelType w:val="hybridMultilevel"/>
    <w:lvl w:ilvl="0">
      <w:lvlJc w:val="left"/>
      <w:lvlText w:val="•"/>
      <w:numFmt w:val="bullet"/>
      <w:start w:val="1"/>
    </w:lvl>
  </w:abstractNum>
  <w:abstractNum w:abstractNumId="70">
    <w:nsid w:val="14D53685"/>
    <w:multiLevelType w:val="hybridMultilevel"/>
    <w:lvl w:ilvl="0">
      <w:lvlJc w:val="left"/>
      <w:lvlText w:val="•"/>
      <w:numFmt w:val="bullet"/>
      <w:start w:val="1"/>
    </w:lvl>
  </w:abstractNum>
  <w:abstractNum w:abstractNumId="71">
    <w:nsid w:val="230F856C"/>
    <w:multiLevelType w:val="hybridMultilevel"/>
    <w:lvl w:ilvl="0">
      <w:lvlJc w:val="left"/>
      <w:lvlText w:val="•"/>
      <w:numFmt w:val="bullet"/>
      <w:start w:val="1"/>
    </w:lvl>
  </w:abstractNum>
  <w:abstractNum w:abstractNumId="72">
    <w:nsid w:val="6EAA85FB"/>
    <w:multiLevelType w:val="hybridMultilevel"/>
    <w:lvl w:ilvl="0">
      <w:lvlJc w:val="left"/>
      <w:lvlText w:val="•"/>
      <w:numFmt w:val="bullet"/>
      <w:start w:val="1"/>
    </w:lvl>
  </w:abstractNum>
  <w:abstractNum w:abstractNumId="73">
    <w:nsid w:val="3F06ECB2"/>
    <w:multiLevelType w:val="hybridMultilevel"/>
    <w:lvl w:ilvl="0">
      <w:lvlJc w:val="left"/>
      <w:lvlText w:val="•"/>
      <w:numFmt w:val="bullet"/>
      <w:start w:val="1"/>
    </w:lvl>
  </w:abstractNum>
  <w:abstractNum w:abstractNumId="74">
    <w:nsid w:val="3B594807"/>
    <w:multiLevelType w:val="hybridMultilevel"/>
    <w:lvl w:ilvl="0">
      <w:lvlJc w:val="left"/>
      <w:lvlText w:val="(%1)"/>
      <w:numFmt w:val="decimal"/>
      <w:start w:val="1"/>
    </w:lvl>
    <w:lvl w:ilvl="1">
      <w:lvlJc w:val="left"/>
      <w:lvlText w:val="(%2)"/>
      <w:numFmt w:val="lowerLetter"/>
      <w:start w:val="1"/>
    </w:lvl>
  </w:abstractNum>
  <w:abstractNum w:abstractNumId="75">
    <w:nsid w:val="6CAA2304"/>
    <w:multiLevelType w:val="hybridMultilevel"/>
    <w:lvl w:ilvl="0">
      <w:lvlJc w:val="left"/>
      <w:lvlText w:val="(%1)"/>
      <w:numFmt w:val="decimal"/>
      <w:start w:val="1"/>
    </w:lvl>
  </w:abstractNum>
  <w:abstractNum w:abstractNumId="76">
    <w:nsid w:val="3F7C2F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25413BEC"/>
    <w:multiLevelType w:val="hybridMultilevel"/>
    <w:lvl w:ilvl="0">
      <w:lvlJc w:val="left"/>
      <w:lvlText w:val="(%1)"/>
      <w:numFmt w:val="decimal"/>
      <w:start w:val="1"/>
    </w:lvl>
  </w:abstractNum>
  <w:abstractNum w:abstractNumId="78">
    <w:nsid w:val="17180B0B"/>
    <w:multiLevelType w:val="hybridMultilevel"/>
    <w:lvl w:ilvl="0">
      <w:lvlJc w:val="left"/>
      <w:lvlText w:val="(%1)"/>
      <w:numFmt w:val="decimal"/>
      <w:start w:val="1"/>
    </w:lvl>
  </w:abstractNum>
  <w:abstractNum w:abstractNumId="79">
    <w:nsid w:val="579328B9"/>
    <w:multiLevelType w:val="hybridMultilevel"/>
    <w:lvl w:ilvl="0">
      <w:lvlJc w:val="left"/>
      <w:lvlText w:val="(%1)"/>
      <w:numFmt w:val="decimal"/>
      <w:start w:val="1"/>
    </w:lvl>
    <w:lvl w:ilvl="1">
      <w:lvlJc w:val="left"/>
      <w:lvlText w:val="(%2)"/>
      <w:numFmt w:val="lowerLetter"/>
      <w:start w:val="1"/>
    </w:lvl>
  </w:abstractNum>
  <w:abstractNum w:abstractNumId="80">
    <w:nsid w:val="5D205E20"/>
    <w:multiLevelType w:val="hybridMultilevel"/>
    <w:lvl w:ilvl="0">
      <w:lvlJc w:val="left"/>
      <w:lvlText w:val="(%1)"/>
      <w:numFmt w:val="decimal"/>
      <w:start w:val="1"/>
    </w:lvl>
  </w:abstractNum>
  <w:abstractNum w:abstractNumId="81">
    <w:nsid w:val="11CCA8BA"/>
    <w:multiLevelType w:val="hybridMultilevel"/>
    <w:lvl w:ilvl="0">
      <w:lvlJc w:val="left"/>
      <w:lvlText w:val="(%1)"/>
      <w:numFmt w:val="decimal"/>
      <w:start w:val="1"/>
    </w:lvl>
  </w:abstractNum>
  <w:abstractNum w:abstractNumId="82">
    <w:nsid w:val="4D32AB86"/>
    <w:multiLevelType w:val="hybridMultilevel"/>
    <w:lvl w:ilvl="0">
      <w:lvlJc w:val="left"/>
      <w:lvlText w:val="(%1)"/>
      <w:numFmt w:val="decimal"/>
      <w:start w:val="1"/>
    </w:lvl>
  </w:abstractNum>
  <w:abstractNum w:abstractNumId="83">
    <w:nsid w:val="3F07ACC3"/>
    <w:multiLevelType w:val="hybridMultilevel"/>
    <w:lvl w:ilvl="0">
      <w:lvlJc w:val="left"/>
      <w:lvlText w:val="(%1)"/>
      <w:numFmt w:val="decimal"/>
      <w:start w:val="1"/>
    </w:lvl>
  </w:abstractNum>
  <w:abstractNum w:abstractNumId="84">
    <w:nsid w:val="6B47F63E"/>
    <w:multiLevelType w:val="hybridMultilevel"/>
    <w:lvl w:ilvl="0">
      <w:lvlJc w:val="left"/>
      <w:lvlText w:val="(%1)"/>
      <w:numFmt w:val="lowerLetter"/>
      <w:start w:val="1"/>
    </w:lvl>
  </w:abstractNum>
  <w:abstractNum w:abstractNumId="85">
    <w:nsid w:val="5CB44A05"/>
    <w:multiLevelType w:val="hybridMultilevel"/>
    <w:lvl w:ilvl="0">
      <w:lvlJc w:val="left"/>
      <w:lvlText w:val="(%1)"/>
      <w:numFmt w:val="lowerLetter"/>
      <w:start w:val="2"/>
    </w:lvl>
  </w:abstractNum>
  <w:abstractNum w:abstractNumId="86">
    <w:nsid w:val="16CF80F1"/>
    <w:multiLevelType w:val="hybridMultilevel"/>
    <w:lvl w:ilvl="0">
      <w:lvlJc w:val="left"/>
      <w:lvlText w:val="(%1)"/>
      <w:numFmt w:val="decimal"/>
      <w:start w:val="1"/>
    </w:lvl>
  </w:abstractNum>
  <w:abstractNum w:abstractNumId="87">
    <w:nsid w:val="1C695DEC"/>
    <w:multiLevelType w:val="hybridMultilevel"/>
    <w:lvl w:ilvl="0">
      <w:lvlJc w:val="left"/>
      <w:lvlText w:val="(%1)"/>
      <w:numFmt w:val="decimal"/>
      <w:start w:val="5"/>
    </w:lvl>
  </w:abstractNum>
  <w:abstractNum w:abstractNumId="88">
    <w:nsid w:val="3FCFAED9"/>
    <w:multiLevelType w:val="hybridMultilevel"/>
    <w:lvl w:ilvl="0">
      <w:lvlJc w:val="left"/>
      <w:lvlText w:val="(%1)"/>
      <w:numFmt w:val="decimal"/>
      <w:start w:val="2"/>
    </w:lvl>
  </w:abstractNum>
  <w:abstractNum w:abstractNumId="89">
    <w:nsid w:val="F856867"/>
    <w:multiLevelType w:val="hybridMultilevel"/>
    <w:lvl w:ilvl="0">
      <w:lvlJc w:val="left"/>
      <w:lvlText w:val="(%1)"/>
      <w:numFmt w:val="decimal"/>
      <w:start w:val="1"/>
    </w:lvl>
    <w:lvl w:ilvl="1">
      <w:lvlJc w:val="left"/>
      <w:lvlText w:val="(%2)"/>
      <w:numFmt w:val="lowerLetter"/>
      <w:start w:val="1"/>
    </w:lvl>
  </w:abstractNum>
  <w:abstractNum w:abstractNumId="90">
    <w:nsid w:val="11B1CC33"/>
    <w:multiLevelType w:val="hybridMultilevel"/>
    <w:lvl w:ilvl="0">
      <w:lvlJc w:val="left"/>
      <w:lvlText w:val="(%1)"/>
      <w:numFmt w:val="decimal"/>
      <w:start w:val="9"/>
    </w:lvl>
  </w:abstractNum>
  <w:abstractNum w:abstractNumId="91">
    <w:nsid w:val="2E22FBB7"/>
    <w:multiLevelType w:val="hybridMultilevel"/>
    <w:lvl w:ilvl="0">
      <w:lvlJc w:val="left"/>
      <w:lvlText w:val="(%1)"/>
      <w:numFmt w:val="decimal"/>
      <w:start w:val="1"/>
    </w:lvl>
    <w:lvl w:ilvl="1">
      <w:lvlJc w:val="left"/>
      <w:lvlText w:val="(%2)"/>
      <w:numFmt w:val="lowerLetter"/>
      <w:start w:val="1"/>
    </w:lvl>
  </w:abstractNum>
  <w:abstractNum w:abstractNumId="92">
    <w:nsid w:val="29934699"/>
    <w:multiLevelType w:val="hybridMultilevel"/>
    <w:lvl w:ilvl="0">
      <w:lvlJc w:val="left"/>
      <w:lvlText w:val="(%1)"/>
      <w:numFmt w:val="decimal"/>
      <w:start w:val="1"/>
    </w:lvl>
  </w:abstractNum>
  <w:abstractNum w:abstractNumId="93">
    <w:nsid w:val="77485850"/>
    <w:multiLevelType w:val="hybridMultilevel"/>
    <w:lvl w:ilvl="0">
      <w:lvlJc w:val="left"/>
      <w:lvlText w:val="(%1)"/>
      <w:numFmt w:val="decimal"/>
      <w:start w:val="1"/>
    </w:lvl>
  </w:abstractNum>
  <w:abstractNum w:abstractNumId="94">
    <w:nsid w:val="744939A3"/>
    <w:multiLevelType w:val="hybridMultilevel"/>
    <w:lvl w:ilvl="0">
      <w:lvlJc w:val="left"/>
      <w:lvlText w:val="(%1)"/>
      <w:numFmt w:val="decimal"/>
      <w:start w:val="6"/>
    </w:lvl>
  </w:abstractNum>
  <w:abstractNum w:abstractNumId="95">
    <w:nsid w:val="4FA0D2E3"/>
    <w:multiLevelType w:val="hybridMultilevel"/>
    <w:lvl w:ilvl="0">
      <w:lvlJc w:val="left"/>
      <w:lvlText w:val="(%1)"/>
      <w:numFmt w:val="decimal"/>
      <w:start w:val="1"/>
    </w:lvl>
    <w:lvl w:ilvl="1">
      <w:lvlJc w:val="left"/>
      <w:lvlText w:val="(%2)"/>
      <w:numFmt w:val="lowerLetter"/>
      <w:start w:val="1"/>
    </w:lvl>
  </w:abstractNum>
  <w:abstractNum w:abstractNumId="96">
    <w:nsid w:val="6B1D2C14"/>
    <w:multiLevelType w:val="hybridMultilevel"/>
    <w:lvl w:ilvl="0">
      <w:lvlJc w:val="left"/>
      <w:lvlText w:val="(%1)"/>
      <w:numFmt w:val="decimal"/>
      <w:start w:val="1"/>
    </w:lvl>
    <w:lvl w:ilvl="1">
      <w:lvlJc w:val="left"/>
      <w:lvlText w:val="(%2)"/>
      <w:numFmt w:val="lowerLetter"/>
      <w:start w:val="1"/>
    </w:lvl>
  </w:abstractNum>
  <w:abstractNum w:abstractNumId="97">
    <w:nsid w:val="68B867D3"/>
    <w:multiLevelType w:val="hybridMultilevel"/>
    <w:lvl w:ilvl="0">
      <w:lvlJc w:val="left"/>
      <w:lvlText w:val="(%1)"/>
      <w:numFmt w:val="decimal"/>
      <w:start w:val="1"/>
    </w:lvl>
  </w:abstractNum>
  <w:abstractNum w:abstractNumId="98">
    <w:nsid w:val="3F7F5DD9"/>
    <w:multiLevelType w:val="hybridMultilevel"/>
    <w:lvl w:ilvl="0">
      <w:lvlJc w:val="left"/>
      <w:lvlText w:val="(%1)"/>
      <w:numFmt w:val="decimal"/>
      <w:start w:val="1"/>
    </w:lvl>
  </w:abstractNum>
  <w:abstractNum w:abstractNumId="99">
    <w:nsid w:val="2AE05A34"/>
    <w:multiLevelType w:val="hybridMultilevel"/>
    <w:lvl w:ilvl="0">
      <w:lvlJc w:val="left"/>
      <w:lvlText w:val="(%1)"/>
      <w:numFmt w:val="decimal"/>
      <w:start w:val="1"/>
    </w:lvl>
  </w:abstractNum>
  <w:abstractNum w:abstractNumId="100">
    <w:nsid w:val="32794FF7"/>
    <w:multiLevelType w:val="hybridMultilevel"/>
    <w:lvl w:ilvl="0">
      <w:lvlJc w:val="left"/>
      <w:lvlText w:val="(%1)"/>
      <w:numFmt w:val="decimal"/>
      <w:start w:val="1"/>
    </w:lvl>
  </w:abstractNum>
  <w:abstractNum w:abstractNumId="101">
    <w:nsid w:val="5454945E"/>
    <w:multiLevelType w:val="hybridMultilevel"/>
    <w:lvl w:ilvl="0">
      <w:lvlJc w:val="left"/>
      <w:lvlText w:val="(%1)"/>
      <w:numFmt w:val="decimal"/>
      <w:start w:val="1"/>
    </w:lvl>
  </w:abstractNum>
  <w:abstractNum w:abstractNumId="102">
    <w:nsid w:val="4DEFDFA0"/>
    <w:multiLevelType w:val="hybridMultilevel"/>
    <w:lvl w:ilvl="0">
      <w:lvlJc w:val="left"/>
      <w:lvlText w:val="(%1)"/>
      <w:numFmt w:val="decimal"/>
      <w:start w:val="1"/>
    </w:lvl>
    <w:lvl w:ilvl="1">
      <w:lvlJc w:val="left"/>
      <w:lvlText w:val="(%2)"/>
      <w:numFmt w:val="lowerLetter"/>
      <w:start w:val="2"/>
    </w:lvl>
  </w:abstractNum>
  <w:abstractNum w:abstractNumId="103">
    <w:nsid w:val="2123D5F2"/>
    <w:multiLevelType w:val="hybridMultilevel"/>
    <w:lvl w:ilvl="0">
      <w:lvlJc w:val="left"/>
      <w:lvlText w:val="%1"/>
      <w:numFmt w:val="decimal"/>
      <w:start w:val="1"/>
    </w:lvl>
    <w:lvl w:ilvl="1">
      <w:lvlJc w:val="left"/>
      <w:lvlText w:val="(%2)"/>
      <w:numFmt w:val="lowerLetter"/>
      <w:start w:val="1"/>
    </w:lvl>
  </w:abstractNum>
  <w:abstractNum w:abstractNumId="104">
    <w:nsid w:val="135B8110"/>
    <w:multiLevelType w:val="hybridMultilevel"/>
    <w:lvl w:ilvl="0">
      <w:lvlJc w:val="left"/>
      <w:lvlText w:val="(%1)"/>
      <w:numFmt w:val="decimal"/>
      <w:start w:val="3"/>
    </w:lvl>
    <w:lvl w:ilvl="1">
      <w:lvlJc w:val="left"/>
      <w:lvlText w:val="%2"/>
      <w:numFmt w:val="lowerLetter"/>
      <w:start w:val="1"/>
    </w:lvl>
  </w:abstractNum>
  <w:abstractNum w:abstractNumId="105">
    <w:nsid w:val="94927A8"/>
    <w:multiLevelType w:val="hybridMultilevel"/>
    <w:lvl w:ilvl="0">
      <w:lvlJc w:val="left"/>
      <w:lvlText w:val="%1"/>
      <w:numFmt w:val="decimal"/>
      <w:start w:val="1"/>
    </w:lvl>
    <w:lvl w:ilvl="1">
      <w:lvlJc w:val="left"/>
      <w:lvlText w:val="(%2)"/>
      <w:numFmt w:val="lowerLetter"/>
      <w:start w:val="1"/>
    </w:lvl>
  </w:abstractNum>
  <w:abstractNum w:abstractNumId="106">
    <w:nsid w:val="DCDF8F6"/>
    <w:multiLevelType w:val="hybridMultilevel"/>
    <w:lvl w:ilvl="0">
      <w:lvlJc w:val="left"/>
      <w:lvlText w:val="(%1)"/>
      <w:numFmt w:val="decimal"/>
      <w:start w:val="4"/>
    </w:lvl>
    <w:lvl w:ilvl="1">
      <w:lvlJc w:val="left"/>
      <w:lvlText w:val="%2"/>
      <w:numFmt w:val="lowerLetter"/>
      <w:start w:val="1"/>
    </w:lvl>
  </w:abstractNum>
  <w:abstractNum w:abstractNumId="107">
    <w:nsid w:val="52D7B105"/>
    <w:multiLevelType w:val="hybridMultilevel"/>
    <w:lvl w:ilvl="0">
      <w:lvlJc w:val="left"/>
      <w:lvlText w:val="(%1)"/>
      <w:numFmt w:val="decimal"/>
      <w:start w:val="1"/>
    </w:lvl>
    <w:lvl w:ilvl="1">
      <w:lvlJc w:val="left"/>
      <w:lvlText w:val="(%2)"/>
      <w:numFmt w:val="lowerLetter"/>
      <w:start w:val="1"/>
    </w:lvl>
  </w:abstractNum>
  <w:abstractNum w:abstractNumId="108">
    <w:nsid w:val="2E8A6394"/>
    <w:multiLevelType w:val="hybridMultilevel"/>
    <w:lvl w:ilvl="0">
      <w:lvlJc w:val="left"/>
      <w:lvlText w:val="(%1)"/>
      <w:numFmt w:val="decimal"/>
      <w:start w:val="3"/>
    </w:lvl>
  </w:abstractNum>
  <w:abstractNum w:abstractNumId="109">
    <w:nsid w:val="24E60401"/>
    <w:multiLevelType w:val="hybridMultilevel"/>
    <w:lvl w:ilvl="0">
      <w:lvlJc w:val="left"/>
      <w:lvlText w:val="(%1)"/>
      <w:numFmt w:val="decimal"/>
      <w:start w:val="1"/>
    </w:lvl>
  </w:abstractNum>
  <w:abstractNum w:abstractNumId="110">
    <w:nsid w:val="2A6AD9BE"/>
    <w:multiLevelType w:val="hybridMultilevel"/>
    <w:lvl w:ilvl="0">
      <w:lvlJc w:val="left"/>
      <w:lvlText w:val="(%1)"/>
      <w:numFmt w:val="decimal"/>
      <w:start w:val="1"/>
    </w:lvl>
  </w:abstractNum>
  <w:abstractNum w:abstractNumId="111">
    <w:nsid w:val="BAAC1B4"/>
    <w:multiLevelType w:val="hybridMultilevel"/>
    <w:lvl w:ilvl="0">
      <w:lvlJc w:val="left"/>
      <w:lvlText w:val="(%1)"/>
      <w:numFmt w:val="decimal"/>
      <w:start w:val="1"/>
    </w:lvl>
    <w:lvl w:ilvl="1">
      <w:lvlJc w:val="left"/>
      <w:lvlText w:val="(%2)"/>
      <w:numFmt w:val="lowerLetter"/>
      <w:start w:val="1"/>
    </w:lvl>
  </w:abstractNum>
  <w:abstractNum w:abstractNumId="112">
    <w:nsid w:val="36B2ACBC"/>
    <w:multiLevelType w:val="hybridMultilevel"/>
    <w:lvl w:ilvl="0">
      <w:lvlJc w:val="left"/>
      <w:lvlText w:val="%1"/>
      <w:numFmt w:val="decimal"/>
      <w:start w:val="1"/>
    </w:lvl>
    <w:lvl w:ilvl="1">
      <w:lvlJc w:val="left"/>
      <w:lvlText w:val="(%2)"/>
      <w:numFmt w:val="lowerLetter"/>
      <w:start w:val="2"/>
    </w:lvl>
  </w:abstractNum>
  <w:abstractNum w:abstractNumId="113">
    <w:nsid w:val="779D8544"/>
    <w:multiLevelType w:val="hybridMultilevel"/>
    <w:lvl w:ilvl="0">
      <w:lvlJc w:val="left"/>
      <w:lvlText w:val="(%1)"/>
      <w:numFmt w:val="decimal"/>
      <w:start w:val="4"/>
    </w:lvl>
    <w:lvl w:ilvl="1">
      <w:lvlJc w:val="left"/>
      <w:lvlText w:val="(%2)"/>
      <w:numFmt w:val="lowerLetter"/>
      <w:start w:val="1"/>
    </w:lvl>
  </w:abstractNum>
  <w:abstractNum w:abstractNumId="114">
    <w:nsid w:val="4AB26E78"/>
    <w:multiLevelType w:val="hybridMultilevel"/>
    <w:lvl w:ilvl="0">
      <w:lvlJc w:val="left"/>
      <w:lvlText w:val="(%1)"/>
      <w:numFmt w:val="decimal"/>
      <w:start w:val="11"/>
    </w:lvl>
  </w:abstractNum>
  <w:abstractNum w:abstractNumId="115">
    <w:nsid w:val="21FAA2FA"/>
    <w:multiLevelType w:val="hybridMultilevel"/>
    <w:lvl w:ilvl="0">
      <w:lvlJc w:val="left"/>
      <w:lvlText w:val="(%1)"/>
      <w:numFmt w:val="decimal"/>
      <w:start w:val="1"/>
    </w:lvl>
  </w:abstractNum>
  <w:abstractNum w:abstractNumId="116">
    <w:nsid w:val="5451CF49"/>
    <w:multiLevelType w:val="hybridMultilevel"/>
    <w:lvl w:ilvl="0">
      <w:lvlJc w:val="left"/>
      <w:lvlText w:val="(%1)"/>
      <w:numFmt w:val="decimal"/>
      <w:start w:val="1"/>
    </w:lvl>
  </w:abstractNum>
  <w:abstractNum w:abstractNumId="117">
    <w:nsid w:val="6181EF69"/>
    <w:multiLevelType w:val="hybridMultilevel"/>
    <w:lvl w:ilvl="0">
      <w:lvlJc w:val="left"/>
      <w:lvlText w:val="(%1)"/>
      <w:numFmt w:val="decimal"/>
      <w:start w:val="1"/>
    </w:lvl>
  </w:abstractNum>
  <w:abstractNum w:abstractNumId="118">
    <w:nsid w:val="3E6400E6"/>
    <w:multiLevelType w:val="hybridMultilevel"/>
    <w:lvl w:ilvl="0">
      <w:lvlJc w:val="left"/>
      <w:lvlText w:val="(%1)"/>
      <w:numFmt w:val="decimal"/>
      <w:start w:val="2"/>
    </w:lvl>
  </w:abstractNum>
  <w:abstractNum w:abstractNumId="119">
    <w:nsid w:val="14217E23"/>
    <w:multiLevelType w:val="hybridMultilevel"/>
    <w:lvl w:ilvl="0">
      <w:lvlJc w:val="left"/>
      <w:lvlText w:val="(%1)"/>
      <w:numFmt w:val="decimal"/>
      <w:start w:val="1"/>
    </w:lvl>
  </w:abstractNum>
  <w:abstractNum w:abstractNumId="120">
    <w:nsid w:val="710757D0"/>
    <w:multiLevelType w:val="hybridMultilevel"/>
    <w:lvl w:ilvl="0">
      <w:lvlJc w:val="left"/>
      <w:lvlText w:val="(%1)"/>
      <w:numFmt w:val="decimal"/>
      <w:start w:val="7"/>
    </w:lvl>
  </w:abstractNum>
  <w:abstractNum w:abstractNumId="121">
    <w:nsid w:val="5015CD1A"/>
    <w:multiLevelType w:val="hybridMultilevel"/>
    <w:lvl w:ilvl="0">
      <w:lvlJc w:val="left"/>
      <w:lvlText w:val="(%1)"/>
      <w:numFmt w:val="decimal"/>
      <w:start w:val="1"/>
    </w:lvl>
  </w:abstractNum>
  <w:abstractNum w:abstractNumId="122">
    <w:nsid w:val="424479DA"/>
    <w:multiLevelType w:val="hybridMultilevel"/>
    <w:lvl w:ilvl="0">
      <w:lvlJc w:val="left"/>
      <w:lvlText w:val="(%1)"/>
      <w:numFmt w:val="decimal"/>
      <w:start w:val="1"/>
    </w:lvl>
  </w:abstractNum>
  <w:abstractNum w:abstractNumId="123">
    <w:nsid w:val="1A9A9E69"/>
    <w:multiLevelType w:val="hybridMultilevel"/>
    <w:lvl w:ilvl="0">
      <w:lvlJc w:val="left"/>
      <w:lvlText w:val="(%1)"/>
      <w:numFmt w:val="decimal"/>
      <w:start w:val="7"/>
    </w:lvl>
  </w:abstractNum>
  <w:abstractNum w:abstractNumId="124">
    <w:nsid w:val="475E256A"/>
    <w:multiLevelType w:val="hybridMultilevel"/>
    <w:lvl w:ilvl="0">
      <w:lvlJc w:val="left"/>
      <w:lvlText w:val="(%1)"/>
      <w:numFmt w:val="decimal"/>
      <w:start w:val="1"/>
    </w:lvl>
  </w:abstractNum>
  <w:abstractNum w:abstractNumId="125">
    <w:nsid w:val="368DB37E"/>
    <w:multiLevelType w:val="hybridMultilevel"/>
    <w:lvl w:ilvl="0">
      <w:lvlJc w:val="left"/>
      <w:lvlText w:val="(%1)"/>
      <w:numFmt w:val="decimal"/>
      <w:start w:val="1"/>
    </w:lvl>
    <w:lvl w:ilvl="1">
      <w:lvlJc w:val="left"/>
      <w:lvlText w:val="(%2)"/>
      <w:numFmt w:val="lowerLetter"/>
      <w:start w:val="1"/>
    </w:lvl>
  </w:abstractNum>
  <w:abstractNum w:abstractNumId="126">
    <w:nsid w:val="6A3B714C"/>
    <w:multiLevelType w:val="hybridMultilevel"/>
    <w:lvl w:ilvl="0">
      <w:lvlJc w:val="left"/>
      <w:lvlText w:val="(%1)"/>
      <w:numFmt w:val="decimal"/>
      <w:start w:val="2"/>
    </w:lvl>
  </w:abstractNum>
  <w:abstractNum w:abstractNumId="127">
    <w:nsid w:val="327B517E"/>
    <w:multiLevelType w:val="hybridMultilevel"/>
    <w:lvl w:ilvl="0">
      <w:lvlJc w:val="left"/>
      <w:lvlText w:val="(%1)"/>
      <w:numFmt w:val="decimal"/>
      <w:start w:val="1"/>
    </w:lvl>
  </w:abstractNum>
  <w:abstractNum w:abstractNumId="128">
    <w:nsid w:val="1F461B51"/>
    <w:multiLevelType w:val="hybridMultilevel"/>
    <w:lvl w:ilvl="0">
      <w:lvlJc w:val="left"/>
      <w:lvlText w:val="(%1)"/>
      <w:numFmt w:val="decimal"/>
      <w:start w:val="1"/>
    </w:lvl>
  </w:abstractNum>
  <w:abstractNum w:abstractNumId="129">
    <w:nsid w:val="29BACF25"/>
    <w:multiLevelType w:val="hybridMultilevel"/>
    <w:lvl w:ilvl="0">
      <w:lvlJc w:val="left"/>
      <w:lvlText w:val="(%1)"/>
      <w:numFmt w:val="decimal"/>
      <w:start w:val="1"/>
    </w:lvl>
  </w:abstractNum>
  <w:abstractNum w:abstractNumId="130">
    <w:nsid w:val="5D5BABB3"/>
    <w:multiLevelType w:val="hybridMultilevel"/>
    <w:lvl w:ilvl="0">
      <w:lvlJc w:val="left"/>
      <w:lvlText w:val="(%1)"/>
      <w:numFmt w:val="decimal"/>
      <w:start w:val="1"/>
    </w:lvl>
  </w:abstractNum>
  <w:abstractNum w:abstractNumId="131">
    <w:nsid w:val="51BF6B48"/>
    <w:multiLevelType w:val="hybridMultilevel"/>
    <w:lvl w:ilvl="0">
      <w:lvlJc w:val="left"/>
      <w:lvlText w:val="(%1)"/>
      <w:numFmt w:val="decimal"/>
      <w:start w:val="1"/>
    </w:lvl>
  </w:abstractNum>
  <w:abstractNum w:abstractNumId="132">
    <w:nsid w:val="7E0F6384"/>
    <w:multiLevelType w:val="hybridMultilevel"/>
    <w:lvl w:ilvl="0">
      <w:lvlJc w:val="left"/>
      <w:lvlText w:val="(%1)"/>
      <w:numFmt w:val="decimal"/>
      <w:start w:val="1"/>
    </w:lvl>
  </w:abstractNum>
  <w:abstractNum w:abstractNumId="133">
    <w:nsid w:val="2B4B8B53"/>
    <w:multiLevelType w:val="hybridMultilevel"/>
    <w:lvl w:ilvl="0">
      <w:lvlJc w:val="left"/>
      <w:lvlText w:val="(%1)"/>
      <w:numFmt w:val="decimal"/>
      <w:start w:val="1"/>
    </w:lvl>
    <w:lvl w:ilvl="1">
      <w:lvlJc w:val="left"/>
      <w:lvlText w:val="(%2)"/>
      <w:numFmt w:val="lowerLetter"/>
      <w:start w:val="1"/>
    </w:lvl>
  </w:abstractNum>
  <w:abstractNum w:abstractNumId="134">
    <w:nsid w:val="72E3413A"/>
    <w:multiLevelType w:val="hybridMultilevel"/>
    <w:lvl w:ilvl="0">
      <w:lvlJc w:val="left"/>
      <w:lvlText w:val="(%1)"/>
      <w:numFmt w:val="decimal"/>
      <w:start w:val="4"/>
    </w:lvl>
  </w:abstractNum>
  <w:abstractNum w:abstractNumId="135">
    <w:nsid w:val="116AE494"/>
    <w:multiLevelType w:val="hybridMultilevel"/>
    <w:lvl w:ilvl="0">
      <w:lvlJc w:val="left"/>
      <w:lvlText w:val="(%1)"/>
      <w:numFmt w:val="decimal"/>
      <w:start w:val="1"/>
    </w:lvl>
  </w:abstractNum>
  <w:abstractNum w:abstractNumId="136">
    <w:nsid w:val="3494B2FB"/>
    <w:multiLevelType w:val="hybridMultilevel"/>
    <w:lvl w:ilvl="0">
      <w:lvlJc w:val="left"/>
      <w:lvlText w:val="(%1)"/>
      <w:numFmt w:val="decimal"/>
      <w:start w:val="1"/>
    </w:lvl>
  </w:abstractNum>
  <w:abstractNum w:abstractNumId="137">
    <w:nsid w:val="B13A31"/>
    <w:multiLevelType w:val="hybridMultilevel"/>
    <w:lvl w:ilvl="0">
      <w:lvlJc w:val="left"/>
      <w:lvlText w:val="(%1)"/>
      <w:numFmt w:val="decimal"/>
      <w:start w:val="1"/>
    </w:lvl>
  </w:abstractNum>
  <w:abstractNum w:abstractNumId="138">
    <w:nsid w:val="64429599"/>
    <w:multiLevelType w:val="hybridMultilevel"/>
    <w:lvl w:ilvl="0">
      <w:lvlJc w:val="left"/>
      <w:lvlText w:val="(%1)"/>
      <w:numFmt w:val="decimal"/>
      <w:start w:val="5"/>
    </w:lvl>
  </w:abstractNum>
  <w:abstractNum w:abstractNumId="139">
    <w:nsid w:val="631F1690"/>
    <w:multiLevelType w:val="hybridMultilevel"/>
    <w:lvl w:ilvl="0">
      <w:lvlJc w:val="left"/>
      <w:lvlText w:val="(%1)"/>
      <w:numFmt w:val="decimal"/>
      <w:start w:val="1"/>
    </w:lvl>
  </w:abstractNum>
  <w:abstractNum w:abstractNumId="140">
    <w:nsid w:val="25973E32"/>
    <w:multiLevelType w:val="hybridMultilevel"/>
    <w:lvl w:ilvl="0">
      <w:lvlJc w:val="left"/>
      <w:lvlText w:val="(%1)"/>
      <w:numFmt w:val="decimal"/>
      <w:start w:val="1"/>
    </w:lvl>
  </w:abstractNum>
  <w:abstractNum w:abstractNumId="141">
    <w:nsid w:val="EAD6F57"/>
    <w:multiLevelType w:val="hybridMultilevel"/>
    <w:lvl w:ilvl="0">
      <w:lvlJc w:val="left"/>
      <w:lvlText w:val="(%1)"/>
      <w:numFmt w:val="decimal"/>
      <w:start w:val="1"/>
    </w:lvl>
  </w:abstractNum>
  <w:abstractNum w:abstractNumId="142">
    <w:nsid w:val="6EC9D844"/>
    <w:multiLevelType w:val="hybridMultilevel"/>
    <w:lvl w:ilvl="0">
      <w:lvlJc w:val="left"/>
      <w:lvlText w:val="(%1)"/>
      <w:numFmt w:val="decimal"/>
      <w:start w:val="5"/>
    </w:lvl>
  </w:abstractNum>
  <w:abstractNum w:abstractNumId="143">
    <w:nsid w:val="5C49EAEE"/>
    <w:multiLevelType w:val="hybridMultilevel"/>
    <w:lvl w:ilvl="0">
      <w:lvlJc w:val="left"/>
      <w:lvlText w:val="(%1)"/>
      <w:numFmt w:val="lowerLetter"/>
      <w:start w:val="1"/>
    </w:lvl>
  </w:abstractNum>
  <w:abstractNum w:abstractNumId="144">
    <w:nsid w:val="64AF49B"/>
    <w:multiLevelType w:val="hybridMultilevel"/>
    <w:lvl w:ilvl="0">
      <w:lvlJc w:val="left"/>
      <w:lvlText w:val="(%1)"/>
      <w:numFmt w:val="decimal"/>
      <w:start w:val="1"/>
    </w:lvl>
  </w:abstractNum>
  <w:abstractNum w:abstractNumId="145">
    <w:nsid w:val="397C46BC"/>
    <w:multiLevelType w:val="hybridMultilevel"/>
    <w:lvl w:ilvl="0">
      <w:lvlJc w:val="left"/>
      <w:lvlText w:val="(%1)"/>
      <w:numFmt w:val="decimal"/>
      <w:start w:val="3"/>
    </w:lvl>
  </w:abstractNum>
  <w:abstractNum w:abstractNumId="146">
    <w:nsid w:val="7E448DE9"/>
    <w:multiLevelType w:val="hybridMultilevel"/>
    <w:lvl w:ilvl="0">
      <w:lvlJc w:val="left"/>
      <w:lvlText w:val="(%1)"/>
      <w:numFmt w:val="decimal"/>
      <w:start w:val="1"/>
    </w:lvl>
  </w:abstractNum>
  <w:abstractNum w:abstractNumId="147">
    <w:nsid w:val="5A9CC3E5"/>
    <w:multiLevelType w:val="hybridMultilevel"/>
    <w:lvl w:ilvl="0">
      <w:lvlJc w:val="left"/>
      <w:lvlText w:val="(%1)"/>
      <w:numFmt w:val="decimal"/>
      <w:start w:val="1"/>
    </w:lvl>
  </w:abstractNum>
  <w:abstractNum w:abstractNumId="148">
    <w:nsid w:val="1AFE3625"/>
    <w:multiLevelType w:val="hybridMultilevel"/>
    <w:lvl w:ilvl="0">
      <w:lvlJc w:val="left"/>
      <w:lvlText w:val="(%1)"/>
      <w:numFmt w:val="decimal"/>
      <w:start w:val="1"/>
    </w:lvl>
  </w:abstractNum>
  <w:abstractNum w:abstractNumId="149">
    <w:nsid w:val="3CA88ECF"/>
    <w:multiLevelType w:val="hybridMultilevel"/>
    <w:lvl w:ilvl="0">
      <w:lvlJc w:val="left"/>
      <w:lvlText w:val="(%1)"/>
      <w:numFmt w:val="decimal"/>
      <w:start w:val="2"/>
    </w:lvl>
  </w:abstractNum>
  <w:abstractNum w:abstractNumId="150">
    <w:nsid w:val="6EBE4208"/>
    <w:multiLevelType w:val="hybridMultilevel"/>
    <w:lvl w:ilvl="0">
      <w:lvlJc w:val="left"/>
      <w:lvlText w:val="(%1)"/>
      <w:numFmt w:val="decimal"/>
      <w:start w:val="1"/>
    </w:lvl>
  </w:abstractNum>
  <w:abstractNum w:abstractNumId="151">
    <w:nsid w:val="C058DF5"/>
    <w:multiLevelType w:val="hybridMultilevel"/>
    <w:lvl w:ilvl="0">
      <w:lvlJc w:val="left"/>
      <w:lvlText w:val="(%1)"/>
      <w:numFmt w:val="decimal"/>
      <w:start w:val="4"/>
    </w:lvl>
  </w:abstractNum>
  <w:abstractNum w:abstractNumId="152">
    <w:nsid w:val="CBE5BE9"/>
    <w:multiLevelType w:val="hybridMultilevel"/>
    <w:lvl w:ilvl="0">
      <w:lvlJc w:val="left"/>
      <w:lvlText w:val="(%1)"/>
      <w:numFmt w:val="decimal"/>
      <w:start w:val="1"/>
    </w:lvl>
  </w:abstractNum>
  <w:abstractNum w:abstractNumId="153">
    <w:nsid w:val="3102BBE2"/>
    <w:multiLevelType w:val="hybridMultilevel"/>
    <w:lvl w:ilvl="0">
      <w:lvlJc w:val="left"/>
      <w:lvlText w:val="(%1)"/>
      <w:numFmt w:val="decimal"/>
      <w:start w:val="1"/>
    </w:lvl>
  </w:abstractNum>
  <w:abstractNum w:abstractNumId="154">
    <w:nsid w:val="26A02C5E"/>
    <w:multiLevelType w:val="hybridMultilevel"/>
    <w:lvl w:ilvl="0">
      <w:lvlJc w:val="left"/>
      <w:lvlText w:val="(%1)"/>
      <w:numFmt w:val="decimal"/>
      <w:start w:val="1"/>
    </w:lvl>
  </w:abstractNum>
  <w:abstractNum w:abstractNumId="155">
    <w:nsid w:val="541C8153"/>
    <w:multiLevelType w:val="hybridMultilevel"/>
    <w:lvl w:ilvl="0">
      <w:lvlJc w:val="left"/>
      <w:lvlText w:val="(%1)"/>
      <w:numFmt w:val="decimal"/>
      <w:start w:val="1"/>
    </w:lvl>
  </w:abstractNum>
  <w:abstractNum w:abstractNumId="156">
    <w:nsid w:val="67906F60"/>
    <w:multiLevelType w:val="hybridMultilevel"/>
    <w:lvl w:ilvl="0">
      <w:lvlJc w:val="left"/>
      <w:lvlText w:val="(%1)"/>
      <w:numFmt w:val="decimal"/>
      <w:start w:val="1"/>
    </w:lvl>
  </w:abstractNum>
  <w:abstractNum w:abstractNumId="157">
    <w:nsid w:val="10DB9DAA"/>
    <w:multiLevelType w:val="hybridMultilevel"/>
    <w:lvl w:ilvl="0">
      <w:lvlJc w:val="left"/>
      <w:lvlText w:val="(%1)"/>
      <w:numFmt w:val="decimal"/>
      <w:start w:val="1"/>
    </w:lvl>
  </w:abstractNum>
  <w:abstractNum w:abstractNumId="158">
    <w:nsid w:val="697D2D2"/>
    <w:multiLevelType w:val="hybridMultilevel"/>
    <w:lvl w:ilvl="0">
      <w:lvlJc w:val="left"/>
      <w:lvlText w:val="(%1)"/>
      <w:numFmt w:val="decimal"/>
      <w:start w:val="1"/>
    </w:lvl>
    <w:lvl w:ilvl="1">
      <w:lvlJc w:val="left"/>
      <w:lvlText w:val="(%2)"/>
      <w:numFmt w:val="lowerLetter"/>
      <w:start w:val="1"/>
    </w:lvl>
  </w:abstractNum>
  <w:abstractNum w:abstractNumId="159">
    <w:nsid w:val="6D68AB2"/>
    <w:multiLevelType w:val="hybridMultilevel"/>
    <w:lvl w:ilvl="0">
      <w:lvlJc w:val="left"/>
      <w:lvlText w:val="(%1)"/>
      <w:numFmt w:val="decimal"/>
      <w:start w:val="1"/>
    </w:lvl>
  </w:abstractNum>
  <w:abstractNum w:abstractNumId="160">
    <w:nsid w:val="3A966CD0"/>
    <w:multiLevelType w:val="hybridMultilevel"/>
    <w:lvl w:ilvl="0">
      <w:lvlJc w:val="left"/>
      <w:lvlText w:val="(%1)"/>
      <w:numFmt w:val="decimal"/>
      <w:start w:val="1"/>
    </w:lvl>
  </w:abstractNum>
  <w:abstractNum w:abstractNumId="161">
    <w:nsid w:val="63F37E85"/>
    <w:multiLevelType w:val="hybridMultilevel"/>
    <w:lvl w:ilvl="0">
      <w:lvlJc w:val="left"/>
      <w:lvlText w:val="(%1)"/>
      <w:numFmt w:val="decimal"/>
      <w:start w:val="1"/>
    </w:lvl>
  </w:abstractNum>
  <w:abstractNum w:abstractNumId="162">
    <w:nsid w:val="5895F5FA"/>
    <w:multiLevelType w:val="hybridMultilevel"/>
    <w:lvl w:ilvl="0">
      <w:lvlJc w:val="left"/>
      <w:lvlText w:val="(%1)"/>
      <w:numFmt w:val="decimal"/>
      <w:start w:val="1"/>
    </w:lvl>
  </w:abstractNum>
  <w:abstractNum w:abstractNumId="163">
    <w:nsid w:val="38A5D054"/>
    <w:multiLevelType w:val="hybridMultilevel"/>
    <w:lvl w:ilvl="0">
      <w:lvlJc w:val="left"/>
      <w:lvlText w:val="(%1)"/>
      <w:numFmt w:val="decimal"/>
      <w:start w:val="1"/>
    </w:lvl>
  </w:abstractNum>
  <w:abstractNum w:abstractNumId="164">
    <w:nsid w:val="F3F09D8"/>
    <w:multiLevelType w:val="hybridMultilevel"/>
    <w:lvl w:ilvl="0">
      <w:lvlJc w:val="left"/>
      <w:lvlText w:val="(%1)"/>
      <w:numFmt w:val="decimal"/>
      <w:start w:val="1"/>
    </w:lvl>
  </w:abstractNum>
  <w:abstractNum w:abstractNumId="165">
    <w:nsid w:val="4B793735"/>
    <w:multiLevelType w:val="hybridMultilevel"/>
    <w:lvl w:ilvl="0">
      <w:lvlJc w:val="left"/>
      <w:lvlText w:val="(%1)"/>
      <w:numFmt w:val="decimal"/>
      <w:start w:val="3"/>
    </w:lvl>
  </w:abstractNum>
  <w:abstractNum w:abstractNumId="166">
    <w:nsid w:val="4A10B4E8"/>
    <w:multiLevelType w:val="hybridMultilevel"/>
    <w:lvl w:ilvl="0">
      <w:lvlJc w:val="left"/>
      <w:lvlText w:val="(%1)"/>
      <w:numFmt w:val="decimal"/>
      <w:start w:val="1"/>
    </w:lvl>
    <w:lvl w:ilvl="1">
      <w:lvlJc w:val="left"/>
      <w:lvlText w:val="(%2)"/>
      <w:numFmt w:val="lowerLetter"/>
      <w:start w:val="1"/>
    </w:lvl>
  </w:abstractNum>
  <w:abstractNum w:abstractNumId="167">
    <w:nsid w:val="43D3BCD4"/>
    <w:multiLevelType w:val="hybridMultilevel"/>
    <w:lvl w:ilvl="0">
      <w:lvlJc w:val="left"/>
      <w:lvlText w:val="(%1)"/>
      <w:numFmt w:val="decimal"/>
      <w:start w:val="8"/>
    </w:lvl>
  </w:abstractNum>
  <w:abstractNum w:abstractNumId="168">
    <w:nsid w:val="4C2A7166"/>
    <w:multiLevelType w:val="hybridMultilevel"/>
    <w:lvl w:ilvl="0">
      <w:lvlJc w:val="left"/>
      <w:lvlText w:val="(%1)"/>
      <w:numFmt w:val="decimal"/>
      <w:start w:val="1"/>
    </w:lvl>
    <w:lvl w:ilvl="1">
      <w:lvlJc w:val="left"/>
      <w:lvlText w:val="(%2)"/>
      <w:numFmt w:val="lowerLetter"/>
      <w:start w:val="1"/>
    </w:lvl>
  </w:abstractNum>
  <w:abstractNum w:abstractNumId="169">
    <w:nsid w:val="2E534A82"/>
    <w:multiLevelType w:val="hybridMultilevel"/>
    <w:lvl w:ilvl="0">
      <w:lvlJc w:val="left"/>
      <w:lvlText w:val="(%1)"/>
      <w:numFmt w:val="decimal"/>
      <w:start w:val="6"/>
    </w:lvl>
    <w:lvl w:ilvl="1">
      <w:lvlJc w:val="left"/>
      <w:lvlText w:val="(%2)"/>
      <w:numFmt w:val="lowerLetter"/>
      <w:start w:val="1"/>
    </w:lvl>
  </w:abstractNum>
  <w:abstractNum w:abstractNumId="170">
    <w:nsid w:val="26F2D364"/>
    <w:multiLevelType w:val="hybridMultilevel"/>
    <w:lvl w:ilvl="0">
      <w:lvlJc w:val="left"/>
      <w:lvlText w:val="%1"/>
      <w:numFmt w:val="decimal"/>
      <w:start w:val="1"/>
    </w:lvl>
    <w:lvl w:ilvl="1">
      <w:lvlJc w:val="left"/>
      <w:lvlText w:val="(%2)"/>
      <w:numFmt w:val="lowerLetter"/>
      <w:start w:val="1"/>
    </w:lvl>
  </w:abstractNum>
  <w:abstractNum w:abstractNumId="171">
    <w:nsid w:val="71C1AF98"/>
    <w:multiLevelType w:val="hybridMultilevel"/>
    <w:lvl w:ilvl="0">
      <w:lvlJc w:val="left"/>
      <w:lvlText w:val="(%1)"/>
      <w:numFmt w:val="decimal"/>
      <w:start w:val="16"/>
    </w:lvl>
    <w:lvl w:ilvl="1">
      <w:lvlJc w:val="left"/>
      <w:lvlText w:val="(%2)"/>
      <w:numFmt w:val="lowerLetter"/>
      <w:start w:val="1"/>
    </w:lvl>
  </w:abstractNum>
  <w:abstractNum w:abstractNumId="172">
    <w:nsid w:val="3D00B9D9"/>
    <w:multiLevelType w:val="hybridMultilevel"/>
    <w:lvl w:ilvl="0">
      <w:lvlJc w:val="left"/>
      <w:lvlText w:val="(%1)"/>
      <w:numFmt w:val="decimal"/>
      <w:start w:val="26"/>
    </w:lvl>
  </w:abstractNum>
  <w:abstractNum w:abstractNumId="173">
    <w:nsid w:val="15BCABA8"/>
    <w:multiLevelType w:val="hybridMultilevel"/>
    <w:lvl w:ilvl="0">
      <w:lvlJc w:val="left"/>
      <w:lvlText w:val="(%1)"/>
      <w:numFmt w:val="decimal"/>
      <w:start w:val="1"/>
    </w:lvl>
  </w:abstractNum>
  <w:abstractNum w:abstractNumId="174">
    <w:nsid w:val="4E0B9A87"/>
    <w:multiLevelType w:val="hybridMultilevel"/>
    <w:lvl w:ilvl="0">
      <w:lvlJc w:val="left"/>
      <w:lvlText w:val="(%1)"/>
      <w:numFmt w:val="decimal"/>
      <w:start w:val="1"/>
    </w:lvl>
  </w:abstractNum>
  <w:abstractNum w:abstractNumId="175">
    <w:nsid w:val="434BAE75"/>
    <w:multiLevelType w:val="hybridMultilevel"/>
    <w:lvl w:ilvl="0">
      <w:lvlJc w:val="left"/>
      <w:lvlText w:val="(%1)"/>
      <w:numFmt w:val="decimal"/>
      <w:start w:val="1"/>
    </w:lvl>
  </w:abstractNum>
  <w:abstractNum w:abstractNumId="176">
    <w:nsid w:val="4F38F265"/>
    <w:multiLevelType w:val="hybridMultilevel"/>
    <w:lvl w:ilvl="0">
      <w:lvlJc w:val="left"/>
      <w:lvlText w:val="(%1)"/>
      <w:numFmt w:val="decimal"/>
      <w:start w:val="1"/>
    </w:lvl>
  </w:abstractNum>
  <w:abstractNum w:abstractNumId="177">
    <w:nsid w:val="4C502870"/>
    <w:multiLevelType w:val="hybridMultilevel"/>
    <w:lvl w:ilvl="0">
      <w:lvlJc w:val="left"/>
      <w:lvlText w:val="(%1)"/>
      <w:numFmt w:val="decimal"/>
      <w:start w:val="1"/>
    </w:lvl>
  </w:abstractNum>
  <w:abstractNum w:abstractNumId="178">
    <w:nsid w:val="1DE8725A"/>
    <w:multiLevelType w:val="hybridMultilevel"/>
    <w:lvl w:ilvl="0">
      <w:lvlJc w:val="left"/>
      <w:lvlText w:val="(%1)"/>
      <w:numFmt w:val="decimal"/>
      <w:start w:val="1"/>
    </w:lvl>
  </w:abstractNum>
  <w:abstractNum w:abstractNumId="179">
    <w:nsid w:val="6A37288A"/>
    <w:multiLevelType w:val="hybridMultilevel"/>
    <w:lvl w:ilvl="0">
      <w:lvlJc w:val="left"/>
      <w:lvlText w:val="(%1)"/>
      <w:numFmt w:val="decimal"/>
      <w:start w:val="1"/>
    </w:lvl>
  </w:abstractNum>
  <w:abstractNum w:abstractNumId="180">
    <w:nsid w:val="8F8B73F"/>
    <w:multiLevelType w:val="hybridMultilevel"/>
    <w:lvl w:ilvl="0">
      <w:lvlJc w:val="left"/>
      <w:lvlText w:val="(%1)"/>
      <w:numFmt w:val="decimal"/>
      <w:start w:val="1"/>
    </w:lvl>
  </w:abstractNum>
  <w:abstractNum w:abstractNumId="181">
    <w:nsid w:val="CA6B462"/>
    <w:multiLevelType w:val="hybridMultilevel"/>
    <w:lvl w:ilvl="0">
      <w:lvlJc w:val="left"/>
      <w:lvlText w:val="(%1)"/>
      <w:numFmt w:val="lowerRoman"/>
      <w:start w:val="1"/>
    </w:lvl>
  </w:abstractNum>
  <w:abstractNum w:abstractNumId="182">
    <w:nsid w:val="763CB680"/>
    <w:multiLevelType w:val="hybridMultilevel"/>
    <w:lvl w:ilvl="0">
      <w:lvlJc w:val="left"/>
      <w:lvlText w:val="(%1)"/>
      <w:numFmt w:val="lowerRoman"/>
      <w:start w:val="1"/>
    </w:lvl>
  </w:abstractNum>
  <w:abstractNum w:abstractNumId="183">
    <w:nsid w:val="15B71329"/>
    <w:multiLevelType w:val="hybridMultilevel"/>
    <w:lvl w:ilvl="0">
      <w:lvlJc w:val="left"/>
      <w:lvlText w:val="•"/>
      <w:numFmt w:val="bullet"/>
      <w:start w:val="1"/>
    </w:lvl>
  </w:abstractNum>
  <w:abstractNum w:abstractNumId="184">
    <w:nsid w:val="3DA97044"/>
    <w:multiLevelType w:val="hybridMultilevel"/>
    <w:lvl w:ilvl="0">
      <w:lvlJc w:val="left"/>
      <w:lvlText w:val="•"/>
      <w:numFmt w:val="bullet"/>
      <w:start w:val="1"/>
    </w:lvl>
  </w:abstractNum>
  <w:abstractNum w:abstractNumId="185">
    <w:nsid w:val="1CDCE2DE"/>
    <w:multiLevelType w:val="hybridMultilevel"/>
    <w:lvl w:ilvl="0">
      <w:lvlJc w:val="left"/>
      <w:lvlText w:val="*"/>
      <w:numFmt w:val="bullet"/>
      <w:start w:val="1"/>
    </w:lvl>
  </w:abstractNum>
  <w:abstractNum w:abstractNumId="186">
    <w:nsid w:val="69D3947C"/>
    <w:multiLevelType w:val="hybridMultilevel"/>
    <w:lvl w:ilvl="0">
      <w:lvlJc w:val="left"/>
      <w:lvlText w:val="%1."/>
      <w:numFmt w:val="decimal"/>
      <w:start w:val="1"/>
    </w:lvl>
  </w:abstractNum>
  <w:abstractNum w:abstractNumId="187">
    <w:nsid w:val="2539DFA5"/>
    <w:multiLevelType w:val="hybridMultilevel"/>
    <w:lvl w:ilvl="0">
      <w:lvlJc w:val="left"/>
      <w:lvlText w:val="%1."/>
      <w:numFmt w:val="decimal"/>
      <w:start w:val="2"/>
    </w:lvl>
  </w:abstractNum>
  <w:abstractNum w:abstractNumId="188">
    <w:nsid w:val="2DB88089"/>
    <w:multiLevelType w:val="hybridMultilevel"/>
    <w:lvl w:ilvl="0">
      <w:lvlJc w:val="left"/>
      <w:lvlText w:val="%1."/>
      <w:numFmt w:val="decimal"/>
      <w:start w:val="8"/>
    </w:lvl>
  </w:abstractNum>
  <w:abstractNum w:abstractNumId="189">
    <w:nsid w:val="706B674E"/>
    <w:multiLevelType w:val="hybridMultilevel"/>
    <w:lvl w:ilvl="0">
      <w:lvlJc w:val="left"/>
      <w:lvlText w:val="%1."/>
      <w:numFmt w:val="decimal"/>
      <w:start w:val="10"/>
    </w:lvl>
  </w:abstractNum>
  <w:abstractNum w:abstractNumId="190">
    <w:nsid w:val="2C106A57"/>
    <w:multiLevelType w:val="hybridMultilevel"/>
    <w:lvl w:ilvl="0">
      <w:lvlJc w:val="left"/>
      <w:lvlText w:val="%1."/>
      <w:numFmt w:val="decimal"/>
      <w:start w:val="2"/>
    </w:lvl>
  </w:abstractNum>
  <w:abstractNum w:abstractNumId="191">
    <w:nsid w:val="684EED59"/>
    <w:multiLevelType w:val="hybridMultilevel"/>
    <w:lvl w:ilvl="0">
      <w:lvlJc w:val="left"/>
      <w:lvlText w:val="%1."/>
      <w:numFmt w:val="decimal"/>
      <w:start w:val="9"/>
    </w:lvl>
  </w:abstractNum>
  <w:abstractNum w:abstractNumId="192">
    <w:nsid w:val="545EE5D3"/>
    <w:multiLevelType w:val="hybridMultilevel"/>
    <w:lvl w:ilvl="0">
      <w:lvlJc w:val="left"/>
      <w:lvlText w:val="%1."/>
      <w:numFmt w:val="decimal"/>
      <w:start w:val="11"/>
    </w:lvl>
  </w:abstractNum>
  <w:abstractNum w:abstractNumId="193">
    <w:nsid w:val="4A66051"/>
    <w:multiLevelType w:val="hybridMultilevel"/>
    <w:lvl w:ilvl="0">
      <w:lvlJc w:val="left"/>
      <w:lvlText w:val="%1."/>
      <w:numFmt w:val="decimal"/>
      <w:start w:val="12"/>
    </w:lvl>
  </w:abstractNum>
  <w:abstractNum w:abstractNumId="194">
    <w:nsid w:val="20F4BDAD"/>
    <w:multiLevelType w:val="hybridMultilevel"/>
    <w:lvl w:ilvl="0">
      <w:lvlJc w:val="left"/>
      <w:lvlText w:val="%1"/>
      <w:numFmt w:val="decimal"/>
      <w:start w:val="1"/>
    </w:lvl>
    <w:lvl w:ilvl="1">
      <w:lvlJc w:val="left"/>
      <w:lvlText w:val="%2"/>
      <w:numFmt w:val="decimal"/>
      <w:start w:val="101"/>
    </w:lvl>
  </w:abstractNum>
  <w:abstractNum w:abstractNumId="195">
    <w:nsid w:val="639DEFAC"/>
    <w:multiLevelType w:val="hybridMultilevel"/>
    <w:lvl w:ilvl="0">
      <w:lvlJc w:val="left"/>
      <w:lvlText w:val="(%1)"/>
      <w:numFmt w:val="decimal"/>
      <w:start w:val="1"/>
    </w:lvl>
    <w:lvl w:ilvl="1">
      <w:lvlJc w:val="left"/>
      <w:lvlText w:val="%2"/>
      <w:numFmt w:val="decimal"/>
      <w:start w:val="1"/>
    </w:lvl>
  </w:abstractNum>
  <w:abstractNum w:abstractNumId="196">
    <w:nsid w:val="501F9786"/>
    <w:multiLevelType w:val="hybridMultilevel"/>
    <w:lvl w:ilvl="0">
      <w:lvlJc w:val="left"/>
      <w:lvlText w:val="(%1)"/>
      <w:numFmt w:val="decimal"/>
      <w:start w:val="17"/>
    </w:lvl>
  </w:abstractNum>
  <w:abstractNum w:abstractNumId="197">
    <w:nsid w:val="6B0572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8">
    <w:nsid w:val="2771AC8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99">
    <w:nsid w:val="1C4A08E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0">
    <w:nsid w:val="1958BD17"/>
    <w:multiLevelType w:val="hybridMultilevel"/>
    <w:lvl w:ilvl="0">
      <w:lvlJc w:val="left"/>
      <w:lvlText w:val="%1"/>
      <w:numFmt w:val="decimal"/>
      <w:start w:val="1"/>
    </w:lvl>
    <w:lvl w:ilvl="1">
      <w:lvlJc w:val="left"/>
      <w:lvlText w:val="%2"/>
      <w:numFmt w:val="decimal"/>
      <w:start w:val="101"/>
    </w:lvl>
  </w:abstractNum>
  <w:abstractNum w:abstractNumId="201">
    <w:nsid w:val="4E647FE4"/>
    <w:multiLevelType w:val="hybridMultilevel"/>
    <w:lvl w:ilvl="0">
      <w:lvlJc w:val="left"/>
      <w:lvlText w:val="(%1)"/>
      <w:numFmt w:val="decimal"/>
      <w:start w:val="1"/>
    </w:lvl>
    <w:lvl w:ilvl="1">
      <w:lvlJc w:val="left"/>
      <w:lvlText w:val="%2"/>
      <w:numFmt w:val="decimal"/>
      <w:start w:val="1"/>
    </w:lvl>
  </w:abstractNum>
  <w:abstractNum w:abstractNumId="202">
    <w:nsid w:val="E0BB885"/>
    <w:multiLevelType w:val="hybridMultilevel"/>
    <w:lvl w:ilvl="0">
      <w:lvlJc w:val="left"/>
      <w:lvlText w:val="(%1)"/>
      <w:numFmt w:val="lowerLetter"/>
      <w:start w:val="1"/>
    </w:lvl>
  </w:abstractNum>
  <w:abstractNum w:abstractNumId="203">
    <w:nsid w:val="565976F1"/>
    <w:multiLevelType w:val="hybridMultilevel"/>
    <w:lvl w:ilvl="0">
      <w:lvlJc w:val="left"/>
      <w:lvlText w:val="(%1)"/>
      <w:numFmt w:val="lowerLetter"/>
      <w:start w:val="1"/>
    </w:lvl>
  </w:abstractNum>
  <w:abstractNum w:abstractNumId="204">
    <w:nsid w:val="64212B8C"/>
    <w:multiLevelType w:val="hybridMultilevel"/>
    <w:lvl w:ilvl="0">
      <w:lvlJc w:val="left"/>
      <w:lvlText w:val="%1)"/>
      <w:numFmt w:val="lowerLetter"/>
      <w:start w:val="1"/>
    </w:lvl>
  </w:abstractNum>
  <w:abstractNum w:abstractNumId="205">
    <w:nsid w:val="5C17530C"/>
    <w:multiLevelType w:val="hybridMultilevel"/>
    <w:lvl w:ilvl="0">
      <w:lvlJc w:val="left"/>
      <w:lvlText w:val="%1)"/>
      <w:numFmt w:val="lowerLetter"/>
      <w:start w:val="2"/>
    </w:lvl>
  </w:abstractNum>
  <w:abstractNum w:abstractNumId="206">
    <w:nsid w:val="19A52566"/>
    <w:multiLevelType w:val="hybridMultilevel"/>
    <w:lvl w:ilvl="0">
      <w:lvlJc w:val="left"/>
      <w:lvlText w:val="*"/>
      <w:numFmt w:val="bullet"/>
      <w:start w:val="1"/>
    </w:lvl>
    <w:lvl w:ilvl="1">
      <w:lvlJc w:val="left"/>
      <w:lvlText w:val="%2."/>
      <w:numFmt w:val="decimal"/>
      <w:start w:val="1"/>
    </w:lvl>
  </w:abstractNum>
  <w:abstractNum w:abstractNumId="207">
    <w:nsid w:val="335A1DF1"/>
    <w:multiLevelType w:val="hybridMultilevel"/>
    <w:lvl w:ilvl="0">
      <w:lvlJc w:val="left"/>
      <w:lvlText w:val="**"/>
      <w:numFmt w:val="bullet"/>
      <w:start w:val="1"/>
    </w:lvl>
    <w:lvl w:ilvl="1">
      <w:lvlJc w:val="left"/>
      <w:lvlText w:val="%2"/>
      <w:numFmt w:val="decimal"/>
      <w:start w:val="1"/>
    </w:lvl>
  </w:abstractNum>
  <w:abstractNum w:abstractNumId="208">
    <w:nsid w:val="28677B7C"/>
    <w:multiLevelType w:val="hybridMultilevel"/>
    <w:lvl w:ilvl="0">
      <w:lvlJc w:val="left"/>
      <w:lvlText w:val="%1."/>
      <w:numFmt w:val="decimal"/>
      <w:start w:val="1"/>
    </w:lvl>
  </w:abstractNum>
  <w:abstractNum w:abstractNumId="209">
    <w:nsid w:val="378D97C0"/>
    <w:multiLevelType w:val="hybridMultilevel"/>
    <w:lvl w:ilvl="0">
      <w:lvlJc w:val="left"/>
      <w:lvlText w:val="%1."/>
      <w:numFmt w:val="decimal"/>
      <w:start w:val="1"/>
    </w:lvl>
  </w:abstractNum>
  <w:abstractNum w:abstractNumId="210">
    <w:nsid w:val="1D91467C"/>
    <w:multiLevelType w:val="hybridMultilevel"/>
    <w:lvl w:ilvl="0">
      <w:lvlJc w:val="left"/>
      <w:lvlText w:val="☐"/>
      <w:numFmt w:val="bullet"/>
      <w:start w:val="1"/>
    </w:lvl>
  </w:abstractNum>
  <w:abstractNum w:abstractNumId="211">
    <w:nsid w:val="316032BB"/>
    <w:multiLevelType w:val="hybridMultilevel"/>
    <w:lvl w:ilvl="0">
      <w:lvlJc w:val="left"/>
      <w:lvlText w:val="☐"/>
      <w:numFmt w:val="bullet"/>
      <w:start w:val="1"/>
    </w:lvl>
  </w:abstractNum>
  <w:abstractNum w:abstractNumId="212">
    <w:nsid w:val="44344C22"/>
    <w:multiLevelType w:val="hybridMultilevel"/>
    <w:lvl w:ilvl="0">
      <w:lvlJc w:val="left"/>
      <w:lvlText w:val="(%1)"/>
      <w:numFmt w:val="lowerRoman"/>
      <w:start w:val="2"/>
    </w:lvl>
  </w:abstractNum>
  <w:abstractNum w:abstractNumId="213">
    <w:nsid w:val="13CDFCFC"/>
    <w:multiLevelType w:val="hybridMultilevel"/>
    <w:lvl w:ilvl="0">
      <w:lvlJc w:val="left"/>
      <w:lvlText w:val="☐"/>
      <w:numFmt w:val="bullet"/>
      <w:start w:val="1"/>
    </w:lvl>
  </w:abstractNum>
  <w:abstractNum w:abstractNumId="214">
    <w:nsid w:val="471745E4"/>
    <w:multiLevelType w:val="hybridMultilevel"/>
    <w:lvl w:ilvl="0">
      <w:lvlJc w:val="left"/>
      <w:lvlText w:val="%1."/>
      <w:numFmt w:val="decimal"/>
      <w:start w:val="1"/>
    </w:lvl>
  </w:abstractNum>
  <w:abstractNum w:abstractNumId="215">
    <w:nsid w:val="1DDBC66"/>
    <w:multiLevelType w:val="hybridMultilevel"/>
    <w:lvl w:ilvl="0">
      <w:lvlJc w:val="left"/>
      <w:lvlText w:val="%1."/>
      <w:numFmt w:val="decimal"/>
      <w:start w:val="2"/>
    </w:lvl>
  </w:abstractNum>
  <w:abstractNum w:abstractNumId="216">
    <w:nsid w:val="30AADFDA"/>
    <w:multiLevelType w:val="hybridMultilevel"/>
    <w:lvl w:ilvl="0">
      <w:lvlJc w:val="left"/>
      <w:lvlText w:val="%1."/>
      <w:numFmt w:val="decimal"/>
      <w:start w:val="3"/>
    </w:lvl>
  </w:abstractNum>
  <w:abstractNum w:abstractNumId="217">
    <w:nsid w:val="30EADA61"/>
    <w:multiLevelType w:val="hybridMultilevel"/>
    <w:lvl w:ilvl="0">
      <w:lvlJc w:val="left"/>
      <w:lvlText w:val="%1."/>
      <w:numFmt w:val="decimal"/>
      <w:start w:val="4"/>
    </w:lvl>
  </w:abstractNum>
  <w:abstractNum w:abstractNumId="218">
    <w:nsid w:val="27179C0B"/>
    <w:multiLevelType w:val="hybridMultilevel"/>
    <w:lvl w:ilvl="0">
      <w:lvlJc w:val="left"/>
      <w:lvlText w:val="%1."/>
      <w:numFmt w:val="decimal"/>
      <w:start w:val="5"/>
    </w:lvl>
  </w:abstractNum>
  <w:abstractNum w:abstractNumId="219">
    <w:nsid w:val="5E636063"/>
    <w:multiLevelType w:val="hybridMultilevel"/>
    <w:lvl w:ilvl="0">
      <w:lvlJc w:val="left"/>
      <w:lvlText w:val="%1."/>
      <w:numFmt w:val="decimal"/>
      <w:start w:val="6"/>
    </w:lvl>
  </w:abstractNum>
  <w:abstractNum w:abstractNumId="220">
    <w:nsid w:val="215641AF"/>
    <w:multiLevelType w:val="hybridMultilevel"/>
    <w:lvl w:ilvl="0">
      <w:lvlJc w:val="left"/>
      <w:lvlText w:val="%1."/>
      <w:numFmt w:val="decimal"/>
      <w:start w:val="7"/>
    </w:lvl>
  </w:abstractNum>
  <w:abstractNum w:abstractNumId="221">
    <w:nsid w:val="53280662"/>
    <w:multiLevelType w:val="hybridMultilevel"/>
    <w:lvl w:ilvl="0">
      <w:lvlJc w:val="left"/>
      <w:lvlText w:val="%1."/>
      <w:numFmt w:val="decimal"/>
      <w:start w:val="8"/>
    </w:lvl>
  </w:abstractNum>
  <w:abstractNum w:abstractNumId="222">
    <w:nsid w:val="46B24DBC"/>
    <w:multiLevelType w:val="hybridMultilevel"/>
    <w:lvl w:ilvl="0">
      <w:lvlJc w:val="left"/>
      <w:lvlText w:val="%1."/>
      <w:numFmt w:val="decimal"/>
      <w:start w:val="9"/>
    </w:lvl>
  </w:abstractNum>
  <w:abstractNum w:abstractNumId="223">
    <w:nsid w:val="75B52783"/>
    <w:multiLevelType w:val="hybridMultilevel"/>
    <w:lvl w:ilvl="0">
      <w:lvlJc w:val="left"/>
      <w:lvlText w:val="(%1)"/>
      <w:numFmt w:val="lowerRoman"/>
      <w:start w:val="4"/>
    </w:lvl>
  </w:abstractNum>
  <w:abstractNum w:abstractNumId="224">
    <w:nsid w:val="57CE66B4"/>
    <w:multiLevelType w:val="hybridMultilevel"/>
    <w:lvl w:ilvl="0">
      <w:lvlJc w:val="left"/>
      <w:lvlText w:val="(%1)"/>
      <w:numFmt w:val="lowerLetter"/>
      <w:start w:val="2"/>
    </w:lvl>
  </w:abstractNum>
  <w:abstractNum w:abstractNumId="225">
    <w:nsid w:val="67A70B69"/>
    <w:multiLevelType w:val="hybridMultilevel"/>
    <w:lvl w:ilvl="0">
      <w:lvlJc w:val="left"/>
      <w:lvlText w:val="*"/>
      <w:numFmt w:val="bullet"/>
      <w:start w:val="1"/>
    </w:lvl>
  </w:abstractNum>
  <w:abstractNum w:abstractNumId="226">
    <w:nsid w:val="5953172F"/>
    <w:multiLevelType w:val="hybridMultilevel"/>
    <w:lvl w:ilvl="0">
      <w:lvlJc w:val="left"/>
      <w:lvlText w:val="(%1)"/>
      <w:numFmt w:val="decimal"/>
      <w:start w:val="1"/>
    </w:lvl>
  </w:abstractNum>
  <w:abstractNum w:abstractNumId="227">
    <w:nsid w:val="27EDFE3A"/>
    <w:multiLevelType w:val="hybridMultilevel"/>
    <w:lvl w:ilvl="0">
      <w:lvlJc w:val="left"/>
      <w:lvlText w:val="•"/>
      <w:numFmt w:val="bullet"/>
      <w:start w:val="1"/>
    </w:lvl>
  </w:abstractNum>
  <w:abstractNum w:abstractNumId="228">
    <w:nsid w:val="52AC7DFF"/>
    <w:multiLevelType w:val="hybridMultilevel"/>
    <w:lvl w:ilvl="0">
      <w:lvlJc w:val="left"/>
      <w:lvlText w:val="(%1)"/>
      <w:numFmt w:val="decimal"/>
      <w:start w:val="1"/>
    </w:lvl>
  </w:abstractNum>
  <w:abstractNum w:abstractNumId="229">
    <w:nsid w:val="C4C3AF"/>
    <w:multiLevelType w:val="hybridMultilevel"/>
    <w:lvl w:ilvl="0">
      <w:lvlJc w:val="left"/>
      <w:lvlText w:val="(%1)"/>
      <w:numFmt w:val="decimal"/>
      <w:start w:val="2"/>
    </w:lvl>
  </w:abstractNum>
  <w:abstractNum w:abstractNumId="230">
    <w:nsid w:val="44380727"/>
    <w:multiLevelType w:val="hybridMultilevel"/>
    <w:lvl w:ilvl="0">
      <w:lvlJc w:val="left"/>
      <w:lvlText w:val="%1."/>
      <w:numFmt w:val="decimal"/>
      <w:start w:val="1"/>
    </w:lvl>
  </w:abstractNum>
  <w:abstractNum w:abstractNumId="231">
    <w:nsid w:val="6C053B16"/>
    <w:multiLevelType w:val="hybridMultilevel"/>
    <w:lvl w:ilvl="0">
      <w:lvlJc w:val="left"/>
      <w:lvlText w:val="*"/>
      <w:numFmt w:val="bullet"/>
      <w:start w:val="1"/>
    </w:lvl>
  </w:abstractNum>
  <w:abstractNum w:abstractNumId="232">
    <w:nsid w:val="4F294393"/>
    <w:multiLevelType w:val="hybridMultilevel"/>
    <w:lvl w:ilvl="0">
      <w:lvlJc w:val="left"/>
      <w:lvlText w:val="**"/>
      <w:numFmt w:val="bullet"/>
      <w:start w:val="1"/>
    </w:lvl>
  </w:abstractNum>
  <w:abstractNum w:abstractNumId="233">
    <w:nsid w:val="5243BFAC"/>
    <w:multiLevelType w:val="hybridMultilevel"/>
    <w:lvl w:ilvl="0">
      <w:lvlJc w:val="left"/>
      <w:lvlText w:val="***"/>
      <w:numFmt w:val="bullet"/>
      <w:start w:val="1"/>
    </w:lvl>
  </w:abstractNum>
  <w:abstractNum w:abstractNumId="234">
    <w:nsid w:val="425EB207"/>
    <w:multiLevelType w:val="hybridMultilevel"/>
    <w:lvl w:ilvl="0">
      <w:lvlJc w:val="left"/>
      <w:lvlText w:val="☐"/>
      <w:numFmt w:val="bullet"/>
      <w:start w:val="1"/>
    </w:lvl>
  </w:abstractNum>
  <w:abstractNum w:abstractNumId="235">
    <w:nsid w:val="334A6F1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jpe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2019-12-20T19:21:28Z</dcterms:created>
  <dcterms:modified xsi:type="dcterms:W3CDTF">2019-12-20T19:21:28Z</dcterms:modified>
</cp:coreProperties>
</file>