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460" w:right="1940" w:hanging="452"/>
        <w:spacing w:after="0" w:line="438"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2012</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1" w:lineRule="exact"/>
        <w:rPr>
          <w:sz w:val="24"/>
          <w:szCs w:val="24"/>
          <w:color w:val="auto"/>
        </w:rPr>
      </w:pPr>
    </w:p>
    <w:p>
      <w:pPr>
        <w:ind w:left="39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6140" w:type="dxa"/>
            <w:vAlign w:val="bottom"/>
            <w:gridSpan w:val="3"/>
          </w:tcPr>
          <w:p>
            <w:pPr>
              <w:jc w:val="center"/>
              <w:ind w:right="4360"/>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88-0494875</w:t>
            </w:r>
          </w:p>
        </w:tc>
      </w:tr>
      <w:tr>
        <w:trPr>
          <w:trHeight w:val="149"/>
        </w:trPr>
        <w:tc>
          <w:tcPr>
            <w:tcW w:w="6140" w:type="dxa"/>
            <w:vAlign w:val="bottom"/>
            <w:gridSpan w:val="3"/>
          </w:tcPr>
          <w:p>
            <w:pPr>
              <w:jc w:val="center"/>
              <w:ind w:right="438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140" w:type="dxa"/>
            <w:vAlign w:val="bottom"/>
            <w:gridSpan w:val="3"/>
          </w:tcPr>
          <w:p>
            <w:pPr>
              <w:jc w:val="center"/>
              <w:ind w:right="4380"/>
              <w:spacing w:after="0"/>
              <w:rPr>
                <w:sz w:val="20"/>
                <w:szCs w:val="20"/>
                <w:color w:val="auto"/>
              </w:rPr>
            </w:pPr>
            <w:r>
              <w:rPr>
                <w:rFonts w:ascii="Arial" w:cs="Arial" w:eastAsia="Arial" w:hAnsi="Arial"/>
                <w:sz w:val="14"/>
                <w:szCs w:val="14"/>
                <w:b w:val="1"/>
                <w:bCs w:val="1"/>
                <w:color w:val="auto"/>
                <w:w w:val="88"/>
              </w:rPr>
              <w:t>incorporation or organization)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366"/>
        </w:trPr>
        <w:tc>
          <w:tcPr>
            <w:tcW w:w="6140" w:type="dxa"/>
            <w:vAlign w:val="bottom"/>
            <w:gridSpan w:val="3"/>
          </w:tcPr>
          <w:p>
            <w:pPr>
              <w:jc w:val="center"/>
              <w:ind w:left="1265"/>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1080" w:type="dxa"/>
            <w:vAlign w:val="bottom"/>
          </w:tcPr>
          <w:p>
            <w:pPr>
              <w:spacing w:after="0"/>
              <w:rPr>
                <w:sz w:val="24"/>
                <w:szCs w:val="24"/>
                <w:color w:val="auto"/>
              </w:rPr>
            </w:pPr>
          </w:p>
        </w:tc>
      </w:tr>
      <w:tr>
        <w:trPr>
          <w:trHeight w:val="174"/>
        </w:trPr>
        <w:tc>
          <w:tcPr>
            <w:tcW w:w="6140" w:type="dxa"/>
            <w:vAlign w:val="bottom"/>
            <w:gridSpan w:val="3"/>
          </w:tcPr>
          <w:p>
            <w:pPr>
              <w:jc w:val="center"/>
              <w:ind w:left="124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080" w:type="dxa"/>
            <w:vAlign w:val="bottom"/>
          </w:tcPr>
          <w:p>
            <w:pPr>
              <w:spacing w:after="0"/>
              <w:rPr>
                <w:sz w:val="15"/>
                <w:szCs w:val="15"/>
                <w:color w:val="auto"/>
              </w:rPr>
            </w:pPr>
          </w:p>
        </w:tc>
      </w:tr>
      <w:tr>
        <w:trPr>
          <w:trHeight w:val="352"/>
        </w:trPr>
        <w:tc>
          <w:tcPr>
            <w:tcW w:w="4920" w:type="dxa"/>
            <w:vAlign w:val="bottom"/>
            <w:gridSpan w:val="2"/>
          </w:tcPr>
          <w:p>
            <w:pPr>
              <w:jc w:val="center"/>
              <w:ind w:left="2465"/>
              <w:spacing w:after="0"/>
              <w:rPr>
                <w:sz w:val="20"/>
                <w:szCs w:val="20"/>
                <w:color w:val="auto"/>
              </w:rPr>
            </w:pPr>
            <w:r>
              <w:rPr>
                <w:rFonts w:ascii="Arial" w:cs="Arial" w:eastAsia="Arial" w:hAnsi="Arial"/>
                <w:sz w:val="18"/>
                <w:szCs w:val="18"/>
                <w:b w:val="1"/>
                <w:bCs w:val="1"/>
                <w:color w:val="auto"/>
                <w:w w:val="89"/>
              </w:rPr>
              <w:t>(702) 770-7555</w:t>
            </w: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4"/>
        </w:trPr>
        <w:tc>
          <w:tcPr>
            <w:tcW w:w="6140" w:type="dxa"/>
            <w:vAlign w:val="bottom"/>
            <w:gridSpan w:val="3"/>
          </w:tcPr>
          <w:p>
            <w:pPr>
              <w:jc w:val="center"/>
              <w:ind w:left="124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080" w:type="dxa"/>
            <w:vAlign w:val="bottom"/>
          </w:tcPr>
          <w:p>
            <w:pPr>
              <w:spacing w:after="0"/>
              <w:rPr>
                <w:sz w:val="15"/>
                <w:szCs w:val="15"/>
                <w:color w:val="auto"/>
              </w:rPr>
            </w:pPr>
          </w:p>
        </w:tc>
      </w:tr>
      <w:tr>
        <w:trPr>
          <w:trHeight w:val="271"/>
        </w:trPr>
        <w:tc>
          <w:tcPr>
            <w:tcW w:w="254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359"/>
        </w:trPr>
        <w:tc>
          <w:tcPr>
            <w:tcW w:w="2540" w:type="dxa"/>
            <w:vAlign w:val="bottom"/>
          </w:tcPr>
          <w:p>
            <w:pPr>
              <w:spacing w:after="0"/>
              <w:rPr>
                <w:sz w:val="24"/>
                <w:szCs w:val="24"/>
                <w:color w:val="auto"/>
              </w:rPr>
            </w:pPr>
          </w:p>
        </w:tc>
        <w:tc>
          <w:tcPr>
            <w:tcW w:w="360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6"/>
              </w:rPr>
              <w:t>N/A</w:t>
            </w:r>
          </w:p>
        </w:tc>
        <w:tc>
          <w:tcPr>
            <w:tcW w:w="1080" w:type="dxa"/>
            <w:vAlign w:val="bottom"/>
          </w:tcPr>
          <w:p>
            <w:pPr>
              <w:spacing w:after="0"/>
              <w:rPr>
                <w:sz w:val="24"/>
                <w:szCs w:val="24"/>
                <w:color w:val="auto"/>
              </w:rPr>
            </w:pPr>
          </w:p>
        </w:tc>
      </w:tr>
      <w:tr>
        <w:trPr>
          <w:trHeight w:val="174"/>
        </w:trPr>
        <w:tc>
          <w:tcPr>
            <w:tcW w:w="6140" w:type="dxa"/>
            <w:vAlign w:val="bottom"/>
            <w:gridSpan w:val="3"/>
          </w:tcPr>
          <w:p>
            <w:pPr>
              <w:jc w:val="center"/>
              <w:ind w:left="124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0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ind w:left="460"/>
        <w:spacing w:after="0" w:line="207" w:lineRule="exact"/>
        <w:tabs>
          <w:tab w:leader="none" w:pos="2440" w:val="left"/>
          <w:tab w:leader="none" w:pos="4080" w:val="left"/>
          <w:tab w:leader="none" w:pos="60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Wynn Resorts Holdings, LLC owns all of the membership interests of the Registrant as of November 9, 2012.</w:t>
      </w:r>
    </w:p>
    <w:p>
      <w:pPr>
        <w:spacing w:after="0" w:line="171" w:lineRule="exact"/>
        <w:rPr>
          <w:sz w:val="24"/>
          <w:szCs w:val="24"/>
          <w:color w:val="auto"/>
        </w:rPr>
      </w:pPr>
    </w:p>
    <w:p>
      <w:pPr>
        <w:ind w:right="520" w:firstLine="456"/>
        <w:spacing w:after="0" w:line="268" w:lineRule="auto"/>
        <w:rPr>
          <w:sz w:val="20"/>
          <w:szCs w:val="20"/>
          <w:color w:val="auto"/>
        </w:rPr>
      </w:pPr>
      <w:r>
        <w:rPr>
          <w:rFonts w:ascii="Arial" w:cs="Arial" w:eastAsia="Arial" w:hAnsi="Arial"/>
          <w:sz w:val="18"/>
          <w:szCs w:val="18"/>
          <w:color w:val="auto"/>
        </w:rPr>
        <w:t>The Registrant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Borders>
              <w:bottom w:val="single" w:sz="8" w:color="0000EE"/>
            </w:tcBorders>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1680" w:type="dxa"/>
            <w:vAlign w:val="bottom"/>
            <w:tcBorders>
              <w:bottom w:val="single" w:sz="8" w:color="0000EE"/>
            </w:tcBorders>
            <w:gridSpan w:val="8"/>
          </w:tcPr>
          <w:p>
            <w:pPr>
              <w:ind w:left="20"/>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Financial Information</w:t>
              </w:r>
            </w:hyperlink>
          </w:p>
        </w:tc>
        <w:tc>
          <w:tcPr>
            <w:tcW w:w="8520" w:type="dxa"/>
            <w:vAlign w:val="bottom"/>
            <w:gridSpan w:val="10"/>
          </w:tcPr>
          <w:p>
            <w:pPr>
              <w:spacing w:after="0"/>
              <w:rPr>
                <w:sz w:val="17"/>
                <w:szCs w:val="17"/>
                <w:color w:val="auto"/>
              </w:rPr>
            </w:pPr>
          </w:p>
        </w:tc>
        <w:tc>
          <w:tcPr>
            <w:tcW w:w="460" w:type="dxa"/>
            <w:vAlign w:val="bottom"/>
          </w:tcPr>
          <w:p>
            <w:pPr>
              <w:spacing w:after="0"/>
              <w:rPr>
                <w:sz w:val="17"/>
                <w:szCs w:val="17"/>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bottom w:val="single" w:sz="8" w:color="0000EE"/>
            </w:tcBorders>
            <w:gridSpan w:val="7"/>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Financial Statements</w:t>
              </w:r>
            </w:hyperlink>
          </w:p>
        </w:tc>
        <w:tc>
          <w:tcPr>
            <w:tcW w:w="838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r>
      <w:tr>
        <w:trPr>
          <w:trHeight w:val="304"/>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 – September 30, 2012 and December 31, 2011</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Loss (unaudited) – Three and nine months ended September 30,</w:t>
              </w:r>
            </w:hyperlink>
          </w:p>
        </w:tc>
        <w:tc>
          <w:tcPr>
            <w:tcW w:w="4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9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2012 and 2011</w:t>
              </w:r>
            </w:hyperlink>
          </w:p>
        </w:tc>
        <w:tc>
          <w:tcPr>
            <w:tcW w:w="30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(unaudited) – Nine months ended September 30, 2012 and 2011</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 (unaudited)</w:t>
              </w:r>
            </w:hyperlink>
          </w:p>
        </w:tc>
        <w:tc>
          <w:tcPr>
            <w:tcW w:w="3440" w:type="dxa"/>
            <w:vAlign w:val="bottom"/>
            <w:tcBorders>
              <w:top w:val="single" w:sz="8" w:color="0000EE"/>
            </w:tcBorders>
            <w:gridSpan w:val="3"/>
          </w:tcPr>
          <w:p>
            <w:pPr>
              <w:spacing w:after="0"/>
              <w:rPr>
                <w:sz w:val="24"/>
                <w:szCs w:val="24"/>
                <w:color w:val="auto"/>
              </w:rPr>
            </w:pPr>
          </w:p>
        </w:tc>
        <w:tc>
          <w:tcPr>
            <w:tcW w:w="166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gridSpan w:val="1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56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Borders>
              <w:bottom w:val="single" w:sz="8" w:color="0000EE"/>
            </w:tcBorders>
            <w:gridSpan w:val="8"/>
          </w:tcPr>
          <w:p>
            <w:pPr>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Controls and Procedures</w:t>
              </w:r>
            </w:hyperlink>
          </w:p>
        </w:tc>
        <w:tc>
          <w:tcPr>
            <w:tcW w:w="812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660" w:type="dxa"/>
            <w:vAlign w:val="bottom"/>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w:t>
              </w:r>
            </w:hyperlink>
          </w:p>
        </w:tc>
        <w:tc>
          <w:tcPr>
            <w:tcW w:w="20" w:type="dxa"/>
            <w:vAlign w:val="bottom"/>
          </w:tcPr>
          <w:p>
            <w:pPr>
              <w:spacing w:after="0"/>
              <w:rPr>
                <w:sz w:val="24"/>
                <w:szCs w:val="24"/>
                <w:color w:val="auto"/>
              </w:rPr>
            </w:pPr>
          </w:p>
        </w:tc>
        <w:tc>
          <w:tcPr>
            <w:tcW w:w="10180" w:type="dxa"/>
            <w:vAlign w:val="bottom"/>
            <w:gridSpan w:val="17"/>
          </w:tcPr>
          <w:p>
            <w:pPr>
              <w:ind w:left="60"/>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Other Information</w:t>
              </w:r>
            </w:hyperlink>
          </w:p>
        </w:tc>
        <w:tc>
          <w:tcPr>
            <w:tcW w:w="460" w:type="dxa"/>
            <w:vAlign w:val="bottom"/>
          </w:tcPr>
          <w:p>
            <w:pPr>
              <w:spacing w:after="0"/>
              <w:rPr>
                <w:sz w:val="24"/>
                <w:szCs w:val="24"/>
                <w:color w:val="auto"/>
              </w:rPr>
            </w:pPr>
          </w:p>
        </w:tc>
      </w:tr>
      <w:tr>
        <w:trPr>
          <w:trHeight w:val="304"/>
        </w:trPr>
        <w:tc>
          <w:tcPr>
            <w:tcW w:w="66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5"/>
              </w:rPr>
              <w:t>Item 1A.</w:t>
            </w: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28">
              <w:r>
                <w:rPr>
                  <w:rFonts w:ascii="Arial" w:cs="Arial" w:eastAsia="Arial" w:hAnsi="Arial"/>
                  <w:sz w:val="18"/>
                  <w:szCs w:val="18"/>
                  <w:color w:val="0000EE"/>
                  <w:w w:val="85"/>
                </w:rPr>
                <w:t>Risk Factors</w:t>
              </w:r>
            </w:hyperlink>
          </w:p>
        </w:tc>
        <w:tc>
          <w:tcPr>
            <w:tcW w:w="240" w:type="dxa"/>
            <w:vAlign w:val="bottom"/>
            <w:tcBorders>
              <w:top w:val="single" w:sz="8" w:color="0000EE"/>
            </w:tcBorders>
          </w:tcPr>
          <w:p>
            <w:pPr>
              <w:spacing w:after="0"/>
              <w:rPr>
                <w:sz w:val="24"/>
                <w:szCs w:val="24"/>
                <w:color w:val="auto"/>
              </w:rPr>
            </w:pPr>
          </w:p>
        </w:tc>
        <w:tc>
          <w:tcPr>
            <w:tcW w:w="8720" w:type="dxa"/>
            <w:vAlign w:val="bottom"/>
            <w:gridSpan w:val="1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Borders>
              <w:top w:val="single" w:sz="8" w:color="0000EE"/>
            </w:tcBorders>
            <w:gridSpan w:val="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562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020" w:type="dxa"/>
            <w:vAlign w:val="bottom"/>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w:t>
              </w:r>
            </w:hyperlink>
          </w:p>
        </w:tc>
        <w:tc>
          <w:tcPr>
            <w:tcW w:w="580" w:type="dxa"/>
            <w:vAlign w:val="bottom"/>
            <w:tcBorders>
              <w:top w:val="single" w:sz="8" w:color="0000EE"/>
            </w:tcBorders>
            <w:gridSpan w:val="2"/>
          </w:tcPr>
          <w:p>
            <w:pPr>
              <w:spacing w:after="0"/>
              <w:rPr>
                <w:sz w:val="24"/>
                <w:szCs w:val="24"/>
                <w:color w:val="auto"/>
              </w:rPr>
            </w:pPr>
          </w:p>
        </w:tc>
        <w:tc>
          <w:tcPr>
            <w:tcW w:w="9260" w:type="dxa"/>
            <w:vAlign w:val="bottom"/>
            <w:gridSpan w:val="1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83"/>
        </w:trPr>
        <w:tc>
          <w:tcPr>
            <w:tcW w:w="6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620" w:type="dxa"/>
            <w:vAlign w:val="bottom"/>
            <w:gridSpan w:val="13"/>
          </w:tcPr>
          <w:p>
            <w:pPr>
              <w:jc w:val="right"/>
              <w:ind w:right="1540"/>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shd w:val="clear" w:color="auto" w:fill="CCEEFF"/>
          </w:tcPr>
          <w:p>
            <w:pPr>
              <w:ind w:left="384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90,522</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141,327</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140,229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296,146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3,264,550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3,529,376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41,928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3,637,308</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4,035,398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254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1,400</w:t>
            </w: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43,890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14,856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79,298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104,204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28,403</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284,799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392,927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3,125,415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2,507,921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140,489</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124,027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3,551,544</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3,025,091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92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1,191,090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1,980,861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(1,105,326)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(970,554)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85,764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1,010,307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3,637,308</w:t>
            </w:r>
          </w:p>
        </w:tc>
        <w:tc>
          <w:tcPr>
            <w:tcW w:w="3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4,035,398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Casino</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155,555</w:t>
            </w:r>
          </w:p>
        </w:tc>
        <w:tc>
          <w:tcPr>
            <w:tcW w:w="3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126,915</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411,820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479,430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90,980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274,523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132,593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119,342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379,912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169,217</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435,695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393,166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1,235,472</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1,270,912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(47,599)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(45,912)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(138,512)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(137,607)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388,096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347,254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1,096,960</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1,133,305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Casino</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77,047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70,960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223,303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225,144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93,349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75,956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68,455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220,980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107,047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59,685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57,625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173,191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5,209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16,462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66,545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188,613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198,594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27,590</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375,782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347,669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1,060,682</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1,035,937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12,314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(415)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36,278</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(50,343)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(167,491)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(6,790)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(58,456)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(49,094)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(171,050)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(147,960)</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(46,142)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(49,509)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(134,772)</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(50,592)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(46,142)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(49,509)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(134,772)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(134,772)</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 (50,592)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188,613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198,594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9,646</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10,301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26,125</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9,305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(2,260)</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(13,639)</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7,662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(3,251)</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4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103,921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(32,134)</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Deposits and purchase of other assets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(2,303)</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(29,548)</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(41,036)</w:t>
            </w:r>
          </w:p>
        </w:tc>
        <w:tc>
          <w:tcPr>
            <w:tcW w:w="0" w:type="dxa"/>
            <w:vAlign w:val="bottom"/>
          </w:tcPr>
          <w:p>
            <w:pPr>
              <w:spacing w:after="0"/>
              <w:rPr>
                <w:sz w:val="1"/>
                <w:szCs w:val="1"/>
                <w:color w:val="auto"/>
              </w:rPr>
            </w:pPr>
          </w:p>
        </w:tc>
      </w:tr>
      <w:tr>
        <w:trPr>
          <w:trHeight w:val="222"/>
        </w:trPr>
        <w:tc>
          <w:tcPr>
            <w:tcW w:w="94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900,000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(371,567)</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(25,123)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 to parent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(700,025)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Interest rate swap settlement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(2,368)</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financing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(11,290)</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(185,250)</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(25,181)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(110,877)</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104,415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201,399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90,522</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expanded Wynn Las Vegas with the opening of Encore at Wynn Las Vegas (“Encore”).</w:t>
      </w:r>
    </w:p>
    <w:p>
      <w:pPr>
        <w:spacing w:after="0" w:line="11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September 30, 2012,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The Company’s investment in the 50%-owned joint venture operating the Ferrari and Maserati automobile dealership inside Wynn Las Vegas is accounted for under the equity method. All significant intercompany accounts and transactions have been eliminated. Certain amounts in the condensed consolidated financial statements for the previous periods have been reclassified to be consistent with the current period presentation. These reclassifications had no effect on the previously reported net loss.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2012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2011.</w:t>
      </w:r>
    </w:p>
    <w:p>
      <w:pPr>
        <w:spacing w:after="0" w:line="193" w:lineRule="exact"/>
        <w:rPr>
          <w:sz w:val="20"/>
          <w:szCs w:val="20"/>
          <w:color w:val="auto"/>
        </w:rPr>
      </w:pPr>
    </w:p>
    <w:p>
      <w:pPr>
        <w:ind w:left="240" w:right="7920" w:hanging="232"/>
        <w:spacing w:after="0" w:line="347"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Cash and Cash Equivalents</w:t>
      </w:r>
    </w:p>
    <w:p>
      <w:pPr>
        <w:spacing w:after="0" w:line="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September 30, 2012 and December 31, 2011, approximately 72% and 75% respectively, of the Company’s markers were due from customers residing in foreign countries, primarily in Asia. Business or economic conditions or other significant events in these countries could affect the collectibility of such receivables.</w:t>
      </w:r>
    </w:p>
    <w:p>
      <w:pPr>
        <w:spacing w:after="0" w:line="113"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 In June 2012, the Company recorded an adjustment to its reserve estimates for casino accounts receivable based on the results of historical collection patterns and current collection trends. For the nine months ended September 30, 2012, this adjustment benefitted operating income and net loss by $9.6 million.</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retail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deferred revenues until services are provided to the customer.</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recorded as a reduction of revenue. Consequently, the Company’s casino revenues are reduced by discounts and points earned in the players club loyalty program.</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c>
          <w:tcPr>
            <w:tcW w:w="420" w:type="dxa"/>
            <w:vAlign w:val="bottom"/>
          </w:tcPr>
          <w:p>
            <w:pPr>
              <w:spacing w:after="0"/>
              <w:rPr>
                <w:sz w:val="12"/>
                <w:szCs w:val="12"/>
                <w:color w:val="auto"/>
              </w:rPr>
            </w:pPr>
          </w:p>
        </w:tc>
        <w:tc>
          <w:tcPr>
            <w:tcW w:w="58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2012</w:t>
            </w:r>
          </w:p>
        </w:tc>
        <w:tc>
          <w:tcPr>
            <w:tcW w:w="10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Rooms</w:t>
            </w:r>
          </w:p>
        </w:tc>
        <w:tc>
          <w:tcPr>
            <w:tcW w:w="3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$27,278</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$27,570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Food and beverage</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14,370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14,505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43,559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3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20" w:type="dxa"/>
            <w:vAlign w:val="bottom"/>
          </w:tcPr>
          <w:p>
            <w:pPr>
              <w:spacing w:after="0"/>
              <w:rPr>
                <w:sz w:val="19"/>
                <w:szCs w:val="19"/>
                <w:color w:val="auto"/>
              </w:rPr>
            </w:pPr>
          </w:p>
        </w:tc>
        <w:tc>
          <w:tcPr>
            <w:tcW w:w="3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27,648</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27,237</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81,021</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820" w:type="dxa"/>
            <w:vAlign w:val="bottom"/>
            <w:vMerge w:val="restart"/>
          </w:tcPr>
          <w:p>
            <w:pPr>
              <w:jc w:val="right"/>
              <w:ind w:right="189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is subject to taxes based on gross gaming revenues, subject to applicable adjustments. These gaming taxes are an assessment on the Company’s gaming revenues and are recorded as an expense within the “Casino” line item in the accompanying Condensed Consolidated Statements of Operations and Comprehensive Loss. These taxes totaled $10.9 million and $8.9 million for the three months ended September 30, 2012 and 2011, respectively. For the nine months ended September 30, 2012 and 2011, these taxes totaled $29.3 million and $34.1 million,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and such costs are primarily included in general and administrative expenses. Advertising costs totaled $4.6 million for both of the quarters ended September 30, 2012 and 2011. Advertising costs totaled $14.3 million and $10.8 million, for the nine months ended September 30, 2012 and 2011,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accounts for stock-based compensation related to equity shares of Wynn Resorts granted to its employees by recognizing the costs of the employee services received in exchange for the equity award instrument based on the grant date fair value of the awards over the service period. For the nine months ended September 30, 2012 and 2011, the Company recorded $4.2 million and $6 million, respectively, in share based compensation with a corresponding credit to contributed capital.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July 2012, the Financial Accounting Standards Board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the annual, and interim impairment tests performed for years beginning after September 15, 2012. This update is not expected to have a material impact on the Company’s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Interest paid for the nine months ended September 30, 2012 and 2011 totaled $168.6 million and $157.5 million, respectively. There was no interest capitalized during the nine months ended September 30, 2012 or 2011.</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the nine months ended September 30, 2012 and 2011, capital expenditures include a decrease of $5.5 million and $7.5 million respectively, in construction payables and retention recorded through amounts due to affiliates.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September 18, 2012, Wynn Las Vegas distributed to Wynn Resorts, Limited, the Wynn Las Vegas golf course and the related water rights valued at $94 million.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September 30,</w:t>
            </w:r>
          </w:p>
        </w:tc>
        <w:tc>
          <w:tcPr>
            <w:tcW w:w="10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87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161,974</w:t>
            </w:r>
          </w:p>
        </w:tc>
        <w:tc>
          <w:tcPr>
            <w:tcW w:w="46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Hotel</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14,232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23,362</w:t>
            </w:r>
          </w:p>
        </w:tc>
        <w:tc>
          <w:tcPr>
            <w:tcW w:w="460" w:type="dxa"/>
            <w:vAlign w:val="bottom"/>
            <w:tcBorders>
              <w:lef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199,568</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197,006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(58,241)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(56,777)</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141,327</w:t>
            </w:r>
          </w:p>
        </w:tc>
        <w:tc>
          <w:tcPr>
            <w:tcW w:w="460" w:type="dxa"/>
            <w:vAlign w:val="bottom"/>
          </w:tcPr>
          <w:p>
            <w:pPr>
              <w:spacing w:after="0"/>
              <w:rPr>
                <w:sz w:val="19"/>
                <w:szCs w:val="19"/>
                <w:color w:val="auto"/>
              </w:rPr>
            </w:pPr>
          </w:p>
        </w:tc>
        <w:tc>
          <w:tcPr>
            <w:tcW w:w="180" w:type="dxa"/>
            <w:vAlign w:val="bottom"/>
            <w:gridSpan w:val="2"/>
          </w:tcPr>
          <w:p>
            <w:pPr>
              <w:jc w:val="right"/>
              <w:ind w:right="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140,229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780" w:type="dxa"/>
            <w:vAlign w:val="bottom"/>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24"/>
                <w:szCs w:val="24"/>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87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2012</w:t>
            </w: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and improvements</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622,931</w:t>
            </w:r>
          </w:p>
        </w:tc>
        <w:tc>
          <w:tcPr>
            <w:tcW w:w="4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2,623,101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2,617,523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44,364</w:t>
            </w:r>
          </w:p>
        </w:tc>
        <w:tc>
          <w:tcPr>
            <w:tcW w:w="4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44,364</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1,328,758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1,350,525</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4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4,623,800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4,735,936</w:t>
            </w:r>
          </w:p>
        </w:tc>
        <w:tc>
          <w:tcPr>
            <w:tcW w:w="0" w:type="dxa"/>
            <w:vAlign w:val="bottom"/>
          </w:tcPr>
          <w:p>
            <w:pPr>
              <w:spacing w:after="0"/>
              <w:rPr>
                <w:sz w:val="1"/>
                <w:szCs w:val="1"/>
                <w:color w:val="auto"/>
              </w:rPr>
            </w:pPr>
          </w:p>
        </w:tc>
      </w:tr>
      <w:tr>
        <w:trPr>
          <w:trHeight w:val="218"/>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(1,359,250)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(1,206,560)</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$ 3,264,550</w:t>
            </w:r>
          </w:p>
        </w:tc>
        <w:tc>
          <w:tcPr>
            <w:tcW w:w="460" w:type="dxa"/>
            <w:vAlign w:val="bottom"/>
          </w:tcPr>
          <w:p>
            <w:pPr>
              <w:spacing w:after="0"/>
              <w:rPr>
                <w:sz w:val="19"/>
                <w:szCs w:val="19"/>
                <w:color w:val="auto"/>
              </w:rPr>
            </w:pPr>
          </w:p>
        </w:tc>
        <w:tc>
          <w:tcPr>
            <w:tcW w:w="1060" w:type="dxa"/>
            <w:vAlign w:val="bottom"/>
            <w:gridSpan w:val="5"/>
          </w:tcPr>
          <w:p>
            <w:pPr>
              <w:jc w:val="right"/>
              <w:ind w:right="100"/>
              <w:spacing w:after="0"/>
              <w:rPr>
                <w:sz w:val="20"/>
                <w:szCs w:val="20"/>
                <w:color w:val="auto"/>
              </w:rPr>
            </w:pPr>
            <w:r>
              <w:rPr>
                <w:rFonts w:ascii="Arial" w:cs="Arial" w:eastAsia="Arial" w:hAnsi="Arial"/>
                <w:sz w:val="18"/>
                <w:szCs w:val="18"/>
                <w:color w:val="auto"/>
                <w:w w:val="98"/>
              </w:rPr>
              <w:t>$ 3,529,376</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6. Long-Term Debt</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780" w:type="dxa"/>
            <w:vAlign w:val="bottom"/>
          </w:tcPr>
          <w:p>
            <w:pPr>
              <w:ind w:left="460"/>
              <w:spacing w:after="0"/>
              <w:rPr>
                <w:sz w:val="20"/>
                <w:szCs w:val="20"/>
                <w:color w:val="auto"/>
              </w:rPr>
            </w:pPr>
            <w:r>
              <w:rPr>
                <w:rFonts w:ascii="Arial" w:cs="Arial" w:eastAsia="Arial" w:hAnsi="Arial"/>
                <w:sz w:val="18"/>
                <w:szCs w:val="18"/>
                <w:color w:val="auto"/>
              </w:rPr>
              <w:t>Long-term debt consisted of the following (amounts in thousands):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September 30,</w:t>
            </w:r>
          </w:p>
        </w:tc>
        <w:tc>
          <w:tcPr>
            <w:tcW w:w="10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87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78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1"/>
              </w:rPr>
              <w:t xml:space="preserve">7 </w:t>
            </w:r>
            <w:r>
              <w:rPr>
                <w:rFonts w:ascii="Arial" w:cs="Arial" w:eastAsia="Arial" w:hAnsi="Arial"/>
                <w:sz w:val="11"/>
                <w:szCs w:val="11"/>
                <w:color w:val="auto"/>
                <w:w w:val="91"/>
              </w:rPr>
              <w:t>7</w:t>
            </w:r>
            <w:r>
              <w:rPr>
                <w:rFonts w:ascii="Arial" w:cs="Arial" w:eastAsia="Arial" w:hAnsi="Arial"/>
                <w:sz w:val="18"/>
                <w:szCs w:val="18"/>
                <w:color w:val="auto"/>
                <w:w w:val="91"/>
              </w:rPr>
              <w:t>/</w:t>
            </w:r>
            <w:r>
              <w:rPr>
                <w:rFonts w:ascii="Arial" w:cs="Arial" w:eastAsia="Arial" w:hAnsi="Arial"/>
                <w:sz w:val="11"/>
                <w:szCs w:val="11"/>
                <w:color w:val="auto"/>
                <w:w w:val="91"/>
              </w:rPr>
              <w:t>8</w:t>
            </w:r>
            <w:r>
              <w:rPr>
                <w:rFonts w:ascii="Arial" w:cs="Arial" w:eastAsia="Arial" w:hAnsi="Arial"/>
                <w:sz w:val="18"/>
                <w:szCs w:val="18"/>
                <w:color w:val="auto"/>
                <w:w w:val="91"/>
              </w:rPr>
              <w:t>% First Mortgage Notes, due November 1, 2017, net of original issue discount of $7,691 at September 30, 2012 and</w:t>
            </w:r>
          </w:p>
        </w:tc>
        <w:tc>
          <w:tcPr>
            <w:tcW w:w="2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6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$8,578 at December 31, 2011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492,309</w:t>
            </w:r>
          </w:p>
        </w:tc>
        <w:tc>
          <w:tcPr>
            <w:tcW w:w="460" w:type="dxa"/>
            <w:vAlign w:val="bottom"/>
            <w:tcBorders>
              <w:left w:val="single" w:sz="8" w:color="CCEEFF"/>
            </w:tcBorders>
            <w:shd w:val="clear" w:color="auto" w:fill="CCEEFF"/>
          </w:tcPr>
          <w:p>
            <w:pPr>
              <w:spacing w:after="0"/>
              <w:rPr>
                <w:sz w:val="19"/>
                <w:szCs w:val="19"/>
                <w:color w:val="auto"/>
              </w:rPr>
            </w:pPr>
          </w:p>
        </w:tc>
        <w:tc>
          <w:tcPr>
            <w:tcW w:w="1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780" w:type="dxa"/>
            <w:vAlign w:val="bottom"/>
          </w:tcPr>
          <w:p>
            <w:pPr>
              <w:spacing w:after="0"/>
              <w:rPr>
                <w:sz w:val="20"/>
                <w:szCs w:val="20"/>
                <w:color w:val="auto"/>
              </w:rPr>
            </w:pPr>
            <w:r>
              <w:rPr>
                <w:rFonts w:ascii="Arial" w:cs="Arial" w:eastAsia="Arial" w:hAnsi="Arial"/>
                <w:sz w:val="18"/>
                <w:szCs w:val="18"/>
                <w:color w:val="auto"/>
                <w:w w:val="90"/>
              </w:rPr>
              <w:t xml:space="preserve">7 </w:t>
            </w:r>
            <w:r>
              <w:rPr>
                <w:rFonts w:ascii="Arial" w:cs="Arial" w:eastAsia="Arial" w:hAnsi="Arial"/>
                <w:sz w:val="11"/>
                <w:szCs w:val="11"/>
                <w:color w:val="auto"/>
                <w:w w:val="90"/>
              </w:rPr>
              <w:t>7</w:t>
            </w:r>
            <w:r>
              <w:rPr>
                <w:rFonts w:ascii="Arial" w:cs="Arial" w:eastAsia="Arial" w:hAnsi="Arial"/>
                <w:sz w:val="18"/>
                <w:szCs w:val="18"/>
                <w:color w:val="auto"/>
                <w:w w:val="90"/>
              </w:rPr>
              <w:t>/</w:t>
            </w:r>
            <w:r>
              <w:rPr>
                <w:rFonts w:ascii="Arial" w:cs="Arial" w:eastAsia="Arial" w:hAnsi="Arial"/>
                <w:sz w:val="11"/>
                <w:szCs w:val="11"/>
                <w:color w:val="auto"/>
                <w:w w:val="90"/>
              </w:rPr>
              <w:t>8</w:t>
            </w:r>
            <w:r>
              <w:rPr>
                <w:rFonts w:ascii="Arial" w:cs="Arial" w:eastAsia="Arial" w:hAnsi="Arial"/>
                <w:sz w:val="18"/>
                <w:szCs w:val="18"/>
                <w:color w:val="auto"/>
                <w:w w:val="90"/>
              </w:rPr>
              <w:t>% First Mortgage Notes, due May 1, 2020, net of original issue discount of $2,154 at September 30, 2012 and $2,303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80" w:type="dxa"/>
            <w:vAlign w:val="bottom"/>
          </w:tcPr>
          <w:p>
            <w:pPr>
              <w:ind w:left="220"/>
              <w:spacing w:after="0"/>
              <w:rPr>
                <w:sz w:val="20"/>
                <w:szCs w:val="20"/>
                <w:color w:val="auto"/>
              </w:rPr>
            </w:pPr>
            <w:r>
              <w:rPr>
                <w:rFonts w:ascii="Arial" w:cs="Arial" w:eastAsia="Arial" w:hAnsi="Arial"/>
                <w:sz w:val="18"/>
                <w:szCs w:val="18"/>
                <w:color w:val="auto"/>
              </w:rPr>
              <w:t>at December 31, 2011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349,856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349,707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First Mortgage Notes, due August 15, 2020</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1,320,000</w:t>
            </w:r>
          </w:p>
        </w:tc>
        <w:tc>
          <w:tcPr>
            <w:tcW w:w="4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March 15, 2022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900,000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Revolving Credit Facility, due July 17, 2015; interest at LIBOR plus 3.0%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Term Loan Facility, due August 15, 2013; interest at LIBOR plus 1.875%</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Term Loan Facility, due August 17, 2015; interest at LIBOR plus 3.0%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330,605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34,650</w:t>
            </w:r>
          </w:p>
        </w:tc>
        <w:tc>
          <w:tcPr>
            <w:tcW w:w="4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Payable to Affiliate</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3,126,815</w:t>
            </w:r>
          </w:p>
        </w:tc>
        <w:tc>
          <w:tcPr>
            <w:tcW w:w="4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2,597,346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(89,425)</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3,125,415</w:t>
            </w:r>
          </w:p>
        </w:tc>
        <w:tc>
          <w:tcPr>
            <w:tcW w:w="46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2,507,921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vMerge w:val="restart"/>
          </w:tcPr>
          <w:p>
            <w:pPr>
              <w:ind w:left="568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5 </w:t>
      </w:r>
      <w:r>
        <w:rPr>
          <w:rFonts w:ascii="Arial" w:cs="Arial" w:eastAsia="Arial" w:hAnsi="Arial"/>
          <w:sz w:val="11"/>
          <w:szCs w:val="11"/>
          <w:i w:val="1"/>
          <w:iCs w:val="1"/>
          <w:color w:val="auto"/>
        </w:rPr>
        <w:t>3</w:t>
      </w:r>
      <w:r>
        <w:rPr>
          <w:rFonts w:ascii="Arial" w:cs="Arial" w:eastAsia="Arial" w:hAnsi="Arial"/>
          <w:sz w:val="18"/>
          <w:szCs w:val="18"/>
          <w:i w:val="1"/>
          <w:iCs w:val="1"/>
          <w:color w:val="auto"/>
        </w:rPr>
        <w:t>/</w:t>
      </w:r>
      <w:r>
        <w:rPr>
          <w:rFonts w:ascii="Arial" w:cs="Arial" w:eastAsia="Arial" w:hAnsi="Arial"/>
          <w:sz w:val="11"/>
          <w:szCs w:val="11"/>
          <w:i w:val="1"/>
          <w:iCs w:val="1"/>
          <w:color w:val="auto"/>
        </w:rPr>
        <w:t>8</w:t>
      </w:r>
      <w:r>
        <w:rPr>
          <w:rFonts w:ascii="Arial" w:cs="Arial" w:eastAsia="Arial" w:hAnsi="Arial"/>
          <w:sz w:val="18"/>
          <w:szCs w:val="18"/>
          <w:i w:val="1"/>
          <w:iCs w:val="1"/>
          <w:color w:val="auto"/>
        </w:rPr>
        <w:t>% Wynn Las Vegas First Mortgage Notes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On March 12, 2012, Wynn Las Vegas, LLC and Wynn Las Vegas Capital Corp. (together the “Issuers”) issued, in a private offering, $900 million aggregate principal amount of 5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First Mortgage Notes due 2022 (the “2022 Notes”) pursuant to an Indenture, dated as of March 12, 2012 (the “2022 Indenture”). A portion of the proceeds were used to repay all amounts outstanding under the Wynn Las Vegas term loan facilities. In October 2012, the Issuers commenced an offer to exchange all of the 2022 Notes for notes registered under the Securities Act of 1933, as amended. The exchange offer closed on November 6, 2012.</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2022 Notes will mature on March 15, 2022 and bear interest at the rate of 5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per annum. The Issuers may redeem all or a portion of the 2022 Notes at any time on or after March 15, 2017, at a premium decreasing ratably to zero, plus accrued and unpaid interest. In addition, prior to March 15, 2015, the Issuers may redeem up to 35% of the aggregate principal amount of the 2022 Notes with the net proceeds of one or more qualified equity contributions made to the Issuers by their parent, Wynn Resorts, Limited. If the Issuers undergo a change of control, they must offer to repurchase the 2022 Notes at 101% of the principal amount, plus accrued and unpaid interest. If the Issuers sell certain assets or suffer an event of loss, and the Issuers do not use the sale or insurance proceeds for specified purposes, they must offer to repurchase the 2022 Notes at 100% of the principal amount, plus accrued and unpaid interest. The 2022 Notes are also subject to mandatory redemption requirements imposed by gaming laws and regulations of gaming authorities in Nevada.</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described in Note 10 of the Condensed Consolidated Financial Statements, Elaine Wynn has submitted a cross claim against Steve Wynn and Kazuo Okada. The indentures for the 2022 Notes and Existing Notes (the “Indentures”) provide that if Steve Wynn, together with certain related parties, in the aggregate beneficially owns a lesser percentage of the outstanding common stock of Wynn Resorts than are beneficially owned by any other person, a change of control will have occurred. If Elaine Wynn prevails in her cross claim, Steve Wynn would not beneficially own or control Elaine Wynn’s shares and a change in control may result under the Company’s debt documents.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2022 Indenture contains covenants limiting the Issuers’ and the Issuers’ restricted subsidiaries’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The 2022 Notes rank pari passu in right of payment with the Issuers’ outstanding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First Mortgage Notes due 2017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First Mortgage Notes due 2020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First Mortgage Notes due 2020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and, together with the 2017 Notes and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2020 Notes, the “Existing Notes”).</w:t>
      </w:r>
    </w:p>
    <w:p>
      <w:pPr>
        <w:spacing w:after="0" w:line="14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On September 17, 2012, the Wynn Las Vegas Credit Agreement was terminated as discussed below, and in accordance with the respective indentures, the liens on the assets of Wynn Las Vegas and its subsidiaries securing, and the subsidiary guarantees of, the 2022 Notes and the Existing Notes were released. The 2022 Notes and the Existing Notes are unsecured, except by a pledge of the equity interests of Wynn Las Vegas, granted by its parent, Wynn Resorts Holdings, LLC, and are not guaranteed by any of the Wynn Las Vegas subsidiaries.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Revolving Credit Facilities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March 12, 2012, Wynn Las Vegas entered into an eighth amendment (“Amendment No. 8”) to its Amended and Restated Credit Agreement, dated as of August 15, 2006 (as amended, the “Wynn Las Vegas Credit Agreement”). Amendment No. 8 amended the Wynn Las Vegas Credit Agreement to, among other things, permit the issuance of the 2022 Notes. Concurrently with the issuance of the 2022 Notes, Wynn Las Vegas, LLC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prepaid all term loans under the Wynn Las Vegas Credit Agreement, terminated all of its revolving credit commitments that were due to expire in 2013, and terminated all but $100 million of its revolving credit commitments expiring in 2015. In connection with this transaction, the Company expensed deferred financing fees of $4.8 million, all related to the Wynn Las Vegas term loan and revolving credit facilities.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September 17, 2012, Wynn Las Vegas terminated the Wynn Las Vegas Credit Agreement. No loans were outstanding under the Wynn Las Vegas Credit Agreement at the time of termination. Prior to such termination, certain letters of credit in which lenders had participated pursuant to the Wynn Las Vegas Credit Agreement were reallocated to a separate, unsecured letter of credit facility provided by Deutsche Bank, A.G. Wynn Las Vegas did not incur any early termination penalties related to the termination.</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connection with the termination, the Company expensed $2 million of previously deferred financing costs and third party fees related to the Wynn Las Vegas Credit Agreement.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2012,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net book value of the Company’s outstanding first mortgage notes was approximately $3.1 billion and $2.2 billion at September 30, 2012 and December 31, 2011, respectively. The estimated fair value of the Company’s outstanding first mortgage notes, based upon the most recent trades (using level 2 inputs), was approximately $3.4 billion and $2.4 billion at September 30, 2012 and December 31, 2011, respectively. The net book value of the Company’s other debt instruments was approximately $34.7 million and $406.2 million at September 30, 2012 and December 31, 2011, respectively. The estimated fair value of the Company’s other debt instruments was approximately $34.7 million and $400 million at September 30, 2012 and December 31, 2011,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Rate Swap</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June 2012, the Company terminated its only outstanding interest rate swap for a payment of $2.4 million. The Company had entered into floating-for-fixed interest rate swap arrangements in order to manage interest rate risk relating to certain of its debt facilities. These interest rate swap agreements modified the Company’s exposure to interest rate risk by converting a portion of the Company’s floating-rate debt to a fixed rate. These interest rate swaps essentially fixed the interest rate at the percentages noted below; however, changes in the fair value of the interest rate swaps for each reporting period have been recorded as an increase (decrease) in swap fair value in the accompanying Condensed Consolidated Statements of Operations and Comprehensive Loss as the interest rate swaps did not qualify for hedge accounting.</w:t>
      </w:r>
    </w:p>
    <w:p>
      <w:pPr>
        <w:spacing w:after="0" w:line="14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measured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Company’s interest rate swap agreement intended to hedge a portion of the underlying interest rate risk on borrowings under the Wynn Las Vegas credit facilities. Under this swap agreement, the Company paid a fixed interest rate of 2.485% on borrowings of $250 million incurred under the Wynn Las Vegas credit facilities in exchange for receipts on the same amount at a variable interest rate based on the applicable LIBOR at the time of payment. This interest rate swap fixed the interest rate on $250 million of borrowings at approximately 5.485%. As of December 31, 2011, the fair value of this interest rate swap was a current liability of $4.6 million.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9060" w:hanging="232"/>
        <w:spacing w:after="0" w:line="417" w:lineRule="auto"/>
        <w:tabs>
          <w:tab w:leader="none" w:pos="187"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of September 30, 2012, the Company’s current due to affiliates was primarily comprised of construction payables of approximately $4.3 million, construction retention of approximately $0.3 million and other net amounts due to affiliates totaling $23.8 million (including corporate allocations discussed below). The long-term due to affiliates is management fees of $140.5 million (equal to 1.5% of net revenues and payable upon meeting certain leverage ratios as specified in the documents governing the Company’s credit facilities and the first mortgage notes indentures).</w:t>
      </w:r>
    </w:p>
    <w:p>
      <w:pPr>
        <w:spacing w:after="0" w:line="113"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As of December 31, 2011, the Company’s current due to affiliates was primarily comprised of construction payables of approximately $8.4 million, construction retention of approximately $1.7 million and other net amounts due to affiliates totaling $31 million (including corporate allocations discussed below). The long-term due to affiliates is management fees of $124 million.</w:t>
      </w:r>
    </w:p>
    <w:p>
      <w:pPr>
        <w:spacing w:after="0" w:line="14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first mortgage notes and the credit facilities.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accompanying Condensed Consolidated Statements of Operations and Comprehensive Loss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The Company settles these corporate allocation charges with Wynn Resorts on a periodic basis as discussed in “Amounts Due to Affiliates, net” above. For the three months ended September 30, 2012 and 2011, $6.6 million and $5.8 million, respectively, were charged to the Company for such corporate allocations. For the nine months ended September 30, 2012 and 2011, $20.4 million and $20.2 million, respectively, were charged to the Company for such corporate allocations.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Due to Officers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including household services, construction work and other personal services. The cost of these services is transferred to Wynn Resorts on a periodic basis. Mr. Wynn and these other officers and directors have amounts on deposit with Wynn Resorts to prepay any such items, which are replenished on an ongoing basis as needed.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suite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suite is treated as imputed income to Mr. Wynn, and is equal to the fair market value of the accommodations provided. Effective March 1, 2010, and for the first two years of the term of the SW Lease, the rental value was $503,831 per year. Effective March 1, 2012, the rental value is $440,000 per year based on the current fair market value as established by the Audit Committee of the Company with the assistance of an independent third-party appraisal. The rental value for the villa suite will be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re-determined every two years during the term of the lease by the Audit Committee, with the assistance of an independent third-party appraisal. Certain services for, and maintenance of, the villa suite, as well as minimal warehouse space are included in the rental.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Charges and Other</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Property charges and other for the three months ended September 30, 2012 and 2011, were $21.7 million and $6.6 million, respectively. Property charges and other for the nine months ended September 30, 2012 and 2011, were $27.6 million and $11.2 million, respectively. Property charges include costs associated with a remodel of a restaurant, termination costs associated with a show which will end its run in November 2012, and miscellaneous renovations and abandonments at our resort.</w:t>
      </w:r>
    </w:p>
    <w:p>
      <w:pPr>
        <w:spacing w:after="0" w:line="218" w:lineRule="exact"/>
        <w:rPr>
          <w:sz w:val="20"/>
          <w:szCs w:val="20"/>
          <w:color w:val="auto"/>
        </w:rPr>
      </w:pPr>
    </w:p>
    <w:p>
      <w:pPr>
        <w:ind w:right="8660" w:firstLine="8"/>
        <w:spacing w:after="0" w:line="347" w:lineRule="auto"/>
        <w:tabs>
          <w:tab w:leader="none" w:pos="263"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Company and its affiliates are involved in litigation in addition to the actions noted below arising in the normal course of business. In the opinion of management, such litigation and claims will not have a material effect on the Company’s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Related to Wynn Resorts, Limited</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 and Related Matters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February 18, 2012, Wynn Resorts’ Gaming Compliance Committee concluded an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Wynn Resorts and Mr. Okada has refused to acknowledge or abide by Wynn Resorts’ anti-bribery policies and has refused to participate in the training all other directors have received concerning these policies.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Based on the Freeh Report, the Board of Directors of Wynn Resorts determined that Aruze USA, Inc., Universal Entertainment Corporation and Mr. Okada are “unsuitable persons” under Article VII of Wynn Resorts’ articles of incorporation. The Board of Directors was unanimous (other than Mr. Okada) in its determination. The Board of Directors also requested that Mr. Okada resign as a director of Wynn Resorts (under Nevada corporation law, a board of directors does not have the power to remove a director) and recommended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that Mr. Okada be removed as a member of the board of directors of Wynn Macau, Limited. In addition, on February 18, 2012, Mr. Okada was removed from the board of directors of Wynn Las Vegas Capital Corp., an indirect wholly owned subsidiary of Wynn Resorts.</w:t>
      </w:r>
    </w:p>
    <w:p>
      <w:pPr>
        <w:spacing w:after="0" w:line="132"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Based on the Board of Directors’ finding of “unsuitability,” on February 18, 2012, Wynn Resorts redeemed and cancelled Aruze USA, Inc.’s 24,549,222 shares of Wynn Resorts’ common stock. Following a finding of “unsuitability,” Article VII of Wynn Resorts’ articles of incorporation authorize redemption at “fair value” of the shares held by unsuitable persons. Wynn Resorts engaged an independent financial advisor to assist in the fair value calculation and concluded that a discount to the then current trading price was appropriate because of, among other things, restrictions on most of the shares held by Aruze USA, Inc. under the terms of the Stockholders Agreement (as defined below). Pursuant to the articles of incorporation, Wynn Resorts issued the Redemption Note to Aruze USA, Inc. in redemption of the shares. The Redemption Note has a principal amount of $1.94 billion, matures on February 18, 2022 and bears interest at the rate of</w:t>
      </w:r>
    </w:p>
    <w:p>
      <w:pPr>
        <w:spacing w:after="0" w:line="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2% per annum, payable annually in arrears on each anniversary of the date of the Redemption Note. Wynn Resorts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 After authorizing the redemption of the Aruze USA, Inc. shares, the Board of Directors took certain actions to protect Wynn Resorts and its operations from any influence of an unsuitable person, including placing limitations on the provision of certain operating information to unsuitable persons, evaluating whether to seek the removal of Mr. Okada from Wynn Resorts’ Board of Directors, and formation of an Executive Committee of the Board to manage the business and affairs of Wynn Resorts during the period between each annual meeting. The Charter of the Executive Committee provides that “Unsuitable Persons” are not permitted to serve on the Committee. All members of the Board, other than Mr. Okada, were appointed to the Executive Committee on February 18, 2012.</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February 19, 2012, Wynn Resorts filed a complaint in the Eighth Judicial District Court, Clark County, Nevada against Mr. Okada, Aruze USA, Inc. and Universal Entertainment Corporation, companies controlled by Mr. Okada (the “Okada Parties”), alleging breaches of fiduciary duty and related claims. Wynn Resorts is seeking compensatory and special damages as well as a declaration that it acted lawfully and in full compliance with its articles of incorporation, bylaws and other governing documents. On March 12, 2012, Aruze USA, Inc. and Universal Entertainment Corporation removed the action to the United States District Court for the District of Nevada. On that same date, Aruze USA, Inc. and Universal Entertainment Corporation filed an answer denying the claims and a counterclaim that purports to assert claims against Wynn Resorts, each of the members of Wynn Resorts’ Board of Directors (other than Mr. Okada) and Wynn Resorts’ General Counsel. Among other relief, the counterclaim seeks a declaration that the redemption of Aruze USA, Inc.’s shares was void, an injunction restoring Aruze USA, Inc.’s share ownership, damages in an unspecified amount and rescission of the Stockholders Agreement. On March 29, 2012, Wynn Resorts filed a motion to remand the action to state court and requested an extension to answer the denial of Wynn Resorts’ claims and the Okada Parties’ counterclaims. The federal district court granted the Wynn Resorts’ motion to remand and awarded Wynn Resorts its related attorneys’ fees. This case is now pending in the state court, which has determined that this action will be coordinated with Mr. Okada’s inspection action (discussed below). The Okada Parties filed a notice of intent to commence a separate federal securities action for the securities counterclaims previously asserted, but have not done so as of the date of this report.</w:t>
      </w:r>
    </w:p>
    <w:p>
      <w:pPr>
        <w:spacing w:after="0" w:line="12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June 19, 2012, Elaine Wynn responded to the Okada Parties’ Counterclaim and asserted a cross claim against Steve Wynn and Kazuo Okada seeking a declaration that (1) any and all of Elaine Wynn’s duties under the January 2010 Stockholders Agreement (the “Stockholders Agreement”) by and among Aruze USA, Inc., Steve Wynn, and Elaine Wynn be discharged; (2) the Stockholders Agreement is subject to rescission and is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rescinded; (3) the Stockholders Agreement is an unreasonable restraint on alienation in violation of public policy; and/or (4) the restrictions on sale of shares shall be construed as inapplicable to Elaine Wynn. Mr. Wynn filed his answer to Elaine Wynn’s cross claim on September 24, 2012. The indentures for the Wynn Las Vegas, LLC 2022 Notes and Existing Notes (the “Indentures”) provide that if Steve Wynn, together with certain related parties, in the aggregate beneficially owns a lesser percentage of the outstanding common stock of Wynn Resorts than are beneficially owned by any other person, a change of control will have occurred. If Elaine Wynn prevails in her cross claim, Steve Wynn would not beneficially own or control Elaine Wynn’s shares and a change in control may result under Wynn Resorts’ debt documents. Under the Indentures, the occurrence of a change of control requires that Wynn Resorts make an offer (unless the notes have been previously called for redemption) to each holder to repurchase all or any part of such holder’s Notes at a purchase price equal to 101% of the aggregate principal amount thereof plus accrued and unpaid interest on the Notes purchased, if any, to the date of repurchase.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the board of directors of Wynn Macau, Limited removed Mr. Kazuo Okada from the board.</w:t>
      </w:r>
    </w:p>
    <w:p>
      <w:pPr>
        <w:spacing w:after="0" w:line="17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Wynn Resorts provided the Freeh Report to appropriate regulators and law enforcement agencies and is cooperating with related investigations that such regulators and agencies have undertaken.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Company property and/or otherwise involved Wynn Resorts in criminal or civil violations could result in actions by regulatory authorities against Wynn Resorts. Relatedly, as described below, the Salt Lake Regional Office of the U.S. Securities and Exchange Commission (“SEC”) has commenced an informal inquiry into, and other regulators could pursue separate investigations into, Wynn Resorts’ compliance with applicable laws arising from the allegations in the matters described above and in response to litigation filed by Mr. Okada suggesting improprieties in connection with Wynn Resorts’ donation to the University of Macau. While Wynn Resorts believes that it is in full compliance with all applicable laws, any such investigations could result in actions by regulators against Wynn Resorts.</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Executive Committee continues to monitor such investigations and may decide at some future point to call a special meeting of stockholders for the purpose of removing Mr. Okada, if it considers such action to be desirable and in the best interests of Wynn Resorts and its stockholders.</w:t>
      </w:r>
    </w:p>
    <w:p>
      <w:pPr>
        <w:spacing w:after="0" w:line="85"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On August 28, 2012, Mr. Okada, Universal Entertainment Corporation and Okada Holdings filed a complaint in Tokyo District Court against Wynn Resorts, all members of the Board (other than Mr. Okada) and Wynn Resorts’ General Counsel, alleging that the press release issued by Wynn Resorts with respect to the redemption has damaged plaintiffs’ social evaluation and credibility. The plaintiffs seek damages and legal fees from the defendants.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August 31, 2012, Wynn Resorts received a letter from Aruze USA, Inc. purportedly notifying Wynn Resorts of its intent to nominate two individuals for election as directors pursuant to Section 2.13 of Wynn Resorts’ Fourth Amended and Restated Bylaws. Section 2.13 provides for nominations by stockholders. As a result of the Board’s determination on February 18, 2012, that all of Mr. Okada, Aruze USA, Inc. and Universal are “unsuitable persons” as defined in the Articles of Incorporation of Wynn Resorts, and the subsequent redemption of all shares previously owned by Aruze USA, Inc., Wynn Resorts believes that Aruze USA, Inc. is not eligible to make such nominations. On October 19, 2012, Aruze USA, Inc. publicly announced that it is terminating its efforts to elect such nominees.</w:t>
      </w:r>
    </w:p>
    <w:p>
      <w:pPr>
        <w:spacing w:after="0" w:line="144"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On August 31, 2012, Aruze USA, Inc. filed a motion for preliminary injunction with the state court in Nevada. The motion sought a preliminary injunction that would prohibit Wynn Resorts from barring or preventing Aruze USA, Inc. from exercising rights as a stockholder and an order that its purported nominees be presented to Wynn Resorts’ stockholders and voted on (including by Aruze USA, Inc. as a stockholder) at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2012 Annual Meeting of Stockholders (scheduled for November 2, 2012). At the conclusion of a hearing held on October 2, 2012, the Nevada state court denied Aruze USA, Inc.’s motion for preliminary injunction. On October 19, 2012, Aruze USA, Inc. filed a notice of appeal with the Nevada Supreme Court. Wynn Resorts intends to vigorously defend against the appeal and to argue that the Nevada Supreme Court should affirm the state court’s decision.</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September 7, 2012, Aruze USA, Inc. and Universal Entertainment Corporation filed a second amended counterclaim in the Nevada state court. Wynn Resorts and the other counter-defendants filed a motion to dismiss that pleading on September 26, 2012. A hearing on the motion is scheduled for November 13, 2012.</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on October 10, 2012, Mr. Okada filed a motion to dismiss the complaint that Wynn Resorts filed in Nevada state court in February 2012. Wynn Resorts filed an amended complaint on October 29, 2012.</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 Commenced by Kazuo Okada and Related Matters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January 11, 2012, Mr. Okada, in his role as a Wynn Resorts’ director, commenced a writ proceeding in the Eighth Judicial District Court, Clark County, Nevada, seeking to compel Wynn Resorts to produce certain books and records relating to a donation to the University of Macau, among other things.</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May 2011, Wynn Macau, a majority owned subsidiary of Wynn Resorts,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Wynn Resorts’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Wynn Resorts and Wynn Macau, Limited and approved by 15 of the 16 directors who serve on those boards. The sole dissenting vote was cast by Mr. Okada whose stated objection was to the length of time over which the donation would occur, not its propriety.</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February 8, 2012, following Mr. Okada’s lawsuit, Wynn Resorts received a letter from the Salt Lake Regional Office of the SEC requesting that, in connection with an informal inquiry by the SEC, Wynn Resorts preserve information relating to the donation to the University of Macau, any donations by Wynn Resorts to any other educational charitable institutions, including the University of Macau Development Foundation, and Wynn Resorts’ casino or concession gaming licenses or renewals in Macau. Wynn Resorts is cooperating with the Salt Lake Regional Office staff.</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a hearing on February 9, 2012, the Nevada state court held that, as a director of Wynn Resorts, Mr. Okada had the right to make a reasonable inspection of Wynn Resorts’ corporate books and records. Following the hearing, Wynn Resorts released certain documents to Mr. Okada for his inspection. At a subsequent hearing on March 8, 2012, the court considered Mr. Okada’s request that Wynn Resorts’ Board of Directors make additional documents available to him, and ruled that Mr. Okada was entitled to inspect two additional pages of documents. Wynn Resorts promptly complied with the court’s ruling.</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25, 2012, Mr. Okada amended his petition to request inspection of additional records. The Nevada state court ordered Mr. Okada to file a supplemental brief addressing how his requests relate to his duties as a director of Wynn Resorts, and Wynn Resorts was to respond by filing a supplemental brief on the reasonableness of Mr. Okada’s requests. After Mr. Okada filed his supplemental brief, Wynn Resorts moved to depose Mr. Okada prior to having to file its supplemental brief. At a hearing on June 28, 2012, the state court ordered Mr. Okada to appear for a deposition in Las Vegas, Nevada, which took place on September 18, 2012. Following Mr. Okada’s deposition, the parties each submitted supplemental briefs. Following a hearing held on October 2, 2012, the court ruled that Mr. Okada is entitled to review certain additional Company documents from the 2000</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to 2002 time period. Wynn Resorts has complied with the court’s ruling. On November 2, 2012, Mr. Okada filed a motion to compel the production of additional documents and to depose a Wynn Resorts representative. A hearing on this motion is scheduled for November 8, 2012.</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Related litigation</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Six derivative actions were commenced against Wynn Resorts and all members of its Board of Directors: four in the United States District Court, District of Nevada, and two in the Eighth Judicial District Court of Clark County, Nevada.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four federal actions brought by the following plaintiffs have been consolidated: (1) The Louisiana Municipal Police Employees’ Retirement System,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Maryanne Solak, (3) Excavators Union Local 731 Welfare Fund, and (4) Boilermakers Lodge No. 154 Retirement Fund (collectively, the “Federal Plaintiffs”).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38" w:lineRule="exact"/>
        <w:rPr>
          <w:sz w:val="20"/>
          <w:szCs w:val="20"/>
          <w:color w:val="auto"/>
        </w:rPr>
      </w:pPr>
    </w:p>
    <w:p>
      <w:pPr>
        <w:ind w:right="40" w:firstLine="8"/>
        <w:spacing w:after="0" w:line="287"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injunctive relief; and (4) unjust enrichment. The claims are against Wynn Resorts and all Wynn Resorts’ directors, including Mr. Okada, however, the plaintiffs voluntarily dismissed Mr. Okada as a defendant in this consolidated action on September 27, 2012. The Federal Plaintiffs claim that the individual defendants breached their fiduciary duties and wasted assets by: (a) failing to ensure Wynn Resorts’ officers and directors complied with federal and state laws and Wynn Resorts Code of Conduct; (b) voting to allow Wynn Resorts’ subsidiary to make the donation to the University of Macau; and (c) redeeming Aruze USA, Inc.’s stock such that Wynn Resorts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October 15, 2012, the Federal Plaintiffs filed an opposition to the motion to dismiss, and the directors filed reply papers on November 5, 2012.</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two state court actions brought by the following plaintiffs have also been consolidated: (1) IBEW Local 98 Pension Fund and (2) Danny Hinson (collectively, the “State Plaintiffs”). Through a coordination of efforts by all parties, the directors and Wynn Resorts (a nominal defendant) have been served in all of the actions.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State Plaintiffs filed a consolidated complaint on July 20, 2012 asserting claims for (1) breach of fiduciary duty; (2) abuse of control; (3) gross mismanagement; and (4) unjust enrichment. The claims are against Wynn Resorts and all Wynn Resorts’ directors, including Mr. Okada, as well as Wynn Resorts’ Chief Financial Officer, who signs financial disclosures filed with the SEC. The State Plaintiffs claim that the individual defendants failed to disclose to Wynn Resorts stockholders the investigation into, and the dispute with director Okada as well as the alleged potential violations of the Foreign Corrupt Practices Act (“FCPA”) related to, the University of Macau Development Foundation donation. The State Plaintiffs seek unspecified monetary damages (compensatory and punitive), disgorgement, reformation of corporate governance procedures, an order directing Wynn Resorts to internally investigate the donation, as well as attorneys’ fees and costs. The parties have entered into a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will not be required to respond to the consolidated complaint while the stay remains in effect. The state court entered the stipulation on October 25, 2012.</w:t>
      </w:r>
    </w:p>
    <w:p>
      <w:pPr>
        <w:spacing w:after="0" w:line="12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consolidated actions are in a preliminary stage and management has determined that based on proceedings to date, it is currently unable to determine the probability of the outcome of this matter or the range of reasonably possible loss, if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Las Vegas, LLC, a Nevada limited liability company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or enforcement actions;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Wynn Las Vegas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cyber security risk including misappropriation of customer information or other breaches of information security;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 or the impact of a natural disaster may have on the travel and leisure industry;</w:t>
      </w:r>
    </w:p>
    <w:p>
      <w:pPr>
        <w:spacing w:after="0" w:line="1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240" w:top="459" w:right="5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consequences of the military conflicts in the Middle East and any future security alerts and/or terrorist attacks;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developer, owner and operator of destination casino resorts. We currently own and operate Wynn Las Vegas, a destination casino resort in Las Vegas, Nevada, which opened on April 28, 2005. In December 2008, we expanded Wynn Las Vegas with the opening of Encore at Wynn Las Vegas. Wynn Las Vegas, located at the intersection of the Las Vegas Strip and Sands Avenue, occupies approximately 215 acres of land (of which approximately 140 acres comprise the Wynn Las Vegas golf course) fronting the Las Vegas Strip and utilizes approximately 18 additional acres across Sands Avenue, a portion of which is improved with an employee parking garage and approximately 5 acres adjacent to the golf course on which an office building is located. Commencing September 18, 2012, when the golf course land and related water rights were distributed to Wynn Resorts, we lease approximately 140 acres (upon which the golf course is located) and water rights from Wynn Resorts.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780" w:right="2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luxury hotel towers with a total of 4,750 spacious hotel rooms, suites and villas;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32 food and beverage outlets featuring signature chefs;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right="220" w:hanging="326"/>
        <w:spacing w:after="0" w:line="332"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Approximately 94,000 square feet of high-end, brand-name retail shopping, including stores and boutiques by Alexander McQueen, Brioni, Cartier, Chanel, Dior, Graff, Hermes, Loro Piana, Louis Vuitton, Manolo Blahnik, Oscar de la Renta, Vertu and others;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response to our evaluation of our property and the reactions of our guests, we have and expect to continue to remodel and make enhancements and refinements to our resort complex.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and Encore. We currently rely solely upon the operations of this resort complex for our operating cash flow. Concentration of our cash flow in one resort complex exposes us to certain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risks that competitors, whose operations are more diversified, may be better able to control. In addition to the concentration of operations in a single resort complex, many of our customers are premium gaming customers who wager on credit, thus exposing us to credit risk. High-end gaming also increases the potential for variability in our results.</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recorded a net loss for the three months ended September 30, 2012 of $46.1 million, compared to a net loss of $49.5 million recorded for the three months ended September 30, 2011. Our results for the three months ended September 30, 2012 were benefitted by improved profits primarily in the casino and food and beverage departments. For the nine months ended September 30, 2012, we recorded a net loss of $134.8 million compared to a net loss of $50.6 million for the nine months ended September 30, 2011. This decrease was primarily a result of decreased departmental profits, especially in the casino department ($65.8 million) where we experienced lower than normal table games win and hold in the first half of 2012. We also recorded a loss on extinguishment of debt of $6.8 million for the nine months ended September 30, 2012 related to an amendment of our bank credit facilities in March 2012 and subsequent termination of the credit agreement in September 2012. See below for a more detailed discussion regarding our results.</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Certain key operating statistics specific to the gaming industry are included in our discussions of the Company’s operational performance for the periods in which a Condensed Consolidated Statement of Operations and Comprehensive Loss is presented. Below are definitions of the statistics discussed:</w:t>
      </w:r>
    </w:p>
    <w:p>
      <w:pPr>
        <w:spacing w:after="0" w:line="4"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including promotional allowances (less service charges, if any) by total rooms occupied including complimentary rooms.</w:t>
      </w:r>
    </w:p>
    <w:p>
      <w:pPr>
        <w:spacing w:after="0" w:line="50"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including promotional allowances (less service charges, if any) by total rooms available.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total rooms available.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September 30, 2012 compared to the three months ended September 30, 2011.</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Net revenues for the three months ended September 30, 2012, are composed of $155.6 million in casino revenues (40.1% of total net revenues) and $232.5 million of net non-casino revenues (59.9% of total net revenues). Net revenues for the three months ended September 30, 2011, were comprised of $126.9 million in casino revenues (36.5% of total net revenues) and $220.3 million of net non-casino revenues (63.5% of total net revenues).</w:t>
      </w:r>
    </w:p>
    <w:p>
      <w:pPr>
        <w:spacing w:after="0" w:line="10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w:t>
      </w:r>
    </w:p>
    <w:p>
      <w:pPr>
        <w:spacing w:after="0" w:line="38" w:lineRule="exact"/>
        <w:rPr>
          <w:sz w:val="20"/>
          <w:szCs w:val="20"/>
          <w:color w:val="auto"/>
        </w:rPr>
      </w:pPr>
    </w:p>
    <w:p>
      <w:pPr>
        <w:ind w:right="160"/>
        <w:spacing w:after="0" w:line="300" w:lineRule="auto"/>
        <w:rPr>
          <w:sz w:val="20"/>
          <w:szCs w:val="20"/>
          <w:color w:val="auto"/>
        </w:rPr>
      </w:pPr>
      <w:r>
        <w:rPr>
          <w:rFonts w:ascii="Arial" w:cs="Arial" w:eastAsia="Arial" w:hAnsi="Arial"/>
          <w:sz w:val="15"/>
          <w:szCs w:val="15"/>
          <w:color w:val="auto"/>
        </w:rPr>
        <w:t>$28.7 million (22.6%) to $155.6 million for the three months ended September 30, 2012, compared to $126.9 million for the three months ended September 30, 2011, due to a significant increase in our table games win percentage. Our table games win percentage for the three months ended September 30, 2012, was</w:t>
      </w:r>
    </w:p>
    <w:p>
      <w:pPr>
        <w:spacing w:after="0" w:line="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21.9%, which was within the expected range of 21% to 24%; and was significantly higher than the 18.3% experienced in the prior year quarter. Table games drop increased $78.8 million (13.1%) to $682.3 million during the three months ended September 30, 2012, compared to $603.5 million for the three months ended September 30, 2011. Slot machine handle increased $49.7 million (7.4%) to $723.5 million compared to $673.8 million in the prior year quarter. Slot machine win of $46.3 million was 7.3% higher than the $43.2 million achieved in the quarter ended September 30, 2011.</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For the three months ended September 30, 2012, room revenues were $91 million, which represents a $1.3 million (1.4%) increase over the $89.7 million generated in the three months ended September 30, 2011. ADR has increased as we maintained our room rates in an effort to attract customers who would take advantage of all aspects of our resort. See the table below for key operating measures related to our room revenue.</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2012</w:t>
            </w:r>
          </w:p>
        </w:tc>
        <w:tc>
          <w:tcPr>
            <w:tcW w:w="9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76"/>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1380" w:type="dxa"/>
            <w:vAlign w:val="bottom"/>
            <w:gridSpan w:val="2"/>
          </w:tcPr>
          <w:p>
            <w:pPr>
              <w:jc w:val="right"/>
              <w:ind w:right="752"/>
              <w:spacing w:after="0"/>
              <w:rPr>
                <w:sz w:val="20"/>
                <w:szCs w:val="20"/>
                <w:color w:val="auto"/>
              </w:rPr>
            </w:pPr>
            <w:r>
              <w:rPr>
                <w:rFonts w:ascii="Arial" w:cs="Arial" w:eastAsia="Arial" w:hAnsi="Arial"/>
                <w:sz w:val="18"/>
                <w:szCs w:val="18"/>
                <w:color w:val="auto"/>
              </w:rPr>
              <w:t>85.7%</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88.3%</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Other non-gaming revenues for the three months ended September 30, 2012, which included food and beverage revenues of $132.6 million, retail revenues of $21.5 million, entertainment revenues of $21.6 million, and other revenues from outlets, including the spa and salon, of $13.5 million improved over the prior year period. Other non-casino revenues for the three months ended September 30, 2011, included: food and beverage revenues of $119.3 million, retail revenues of $21.8 million, entertainment revenues of $21.9 million, and other revenues from outlets such as the spa and salon, of $13.5 million. Food and beverage revenues increased primarily due to business in our beach club and nightclubs. Retail revenues decreased only $0.3 million despite the reduction in retail square footage from the reconfiguration of the Encore retail area.</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the three months ended September 30, 2012, departmental expenses included casino expenses of $77 million, room expense of $31.5 million, food and beverage expenses of $76 million, and entertainment, retail and other expenses of $35.5 million. Also included are general and administrative expenses of $59.7 million and a $6.1 million charge to provision for doubtful accounts receivable. For the three months ended September 30, 2011, departmental expenses included casino expense of $71 million, room expense of $30.4 million, food and beverage expense of $68.5 million, and entertainment, retail and other expense of $36.5 million. Also included are general and administrative expenses of approximately $57.6 million and approximately $5.4 million charged as a provision for doubtful accounts receivable. Food and beverage expenses increased over prior year quarter primarily due to additional nightclub promotional costs. General and administrative expenses increased over the prior year quarter primarily due to higher advertising costs.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first mortgage notes indentures. Management fees were $5.8 million for the three months ended September 30, 2012, compared to $5.2 million for the three months ended September 30,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Depreciation and amortization for the three months ended September 30, 2012 was $62.4 million compared to $66.5 million for the three months ended September 30, 2011.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Property charges and other for the three months ended September 30, 2012, were $21.7 million compared to $6.6 million for the three months ended September 30, 2011. Property charges and other for the three months ended September 30, 2012 related to a restaurant remodel, termination costs associated with a show that will end its run in November 2012, and miscellaneous renovations and abandonments at our resort complex. Property charges for the three months ended September 30, 2011 related to miscellaneous renovations and abandonments at our resort complex.</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response to our evaluation of our resort complex and the reactions of our guests, we continue to make enhancements and refinements. The costs relating to assets retired as a result of these enhancement and refinement efforts will be expensed as property charges.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expense was $56.9 million for the three months ended September 30, 2012, compared to $50.3 million for the three months ended September 30,</w:t>
      </w:r>
    </w:p>
    <w:p>
      <w:pPr>
        <w:spacing w:after="0" w:line="38"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 xml:space="preserve">2011. No interest was capitalized during either period. Interest expense increased approximately $6.6 million primarily due to the issuance of the $900 million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in March 2012 offset by the reduction of $370.9 million in term loan borrowings as described in Note 6 of our Notes to Condensed Consolidated Financial Statements.</w:t>
      </w:r>
    </w:p>
    <w:p>
      <w:pPr>
        <w:spacing w:after="0" w:line="14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Changes in the fair value of our interest rate swaps are recorded as an increase (decrease) in swap fair value in each period. In June 2012, we terminated the interest rate swap for a payment of $2.4 million. We recorded a gain of $1.1 million for the three months ended September 30, 2011, resulting from the increase in the fair value of our interest rate swap from June 30, 2011 to September 30, 2011.</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described in Note 6 of our Notes to Condensed Consolidated Financial Statements, we terminated the Wynn Las Vegas Credit Agreement on September 17, 2012. In connection with the termination, we expensed $2 million of previously deferred financing costs and third party fees related to the Wynn Las Vegas Credit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nine months ended September 30, 2012 compared to the nine months ended September 30, 2011.</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Net revenues for the nine months ended September 30, 2012, are composed of $411.8 million in casino revenues (37.5% of total net revenues) and $685.2 million of net non-casino revenues (62.5% of total net revenues). Net revenues for the nine months ended September 30, 2011, were comprised of $479.4 million in casino revenues (42.3% of total net revenues) and $653.9 million of net non-casino revenues (57.7% of total net revenues).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 decrease in casino revenues of $67.6 million (14.1%) to $411.8 million for the nine months ended September 30, 2012, compared to $479.4 million for the nine months ended September 30, 2011, due to a decrease in our table games win percentage. Our table games win percentage for the nine months ended September 30, 2012, was 20.1%, which was below the expected range of 21% to 24%; and was significantly lower than the 25.4% experienced in the prior year period. Table games drop increased $140.2 million (7.9%) to $1,912.4 million during the nine months ended September 30, 2012, compared to $1,772.2 million for the nine months ended September 30, 2011. Slot machine handle increased $72.1 million (3.5%) to $2,150.2 million compared to $2,078.1 million in the prior year period. Slot machine win increased $2.6 million (2.1%) to $129.8 million compared to the $127.2 million achieved in the quarter ended September 30, 2011.</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For the nine months ended September 30, 2012, room revenues were $274.5 million, which represents a $5.8 million (2.2%) increase over the $268.7 million generated in the nine months ended September 30, 2011. ADR has increased as we maintained our room rates in an effort to attract customers who would take advantage of all aspects of our resort. See the table below for key operating measures related to our room revenue.</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32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280" w:type="dxa"/>
            <w:vAlign w:val="bottom"/>
            <w:tcBorders>
              <w:bottom w:val="single" w:sz="8" w:color="CCEEFF"/>
            </w:tcBorders>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2012</w:t>
            </w:r>
          </w:p>
        </w:tc>
        <w:tc>
          <w:tcPr>
            <w:tcW w:w="9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Occupancy</w:t>
            </w: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752"/>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88.4%</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r>
      <w:tr>
        <w:trPr>
          <w:trHeight w:val="363"/>
        </w:trPr>
        <w:tc>
          <w:tcPr>
            <w:tcW w:w="3280" w:type="dxa"/>
            <w:vAlign w:val="bottom"/>
          </w:tcPr>
          <w:p>
            <w:pPr>
              <w:spacing w:after="0"/>
              <w:rPr>
                <w:sz w:val="24"/>
                <w:szCs w:val="24"/>
                <w:color w:val="auto"/>
              </w:rPr>
            </w:pPr>
          </w:p>
        </w:tc>
        <w:tc>
          <w:tcPr>
            <w:tcW w:w="4980" w:type="dxa"/>
            <w:vAlign w:val="bottom"/>
          </w:tcPr>
          <w:p>
            <w:pPr>
              <w:jc w:val="right"/>
              <w:ind w:right="283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non-gaming revenues for the nine months ended September 30, 2012, included food and beverage revenues of $379.9 million, retail revenues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$62.7 million, entertainment revenues of $60.8 million, and other revenues from outlets, including the spa and salon, of $45.7 million. Other non-casino revenues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for the nine months ended September 30, 2011, included: food and beverage revenues of $351.5 million, retail revenues of $64.8 million, entertainment revenues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$61.5 million, and other revenues from outlets such as the spa and salon, of $45 million. Food and beverage revenues increased primarily due to business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our beach club and nightclubs. Retail revenues decreased as we reconfigured the Encore retail area and rebranded several retail outlets. Entertainment revenues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decreased over the prior year period primarily due to a loss of revenues from the Sinatra “Dance with Me” show, which ended its run on April 23, 2011.</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For the nine months ended September 30, 2012, departmental expenses included casino expenses of $223.3 million, room expense of $93.3 million, food and beverage expenses of $221 million, and entertainment, retail and other expenses of $107 million. Also included are general and administrative expenses of $173.2 million and $10.1 million charged as a provision for doubtful accounts receivable. For the nine months ended September 30, 2011, departmental expenses included casino expense of $225.1 million, room expense of $91.4 million, food and beverage expense of $200 million, and entertainment, retail and other expense of $111.1 million. Also included are general and administrative expenses of approximately $167.6 million and approximately $13.9 million charged as a provision for doubtful accounts receivable. Food and beverage expenses increased over the prior year period primarily due to additional nightclub promotional costs. General and administrative expenses increased over the prior year period primarily due to higher advertising costs. The provision for doubtful accounts decreased during the nine months ended September 30, 2012 as we recorded an adjustment to our reserve estimates for casino accounts receivable based on the results of historical collection patterns and current collection trends.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first mortgage notes indentures. Management fees were $16.5 million for the nine months ended September 30, 2012, compared to $17 million for the nine months ended September 30,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Depreciation and amortization for the nine months ended September 30, 2012 was $188.6 million compared to $198.6 million for the nine months ended September 30, 2011.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Property charges and other for the nine months ended September 30, 2012, were $27.6 million compared to $11.2 million for the nine months ended September 30, 2011. Property charges and other for the nine months ended September 30, 2012 related to a restaurant remodel, termination costs associated with a show that will end its run in November 2012, and miscellaneous renovations and abandonments at our resort complex. Property charges and other for the nine months ended September 30, 2011 related to miscellaneous renovations and abandonments at our resort complex.</w:t>
      </w:r>
    </w:p>
    <w:p>
      <w:pPr>
        <w:spacing w:after="0" w:line="11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 response to our evaluation of our resort complex and the reactions of our guests, we continue to make enhancements and refinements. The costs relating to assets retired as a result of these enhancement and refinement efforts will be expensed as property charges.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Interest expense was $167.5 million for the nine months ended September 30, 2012, compared to $151 million for the nine months ended September 30, 2011. No interest was capitalized during either period. Interest expense increased approximately $16.5 million primarily due to the issuance of the $900 million 5 3/8% first mortgage notes in March 2012, offset by the reduction of $370.9 million in term loan borrowings as described in Note 6 of our Notes to Condensed Consolidated Financial Statements.</w:t>
      </w:r>
    </w:p>
    <w:p>
      <w:pPr>
        <w:spacing w:after="0" w:line="14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Changes in the fair value of our interest rate swaps are recorded as an increase (decrease) in swap fair value in each period. We recorded a gain of approximately $2.3 million for the nine months ended September 30, 2012, resulting from the increase in the fair value of our interest rate swap during this period. In June 2012, we terminated the interest rate swap for a payment of $2.4 million. We recorded a gain of approximately $2.5 million for the nine months ended September 30, 2011, resulting from the increase in the fair value of our interest rate swap from December 31, 2010 to September 30, 2011.</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March 12, 2012, we entered into an eighth amendment to our Amended and Restated Credit Agreement (the “Wynn Las Vegas Credit Agreement”). In connection with this amendment we prepaid all term loans under the Wynn Las Vegas Credit Agreement, terminated all of our revolving credit commitments that were due to expire in 2013, and terminated all but $100 million of our revolving credit commitments expiring in 2015. In connection with this transaction, we expensed deferred financing fees of $4.8 million.</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described in Note 6 of our Notes to Condensed Consolidated Financial Statements, we terminated the Wynn Las Vegas Credit Agreement on September 17, 2012. In connection with the termination, we expensed $2 million of previously deferred financing costs and third party fees related to the Wynn Las Vegas Credit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operating cash flows primarily consist of our operating income generated by our resort complex (excluding depreciation and other non-cash charges), interest paid,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that wager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cash provided by operations for the nine months ended September 30, 2012, was $103.9 million compared to $170.6 million provided by operations for the nine months ended September 30, 2011. This decrease is primarily due to the decrease in operating income as a result of decreased casino department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At September 30, 2012, we had $90.5 million of cash and cash equivalents available for use without restriction, including for operations, debt service and retirement, new development activities, enhancements to Wynn Las Vegas and general corporate purposes. We require a certain amount of cash on hand for operations. We anticipate such funds, together with any additional borrowings and cash generated from operations will satisfy our liquidity needs during the remainder of 2012.</w:t>
      </w:r>
    </w:p>
    <w:p>
      <w:pPr>
        <w:spacing w:after="0" w:line="143"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On September 17, 2012, the Company terminated its Amended and Restated Credit Agreement. No loans were outstanding at the time of termination. On September 18, 2012, the Company distributed to Wynn Resorts, Limited, the Wynn Las Vegas golf course land, the related water rights, and $700 million in cash.</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Capital expenditures were approximately $32.1 million for the nine months ended September 30, 2012, and related primarily to general property maintenance. Capital expenditures were approximately $44.8 million for the nine months ended September 30, 2011 and related primarily to the room and suite remodel that began in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On March 12, 2012, the Company and Wynn Las Vegas Capital Corp. (together the “Issuers”) issued, in a private offering, $900 million aggregate principal amount of 5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First Mortgage Notes due 2022 (the “2022 Notes”) pursuant to an Indenture, dated as of March 12, 2012 (the “2022 Indenture). A portion of the proceeds were used to repay all amounts outstanding under the Wynn Las Vegas term loan facilities. In October 2012, we commenced an offer to exchange all of the 2022 Notes for notes registered under the Securities Act of 1933, as amended. The exchange offer closed on November 6, 2012.</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March 12, 2012, the Company entered into an eighth amendment (“Amendment No. 8”) to its Amended and Restated Credit Agreement (the “Wynn Las Vegas Credit Agreement”). Amendment No. 8 amends the Wynn Las Vegas Credit Agreement to, among other things, permit the issuance of the 2022 Notes. Concurrently with the issuance of the 2022 Notes, we prepaid all term loans under the Wynn Las Vegas Credit Agreement, terminated all of its revolving credit commitments that were due to expire in 2013, and terminated all but $100 million of its revolving credit commitments expiring in 2015. In connection with this transaction, the Company expensed deferred financing costs of $4.8 million.</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The 2022 Notes will mature on March 15, 2022 and bear interest at the rate of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per annum. The Issuers may redeem all or a portion of the 2022 Notes at any time on or after March 15, 2017, at a premium decreasing ratably to zero, plus accrued and unpaid interest. In addition, prior to March 15, 2015, the Issuers may redeem up to 35% of the aggregate principal amount of the 2022 Notes with the net proceeds of one or more qualified equity contributions made to the Issuers by their parent, Wynn Resorts, Limited. The 2022 Notes are also subject to mandatory redemption requirements imposed by gaming laws and regulations of gaming authorities in Nevada.</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2022 Indenture contains covenants limiting the Issuers’ and the Issuers’ restricted subsidiaries’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The 2022 Notes rank pari passu in right of payment with the Issuers’ outstanding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First Mortgage Notes due 2017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First Mortgage Notes due 2020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First Mortgage Notes due 2020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and, together with the 2017 Notes and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2020 Notes, the “Existing Notes”).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September 17, 2012, we terminated the Wynn Las Vegas Credit Agreement. No loans were outstanding under the Wynn Las Vegas Credit Agreement at the time of termination. Prior to such termination, certain letters of credit in which lenders had participated pursuant to the Wynn Las Vegas Credit Agreement were reallocated to a separate, unsecured letter of credit facility provided by Deutsche Bank, A.G. Wynn Las Vegas, LLC did not incur any early termination penalties in connection with the termination.</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connection with the termination, the Company expensed $2 million of previously deferred financing costs and third party fees related to the Wynn Las Vegas Credit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noted above, in March 2012, we issued the 2022 Notes, repaid all amounts outstanding under the term loan facilities totaling $370.9 million and reduced our revolving facilities to $100 million. In June 2012, the Wynn Las Vegas interest rate swap was terminated as described herein. In September 2012, the Wynn Las Vegas Credit Agreement was terminated. As of September 30, 2012 we had unsecured outstanding letters of credit totaling $15.8 million. There have been no other material changes during the quarter to our contractual obligations or off-balance sheet arrangements as disclosed in our Annual Report on Form 10-K for the year ended December 31,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are restricted under the indentures governing the Existing Notes and the 2022 Notes from making certain “restricted payments” as defined in the indentures. These restricted payments include the payments of dividends or distributions to any direct or indirect holders of equity interests of Wynn Las Vegas, LLC. These restricted payments may not be made until certain other financial and non-financial criteria have been satisfied.</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intend to fund our operations and capital requirements from cash on hand and operating cash flow. We cannot be sure that we will generate sufficient cash flow from operations or that future borrowings that are available to us, if any, will be sufficient to enable us to service and repay our indebtedness and to fund our other liquidity needs. We cannot be sure that we will be able to refinance any of our indebtedness on acceptable terms or at all. Certain legal matters may also impact our liquidity. As described in our Condensed Consolidated Financial Statements, Note 10 — “Commitments and Contingencies”, Elaine Wynn has submitted a cross claim against Steve Wynn and Kazuo Okada. The indentures for the Wynn Las Vegas, LLC 2022 Notes and Existing Notes provide that if Steve Wynn, together with certain related parties, in the aggregate beneficially owns a lesser percentage of the outstanding common stock of Wynn Resorts than are beneficially owned by any other person, a change of control will have occurred. If Elaine Wynn prevails in her cross claim, Steve Wynn would not beneficially own or control Elaine Wynn’s shares and a change in control may result under the Company’s debt documents.</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2011. There have been no material changes to these policies for the nine months ended September 30,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In July 2012, the Financial Accounting Standards Board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annual, and interim impairment tests performed for years beginning after September 15, 2012. This update is not expected to have a material impact on the Company’s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Our primary exposure to market risk is interest rate risk associated with our debt facilities that bear interest based on floating rates. We attempt to manage interest rate risk by managing the mix of long-term fixed rate borrowings and variable rate borrowings, and in the past by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June 2012, we terminated our only outstanding interest rate swap agreement for a payment of $2.4 million. This interest rate swap was intended to hedge a portion of the underlying interest rate risk on borrowings under the Wynn Las Vegas Credit Agreement. Under this swap agreement, we paid a fixed interest rate of 2.485% on borrowings of $250 million incurred under the Wynn Las Vegas Credit Agreement in exchange for receipts on the same amount at a variable interest rate based on the applicable LIBOR at the time of payment. This interest rate swap fixed the interest rate on $250 million of borrowings under the Wynn Las Vegas Credit Agreement at approximately 5.485%. Changes in the fair value of this interest rate swap prior to termination were recorded as an increase/decrease in swap fair value in our Condensed Consolidated Statements of Operations and Comprehensive Loss as the swap did not qualify for hedge accounting.</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2012 our long-term debt was essentially based on fixed rates.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firstLine="464"/>
        <w:spacing w:after="0" w:line="286" w:lineRule="auto"/>
        <w:tabs>
          <w:tab w:leader="none" w:pos="695"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principal executive officer and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principal executive officer and principal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principal executive officer and principal financial officer, as appropriate to allow timely decisions regarding required disclosure.</w:t>
      </w:r>
    </w:p>
    <w:p>
      <w:pPr>
        <w:spacing w:after="0" w:line="127" w:lineRule="exact"/>
        <w:rPr>
          <w:rFonts w:ascii="Arial" w:cs="Arial" w:eastAsia="Arial" w:hAnsi="Arial"/>
          <w:sz w:val="16"/>
          <w:szCs w:val="16"/>
          <w:color w:val="auto"/>
        </w:rPr>
      </w:pPr>
    </w:p>
    <w:p>
      <w:pPr>
        <w:ind w:firstLine="464"/>
        <w:spacing w:after="0" w:line="259"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2011. Except as noted below, there were no material changes to those risk factors during the nine months ended September 30, 2012.</w:t>
      </w:r>
    </w:p>
    <w:p>
      <w:pPr>
        <w:spacing w:after="0" w:line="2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rely on information technology and other systems to maintain and transmit customer financial information, credit card settlements, credit card funds transmissions, mailing lists and reservations information. In addition, our financial and recordkeeping processes are run from one central location at a secured off site Network Operations Center. We have substantially completed the implementation of industry best practice systems that are designed to meet all requirements of the Payment Card Industry standards for data protection, however, our information and processes are exposed to the ever-changing threat of compromised security, in the form of a risk of potential breach, system failure, computer virus, or unauthorized or fraudulent use by customers, company employees, or employees of third party vendors. The steps we take to deter and mitigate these risks may not be successful, and any resulting compromise or loss of data or systems could adversely impact, operations or regulatory compliance and could result in remedial expenses, fines, litigation, and loss of reputation, potentially impacting our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Restrictions imposed by our debt instruments significantly restrict us, subject to certain exceptions for payment of allocable corporate overhead, from declaring or paying dividends or distributions. Specifically, we are restricted under the indentures governing the Existing Notes and the 2022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10460" w:type="dxa"/>
            <w:vAlign w:val="bottom"/>
            <w:gridSpan w:val="3"/>
          </w:tcPr>
          <w:p>
            <w:pPr>
              <w:ind w:left="4280"/>
              <w:spacing w:after="0"/>
              <w:rPr>
                <w:sz w:val="20"/>
                <w:szCs w:val="20"/>
                <w:color w:val="auto"/>
              </w:rPr>
            </w:pPr>
            <w:r>
              <w:rPr>
                <w:rFonts w:ascii="Arial" w:cs="Arial" w:eastAsia="Arial" w:hAnsi="Arial"/>
                <w:sz w:val="18"/>
                <w:szCs w:val="18"/>
                <w:b w:val="1"/>
                <w:bCs w:val="1"/>
                <w:color w:val="auto"/>
              </w:rPr>
              <w:t>EXHIBIT INDEX</w:t>
            </w:r>
          </w:p>
        </w:tc>
      </w:tr>
      <w:tr>
        <w:trPr>
          <w:trHeight w:val="299"/>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530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460" w:type="dxa"/>
            <w:vAlign w:val="bottom"/>
          </w:tcPr>
          <w:p>
            <w:pPr>
              <w:spacing w:after="0"/>
              <w:rPr>
                <w:sz w:val="24"/>
                <w:szCs w:val="24"/>
                <w:color w:val="auto"/>
              </w:rPr>
            </w:pPr>
          </w:p>
        </w:tc>
      </w:tr>
      <w:tr>
        <w:trPr>
          <w:trHeight w:val="316"/>
        </w:trPr>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18"/>
        </w:trPr>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w w:val="87"/>
              </w:rPr>
              <w:t>Sixth Amended and Restated Art Rental and Licensing Agreement, dated as of July 1, 2012 between Stephen A. Wynn, as lessor, Wynn Las</w:t>
            </w:r>
          </w:p>
        </w:tc>
      </w:tr>
      <w:tr>
        <w:trPr>
          <w:trHeight w:val="222"/>
        </w:trPr>
        <w:tc>
          <w:tcPr>
            <w:tcW w:w="700" w:type="dxa"/>
            <w:vAlign w:val="bottom"/>
          </w:tcPr>
          <w:p>
            <w:pPr>
              <w:spacing w:after="0"/>
              <w:rPr>
                <w:sz w:val="19"/>
                <w:szCs w:val="19"/>
                <w:color w:val="auto"/>
              </w:rPr>
            </w:pP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Vegas, LLC, as lessee.</w:t>
            </w:r>
          </w:p>
        </w:tc>
      </w:tr>
      <w:tr>
        <w:trPr>
          <w:trHeight w:val="324"/>
        </w:trPr>
        <w:tc>
          <w:tcPr>
            <w:tcW w:w="700" w:type="dxa"/>
            <w:vAlign w:val="bottom"/>
          </w:tcPr>
          <w:p>
            <w:pPr>
              <w:jc w:val="right"/>
              <w:spacing w:after="0"/>
              <w:rPr>
                <w:sz w:val="20"/>
                <w:szCs w:val="20"/>
                <w:color w:val="auto"/>
              </w:rPr>
            </w:pPr>
            <w:r>
              <w:rPr>
                <w:rFonts w:ascii="Arial" w:cs="Arial" w:eastAsia="Arial" w:hAnsi="Arial"/>
                <w:sz w:val="18"/>
                <w:szCs w:val="18"/>
                <w:color w:val="auto"/>
              </w:rPr>
              <w:t>*31.1</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Certification of Principal Executive Officer of Periodic Report Pursuant to Rule 13a – 14(a) and Rule 15d – 14(a).</w:t>
            </w:r>
          </w:p>
        </w:tc>
      </w:tr>
      <w:tr>
        <w:trPr>
          <w:trHeight w:val="324"/>
        </w:trPr>
        <w:tc>
          <w:tcPr>
            <w:tcW w:w="700" w:type="dxa"/>
            <w:vAlign w:val="bottom"/>
          </w:tcPr>
          <w:p>
            <w:pPr>
              <w:jc w:val="right"/>
              <w:spacing w:after="0"/>
              <w:rPr>
                <w:sz w:val="20"/>
                <w:szCs w:val="20"/>
                <w:color w:val="auto"/>
              </w:rPr>
            </w:pPr>
            <w:r>
              <w:rPr>
                <w:rFonts w:ascii="Arial" w:cs="Arial" w:eastAsia="Arial" w:hAnsi="Arial"/>
                <w:sz w:val="18"/>
                <w:szCs w:val="18"/>
                <w:color w:val="auto"/>
              </w:rPr>
              <w:t>*31.2</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Certification of Principal Financial Officer of Periodic Report Pursuant to Rule 13a – 14(a) and Rule 15d – 14(a).</w:t>
            </w:r>
          </w:p>
        </w:tc>
      </w:tr>
      <w:tr>
        <w:trPr>
          <w:trHeight w:val="324"/>
        </w:trPr>
        <w:tc>
          <w:tcPr>
            <w:tcW w:w="700" w:type="dxa"/>
            <w:vAlign w:val="bottom"/>
          </w:tcPr>
          <w:p>
            <w:pPr>
              <w:jc w:val="right"/>
              <w:spacing w:after="0"/>
              <w:rPr>
                <w:sz w:val="20"/>
                <w:szCs w:val="20"/>
                <w:color w:val="auto"/>
              </w:rPr>
            </w:pPr>
            <w:r>
              <w:rPr>
                <w:rFonts w:ascii="Arial" w:cs="Arial" w:eastAsia="Arial" w:hAnsi="Arial"/>
                <w:sz w:val="18"/>
                <w:szCs w:val="18"/>
                <w:color w:val="auto"/>
              </w:rPr>
              <w:t>*32.1</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rPr>
              <w:t>Certification of CEO and CFO Pursuant to 18 U.S.C. Section 1350.</w:t>
            </w:r>
          </w:p>
        </w:tc>
      </w:tr>
      <w:tr>
        <w:trPr>
          <w:trHeight w:val="318"/>
        </w:trPr>
        <w:tc>
          <w:tcPr>
            <w:tcW w:w="700" w:type="dxa"/>
            <w:vAlign w:val="bottom"/>
          </w:tcPr>
          <w:p>
            <w:pPr>
              <w:jc w:val="right"/>
              <w:ind w:right="95"/>
              <w:spacing w:after="0"/>
              <w:rPr>
                <w:sz w:val="20"/>
                <w:szCs w:val="20"/>
                <w:color w:val="auto"/>
              </w:rPr>
            </w:pPr>
            <w:r>
              <w:rPr>
                <w:rFonts w:ascii="Arial" w:cs="Arial" w:eastAsia="Arial" w:hAnsi="Arial"/>
                <w:sz w:val="18"/>
                <w:szCs w:val="18"/>
                <w:color w:val="auto"/>
              </w:rPr>
              <w:t>*101</w:t>
            </w: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w w:val="90"/>
              </w:rPr>
              <w:t>The following financial information from the Company’s Quarterly Report on Form 10-Q for the three months ended September 30, 2012,</w:t>
            </w:r>
          </w:p>
        </w:tc>
      </w:tr>
      <w:tr>
        <w:trPr>
          <w:trHeight w:val="222"/>
        </w:trPr>
        <w:tc>
          <w:tcPr>
            <w:tcW w:w="700" w:type="dxa"/>
            <w:vAlign w:val="bottom"/>
          </w:tcPr>
          <w:p>
            <w:pPr>
              <w:spacing w:after="0"/>
              <w:rPr>
                <w:sz w:val="19"/>
                <w:szCs w:val="19"/>
                <w:color w:val="auto"/>
              </w:rPr>
            </w:pPr>
          </w:p>
        </w:tc>
        <w:tc>
          <w:tcPr>
            <w:tcW w:w="10460" w:type="dxa"/>
            <w:vAlign w:val="bottom"/>
            <w:gridSpan w:val="3"/>
          </w:tcPr>
          <w:p>
            <w:pPr>
              <w:ind w:left="620"/>
              <w:spacing w:after="0"/>
              <w:rPr>
                <w:sz w:val="20"/>
                <w:szCs w:val="20"/>
                <w:color w:val="auto"/>
              </w:rPr>
            </w:pPr>
            <w:r>
              <w:rPr>
                <w:rFonts w:ascii="Arial" w:cs="Arial" w:eastAsia="Arial" w:hAnsi="Arial"/>
                <w:sz w:val="18"/>
                <w:szCs w:val="18"/>
                <w:color w:val="auto"/>
                <w:w w:val="90"/>
              </w:rPr>
              <w:t>filed with the SEC on November 9, 2012 formatted in Extensible Business Reporting Language (XBRL): (i) the Condensed Consolidated</w:t>
            </w:r>
          </w:p>
        </w:tc>
      </w:tr>
    </w:tbl>
    <w:p>
      <w:pPr>
        <w:ind w:left="1380"/>
        <w:spacing w:after="0" w:line="302" w:lineRule="auto"/>
        <w:rPr>
          <w:sz w:val="20"/>
          <w:szCs w:val="20"/>
          <w:color w:val="auto"/>
        </w:rPr>
      </w:pPr>
      <w:r>
        <w:rPr>
          <w:rFonts w:ascii="Arial" w:cs="Arial" w:eastAsia="Arial" w:hAnsi="Arial"/>
          <w:sz w:val="16"/>
          <w:szCs w:val="16"/>
          <w:color w:val="auto"/>
        </w:rPr>
        <w:t>Statements of Operations and Comprehensive Loss for the three and nine months ended September 30, 2012 and 2011, (ii) the Condensed Consolidated Balance Sheets at September 30, 2012 and December 31, 2011, (iii) the Condensed Consolidated Statements of Cash Flows for the nine months ended September 30, 2012 and 2011,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right="6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Quarterly Report on Form 10-Q shall be deemed to be not filed for purposes of Section 18 of the Exchange Act, or otherwise subject to the liability of that section, and shall not be deemed part of a registration statement, prospectus or other document filed under the Securities Act or the Exchange Act, except as shall be expressly set forth by specific reference in such filings.</w:t>
      </w:r>
    </w:p>
    <w:p>
      <w:pPr>
        <w:spacing w:after="0" w:line="63" w:lineRule="exact"/>
        <w:rPr>
          <w:sz w:val="20"/>
          <w:szCs w:val="20"/>
          <w:color w:val="auto"/>
        </w:rPr>
      </w:pP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80"/>
          </w:cols>
          <w:pgMar w:left="240" w:top="459"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LAS VEGAS, LLC</w:t>
      </w:r>
    </w:p>
    <w:p>
      <w:pPr>
        <w:spacing w:after="0" w:line="339" w:lineRule="exact"/>
        <w:rPr>
          <w:sz w:val="20"/>
          <w:szCs w:val="20"/>
          <w:color w:val="auto"/>
        </w:rPr>
      </w:pPr>
    </w:p>
    <w:p>
      <w:pPr>
        <w:spacing w:after="0"/>
        <w:tabs>
          <w:tab w:leader="none" w:pos="5480" w:val="left"/>
          <w:tab w:leader="none" w:pos="7840" w:val="left"/>
          <w:tab w:leader="none" w:pos="8200" w:val="left"/>
        </w:tabs>
        <w:rPr>
          <w:sz w:val="20"/>
          <w:szCs w:val="20"/>
          <w:color w:val="auto"/>
        </w:rPr>
      </w:pPr>
      <w:r>
        <w:rPr>
          <w:rFonts w:ascii="Arial" w:cs="Arial" w:eastAsia="Arial" w:hAnsi="Arial"/>
          <w:sz w:val="18"/>
          <w:szCs w:val="18"/>
          <w:color w:val="auto"/>
        </w:rPr>
        <w:t>Dated: November 9,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6"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-94615</wp:posOffset>
            </wp:positionV>
            <wp:extent cx="35420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jc w:val="center"/>
        <w:ind w:left="5500"/>
        <w:spacing w:after="0" w:line="221" w:lineRule="auto"/>
        <w:rPr>
          <w:sz w:val="20"/>
          <w:szCs w:val="20"/>
          <w:color w:val="auto"/>
        </w:rPr>
      </w:pPr>
      <w:r>
        <w:rPr>
          <w:rFonts w:ascii="Arial" w:cs="Arial" w:eastAsia="Arial" w:hAnsi="Arial"/>
          <w:sz w:val="14"/>
          <w:szCs w:val="14"/>
          <w:b w:val="1"/>
          <w:bCs w:val="1"/>
          <w:color w:val="auto"/>
        </w:rPr>
        <w:t>Senior Vice President and</w:t>
      </w:r>
    </w:p>
    <w:p>
      <w:pPr>
        <w:jc w:val="center"/>
        <w:ind w:left="550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5500"/>
        <w:spacing w:after="0"/>
        <w:rPr>
          <w:sz w:val="20"/>
          <w:szCs w:val="20"/>
          <w:color w:val="auto"/>
        </w:rPr>
      </w:pPr>
      <w:r>
        <w:rPr>
          <w:rFonts w:ascii="Arial" w:cs="Arial" w:eastAsia="Arial" w:hAnsi="Arial"/>
          <w:sz w:val="14"/>
          <w:szCs w:val="14"/>
          <w:b w:val="1"/>
          <w:bCs w:val="1"/>
          <w:color w:val="auto"/>
        </w:rPr>
        <w:t>(Principal Financial Officer)</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40"/>
          </w:cols>
          <w:pgMar w:left="240" w:top="459" w:right="11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SIXTH AMENDED AND RESTATED</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ART RENTAL</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LICENSING AGREEMENT</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between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STEPHEN A. WYNN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(Lessor)</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WYNN LAS VEGAS, LLC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(Lessee)</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July 1, 2012</w:t>
      </w:r>
    </w:p>
    <w:p>
      <w:pPr>
        <w:sectPr>
          <w:pgSz w:w="11900" w:h="16838" w:orient="portrait"/>
          <w:cols w:equalWidth="0" w:num="1">
            <w:col w:w="10220"/>
          </w:cols>
          <w:pgMar w:left="1440" w:top="125" w:right="23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SIXTH AMENDED AND RESTATED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 RENTAL AND LICENSING AGREEMENT</w:t>
      </w:r>
    </w:p>
    <w:p>
      <w:pPr>
        <w:spacing w:after="0" w:line="159"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This Sixth Amended and Restated Art Rental and Licensing Agreement (“Agreement”), is entered into this 1st day of July, 2012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STEPHEN A. WYNN (“</w:t>
      </w:r>
      <w:r>
        <w:rPr>
          <w:rFonts w:ascii="Arial" w:cs="Arial" w:eastAsia="Arial" w:hAnsi="Arial"/>
          <w:sz w:val="18"/>
          <w:szCs w:val="18"/>
          <w:b w:val="1"/>
          <w:bCs w:val="1"/>
          <w:color w:val="auto"/>
        </w:rPr>
        <w:t>Lessor</w:t>
      </w:r>
      <w:r>
        <w:rPr>
          <w:rFonts w:ascii="Arial" w:cs="Arial" w:eastAsia="Arial" w:hAnsi="Arial"/>
          <w:sz w:val="18"/>
          <w:szCs w:val="18"/>
          <w:color w:val="auto"/>
        </w:rPr>
        <w:t>”) and WYNN LAS VEGAS, LLC (“</w:t>
      </w:r>
      <w:r>
        <w:rPr>
          <w:rFonts w:ascii="Arial" w:cs="Arial" w:eastAsia="Arial" w:hAnsi="Arial"/>
          <w:sz w:val="18"/>
          <w:szCs w:val="18"/>
          <w:b w:val="1"/>
          <w:bCs w:val="1"/>
          <w:color w:val="auto"/>
        </w:rPr>
        <w:t>Lessee</w:t>
      </w:r>
      <w:r>
        <w:rPr>
          <w:rFonts w:ascii="Arial" w:cs="Arial" w:eastAsia="Arial" w:hAnsi="Arial"/>
          <w:sz w:val="18"/>
          <w:szCs w:val="18"/>
          <w:color w:val="auto"/>
        </w:rPr>
        <w:t>”).</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R E C I T A L S</w:t>
      </w:r>
    </w:p>
    <w:p>
      <w:pPr>
        <w:spacing w:after="0" w:line="17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 xml:space="preserve">A. Lessor is the owner of the paintings and other art works identified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incorporated herein by this reference (collectively, the “</w:t>
      </w:r>
      <w:r>
        <w:rPr>
          <w:rFonts w:ascii="Arial" w:cs="Arial" w:eastAsia="Arial" w:hAnsi="Arial"/>
          <w:sz w:val="18"/>
          <w:szCs w:val="18"/>
          <w:b w:val="1"/>
          <w:bCs w:val="1"/>
          <w:color w:val="auto"/>
        </w:rPr>
        <w:t>Works</w:t>
      </w:r>
      <w:r>
        <w:rPr>
          <w:rFonts w:ascii="Arial" w:cs="Arial" w:eastAsia="Arial" w:hAnsi="Arial"/>
          <w:sz w:val="18"/>
          <w:szCs w:val="18"/>
          <w:color w:val="auto"/>
        </w:rPr>
        <w:t>”), which may be updated from time to time in accordance with this Agreement. Works shall only include Works deemed to be on display by Lessee as provided in Section 7.</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 Lessor wishes to lease to Lessee, and Lessee wishes to lease from Lessor, the Works, in order to publicly display the Works at various public locations within the Wynn Las Vegas/Encore resort at 3131 Las Vegas Boulevard South, Las Vegas, Nevada as well as the aircraft that is owned by affiliates of Lessee (the “</w:t>
      </w:r>
      <w:r>
        <w:rPr>
          <w:rFonts w:ascii="Arial" w:cs="Arial" w:eastAsia="Arial" w:hAnsi="Arial"/>
          <w:sz w:val="18"/>
          <w:szCs w:val="18"/>
          <w:b w:val="1"/>
          <w:bCs w:val="1"/>
          <w:color w:val="auto"/>
        </w:rPr>
        <w:t>Resort</w:t>
      </w:r>
      <w:r>
        <w:rPr>
          <w:rFonts w:ascii="Arial" w:cs="Arial" w:eastAsia="Arial" w:hAnsi="Arial"/>
          <w:sz w:val="18"/>
          <w:szCs w:val="18"/>
          <w:color w:val="auto"/>
        </w:rPr>
        <w:t>”), .</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 By publicly displaying the Works, Lessor and Lessee desire to promote the Works and to enhance the cultural and educational opportunities for Nevada residents and visitors.</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 G R E E M E N T</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Based upon the foregoing and the following terms and conditions, the parties hereto agree that the foregoing recitals are true and correct and as follows:</w:t>
      </w:r>
    </w:p>
    <w:p>
      <w:pPr>
        <w:spacing w:after="0" w:line="113" w:lineRule="exact"/>
        <w:rPr>
          <w:sz w:val="20"/>
          <w:szCs w:val="20"/>
          <w:color w:val="auto"/>
        </w:rPr>
      </w:pPr>
    </w:p>
    <w:p>
      <w:pPr>
        <w:ind w:right="100" w:firstLine="464"/>
        <w:spacing w:after="0" w:line="259"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Rental</w:t>
      </w:r>
      <w:r>
        <w:rPr>
          <w:rFonts w:ascii="Arial" w:cs="Arial" w:eastAsia="Arial" w:hAnsi="Arial"/>
          <w:sz w:val="18"/>
          <w:szCs w:val="18"/>
          <w:color w:val="auto"/>
        </w:rPr>
        <w:t>. Upon the terms and subject to the conditions of this Agreement, Lessor hereby grants to Lessee a continuing right to publicly display the Works in the Resort, and Lessee hereby accepts from Lessor the rental of the works. The installation layout and plan for the Works shall be subject to Lessor’s prior approval.</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380"/>
          </w:cols>
          <w:pgMar w:left="240" w:top="274" w:right="279" w:bottom="1440" w:gutter="0" w:footer="0" w:header="0"/>
        </w:sectPr>
      </w:pPr>
    </w:p>
    <w:bookmarkStart w:id="32" w:name="page33"/>
    <w:bookmarkEnd w:id="32"/>
    <w:p>
      <w:pPr>
        <w:jc w:val="both"/>
        <w:ind w:left="-464" w:right="40" w:firstLine="464"/>
        <w:spacing w:after="0" w:line="259" w:lineRule="auto"/>
        <w:tabs>
          <w:tab w:leader="none" w:pos="16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Law</w:t>
      </w:r>
      <w:r>
        <w:rPr>
          <w:rFonts w:ascii="Arial" w:cs="Arial" w:eastAsia="Arial" w:hAnsi="Arial"/>
          <w:sz w:val="18"/>
          <w:szCs w:val="18"/>
          <w:color w:val="auto"/>
        </w:rPr>
        <w:t>. Lessee agrees to maintain the Works on public display, make the Resort available for student tours, and take such other actions as may be necessary or appropriate for meeting the requirements of Sections 361.068, 361.186, 374.291 and 374.2911 of the Nevada Revised Statutes (“</w:t>
      </w:r>
      <w:r>
        <w:rPr>
          <w:rFonts w:ascii="Arial" w:cs="Arial" w:eastAsia="Arial" w:hAnsi="Arial"/>
          <w:sz w:val="18"/>
          <w:szCs w:val="18"/>
          <w:b w:val="1"/>
          <w:bCs w:val="1"/>
          <w:color w:val="auto"/>
        </w:rPr>
        <w:t>NRS</w:t>
      </w:r>
      <w:r>
        <w:rPr>
          <w:rFonts w:ascii="Arial" w:cs="Arial" w:eastAsia="Arial" w:hAnsi="Arial"/>
          <w:sz w:val="18"/>
          <w:szCs w:val="18"/>
          <w:color w:val="auto"/>
        </w:rPr>
        <w:t xml:space="preserve">”), and agrees to comply with NRS 597.720, </w:t>
      </w:r>
      <w:r>
        <w:rPr>
          <w:rFonts w:ascii="Arial" w:cs="Arial" w:eastAsia="Arial" w:hAnsi="Arial"/>
          <w:sz w:val="18"/>
          <w:szCs w:val="18"/>
          <w:u w:val="single" w:color="auto"/>
          <w:color w:val="auto"/>
        </w:rPr>
        <w:t>et seq</w:t>
      </w:r>
      <w:r>
        <w:rPr>
          <w:rFonts w:ascii="Arial" w:cs="Arial" w:eastAsia="Arial" w:hAnsi="Arial"/>
          <w:sz w:val="18"/>
          <w:szCs w:val="18"/>
          <w:color w:val="auto"/>
        </w:rPr>
        <w:t>., and all other applicable laws.</w:t>
      </w:r>
    </w:p>
    <w:p>
      <w:pPr>
        <w:spacing w:after="0" w:line="140" w:lineRule="exact"/>
        <w:rPr>
          <w:rFonts w:ascii="Arial" w:cs="Arial" w:eastAsia="Arial" w:hAnsi="Arial"/>
          <w:sz w:val="18"/>
          <w:szCs w:val="18"/>
          <w:color w:val="auto"/>
        </w:rPr>
      </w:pPr>
    </w:p>
    <w:p>
      <w:pPr>
        <w:ind w:left="-464" w:right="200" w:firstLine="464"/>
        <w:spacing w:after="0" w:line="259" w:lineRule="auto"/>
        <w:tabs>
          <w:tab w:leader="none" w:pos="16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Exhibition and Promotion</w:t>
      </w:r>
      <w:r>
        <w:rPr>
          <w:rFonts w:ascii="Arial" w:cs="Arial" w:eastAsia="Arial" w:hAnsi="Arial"/>
          <w:sz w:val="18"/>
          <w:szCs w:val="18"/>
          <w:color w:val="auto"/>
        </w:rPr>
        <w:t>. Lessee agrees (a) to exhibit the Works in a manner approved by Lessor, (b) to transport, handle, care for, and display the Works in a manner consistent with the world-class quality of the Works, (c) to maintain the Resort as a first-class facility, and (d) to promote the Works through “Openings,” “Receptions,” and public events.</w:t>
      </w:r>
    </w:p>
    <w:p>
      <w:pPr>
        <w:spacing w:after="0" w:line="140" w:lineRule="exact"/>
        <w:rPr>
          <w:rFonts w:ascii="Arial" w:cs="Arial" w:eastAsia="Arial" w:hAnsi="Arial"/>
          <w:sz w:val="18"/>
          <w:szCs w:val="18"/>
          <w:color w:val="auto"/>
        </w:rPr>
      </w:pPr>
    </w:p>
    <w:p>
      <w:pPr>
        <w:ind w:left="-464" w:firstLine="464"/>
        <w:spacing w:after="0" w:line="309" w:lineRule="auto"/>
        <w:tabs>
          <w:tab w:leader="none" w:pos="168" w:val="left"/>
        </w:tabs>
        <w:numPr>
          <w:ilvl w:val="0"/>
          <w:numId w:val="16"/>
        </w:numPr>
        <w:rPr>
          <w:rFonts w:ascii="Arial" w:cs="Arial" w:eastAsia="Arial" w:hAnsi="Arial"/>
          <w:sz w:val="15"/>
          <w:szCs w:val="15"/>
          <w:color w:val="auto"/>
        </w:rPr>
      </w:pPr>
      <w:r>
        <w:rPr>
          <w:rFonts w:ascii="Arial" w:cs="Arial" w:eastAsia="Arial" w:hAnsi="Arial"/>
          <w:sz w:val="15"/>
          <w:szCs w:val="15"/>
          <w:u w:val="single" w:color="auto"/>
          <w:color w:val="auto"/>
        </w:rPr>
        <w:t>Merchandising</w:t>
      </w:r>
      <w:r>
        <w:rPr>
          <w:rFonts w:ascii="Arial" w:cs="Arial" w:eastAsia="Arial" w:hAnsi="Arial"/>
          <w:sz w:val="15"/>
          <w:szCs w:val="15"/>
          <w:color w:val="auto"/>
        </w:rPr>
        <w:t xml:space="preserve">. To the extent, if any, that he possesses the required rights, Lessor hereby authorizes Lessee to develop, manufacture (by subcontract or otherwise), and sell such merchandising and promotional items based upon the Works as Lessee may determine in its best business judgment. To the extent, if any, that he possesses any such rights in any Work, Lessor hereby grants to Lessee a nonexclusive license for such purposes for the period of the rental of such Work hereunder. In the event that any Work is withdrawn or rental terminated, the corresponding license shall automatically terminate;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following such termination, Lessee shall have the right to sell its remaining inventory of the applicable merchandise. The merchandise and promotional items based on the Works may include, but are not limited to, educational catalogues, educational works (including audiovisual and audio recordings), fine art reproductions, and retail merchandise based upon the Works. Lessee shall be solely responsible for clearing and/or obtaining such rights, for obtaining all required permissions, and for taking all reasonable steps necessary to obtain intellectual property protection for said items based on the Works, all of which shall, with respect to any Work, inure to the benefit of Lessee during the rental of such Work hereunder and to the benefit of Lessor thereafter. Notwithstanding any other</w:t>
      </w:r>
    </w:p>
    <w:p>
      <w:pPr>
        <w:spacing w:after="0" w:line="94" w:lineRule="exact"/>
        <w:rPr>
          <w:rFonts w:ascii="Arial" w:cs="Arial" w:eastAsia="Arial" w:hAnsi="Arial"/>
          <w:sz w:val="15"/>
          <w:szCs w:val="15"/>
          <w:color w:val="auto"/>
        </w:rPr>
      </w:pPr>
    </w:p>
    <w:p>
      <w:pPr>
        <w:ind w:left="5216" w:hanging="112"/>
        <w:spacing w:after="0"/>
        <w:tabs>
          <w:tab w:leader="none" w:pos="5216" w:val="left"/>
        </w:tabs>
        <w:numPr>
          <w:ilvl w:val="1"/>
          <w:numId w:val="16"/>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56"/>
          </w:cols>
          <w:pgMar w:left="704" w:top="280" w:right="239" w:bottom="1440" w:gutter="0" w:footer="0" w:header="0"/>
        </w:sectPr>
      </w:pPr>
    </w:p>
    <w:bookmarkStart w:id="33" w:name="page34"/>
    <w:bookmarkEnd w:id="3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 of this Agreement (including without limitation this Section 4 and Section 11 below), Lessor does not make (and hereby disclaims) any and all representations and/or warranties to Lessee or otherwise in respect of the Works or any rights in the Works, including, but not limited to, title, quiet enjoyment, authenticity, copyright, or moral rights. Lessor shall not have any liability to Lessee in respect of any, and Lessee hereby expressly and to the full extent permitted by law waives as against Lessor all, claims. damages, expenses, fees, or losses that may be incurred by or threatened against Lessee as a result of the Works being leased to Lessee, in the possession of Lessee during the term hereof, displayed at the Resort and/or reproduced (by, on behalf of, or with the consent of Lessee) in merchandising, promotional, or other items relating to the Works.</w:t>
      </w:r>
    </w:p>
    <w:p>
      <w:pPr>
        <w:spacing w:after="0" w:line="120"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Rental Fees</w:t>
      </w:r>
      <w:r>
        <w:rPr>
          <w:rFonts w:ascii="Arial" w:cs="Arial" w:eastAsia="Arial" w:hAnsi="Arial"/>
          <w:sz w:val="16"/>
          <w:szCs w:val="16"/>
          <w:color w:val="auto"/>
        </w:rPr>
        <w:t>. Lessee agrees to pay to Lessor a rental fee of One Dollar ($1.00) on the Effective Date and each anniversary of the Effective Date.</w:t>
      </w:r>
    </w:p>
    <w:p>
      <w:pPr>
        <w:spacing w:after="0" w:line="194" w:lineRule="exact"/>
        <w:rPr>
          <w:rFonts w:ascii="Arial" w:cs="Arial" w:eastAsia="Arial" w:hAnsi="Arial"/>
          <w:sz w:val="16"/>
          <w:szCs w:val="16"/>
          <w:color w:val="auto"/>
        </w:rPr>
      </w:pPr>
    </w:p>
    <w:p>
      <w:pPr>
        <w:ind w:right="60" w:firstLine="464"/>
        <w:spacing w:after="0" w:line="289"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Additions, Withdrawals, and Termination</w:t>
      </w:r>
      <w:r>
        <w:rPr>
          <w:rFonts w:ascii="Arial" w:cs="Arial" w:eastAsia="Arial" w:hAnsi="Arial"/>
          <w:sz w:val="16"/>
          <w:szCs w:val="16"/>
          <w:color w:val="auto"/>
        </w:rPr>
        <w:t xml:space="preserve">. Lessor and Lessee may, by mutual agreement, add other art works from time to time to the Works covered by this Agreement. Lessor shall have the right to withdraw any but not all of the Works from this Agreement and terminate the rental of such Work(s) hereunder on fifteen (15) days’ written notice to Lessee. Lessee shall have the right to return any or all Works covered by this Agreement and terminate the rental of such Work(s) hereunder on thirty (30) days’ written notice to Lessor. Upon termination of the rental of any Work hereunder, Lessee shall have no further right or license with respect to such Work, except to the extent that, under Section 4 and Section 11 hereof, Lessee is specifically provided with a six-month period to discontinue sales and use of merchandise. The parties shall periodically update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to reflect Works added to or withdrawn from this Agreement. The parties shall also maintain separate records indicating which Works are added to or withdrawn from the Agreement. Notwithstanding the foregoing, and without prejudice to any other rights or remedies that Lessor may have hereunder,</w:t>
      </w:r>
    </w:p>
    <w:p>
      <w:pPr>
        <w:spacing w:after="0" w:line="104" w:lineRule="exact"/>
        <w:rPr>
          <w:rFonts w:ascii="Arial" w:cs="Arial" w:eastAsia="Arial" w:hAnsi="Arial"/>
          <w:sz w:val="16"/>
          <w:szCs w:val="16"/>
          <w:color w:val="auto"/>
        </w:rPr>
      </w:pPr>
    </w:p>
    <w:p>
      <w:pPr>
        <w:ind w:left="5680" w:hanging="112"/>
        <w:spacing w:after="0"/>
        <w:tabs>
          <w:tab w:leader="none" w:pos="56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80"/>
          </w:cols>
          <w:pgMar w:left="240" w:top="280" w:right="279" w:bottom="1440" w:gutter="0" w:footer="0" w:header="0"/>
        </w:sectPr>
      </w:pPr>
    </w:p>
    <w:bookmarkStart w:id="34" w:name="page35"/>
    <w:bookmarkEnd w:id="3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Lessor may terminate the rental of all Works hereunder (a) by delivery of notice to Lessee no less than ninety (90) days in advance of the date selected by Lessor for termination, or (b) immediately by delivery of notice to Lessee at any time if any of the following events occurs: (i) Lessor ceases to be the Chairman of the Board and Chief Executive Officer of Wynn Resorts, Limited (“</w:t>
      </w:r>
      <w:r>
        <w:rPr>
          <w:rFonts w:ascii="Arial" w:cs="Arial" w:eastAsia="Arial" w:hAnsi="Arial"/>
          <w:sz w:val="16"/>
          <w:szCs w:val="16"/>
          <w:b w:val="1"/>
          <w:bCs w:val="1"/>
          <w:color w:val="auto"/>
        </w:rPr>
        <w:t>Wynn Resorts</w:t>
      </w:r>
      <w:r>
        <w:rPr>
          <w:rFonts w:ascii="Arial" w:cs="Arial" w:eastAsia="Arial" w:hAnsi="Arial"/>
          <w:sz w:val="16"/>
          <w:szCs w:val="16"/>
          <w:color w:val="auto"/>
        </w:rPr>
        <w:t>”), or any successor company; (ii) there is filed any petition in bankruptcy by or against Lessee or any of Wynn Resorts’ other subsidiary companies (collectively, the “</w:t>
      </w:r>
      <w:r>
        <w:rPr>
          <w:rFonts w:ascii="Arial" w:cs="Arial" w:eastAsia="Arial" w:hAnsi="Arial"/>
          <w:sz w:val="16"/>
          <w:szCs w:val="16"/>
          <w:b w:val="1"/>
          <w:bCs w:val="1"/>
          <w:color w:val="auto"/>
        </w:rPr>
        <w:t>Lessee Parties</w:t>
      </w:r>
      <w:r>
        <w:rPr>
          <w:rFonts w:ascii="Arial" w:cs="Arial" w:eastAsia="Arial" w:hAnsi="Arial"/>
          <w:sz w:val="16"/>
          <w:szCs w:val="16"/>
          <w:color w:val="auto"/>
        </w:rPr>
        <w:t>”), which petition is not dismissed within ninety (90) days of its filing, or there is appointed a receiver or trustee to take possession of any of the Lessee Parties or of all or substantially all of the assets of any Lessee Parties, or there is a general assignment by any of the Lessee Parties for the benefit of creditors, or any action is taken by or against any of the Lessee Parties under any state or federal insolvency or bankruptcy act, or any similar law now or hereafter in effect, including, without limitation, the filing of execution or attachment against any of the Lessee Parties and such levy continues in effect for a period of sixty (60) calendar days; or (iii) Lessee defaults under any material provision of this Agreement and fails to cure such default within seven (7) days after it receives written notice of such default from Lessor unless such default relates to the care, custody, or protection of any of the Works, in which event such default must be cured immediately upon notice from Lessor. Upon termination of the rental of all Works hereunder, this Agreement shall automatically terminate; provided, however, that the termination of this Agreement shall not affect the obligations of the parties under Sections 5, 7, 9 or 10 hereof or any other provision that can be fulfilled only after the termination date.</w:t>
      </w:r>
    </w:p>
    <w:p>
      <w:pPr>
        <w:spacing w:after="0" w:line="124" w:lineRule="exact"/>
        <w:rPr>
          <w:sz w:val="20"/>
          <w:szCs w:val="20"/>
          <w:color w:val="auto"/>
        </w:rPr>
      </w:pPr>
    </w:p>
    <w:p>
      <w:pPr>
        <w:ind w:right="200" w:firstLine="464"/>
        <w:spacing w:after="0" w:line="259" w:lineRule="auto"/>
        <w:tabs>
          <w:tab w:leader="none" w:pos="63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Lessee shall, at its expense, insure the Works on a “wall-to-wall” basis, for the full rental period hereunder (including, without limitation, terrorism insurance), in an amount equal to the value of the Works as stipulated in writing by Lessor, provided, however that Lessee shall not be responsible for insuring the Works</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80" w:right="239" w:bottom="1440" w:gutter="0" w:footer="0" w:header="0"/>
        </w:sectPr>
      </w:pPr>
    </w:p>
    <w:bookmarkStart w:id="35" w:name="page36"/>
    <w:bookmarkEnd w:id="3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any period when the Works are not on display or are in transit to or from the Resort (the “</w:t>
      </w:r>
      <w:r>
        <w:rPr>
          <w:rFonts w:ascii="Arial" w:cs="Arial" w:eastAsia="Arial" w:hAnsi="Arial"/>
          <w:sz w:val="16"/>
          <w:szCs w:val="16"/>
          <w:b w:val="1"/>
          <w:bCs w:val="1"/>
          <w:color w:val="auto"/>
        </w:rPr>
        <w:t>Non-Displayed Period</w:t>
      </w:r>
      <w:r>
        <w:rPr>
          <w:rFonts w:ascii="Arial" w:cs="Arial" w:eastAsia="Arial" w:hAnsi="Arial"/>
          <w:sz w:val="16"/>
          <w:szCs w:val="16"/>
          <w:color w:val="auto"/>
        </w:rPr>
        <w:t>”). The parties agree that for purposes of this Section 7 the Non-Display Period shall also include, and the Works shall be deemed to not be on display, any time the Works are on display in the offices of Lessor (including adjacent conference room) or Lessor’s executive assistants. The parties also agree that for purposes of this Section 7, the Works shall be deemed to on display any time the Works appear in any public area of the Resort, including within the offices of any executive located in the Resort, other than the offices of Lessor (including adjacent conference room) or Lessor’s executive assistants. Upon reasonable prior notice to Lessee, Lessor shall have the right from time to time to reasonably increase the stated value of any one or more of the Works, and require Lessee to increase the amount of insurance required by this Section 7. Lessor shall be named as an additional insured on Lessee’s insurance policy. A certificate of insurance and a copy of those portions of the insurance policy covering the Works and setting forth any exclusions to coverage shall be furnished by Lessee to Lessor, and shall be subject to Lessor’s reasonable approval as to form and content (including, without limitation, any deductible). The foregoing insurance policy shall include coverage against all risk of physical loss or damage from any external cause while in transit and on location in the Resort during the rental period hereunder. Lessee shall bear sole responsibility and shall be liable to Lessor for all loss, damage, or destruction of the Works and any of them during the rental period hereunder (including, without limitation, loss, damage, or destruction incurred during packing or crating or while in transit) other than during any Non-Displayed Period, regardless of any exceptions, exclusions, or limitations to its insurance policy covering the Works, regardless of fault or the degree of care exercised by Lessee, and regardless of the presence or supervision of, or any direction or approval by, Lessor or any Lessor’s representative; provided, however, that Lessee’s liability in the event of such loss, damage, or destruction shall not exceed the value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274" w:right="239" w:bottom="1440" w:gutter="0" w:footer="0" w:header="0"/>
        </w:sectPr>
      </w:pPr>
    </w:p>
    <w:bookmarkStart w:id="36" w:name="page37"/>
    <w:bookmarkEnd w:id="36"/>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Works as stipulated in writing by Lessor. Lessee shall be responsible to pay any and all deductibles relating to the insurance coverage required by this Section 7. In the event any Work is lost or stolen, and then recovered after Lessor has obtained insurance proceeds, Lessor shall have the option to exchange those insurance proceeds for such Work. In the event any Work is damaged but not destroyed, Lessee agrees to be responsible for both the cost of repairing and restoring such Work and the loss in value of such Work as determined by an appraiser mutually agreed upon by the parties.</w:t>
      </w:r>
    </w:p>
    <w:p>
      <w:pPr>
        <w:spacing w:after="0" w:line="113" w:lineRule="exact"/>
        <w:rPr>
          <w:sz w:val="20"/>
          <w:szCs w:val="20"/>
          <w:color w:val="auto"/>
        </w:rPr>
      </w:pPr>
    </w:p>
    <w:p>
      <w:pPr>
        <w:ind w:firstLine="464"/>
        <w:spacing w:after="0" w:line="253"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Lessee agrees to take all reasonable steps necessary to secure and protect the Works from loss, theft or injury and to treat them in a manner consistent with maintaining its own most valuable assets at all times the Works are in its possession, control or custody, or in transit to or from Lessor. Without limiting the generality of the foregoing, Lessee shall provide for an adequate number of guards to be on duty in and around the Resort at all times while the Works are in the Resort. All Works shall be within direct sight lines of at least one guard and under direct video surveillance at all times during the rental period hereunder; provided however that with respect to Works located on aircraft, Lessee shall ensure that the Aircraft remains in a secure area at any time any of the Works are placed on the Aircraft. Lessee shall comply with further reasonable security restrictions and arrangements as directed in writing by Lessor. Lessee represents and warrants to Lessor that the Resort is and shall be equipped with adequate fire detection/prevention systems and protected by alarm systems that are activated at all times.</w:t>
      </w:r>
    </w:p>
    <w:p>
      <w:pPr>
        <w:spacing w:after="0" w:line="145" w:lineRule="exact"/>
        <w:rPr>
          <w:rFonts w:ascii="Arial" w:cs="Arial" w:eastAsia="Arial" w:hAnsi="Arial"/>
          <w:sz w:val="18"/>
          <w:szCs w:val="18"/>
          <w:color w:val="auto"/>
        </w:rPr>
      </w:pPr>
    </w:p>
    <w:p>
      <w:pPr>
        <w:ind w:left="640" w:hanging="176"/>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Lessee shall indemnify, defend, protect, and hold harmless Lessor, his agents, heirs, assigns, and successors (collectively,</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Indemnitees</w:t>
      </w:r>
      <w:r>
        <w:rPr>
          <w:rFonts w:ascii="Arial" w:cs="Arial" w:eastAsia="Arial" w:hAnsi="Arial"/>
          <w:sz w:val="18"/>
          <w:szCs w:val="18"/>
          <w:color w:val="auto"/>
        </w:rPr>
        <w:t>”) from and against any and all claims, damages, liabilities, losses, actions, complaints, or judgments, including, without limitation, attorneys’ fees, threatened against, incurred, or suffered by the Indemnitees, arising out of Lessee’s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80" w:right="239" w:bottom="1440" w:gutter="0" w:footer="0" w:header="0"/>
        </w:sectPr>
      </w:pPr>
    </w:p>
    <w:bookmarkStart w:id="37" w:name="page38"/>
    <w:bookmarkEnd w:id="37"/>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breach of or failure to perform, under this Agreement, the inaccuracy when made of any representation or warranty made by Lessee, or any act or omission by or on behalf of Lessee or its respective officers, agents, employees, contractors, or representatives, relating to the Works or this Agreement.</w:t>
      </w:r>
    </w:p>
    <w:p>
      <w:pPr>
        <w:spacing w:after="0" w:line="85" w:lineRule="exact"/>
        <w:rPr>
          <w:sz w:val="20"/>
          <w:szCs w:val="20"/>
          <w:color w:val="auto"/>
        </w:rPr>
      </w:pPr>
    </w:p>
    <w:p>
      <w:pPr>
        <w:ind w:right="60" w:firstLine="464"/>
        <w:spacing w:after="0" w:line="290" w:lineRule="auto"/>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Lessee shall pay all of the following Nevada state and local taxes, along with all interest, penalties, and other additions related thereto: (a) sales and use taxes applicable to the rental of the Works pursuant hereto; and (b) except to the extent provided otherwise in the following sentence, personal property taxes applicable to each of the Works for each fiscal year during which Lessee is renting such Work hereunder. In the event that Lessor withdraws any Work from this Agreement and terminates the rental of such Work hereunder pursuant to the second sentence of Section 6 hereof, Lessor and Lessee shall make an equitable allocation of the personal property taxes applicable to such Work for the fiscal year in which such withdrawal occurs. For purposes of explanation and clarification of this Section 10, the personal property tax obligations of Lessee shall include Works that are on display in the offices of any executive located in the Resort, other than offices of Lessor (including adjacent conference room) or Lessor’s executive assistants.</w:t>
      </w:r>
    </w:p>
    <w:p>
      <w:pPr>
        <w:spacing w:after="0" w:line="118" w:lineRule="exact"/>
        <w:rPr>
          <w:rFonts w:ascii="Arial" w:cs="Arial" w:eastAsia="Arial" w:hAnsi="Arial"/>
          <w:sz w:val="16"/>
          <w:szCs w:val="16"/>
          <w:color w:val="auto"/>
        </w:rPr>
      </w:pPr>
    </w:p>
    <w:p>
      <w:pPr>
        <w:ind w:firstLine="464"/>
        <w:spacing w:after="0" w:line="294" w:lineRule="auto"/>
        <w:tabs>
          <w:tab w:leader="none" w:pos="713"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Intellectual Properties</w:t>
      </w:r>
      <w:r>
        <w:rPr>
          <w:rFonts w:ascii="Arial" w:cs="Arial" w:eastAsia="Arial" w:hAnsi="Arial"/>
          <w:sz w:val="16"/>
          <w:szCs w:val="16"/>
          <w:color w:val="auto"/>
        </w:rPr>
        <w:t>. Lessor consents to the photography, filming, videotaping and recordation of the Works for the purpose of obtaining photographic and other copyrights in the new derivative works, which shall be owned and controlled by Lessor, but which is hereby licensed to Lessee for use in advertising, promotion, and merchandising of, and education relating to, the Works, such license to run concurrently, with respect to any Work, with the rental of such Work hereunder. In the event that any Work is withdrawn or rental terminated, the corresponding license shall automatically terminate; provided, however, that following such termination, Lessee shall have six (6) months to discontinue sales and use of the applicable merchandise.</w:t>
      </w:r>
    </w:p>
    <w:p>
      <w:pPr>
        <w:spacing w:after="0" w:line="102" w:lineRule="exact"/>
        <w:rPr>
          <w:rFonts w:ascii="Arial" w:cs="Arial" w:eastAsia="Arial" w:hAnsi="Arial"/>
          <w:sz w:val="16"/>
          <w:szCs w:val="16"/>
          <w:color w:val="auto"/>
        </w:rPr>
      </w:pPr>
    </w:p>
    <w:p>
      <w:pPr>
        <w:ind w:left="5680" w:hanging="112"/>
        <w:spacing w:after="0"/>
        <w:tabs>
          <w:tab w:leader="none" w:pos="5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20"/>
          </w:cols>
          <w:pgMar w:left="240" w:top="280" w:right="239" w:bottom="1440" w:gutter="0" w:footer="0" w:header="0"/>
        </w:sectPr>
      </w:pPr>
    </w:p>
    <w:bookmarkStart w:id="38" w:name="page39"/>
    <w:bookmarkEnd w:id="38"/>
    <w:p>
      <w:pPr>
        <w:ind w:left="-440" w:right="60" w:firstLine="464"/>
        <w:spacing w:after="0" w:line="294" w:lineRule="auto"/>
        <w:tabs>
          <w:tab w:leader="none" w:pos="28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w:t>
      </w:r>
      <w:r>
        <w:rPr>
          <w:rFonts w:ascii="Arial" w:cs="Arial" w:eastAsia="Arial" w:hAnsi="Arial"/>
          <w:sz w:val="16"/>
          <w:szCs w:val="16"/>
          <w:color w:val="auto"/>
        </w:rPr>
        <w:t>. Any notice to be given pursuant to this Agreement by either party to the other shall be in writing and may be effected either by personal delivery, by mail, registered or certified, postage prepaid, with return receipt requested, or by facsimile. Notice by mail shall be sent concurrently with any facsimile notice. Notices shall be addressed to the parties at the address specified below, but each party may change such party’s address by written notice in accordance with this Section 12. Notices delivered personally shall be deemed communicated as of actual receipt; and mailed notices and facsimile notices (with a concurrent mailing) shall be deemed communicated three (3) days after mailing. Notices shall be given as follows:</w:t>
      </w:r>
    </w:p>
    <w:p>
      <w:pPr>
        <w:sectPr>
          <w:pgSz w:w="11900" w:h="16838" w:orient="portrait"/>
          <w:cols w:equalWidth="0" w:num="1">
            <w:col w:w="10920"/>
          </w:cols>
          <w:pgMar w:left="680" w:top="280" w:right="29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702-770-7000</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Mr. Stephen A. Wynn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Wynn Las Vegas, LLC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702-770-7700</w:t>
      </w:r>
    </w:p>
    <w:p>
      <w:pPr>
        <w:spacing w:after="0" w:line="165" w:lineRule="exact"/>
        <w:rPr>
          <w:sz w:val="20"/>
          <w:szCs w:val="20"/>
          <w:color w:val="auto"/>
        </w:rPr>
      </w:pPr>
    </w:p>
    <w:p>
      <w:pPr>
        <w:sectPr>
          <w:pgSz w:w="11900" w:h="16838" w:orient="portrait"/>
          <w:cols w:equalWidth="0" w:num="2">
            <w:col w:w="4720" w:space="720"/>
            <w:col w:w="5480"/>
          </w:cols>
          <w:pgMar w:left="680" w:top="280" w:right="299" w:bottom="1440" w:gutter="0" w:footer="0" w:header="0"/>
          <w:type w:val="continuous"/>
        </w:sectPr>
      </w:pPr>
    </w:p>
    <w:p>
      <w:pPr>
        <w:ind w:left="-440" w:right="20" w:firstLine="464"/>
        <w:spacing w:after="0" w:line="256" w:lineRule="auto"/>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constitutes the entire agreement between the parties and supersedes any oral or written communications between Lessor and Lessee, with respect to its subject matter, including, without limitation, that certain Fifth Amended and Restated Art Rental Licensing Agreement, as amended, between Lessor and Lessee. This Agreement may be amended only if such amendment is set forth in writing and executed by each of the parties.</w:t>
      </w:r>
    </w:p>
    <w:p>
      <w:pPr>
        <w:spacing w:after="0" w:line="143" w:lineRule="exact"/>
        <w:rPr>
          <w:rFonts w:ascii="Arial" w:cs="Arial" w:eastAsia="Arial" w:hAnsi="Arial"/>
          <w:sz w:val="18"/>
          <w:szCs w:val="18"/>
          <w:color w:val="auto"/>
        </w:rPr>
      </w:pPr>
    </w:p>
    <w:p>
      <w:pPr>
        <w:ind w:left="-440" w:right="120" w:firstLine="464"/>
        <w:spacing w:after="0" w:line="268" w:lineRule="auto"/>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in all respects be construed according to the laws of the State of Nevada, regardless of the choice or conflict of laws provisions of Nevada or any other jurisdiction.</w:t>
      </w:r>
    </w:p>
    <w:p>
      <w:pPr>
        <w:spacing w:after="0" w:line="131" w:lineRule="exact"/>
        <w:rPr>
          <w:rFonts w:ascii="Arial" w:cs="Arial" w:eastAsia="Arial" w:hAnsi="Arial"/>
          <w:sz w:val="18"/>
          <w:szCs w:val="18"/>
          <w:color w:val="auto"/>
        </w:rPr>
      </w:pPr>
    </w:p>
    <w:p>
      <w:pPr>
        <w:ind w:left="-440" w:firstLine="464"/>
        <w:spacing w:after="0" w:line="259" w:lineRule="auto"/>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Assignment; Binding Effect</w:t>
      </w:r>
      <w:r>
        <w:rPr>
          <w:rFonts w:ascii="Arial" w:cs="Arial" w:eastAsia="Arial" w:hAnsi="Arial"/>
          <w:sz w:val="18"/>
          <w:szCs w:val="18"/>
          <w:color w:val="auto"/>
        </w:rPr>
        <w:t>. Lessor may assign any or all of his rights and obligations under this Agreement. Lessee may not assign all or any portion of its rights or obligations under this Agreement without Lessor’s prior consent. Subject to the preceding sentence, this Agreement shall be binding upon, inure to the benefit of, and</w:t>
      </w:r>
    </w:p>
    <w:p>
      <w:pPr>
        <w:spacing w:after="0" w:line="126" w:lineRule="exact"/>
        <w:rPr>
          <w:rFonts w:ascii="Arial" w:cs="Arial" w:eastAsia="Arial" w:hAnsi="Arial"/>
          <w:sz w:val="18"/>
          <w:szCs w:val="18"/>
          <w:color w:val="auto"/>
        </w:rPr>
      </w:pPr>
    </w:p>
    <w:p>
      <w:pPr>
        <w:ind w:left="5240" w:hanging="112"/>
        <w:spacing w:after="0"/>
        <w:tabs>
          <w:tab w:leader="none" w:pos="52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20"/>
          </w:cols>
          <w:pgMar w:left="680" w:top="280" w:right="299" w:bottom="1440" w:gutter="0" w:footer="0" w:header="0"/>
          <w:type w:val="continuous"/>
        </w:sectPr>
      </w:pPr>
    </w:p>
    <w:bookmarkStart w:id="39" w:name="page40"/>
    <w:bookmarkEnd w:id="39"/>
    <w:p>
      <w:pPr>
        <w:jc w:val="both"/>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enforceable by the parties hereto and their respective heirs, legal representatives, successors, and assigns. This Agreement does not create, and shall not be construed or deemed to create, any rights or benefits enforceable by or for the benefit of any person or entity other than the parties hereto and their respective heirs, legal representatives, successors, and permitted assigns.</w:t>
      </w:r>
    </w:p>
    <w:p>
      <w:pPr>
        <w:spacing w:after="0" w:line="140" w:lineRule="exact"/>
        <w:rPr>
          <w:sz w:val="20"/>
          <w:szCs w:val="20"/>
          <w:color w:val="auto"/>
        </w:rPr>
      </w:pPr>
    </w:p>
    <w:p>
      <w:pPr>
        <w:ind w:right="40" w:firstLine="464"/>
        <w:spacing w:after="0" w:line="306"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Headings; Context</w:t>
      </w:r>
      <w:r>
        <w:rPr>
          <w:rFonts w:ascii="Arial" w:cs="Arial" w:eastAsia="Arial" w:hAnsi="Arial"/>
          <w:sz w:val="16"/>
          <w:szCs w:val="16"/>
          <w:color w:val="auto"/>
        </w:rPr>
        <w:t>. All headings herein are inserted only for convenience and ease of reference and shall not be considered in the construction or interpretation of any provision of this Agreement. Whenever used in this Agreement, the singular shall include the plural and the plural shall include the singular, and the neuter gender shall include the male and female as well as an entity, all as the context and meaning of this Agreement may require.</w:t>
      </w:r>
    </w:p>
    <w:p>
      <w:pPr>
        <w:spacing w:after="0" w:line="106" w:lineRule="exact"/>
        <w:rPr>
          <w:rFonts w:ascii="Arial" w:cs="Arial" w:eastAsia="Arial" w:hAnsi="Arial"/>
          <w:sz w:val="16"/>
          <w:szCs w:val="16"/>
          <w:color w:val="auto"/>
        </w:rPr>
      </w:pPr>
    </w:p>
    <w:p>
      <w:pPr>
        <w:ind w:firstLine="464"/>
        <w:spacing w:after="0" w:line="268"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shall constitute one and the same instrument.</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80"/>
          </w:cols>
          <w:pgMar w:left="240" w:top="280" w:right="279" w:bottom="1440" w:gutter="0" w:footer="0" w:header="0"/>
        </w:sectPr>
      </w:pPr>
    </w:p>
    <w:bookmarkStart w:id="40" w:name="page41"/>
    <w:bookmarkEnd w:id="4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Agreement as of the Effective Date.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“Lessor”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Stephen A. Wynn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“Lessee”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Marilyn Spiegel</w:t>
            </w:r>
          </w:p>
        </w:tc>
      </w:tr>
      <w:tr>
        <w:trPr>
          <w:trHeight w:val="203"/>
        </w:trPr>
        <w:tc>
          <w:tcPr>
            <w:tcW w:w="60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Marilyn Spiegel</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ind w:left="60"/>
              <w:spacing w:after="0"/>
              <w:rPr>
                <w:sz w:val="20"/>
                <w:szCs w:val="20"/>
                <w:color w:val="auto"/>
              </w:rPr>
            </w:pPr>
            <w:r>
              <w:rPr>
                <w:rFonts w:ascii="Arial" w:cs="Arial" w:eastAsia="Arial" w:hAnsi="Arial"/>
                <w:sz w:val="18"/>
                <w:szCs w:val="18"/>
                <w:color w:val="auto"/>
              </w:rPr>
              <w:t>President</w:t>
            </w:r>
          </w:p>
        </w:tc>
      </w:tr>
    </w:tbl>
    <w:p>
      <w:pPr>
        <w:spacing w:after="0" w:line="14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0219"/>
          </w:cols>
          <w:pgMar w:left="240" w:top="280" w:right="1440" w:bottom="1440" w:gutter="0" w:footer="0" w:header="0"/>
        </w:sectPr>
      </w:pPr>
    </w:p>
    <w:bookmarkStart w:id="41" w:name="page42"/>
    <w:bookmarkEnd w:id="41"/>
    <w:p>
      <w:pPr>
        <w:jc w:val="center"/>
        <w:ind w:right="-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WORKS OF ART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w w:val="90"/>
              </w:rPr>
              <w:t>Description</w:t>
            </w:r>
          </w:p>
        </w:tc>
        <w:tc>
          <w:tcPr>
            <w:tcW w:w="4200" w:type="dxa"/>
            <w:vAlign w:val="bottom"/>
          </w:tcPr>
          <w:p>
            <w:pPr>
              <w:spacing w:after="0"/>
              <w:rPr>
                <w:sz w:val="14"/>
                <w:szCs w:val="14"/>
                <w:color w:val="auto"/>
              </w:rPr>
            </w:pPr>
          </w:p>
        </w:tc>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Artist</w:t>
            </w: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r>
      <w:tr>
        <w:trPr>
          <w:trHeight w:val="20"/>
        </w:trPr>
        <w:tc>
          <w:tcPr>
            <w:tcW w:w="72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316"/>
        </w:trPr>
        <w:tc>
          <w:tcPr>
            <w:tcW w:w="4920" w:type="dxa"/>
            <w:vAlign w:val="bottom"/>
            <w:gridSpan w:val="2"/>
          </w:tcPr>
          <w:p>
            <w:pPr>
              <w:spacing w:after="0"/>
              <w:rPr>
                <w:sz w:val="20"/>
                <w:szCs w:val="20"/>
                <w:color w:val="auto"/>
              </w:rPr>
            </w:pPr>
            <w:r>
              <w:rPr>
                <w:rFonts w:ascii="Arial" w:cs="Arial" w:eastAsia="Arial" w:hAnsi="Arial"/>
                <w:sz w:val="18"/>
                <w:szCs w:val="18"/>
                <w:color w:val="auto"/>
              </w:rPr>
              <w:t>Magritte II, 1998—Sculpture</w:t>
            </w:r>
          </w:p>
        </w:tc>
        <w:tc>
          <w:tcPr>
            <w:tcW w:w="2060" w:type="dxa"/>
            <w:vAlign w:val="bottom"/>
            <w:gridSpan w:val="2"/>
          </w:tcPr>
          <w:p>
            <w:pPr>
              <w:spacing w:after="0"/>
              <w:rPr>
                <w:sz w:val="20"/>
                <w:szCs w:val="20"/>
                <w:color w:val="auto"/>
              </w:rPr>
            </w:pPr>
            <w:r>
              <w:rPr>
                <w:rFonts w:ascii="Arial" w:cs="Arial" w:eastAsia="Arial" w:hAnsi="Arial"/>
                <w:sz w:val="18"/>
                <w:szCs w:val="18"/>
                <w:color w:val="auto"/>
              </w:rPr>
              <w:t>Escobar, Marisol</w:t>
            </w:r>
          </w:p>
        </w:tc>
        <w:tc>
          <w:tcPr>
            <w:tcW w:w="4340" w:type="dxa"/>
            <w:vAlign w:val="bottom"/>
            <w:gridSpan w:val="2"/>
          </w:tcPr>
          <w:p>
            <w:pPr>
              <w:spacing w:after="0"/>
              <w:rPr>
                <w:sz w:val="20"/>
                <w:szCs w:val="20"/>
                <w:color w:val="auto"/>
              </w:rPr>
            </w:pPr>
            <w:r>
              <w:rPr>
                <w:rFonts w:ascii="Arial" w:cs="Arial" w:eastAsia="Arial" w:hAnsi="Arial"/>
                <w:sz w:val="18"/>
                <w:szCs w:val="18"/>
                <w:color w:val="auto"/>
              </w:rPr>
              <w:t>Wynn Las Vegas Executive Offices—Lobby</w:t>
            </w: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Blue Harbor, 1996</w:t>
            </w:r>
          </w:p>
        </w:tc>
        <w:tc>
          <w:tcPr>
            <w:tcW w:w="2060" w:type="dxa"/>
            <w:vAlign w:val="bottom"/>
            <w:gridSpan w:val="2"/>
          </w:tcPr>
          <w:p>
            <w:pPr>
              <w:spacing w:after="0"/>
              <w:rPr>
                <w:sz w:val="20"/>
                <w:szCs w:val="20"/>
                <w:color w:val="auto"/>
              </w:rPr>
            </w:pPr>
            <w:r>
              <w:rPr>
                <w:rFonts w:ascii="Arial" w:cs="Arial" w:eastAsia="Arial" w:hAnsi="Arial"/>
                <w:sz w:val="18"/>
                <w:szCs w:val="18"/>
                <w:color w:val="auto"/>
              </w:rPr>
              <w:t>Gilot, Francoise</w:t>
            </w:r>
          </w:p>
        </w:tc>
        <w:tc>
          <w:tcPr>
            <w:tcW w:w="4340" w:type="dxa"/>
            <w:vAlign w:val="bottom"/>
            <w:gridSpan w:val="2"/>
          </w:tcPr>
          <w:p>
            <w:pPr>
              <w:spacing w:after="0"/>
              <w:rPr>
                <w:sz w:val="20"/>
                <w:szCs w:val="20"/>
                <w:color w:val="auto"/>
              </w:rPr>
            </w:pPr>
            <w:r>
              <w:rPr>
                <w:rFonts w:ascii="Arial" w:cs="Arial" w:eastAsia="Arial" w:hAnsi="Arial"/>
                <w:sz w:val="18"/>
                <w:szCs w:val="18"/>
                <w:color w:val="auto"/>
              </w:rPr>
              <w:t>Outside Kim Sinatra’s Office</w:t>
            </w: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Kutani Porcelain Vase With 47 Ronin Design</w:t>
            </w:r>
          </w:p>
        </w:tc>
        <w:tc>
          <w:tcPr>
            <w:tcW w:w="2060" w:type="dxa"/>
            <w:vAlign w:val="bottom"/>
            <w:gridSpan w:val="2"/>
          </w:tcPr>
          <w:p>
            <w:pPr>
              <w:spacing w:after="0"/>
              <w:rPr>
                <w:sz w:val="20"/>
                <w:szCs w:val="20"/>
                <w:color w:val="auto"/>
              </w:rPr>
            </w:pPr>
            <w:r>
              <w:rPr>
                <w:rFonts w:ascii="Arial" w:cs="Arial" w:eastAsia="Arial" w:hAnsi="Arial"/>
                <w:sz w:val="18"/>
                <w:szCs w:val="18"/>
                <w:color w:val="auto"/>
              </w:rPr>
              <w:t>Kutani, Koko</w:t>
            </w:r>
          </w:p>
        </w:tc>
        <w:tc>
          <w:tcPr>
            <w:tcW w:w="4340" w:type="dxa"/>
            <w:vAlign w:val="bottom"/>
            <w:gridSpan w:val="2"/>
          </w:tcPr>
          <w:p>
            <w:pPr>
              <w:spacing w:after="0"/>
              <w:rPr>
                <w:sz w:val="20"/>
                <w:szCs w:val="20"/>
                <w:color w:val="auto"/>
              </w:rPr>
            </w:pPr>
            <w:r>
              <w:rPr>
                <w:rFonts w:ascii="Arial" w:cs="Arial" w:eastAsia="Arial" w:hAnsi="Arial"/>
                <w:sz w:val="18"/>
                <w:szCs w:val="18"/>
                <w:color w:val="auto"/>
              </w:rPr>
              <w:t>Mizumi Restaurant Wynn Las Vegas</w:t>
            </w: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Nude After Bathus</w:t>
            </w:r>
          </w:p>
        </w:tc>
        <w:tc>
          <w:tcPr>
            <w:tcW w:w="2060" w:type="dxa"/>
            <w:vAlign w:val="bottom"/>
            <w:gridSpan w:val="2"/>
          </w:tcPr>
          <w:p>
            <w:pPr>
              <w:spacing w:after="0"/>
              <w:rPr>
                <w:sz w:val="20"/>
                <w:szCs w:val="20"/>
                <w:color w:val="auto"/>
              </w:rPr>
            </w:pPr>
            <w:r>
              <w:rPr>
                <w:rFonts w:ascii="Arial" w:cs="Arial" w:eastAsia="Arial" w:hAnsi="Arial"/>
                <w:sz w:val="18"/>
                <w:szCs w:val="18"/>
                <w:color w:val="auto"/>
              </w:rPr>
              <w:t>Ludwig, Daniel</w:t>
            </w:r>
          </w:p>
        </w:tc>
        <w:tc>
          <w:tcPr>
            <w:tcW w:w="4340" w:type="dxa"/>
            <w:vAlign w:val="bottom"/>
            <w:gridSpan w:val="2"/>
          </w:tcPr>
          <w:p>
            <w:pPr>
              <w:spacing w:after="0"/>
              <w:rPr>
                <w:sz w:val="20"/>
                <w:szCs w:val="20"/>
                <w:color w:val="auto"/>
              </w:rPr>
            </w:pPr>
            <w:r>
              <w:rPr>
                <w:rFonts w:ascii="Arial" w:cs="Arial" w:eastAsia="Arial" w:hAnsi="Arial"/>
                <w:sz w:val="18"/>
                <w:szCs w:val="18"/>
                <w:color w:val="auto"/>
                <w:w w:val="88"/>
              </w:rPr>
              <w:t>Wynn Las Vegas—Executive Offices (John Strzemp’s Office)</w:t>
            </w: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Jerry-Rigged, 2011 Lacquer on Canvas</w:t>
            </w:r>
          </w:p>
        </w:tc>
        <w:tc>
          <w:tcPr>
            <w:tcW w:w="2060" w:type="dxa"/>
            <w:vAlign w:val="bottom"/>
            <w:gridSpan w:val="2"/>
          </w:tcPr>
          <w:p>
            <w:pPr>
              <w:spacing w:after="0"/>
              <w:rPr>
                <w:sz w:val="20"/>
                <w:szCs w:val="20"/>
                <w:color w:val="auto"/>
              </w:rPr>
            </w:pPr>
            <w:r>
              <w:rPr>
                <w:rFonts w:ascii="Arial" w:cs="Arial" w:eastAsia="Arial" w:hAnsi="Arial"/>
                <w:sz w:val="18"/>
                <w:szCs w:val="18"/>
                <w:color w:val="auto"/>
              </w:rPr>
              <w:t>Pittman, Lari</w:t>
            </w:r>
          </w:p>
        </w:tc>
        <w:tc>
          <w:tcPr>
            <w:tcW w:w="4340" w:type="dxa"/>
            <w:vAlign w:val="bottom"/>
            <w:gridSpan w:val="2"/>
          </w:tcPr>
          <w:p>
            <w:pPr>
              <w:spacing w:after="0"/>
              <w:rPr>
                <w:sz w:val="20"/>
                <w:szCs w:val="20"/>
                <w:color w:val="auto"/>
              </w:rPr>
            </w:pPr>
            <w:r>
              <w:rPr>
                <w:rFonts w:ascii="Arial" w:cs="Arial" w:eastAsia="Arial" w:hAnsi="Arial"/>
                <w:sz w:val="18"/>
                <w:szCs w:val="18"/>
                <w:color w:val="auto"/>
              </w:rPr>
              <w:t>In BBJ Aircraft</w:t>
            </w: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Makeshift, 2011 Lacquer on Canvas</w:t>
            </w:r>
          </w:p>
        </w:tc>
        <w:tc>
          <w:tcPr>
            <w:tcW w:w="2060" w:type="dxa"/>
            <w:vAlign w:val="bottom"/>
            <w:gridSpan w:val="2"/>
          </w:tcPr>
          <w:p>
            <w:pPr>
              <w:spacing w:after="0"/>
              <w:rPr>
                <w:sz w:val="20"/>
                <w:szCs w:val="20"/>
                <w:color w:val="auto"/>
              </w:rPr>
            </w:pPr>
            <w:r>
              <w:rPr>
                <w:rFonts w:ascii="Arial" w:cs="Arial" w:eastAsia="Arial" w:hAnsi="Arial"/>
                <w:sz w:val="18"/>
                <w:szCs w:val="18"/>
                <w:color w:val="auto"/>
              </w:rPr>
              <w:t>Pittman, Lari</w:t>
            </w:r>
          </w:p>
        </w:tc>
        <w:tc>
          <w:tcPr>
            <w:tcW w:w="4340" w:type="dxa"/>
            <w:vAlign w:val="bottom"/>
            <w:gridSpan w:val="2"/>
          </w:tcPr>
          <w:p>
            <w:pPr>
              <w:spacing w:after="0"/>
              <w:rPr>
                <w:sz w:val="20"/>
                <w:szCs w:val="20"/>
                <w:color w:val="auto"/>
              </w:rPr>
            </w:pPr>
            <w:r>
              <w:rPr>
                <w:rFonts w:ascii="Arial" w:cs="Arial" w:eastAsia="Arial" w:hAnsi="Arial"/>
                <w:sz w:val="18"/>
                <w:szCs w:val="18"/>
                <w:color w:val="auto"/>
              </w:rPr>
              <w:t>In BBJ Aircraft</w:t>
            </w: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Pavane, 2011 Lacquer on Canvas</w:t>
            </w:r>
          </w:p>
        </w:tc>
        <w:tc>
          <w:tcPr>
            <w:tcW w:w="2060" w:type="dxa"/>
            <w:vAlign w:val="bottom"/>
            <w:gridSpan w:val="2"/>
          </w:tcPr>
          <w:p>
            <w:pPr>
              <w:spacing w:after="0"/>
              <w:rPr>
                <w:sz w:val="20"/>
                <w:szCs w:val="20"/>
                <w:color w:val="auto"/>
              </w:rPr>
            </w:pPr>
            <w:r>
              <w:rPr>
                <w:rFonts w:ascii="Arial" w:cs="Arial" w:eastAsia="Arial" w:hAnsi="Arial"/>
                <w:sz w:val="18"/>
                <w:szCs w:val="18"/>
                <w:color w:val="auto"/>
              </w:rPr>
              <w:t>Pittman, Lari</w:t>
            </w:r>
          </w:p>
        </w:tc>
        <w:tc>
          <w:tcPr>
            <w:tcW w:w="4340" w:type="dxa"/>
            <w:vAlign w:val="bottom"/>
            <w:gridSpan w:val="2"/>
          </w:tcPr>
          <w:p>
            <w:pPr>
              <w:spacing w:after="0"/>
              <w:rPr>
                <w:sz w:val="20"/>
                <w:szCs w:val="20"/>
                <w:color w:val="auto"/>
              </w:rPr>
            </w:pPr>
            <w:r>
              <w:rPr>
                <w:rFonts w:ascii="Arial" w:cs="Arial" w:eastAsia="Arial" w:hAnsi="Arial"/>
                <w:sz w:val="18"/>
                <w:szCs w:val="18"/>
                <w:color w:val="auto"/>
              </w:rPr>
              <w:t>By Laurie Nady’s Desk</w:t>
            </w:r>
          </w:p>
        </w:tc>
      </w:tr>
      <w:tr>
        <w:trPr>
          <w:trHeight w:val="318"/>
        </w:trPr>
        <w:tc>
          <w:tcPr>
            <w:tcW w:w="4920" w:type="dxa"/>
            <w:vAlign w:val="bottom"/>
            <w:gridSpan w:val="2"/>
          </w:tcPr>
          <w:p>
            <w:pPr>
              <w:spacing w:after="0"/>
              <w:rPr>
                <w:sz w:val="20"/>
                <w:szCs w:val="20"/>
                <w:color w:val="auto"/>
              </w:rPr>
            </w:pPr>
            <w:r>
              <w:rPr>
                <w:rFonts w:ascii="Arial" w:cs="Arial" w:eastAsia="Arial" w:hAnsi="Arial"/>
                <w:sz w:val="18"/>
                <w:szCs w:val="18"/>
                <w:color w:val="auto"/>
                <w:w w:val="94"/>
              </w:rPr>
              <w:t>Yoshino (Area in Japan Where Cherry Blossoms Bloom, size 7' x</w:t>
            </w:r>
          </w:p>
        </w:tc>
        <w:tc>
          <w:tcPr>
            <w:tcW w:w="2060" w:type="dxa"/>
            <w:vAlign w:val="bottom"/>
            <w:gridSpan w:val="2"/>
          </w:tcPr>
          <w:p>
            <w:pPr>
              <w:spacing w:after="0"/>
              <w:rPr>
                <w:sz w:val="20"/>
                <w:szCs w:val="20"/>
                <w:color w:val="auto"/>
              </w:rPr>
            </w:pPr>
            <w:r>
              <w:rPr>
                <w:rFonts w:ascii="Arial" w:cs="Arial" w:eastAsia="Arial" w:hAnsi="Arial"/>
                <w:sz w:val="18"/>
                <w:szCs w:val="18"/>
                <w:color w:val="auto"/>
              </w:rPr>
              <w:t>Ryu, Seiho</w:t>
            </w:r>
          </w:p>
        </w:tc>
        <w:tc>
          <w:tcPr>
            <w:tcW w:w="4340" w:type="dxa"/>
            <w:vAlign w:val="bottom"/>
            <w:gridSpan w:val="2"/>
          </w:tcPr>
          <w:p>
            <w:pPr>
              <w:spacing w:after="0"/>
              <w:rPr>
                <w:sz w:val="20"/>
                <w:szCs w:val="20"/>
                <w:color w:val="auto"/>
              </w:rPr>
            </w:pPr>
            <w:r>
              <w:rPr>
                <w:rFonts w:ascii="Arial" w:cs="Arial" w:eastAsia="Arial" w:hAnsi="Arial"/>
                <w:sz w:val="18"/>
                <w:szCs w:val="18"/>
                <w:color w:val="auto"/>
              </w:rPr>
              <w:t>Executive Conference Room</w:t>
            </w: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4')</w:t>
            </w:r>
          </w:p>
        </w:tc>
        <w:tc>
          <w:tcPr>
            <w:tcW w:w="4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Composition with Glass</w:t>
            </w:r>
          </w:p>
        </w:tc>
        <w:tc>
          <w:tcPr>
            <w:tcW w:w="2060" w:type="dxa"/>
            <w:vAlign w:val="bottom"/>
            <w:gridSpan w:val="2"/>
          </w:tcPr>
          <w:p>
            <w:pPr>
              <w:spacing w:after="0"/>
              <w:rPr>
                <w:sz w:val="20"/>
                <w:szCs w:val="20"/>
                <w:color w:val="auto"/>
              </w:rPr>
            </w:pPr>
            <w:r>
              <w:rPr>
                <w:rFonts w:ascii="Arial" w:cs="Arial" w:eastAsia="Arial" w:hAnsi="Arial"/>
                <w:sz w:val="18"/>
                <w:szCs w:val="18"/>
                <w:color w:val="auto"/>
              </w:rPr>
              <w:t>Yasani, Masoud</w:t>
            </w:r>
          </w:p>
        </w:tc>
        <w:tc>
          <w:tcPr>
            <w:tcW w:w="4340" w:type="dxa"/>
            <w:vAlign w:val="bottom"/>
            <w:gridSpan w:val="2"/>
          </w:tcPr>
          <w:p>
            <w:pPr>
              <w:spacing w:after="0"/>
              <w:rPr>
                <w:sz w:val="20"/>
                <w:szCs w:val="20"/>
                <w:color w:val="auto"/>
              </w:rPr>
            </w:pPr>
            <w:r>
              <w:rPr>
                <w:rFonts w:ascii="Arial" w:cs="Arial" w:eastAsia="Arial" w:hAnsi="Arial"/>
                <w:sz w:val="18"/>
                <w:szCs w:val="18"/>
                <w:color w:val="auto"/>
              </w:rPr>
              <w:t>Marc Schorr’s Office—Wynn Las Vegas</w:t>
            </w: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Imari Vase</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Mizumi Restaurant Wynn Las Vegas</w:t>
            </w:r>
          </w:p>
        </w:tc>
      </w:tr>
    </w:tbl>
    <w:p>
      <w:pPr>
        <w:sectPr>
          <w:pgSz w:w="11900" w:h="16838" w:orient="portrait"/>
          <w:cols w:equalWidth="0" w:num="1">
            <w:col w:w="11320"/>
          </w:cols>
          <w:pgMar w:left="240" w:top="28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Marilyn Spiegel, certify that:</w:t>
      </w:r>
    </w:p>
    <w:p>
      <w:pPr>
        <w:spacing w:after="0" w:line="21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2012</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Marilyn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27940</wp:posOffset>
            </wp:positionV>
            <wp:extent cx="2263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Marilyn Spiegel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Scott Peterson, certify that:</w:t>
      </w:r>
    </w:p>
    <w:p>
      <w:pPr>
        <w:spacing w:after="0" w:line="212"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2012</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27940</wp:posOffset>
            </wp:positionV>
            <wp:extent cx="2263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 Peterson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September 30, 2012 as filed with the Securities and Exchange Commission on the date hereof (the “Report”), Marilyn Spiegel, as President of the Company and Scott Peterson, as Chief Financial Officer of the Company, each hereby certifies, pursuant to 18 U.S.C. Section 1350, as adopted pursuant to Section 906 of the Sarbanes-Oxley Act of 2002, that, to the best of their knowledge:</w:t>
      </w:r>
    </w:p>
    <w:p>
      <w:pPr>
        <w:spacing w:after="0" w:line="6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Marilyn Spiegel</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Name:</w:t>
            </w:r>
          </w:p>
        </w:tc>
        <w:tc>
          <w:tcPr>
            <w:tcW w:w="4340" w:type="dxa"/>
            <w:vAlign w:val="bottom"/>
            <w:tcBorders>
              <w:top w:val="single" w:sz="8" w:color="auto"/>
            </w:tcBorders>
          </w:tcPr>
          <w:p>
            <w:pPr>
              <w:ind w:left="120"/>
              <w:spacing w:after="0" w:line="203" w:lineRule="exact"/>
              <w:rPr>
                <w:sz w:val="20"/>
                <w:szCs w:val="20"/>
                <w:color w:val="auto"/>
              </w:rPr>
            </w:pPr>
            <w:r>
              <w:rPr>
                <w:rFonts w:ascii="Arial" w:cs="Arial" w:eastAsia="Arial" w:hAnsi="Arial"/>
                <w:sz w:val="18"/>
                <w:szCs w:val="18"/>
                <w:color w:val="auto"/>
              </w:rPr>
              <w:t>Marilyn Spiegel</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120"/>
              <w:spacing w:after="0"/>
              <w:rPr>
                <w:sz w:val="20"/>
                <w:szCs w:val="20"/>
                <w:color w:val="auto"/>
              </w:rPr>
            </w:pPr>
            <w:r>
              <w:rPr>
                <w:rFonts w:ascii="Arial" w:cs="Arial" w:eastAsia="Arial" w:hAnsi="Arial"/>
                <w:sz w:val="18"/>
                <w:szCs w:val="18"/>
                <w:color w:val="auto"/>
              </w:rPr>
              <w:t>President</w:t>
            </w:r>
          </w:p>
        </w:tc>
      </w:tr>
      <w:tr>
        <w:trPr>
          <w:trHeight w:val="216"/>
        </w:trPr>
        <w:tc>
          <w:tcPr>
            <w:tcW w:w="58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340" w:type="dxa"/>
            <w:vAlign w:val="bottom"/>
          </w:tcPr>
          <w:p>
            <w:pPr>
              <w:ind w:left="120"/>
              <w:spacing w:after="0"/>
              <w:rPr>
                <w:sz w:val="20"/>
                <w:szCs w:val="20"/>
                <w:color w:val="auto"/>
              </w:rPr>
            </w:pPr>
            <w:r>
              <w:rPr>
                <w:rFonts w:ascii="Arial" w:cs="Arial" w:eastAsia="Arial" w:hAnsi="Arial"/>
                <w:sz w:val="18"/>
                <w:szCs w:val="18"/>
                <w:color w:val="auto"/>
              </w:rPr>
              <w:t>November 9, 2012</w:t>
            </w:r>
          </w:p>
        </w:tc>
      </w:tr>
      <w:tr>
        <w:trPr>
          <w:trHeight w:val="433"/>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Peterson</w:t>
            </w:r>
          </w:p>
        </w:tc>
      </w:tr>
      <w:tr>
        <w:trPr>
          <w:trHeight w:val="202"/>
        </w:trPr>
        <w:tc>
          <w:tcPr>
            <w:tcW w:w="58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340" w:type="dxa"/>
            <w:vAlign w:val="bottom"/>
          </w:tcPr>
          <w:p>
            <w:pPr>
              <w:ind w:left="120"/>
              <w:spacing w:after="0" w:line="202" w:lineRule="exact"/>
              <w:rPr>
                <w:sz w:val="20"/>
                <w:szCs w:val="20"/>
                <w:color w:val="auto"/>
              </w:rPr>
            </w:pPr>
            <w:r>
              <w:rPr>
                <w:rFonts w:ascii="Arial" w:cs="Arial" w:eastAsia="Arial" w:hAnsi="Arial"/>
                <w:sz w:val="18"/>
                <w:szCs w:val="18"/>
                <w:color w:val="auto"/>
              </w:rPr>
              <w:t>Scott Peterson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12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58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340" w:type="dxa"/>
            <w:vAlign w:val="bottom"/>
          </w:tcPr>
          <w:p>
            <w:pPr>
              <w:ind w:left="120"/>
              <w:spacing w:after="0"/>
              <w:rPr>
                <w:sz w:val="20"/>
                <w:szCs w:val="20"/>
                <w:color w:val="auto"/>
              </w:rPr>
            </w:pPr>
            <w:r>
              <w:rPr>
                <w:rFonts w:ascii="Arial" w:cs="Arial" w:eastAsia="Arial" w:hAnsi="Arial"/>
                <w:sz w:val="18"/>
                <w:szCs w:val="18"/>
                <w:color w:val="auto"/>
              </w:rPr>
              <w:t>November 9, 2012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2"/>
    </w:lvl>
  </w:abstractNum>
  <w:abstractNum w:abstractNumId="3">
    <w:nsid w:val="1BEFD79F"/>
    <w:multiLevelType w:val="hybridMultilevel"/>
    <w:lvl w:ilvl="0">
      <w:lvlJc w:val="left"/>
      <w:lvlText w:val="%1."/>
      <w:numFmt w:val="decimal"/>
      <w:start w:val="8"/>
    </w:lvl>
  </w:abstractNum>
  <w:abstractNum w:abstractNumId="4">
    <w:nsid w:val="41A7C4C9"/>
    <w:multiLevelType w:val="hybridMultilevel"/>
    <w:lvl w:ilvl="0">
      <w:lvlJc w:val="left"/>
      <w:lvlText w:val="%1."/>
      <w:numFmt w:val="decimal"/>
      <w:start w:val="10"/>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lvl w:ilvl="1">
      <w:lvlJc w:val="left"/>
      <w:lvlText w:val="-"/>
      <w:numFmt w:val="bullet"/>
      <w:start w:val="1"/>
    </w:lvl>
  </w:abstractNum>
  <w:abstractNum w:abstractNumId="15">
    <w:nsid w:val="628C895D"/>
    <w:multiLevelType w:val="hybridMultilevel"/>
    <w:lvl w:ilvl="0">
      <w:lvlJc w:val="left"/>
      <w:lvlText w:val="%1."/>
      <w:numFmt w:val="decimal"/>
      <w:start w:val="2"/>
    </w:lvl>
    <w:lvl w:ilvl="1">
      <w:lvlJc w:val="left"/>
      <w:lvlText w:val="-"/>
      <w:numFmt w:val="bullet"/>
      <w:start w:val="1"/>
    </w:lvl>
  </w:abstractNum>
  <w:abstractNum w:abstractNumId="16">
    <w:nsid w:val="333AB105"/>
    <w:multiLevelType w:val="hybridMultilevel"/>
    <w:lvl w:ilvl="0">
      <w:lvlJc w:val="left"/>
      <w:lvlText w:val="%1."/>
      <w:numFmt w:val="decimal"/>
      <w:start w:val="5"/>
    </w:lvl>
    <w:lvl w:ilvl="1">
      <w:lvlJc w:val="left"/>
      <w:lvlText w:val="-"/>
      <w:numFmt w:val="bullet"/>
      <w:start w:val="1"/>
    </w:lvl>
  </w:abstractNum>
  <w:abstractNum w:abstractNumId="17">
    <w:nsid w:val="721DA317"/>
    <w:multiLevelType w:val="hybridMultilevel"/>
    <w:lvl w:ilvl="0">
      <w:lvlJc w:val="left"/>
      <w:lvlText w:val="%1."/>
      <w:numFmt w:val="decimal"/>
      <w:start w:val="7"/>
    </w:lvl>
    <w:lvl w:ilvl="1">
      <w:lvlJc w:val="left"/>
      <w:lvlText w:val="-"/>
      <w:numFmt w:val="bullet"/>
      <w:start w:val="1"/>
    </w:lvl>
  </w:abstractNum>
  <w:abstractNum w:abstractNumId="18">
    <w:nsid w:val="2443A858"/>
    <w:multiLevelType w:val="hybridMultilevel"/>
    <w:lvl w:ilvl="0">
      <w:lvlJc w:val="left"/>
      <w:lvlText w:val="%1."/>
      <w:numFmt w:val="decimal"/>
      <w:start w:val="8"/>
    </w:lvl>
  </w:abstractNum>
  <w:abstractNum w:abstractNumId="19">
    <w:nsid w:val="2D1D5AE9"/>
    <w:multiLevelType w:val="hybridMultilevel"/>
    <w:lvl w:ilvl="0">
      <w:lvlJc w:val="left"/>
      <w:lvlText w:val="%1."/>
      <w:numFmt w:val="decimal"/>
      <w:start w:val="10"/>
    </w:lvl>
    <w:lvl w:ilvl="1">
      <w:lvlJc w:val="left"/>
      <w:lvlText w:val="-"/>
      <w:numFmt w:val="bullet"/>
      <w:start w:val="1"/>
    </w:lvl>
  </w:abstractNum>
  <w:abstractNum w:abstractNumId="20">
    <w:nsid w:val="6763845E"/>
    <w:multiLevelType w:val="hybridMultilevel"/>
    <w:lvl w:ilvl="0">
      <w:lvlJc w:val="left"/>
      <w:lvlText w:val="%1."/>
      <w:numFmt w:val="decimal"/>
      <w:start w:val="12"/>
    </w:lvl>
  </w:abstractNum>
  <w:abstractNum w:abstractNumId="21">
    <w:nsid w:val="75A2A8D4"/>
    <w:multiLevelType w:val="hybridMultilevel"/>
    <w:lvl w:ilvl="0">
      <w:lvlJc w:val="left"/>
      <w:lvlText w:val="%1."/>
      <w:numFmt w:val="decimal"/>
      <w:start w:val="13"/>
    </w:lvl>
    <w:lvl w:ilvl="1">
      <w:lvlJc w:val="left"/>
      <w:lvlText w:val="-"/>
      <w:numFmt w:val="bullet"/>
      <w:start w:val="1"/>
    </w:lvl>
  </w:abstractNum>
  <w:abstractNum w:abstractNumId="22">
    <w:nsid w:val="8EDBDAB"/>
    <w:multiLevelType w:val="hybridMultilevel"/>
    <w:lvl w:ilvl="0">
      <w:lvlJc w:val="left"/>
      <w:lvlText w:val="%1."/>
      <w:numFmt w:val="decimal"/>
      <w:start w:val="16"/>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2019-12-09T14:59:07Z</dcterms:created>
  <dcterms:modified xsi:type="dcterms:W3CDTF">2019-12-09T14:59:07Z</dcterms:modified>
</cp:coreProperties>
</file>