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02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STRZEMP JOHN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09/09/2013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LAS VEGAS  NV</w:t>
            </w:r>
          </w:p>
        </w:tc>
        <w:tc>
          <w:tcPr>
            <w:tcW w:w="840" w:type="dxa"/>
            <w:vAlign w:val="bottom"/>
          </w:tcPr>
          <w:p>
            <w:pPr>
              <w:jc w:val="right"/>
              <w:spacing w:after="0"/>
              <w:rPr>
                <w:sz w:val="20"/>
                <w:szCs w:val="20"/>
                <w:color w:val="auto"/>
              </w:rPr>
            </w:pPr>
            <w:r>
              <w:rPr>
                <w:rFonts w:ascii="Arial" w:cs="Arial" w:eastAsia="Arial" w:hAnsi="Arial"/>
                <w:sz w:val="18"/>
                <w:szCs w:val="18"/>
                <w:color w:val="0000FF"/>
              </w:rPr>
              <w:t>89109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6"/>
        <w:spacing w:after="0"/>
        <w:rPr>
          <w:sz w:val="20"/>
          <w:szCs w:val="20"/>
          <w:color w:val="auto"/>
        </w:rPr>
      </w:pPr>
      <w:r>
        <w:rPr>
          <w:rFonts w:ascii="Arial" w:cs="Arial" w:eastAsia="Arial" w:hAnsi="Arial"/>
          <w:sz w:val="18"/>
          <w:szCs w:val="18"/>
          <w:color w:val="0000FF"/>
        </w:rPr>
        <w:t>EVP, Chief Administrative Ofc</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400" w:type="dxa"/>
            <w:vAlign w:val="bottom"/>
          </w:tcPr>
          <w:p>
            <w:pPr>
              <w:ind w:left="60"/>
              <w:spacing w:after="0"/>
              <w:rPr>
                <w:sz w:val="20"/>
                <w:szCs w:val="20"/>
                <w:color w:val="auto"/>
              </w:rPr>
            </w:pPr>
            <w:r>
              <w:rPr>
                <w:rFonts w:ascii="Arial" w:cs="Arial" w:eastAsia="Arial" w:hAnsi="Arial"/>
                <w:sz w:val="18"/>
                <w:szCs w:val="18"/>
                <w:color w:val="0000FF"/>
              </w:rPr>
              <w:t>Common Stock, par value $0.01 per share</w:t>
            </w:r>
          </w:p>
        </w:tc>
        <w:tc>
          <w:tcPr>
            <w:tcW w:w="2680" w:type="dxa"/>
            <w:vAlign w:val="bottom"/>
          </w:tcPr>
          <w:p>
            <w:pPr>
              <w:jc w:val="center"/>
              <w:ind w:left="632"/>
              <w:spacing w:after="0"/>
              <w:rPr>
                <w:sz w:val="20"/>
                <w:szCs w:val="20"/>
                <w:color w:val="auto"/>
              </w:rPr>
            </w:pPr>
            <w:r>
              <w:rPr>
                <w:rFonts w:ascii="Arial" w:cs="Arial" w:eastAsia="Arial" w:hAnsi="Arial"/>
                <w:sz w:val="18"/>
                <w:szCs w:val="18"/>
                <w:color w:val="0000FF"/>
                <w:w w:val="86"/>
              </w:rPr>
              <w:t>230,000</w:t>
            </w:r>
          </w:p>
        </w:tc>
        <w:tc>
          <w:tcPr>
            <w:tcW w:w="1100" w:type="dxa"/>
            <w:vAlign w:val="bottom"/>
          </w:tcPr>
          <w:p>
            <w:pPr>
              <w:jc w:val="center"/>
              <w:ind w:left="272"/>
              <w:spacing w:after="0"/>
              <w:rPr>
                <w:sz w:val="20"/>
                <w:szCs w:val="20"/>
                <w:color w:val="auto"/>
              </w:rPr>
            </w:pPr>
            <w:r>
              <w:rPr>
                <w:rFonts w:ascii="Arial" w:cs="Arial" w:eastAsia="Arial" w:hAnsi="Arial"/>
                <w:sz w:val="18"/>
                <w:szCs w:val="18"/>
                <w:color w:val="0000FF"/>
              </w:rPr>
              <w:t>D</w:t>
            </w: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4400" w:type="dxa"/>
            <w:vAlign w:val="bottom"/>
            <w:tcBorders>
              <w:bottom w:val="single" w:sz="8" w:color="2C2C2C"/>
            </w:tcBorders>
          </w:tcPr>
          <w:p>
            <w:pPr>
              <w:spacing w:after="0"/>
              <w:rPr>
                <w:sz w:val="5"/>
                <w:szCs w:val="5"/>
                <w:color w:val="auto"/>
              </w:rPr>
            </w:pPr>
          </w:p>
        </w:tc>
        <w:tc>
          <w:tcPr>
            <w:tcW w:w="26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331"/>
        </w:trPr>
        <w:tc>
          <w:tcPr>
            <w:tcW w:w="20" w:type="dxa"/>
            <w:vAlign w:val="bottom"/>
          </w:tcPr>
          <w:p>
            <w:pPr>
              <w:spacing w:after="0"/>
              <w:rPr>
                <w:sz w:val="24"/>
                <w:szCs w:val="24"/>
                <w:color w:val="auto"/>
              </w:rPr>
            </w:pPr>
          </w:p>
        </w:tc>
        <w:tc>
          <w:tcPr>
            <w:tcW w:w="44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par value $0.01 per share</w:t>
            </w:r>
          </w:p>
        </w:tc>
        <w:tc>
          <w:tcPr>
            <w:tcW w:w="2680" w:type="dxa"/>
            <w:vAlign w:val="bottom"/>
            <w:tcBorders>
              <w:bottom w:val="single" w:sz="8" w:color="2C2C2C"/>
            </w:tcBorders>
          </w:tcPr>
          <w:p>
            <w:pPr>
              <w:jc w:val="center"/>
              <w:ind w:left="632"/>
              <w:spacing w:after="0"/>
              <w:rPr>
                <w:sz w:val="20"/>
                <w:szCs w:val="20"/>
                <w:color w:val="auto"/>
              </w:rPr>
            </w:pPr>
            <w:r>
              <w:rPr>
                <w:rFonts w:ascii="Arial" w:cs="Arial" w:eastAsia="Arial" w:hAnsi="Arial"/>
                <w:sz w:val="18"/>
                <w:szCs w:val="18"/>
                <w:color w:val="0000FF"/>
                <w:w w:val="82"/>
              </w:rPr>
              <w:t>25,000</w:t>
            </w:r>
            <w:r>
              <w:rPr>
                <w:rFonts w:ascii="Arial" w:cs="Arial" w:eastAsia="Arial" w:hAnsi="Arial"/>
                <w:sz w:val="22"/>
                <w:szCs w:val="22"/>
                <w:color w:val="008000"/>
                <w:w w:val="82"/>
                <w:vertAlign w:val="superscript"/>
              </w:rPr>
              <w:t>(1)</w:t>
            </w:r>
          </w:p>
        </w:tc>
        <w:tc>
          <w:tcPr>
            <w:tcW w:w="110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0000FF"/>
              </w:rPr>
              <w:t>D</w:t>
            </w:r>
          </w:p>
        </w:tc>
        <w:tc>
          <w:tcPr>
            <w:tcW w:w="32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44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par value $0.01 per share</w:t>
            </w:r>
          </w:p>
        </w:tc>
        <w:tc>
          <w:tcPr>
            <w:tcW w:w="2680" w:type="dxa"/>
            <w:vAlign w:val="bottom"/>
            <w:tcBorders>
              <w:bottom w:val="single" w:sz="8" w:color="2C2C2C"/>
            </w:tcBorders>
          </w:tcPr>
          <w:p>
            <w:pPr>
              <w:jc w:val="center"/>
              <w:ind w:left="632"/>
              <w:spacing w:after="0"/>
              <w:rPr>
                <w:sz w:val="20"/>
                <w:szCs w:val="20"/>
                <w:color w:val="auto"/>
              </w:rPr>
            </w:pPr>
            <w:r>
              <w:rPr>
                <w:rFonts w:ascii="Arial" w:cs="Arial" w:eastAsia="Arial" w:hAnsi="Arial"/>
                <w:sz w:val="18"/>
                <w:szCs w:val="18"/>
                <w:color w:val="0000FF"/>
                <w:w w:val="93"/>
              </w:rPr>
              <w:t>500</w:t>
            </w:r>
          </w:p>
        </w:tc>
        <w:tc>
          <w:tcPr>
            <w:tcW w:w="110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By mother</w:t>
            </w:r>
            <w:r>
              <w:rPr>
                <w:rFonts w:ascii="Arial" w:cs="Arial" w:eastAsia="Arial" w:hAnsi="Arial"/>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4400" w:type="dxa"/>
            <w:vAlign w:val="bottom"/>
            <w:tcBorders>
              <w:top w:val="single" w:sz="8" w:color="808080"/>
            </w:tcBorders>
            <w:shd w:val="clear" w:color="auto" w:fill="2C2C2C"/>
          </w:tcPr>
          <w:p>
            <w:pPr>
              <w:spacing w:after="0" w:line="20" w:lineRule="exact"/>
              <w:rPr>
                <w:sz w:val="1"/>
                <w:szCs w:val="1"/>
                <w:color w:val="auto"/>
              </w:rPr>
            </w:pPr>
          </w:p>
        </w:tc>
        <w:tc>
          <w:tcPr>
            <w:tcW w:w="268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2002 Stock Incentive Plan. 2,500 shares vest on each of February 21, 2014, 2015, and 2016 and 17,500 shares vest on February 21, 2017, provided that if the reporting person's employment with the Company is terminated for any reason, all restricted shares that are subject to restrictions upon the date of termination shall be forfeited.</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Kevin Tourek, Attorney-in-</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09/12/2013</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John Strzemp</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KNOW ALL MEN BY THESE PRESENTS, that the person whose signature appears below revokes all prior Powers of Attorney relating to Section 16 of the Securities Exchange Act of 1934, as amended, and appoints each of Kimmarie Sinatra, Kevin Tourek and Michelle Koch as such person's true and lawful attorneys-in-fact and agents, each with full power of substitution and resubstitution and full power to act alone and without the other, for the undersigned and in the undersigned's</w:t>
      </w:r>
    </w:p>
    <w:p>
      <w:pPr>
        <w:spacing w:after="0" w:line="1" w:lineRule="exact"/>
        <w:rPr>
          <w:sz w:val="20"/>
          <w:szCs w:val="20"/>
          <w:color w:val="auto"/>
        </w:rPr>
      </w:pPr>
    </w:p>
    <w:p>
      <w:pPr>
        <w:ind w:right="1779" w:firstLine="105"/>
        <w:spacing w:after="0" w:line="268" w:lineRule="auto"/>
        <w:rPr>
          <w:sz w:val="20"/>
          <w:szCs w:val="20"/>
          <w:color w:val="auto"/>
        </w:rPr>
      </w:pPr>
      <w:r>
        <w:rPr>
          <w:rFonts w:ascii="Courier New" w:cs="Courier New" w:eastAsia="Courier New" w:hAnsi="Courier New"/>
          <w:sz w:val="16"/>
          <w:szCs w:val="16"/>
          <w:color w:val="auto"/>
        </w:rPr>
        <w:t>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w:t>
      </w:r>
    </w:p>
    <w:p>
      <w:pPr>
        <w:spacing w:after="0" w:line="1" w:lineRule="exact"/>
        <w:rPr>
          <w:sz w:val="20"/>
          <w:szCs w:val="20"/>
          <w:color w:val="auto"/>
        </w:rPr>
      </w:pPr>
    </w:p>
    <w:p>
      <w:pPr>
        <w:ind w:left="120" w:right="1779"/>
        <w:spacing w:after="0" w:line="268" w:lineRule="auto"/>
        <w:rPr>
          <w:sz w:val="20"/>
          <w:szCs w:val="20"/>
          <w:color w:val="auto"/>
        </w:rPr>
      </w:pPr>
      <w:r>
        <w:rPr>
          <w:rFonts w:ascii="Courier New" w:cs="Courier New" w:eastAsia="Courier New" w:hAnsi="Courier New"/>
          <w:sz w:val="16"/>
          <w:szCs w:val="16"/>
          <w:color w:val="auto"/>
        </w:rPr>
        <w:t>respecting securities of Wynn Resorts, Limited, a Nevada corporation, including but not limited to Forms 3, 4 and 5 under such act and any amendments thereto</w:t>
      </w:r>
    </w:p>
    <w:p>
      <w:pPr>
        <w:ind w:left="120" w:right="1779" w:hanging="104"/>
        <w:spacing w:after="0" w:line="235" w:lineRule="auto"/>
        <w:rPr>
          <w:sz w:val="20"/>
          <w:szCs w:val="20"/>
          <w:color w:val="auto"/>
        </w:rPr>
      </w:pPr>
      <w:r>
        <w:rPr>
          <w:rFonts w:ascii="Courier New" w:cs="Courier New" w:eastAsia="Courier New" w:hAnsi="Courier New"/>
          <w:sz w:val="18"/>
          <w:szCs w:val="18"/>
          <w:color w:val="auto"/>
        </w:rPr>
        <w:t>with the Securities and Exchange Commission thereby ratifying and confirming all that said attorney-in-fact may do or cause to be done by virtue hereof.</w:t>
      </w:r>
    </w:p>
    <w:p>
      <w:pPr>
        <w:spacing w:after="0" w:line="200" w:lineRule="exact"/>
        <w:rPr>
          <w:sz w:val="20"/>
          <w:szCs w:val="20"/>
          <w:color w:val="auto"/>
        </w:rPr>
      </w:pPr>
    </w:p>
    <w:p>
      <w:pPr>
        <w:spacing w:after="0" w:line="211" w:lineRule="exact"/>
        <w:rPr>
          <w:sz w:val="20"/>
          <w:szCs w:val="20"/>
          <w:color w:val="auto"/>
        </w:rPr>
      </w:pPr>
    </w:p>
    <w:p>
      <w:pPr>
        <w:ind w:left="120" w:right="1879" w:hanging="104"/>
        <w:spacing w:after="0" w:line="235" w:lineRule="auto"/>
        <w:rPr>
          <w:sz w:val="20"/>
          <w:szCs w:val="20"/>
          <w:color w:val="auto"/>
        </w:rPr>
      </w:pPr>
      <w:r>
        <w:rPr>
          <w:rFonts w:ascii="Courier New" w:cs="Courier New" w:eastAsia="Courier New" w:hAnsi="Courier New"/>
          <w:sz w:val="18"/>
          <w:szCs w:val="18"/>
          <w:color w:val="auto"/>
        </w:rPr>
        <w:t>This power of attorney shall be valid from the date hereof until revoked by the undersigned.</w:t>
      </w:r>
    </w:p>
    <w:p>
      <w:pPr>
        <w:spacing w:after="0" w:line="200" w:lineRule="exact"/>
        <w:rPr>
          <w:sz w:val="20"/>
          <w:szCs w:val="20"/>
          <w:color w:val="auto"/>
        </w:rPr>
      </w:pPr>
    </w:p>
    <w:p>
      <w:pPr>
        <w:spacing w:after="0" w:line="211" w:lineRule="exact"/>
        <w:rPr>
          <w:sz w:val="20"/>
          <w:szCs w:val="20"/>
          <w:color w:val="auto"/>
        </w:rPr>
      </w:pPr>
    </w:p>
    <w:p>
      <w:pPr>
        <w:ind w:left="120" w:right="1879" w:hanging="104"/>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as of the 11th day of September, 2013.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Strzemp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John Strzemp</w:t>
      </w:r>
    </w:p>
    <w:sectPr>
      <w:pgSz w:w="11900" w:h="16838" w:orient="portrait"/>
      <w:cols w:equalWidth="0" w:num="1">
        <w:col w:w="10219"/>
      </w:cols>
      <w:pgMar w:left="240" w:top="9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96845"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2019-12-18T03:10:44Z</dcterms:created>
  <dcterms:modified xsi:type="dcterms:W3CDTF">2019-12-18T03:10:44Z</dcterms:modified>
</cp:coreProperties>
</file>