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74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Nevada</w:t>
            </w:r>
          </w:p>
        </w:tc>
        <w:tc>
          <w:tcPr>
            <w:tcW w:w="4560" w:type="dxa"/>
            <w:vAlign w:val="bottom"/>
          </w:tcPr>
          <w:p>
            <w:pPr>
              <w:ind w:left="1960"/>
              <w:spacing w:after="0"/>
              <w:rPr>
                <w:sz w:val="20"/>
                <w:szCs w:val="20"/>
                <w:color w:val="auto"/>
              </w:rPr>
            </w:pPr>
            <w:r>
              <w:rPr>
                <w:rFonts w:ascii="Arial" w:cs="Arial" w:eastAsia="Arial" w:hAnsi="Arial"/>
                <w:sz w:val="18"/>
                <w:szCs w:val="18"/>
                <w:b w:val="1"/>
                <w:bCs w:val="1"/>
                <w:color w:val="auto"/>
              </w:rPr>
              <w:t>000-50028</w:t>
            </w:r>
          </w:p>
        </w:tc>
        <w:tc>
          <w:tcPr>
            <w:tcW w:w="21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74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(State or other jurisdiction</w:t>
            </w:r>
          </w:p>
        </w:tc>
        <w:tc>
          <w:tcPr>
            <w:tcW w:w="4560" w:type="dxa"/>
            <w:vAlign w:val="bottom"/>
          </w:tcPr>
          <w:p>
            <w:pPr>
              <w:ind w:left="1940"/>
              <w:spacing w:after="0"/>
              <w:rPr>
                <w:sz w:val="20"/>
                <w:szCs w:val="20"/>
                <w:color w:val="auto"/>
              </w:rPr>
            </w:pPr>
            <w:r>
              <w:rPr>
                <w:rFonts w:ascii="Arial" w:cs="Arial" w:eastAsia="Arial" w:hAnsi="Arial"/>
                <w:sz w:val="14"/>
                <w:szCs w:val="14"/>
                <w:b w:val="1"/>
                <w:bCs w:val="1"/>
                <w:color w:val="auto"/>
              </w:rPr>
              <w:t>(Commission</w:t>
            </w:r>
          </w:p>
        </w:tc>
        <w:tc>
          <w:tcPr>
            <w:tcW w:w="2100" w:type="dxa"/>
            <w:vAlign w:val="bottom"/>
          </w:tcPr>
          <w:p>
            <w:pPr>
              <w:jc w:val="center"/>
              <w:ind w:left="9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4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of incorporation)</w:t>
            </w:r>
          </w:p>
        </w:tc>
        <w:tc>
          <w:tcPr>
            <w:tcW w:w="4560" w:type="dxa"/>
            <w:vAlign w:val="bottom"/>
          </w:tcPr>
          <w:p>
            <w:pPr>
              <w:ind w:left="1920"/>
              <w:spacing w:after="0"/>
              <w:rPr>
                <w:sz w:val="20"/>
                <w:szCs w:val="20"/>
                <w:color w:val="auto"/>
              </w:rPr>
            </w:pPr>
            <w:r>
              <w:rPr>
                <w:rFonts w:ascii="Arial" w:cs="Arial" w:eastAsia="Arial" w:hAnsi="Arial"/>
                <w:sz w:val="14"/>
                <w:szCs w:val="14"/>
                <w:b w:val="1"/>
                <w:bCs w:val="1"/>
                <w:color w:val="auto"/>
              </w:rPr>
              <w:t>File Number)</w:t>
            </w:r>
          </w:p>
        </w:tc>
        <w:tc>
          <w:tcPr>
            <w:tcW w:w="2100" w:type="dxa"/>
            <w:vAlign w:val="bottom"/>
          </w:tcPr>
          <w:p>
            <w:pPr>
              <w:jc w:val="center"/>
              <w:ind w:left="9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740" w:type="dxa"/>
            <w:vAlign w:val="bottom"/>
          </w:tcPr>
          <w:p>
            <w:pPr>
              <w:jc w:val="center"/>
              <w:ind w:right="159"/>
              <w:spacing w:after="0"/>
              <w:rPr>
                <w:sz w:val="20"/>
                <w:szCs w:val="20"/>
                <w:color w:val="auto"/>
              </w:rPr>
            </w:pPr>
            <w:r>
              <w:rPr>
                <w:rFonts w:ascii="Arial" w:cs="Arial" w:eastAsia="Arial" w:hAnsi="Arial"/>
                <w:sz w:val="18"/>
                <w:szCs w:val="18"/>
                <w:b w:val="1"/>
                <w:bCs w:val="1"/>
                <w:color w:val="auto"/>
                <w:w w:val="88"/>
              </w:rPr>
              <w:t>3131 Las Vegas Boulevard South</w:t>
            </w:r>
          </w:p>
        </w:tc>
        <w:tc>
          <w:tcPr>
            <w:tcW w:w="456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34"/>
        </w:trPr>
        <w:tc>
          <w:tcPr>
            <w:tcW w:w="2740" w:type="dxa"/>
            <w:vAlign w:val="bottom"/>
          </w:tcPr>
          <w:p>
            <w:pPr>
              <w:jc w:val="center"/>
              <w:ind w:right="139"/>
              <w:spacing w:after="0"/>
              <w:rPr>
                <w:sz w:val="20"/>
                <w:szCs w:val="20"/>
                <w:color w:val="auto"/>
              </w:rPr>
            </w:pPr>
            <w:r>
              <w:rPr>
                <w:rFonts w:ascii="Arial" w:cs="Arial" w:eastAsia="Arial" w:hAnsi="Arial"/>
                <w:sz w:val="18"/>
                <w:szCs w:val="18"/>
                <w:b w:val="1"/>
                <w:bCs w:val="1"/>
                <w:color w:val="auto"/>
                <w:w w:val="88"/>
              </w:rPr>
              <w:t>Las Vegas, Nevada</w:t>
            </w:r>
          </w:p>
        </w:tc>
        <w:tc>
          <w:tcPr>
            <w:tcW w:w="4560" w:type="dxa"/>
            <w:vAlign w:val="bottom"/>
          </w:tcPr>
          <w:p>
            <w:pPr>
              <w:spacing w:after="0"/>
              <w:rPr>
                <w:sz w:val="20"/>
                <w:szCs w:val="20"/>
                <w:color w:val="auto"/>
              </w:rPr>
            </w:pPr>
          </w:p>
        </w:tc>
        <w:tc>
          <w:tcPr>
            <w:tcW w:w="21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74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60" w:type="dxa"/>
            <w:vAlign w:val="bottom"/>
          </w:tcPr>
          <w:p>
            <w:pPr>
              <w:spacing w:after="0"/>
              <w:rPr>
                <w:sz w:val="18"/>
                <w:szCs w:val="18"/>
                <w:color w:val="auto"/>
              </w:rPr>
            </w:pPr>
          </w:p>
        </w:tc>
        <w:tc>
          <w:tcPr>
            <w:tcW w:w="2100" w:type="dxa"/>
            <w:vAlign w:val="bottom"/>
          </w:tcPr>
          <w:p>
            <w:pPr>
              <w:jc w:val="center"/>
              <w:ind w:left="901"/>
              <w:spacing w:after="0"/>
              <w:rPr>
                <w:sz w:val="20"/>
                <w:szCs w:val="20"/>
                <w:color w:val="auto"/>
              </w:rPr>
            </w:pPr>
            <w:r>
              <w:rPr>
                <w:rFonts w:ascii="Arial" w:cs="Arial" w:eastAsia="Arial" w:hAnsi="Arial"/>
                <w:sz w:val="14"/>
                <w:szCs w:val="14"/>
                <w:b w:val="1"/>
                <w:bCs w:val="1"/>
                <w:color w:val="auto"/>
                <w:w w:val="98"/>
              </w:rPr>
              <w:t>(Zip Code)</w:t>
            </w:r>
          </w:p>
        </w:tc>
      </w:tr>
      <w:tr>
        <w:trPr>
          <w:trHeight w:val="489"/>
        </w:trPr>
        <w:tc>
          <w:tcPr>
            <w:tcW w:w="27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2100" w:type="dxa"/>
            <w:vAlign w:val="bottom"/>
          </w:tcPr>
          <w:p>
            <w:pPr>
              <w:spacing w:after="0"/>
              <w:rPr>
                <w:sz w:val="24"/>
                <w:szCs w:val="24"/>
                <w:color w:val="auto"/>
              </w:rPr>
            </w:pPr>
          </w:p>
        </w:tc>
      </w:tr>
      <w:tr>
        <w:trPr>
          <w:trHeight w:val="186"/>
        </w:trPr>
        <w:tc>
          <w:tcPr>
            <w:tcW w:w="274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100" w:type="dxa"/>
            <w:vAlign w:val="bottom"/>
          </w:tcPr>
          <w:p>
            <w:pPr>
              <w:spacing w:after="0"/>
              <w:rPr>
                <w:sz w:val="16"/>
                <w:szCs w:val="16"/>
                <w:color w:val="auto"/>
              </w:rPr>
            </w:pPr>
          </w:p>
        </w:tc>
      </w:tr>
      <w:tr>
        <w:trPr>
          <w:trHeight w:val="408"/>
        </w:trPr>
        <w:tc>
          <w:tcPr>
            <w:tcW w:w="27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2100" w:type="dxa"/>
            <w:vAlign w:val="bottom"/>
          </w:tcPr>
          <w:p>
            <w:pPr>
              <w:spacing w:after="0"/>
              <w:rPr>
                <w:sz w:val="24"/>
                <w:szCs w:val="24"/>
                <w:color w:val="auto"/>
              </w:rPr>
            </w:pPr>
          </w:p>
        </w:tc>
      </w:tr>
      <w:tr>
        <w:trPr>
          <w:trHeight w:val="186"/>
        </w:trPr>
        <w:tc>
          <w:tcPr>
            <w:tcW w:w="274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100" w:type="dxa"/>
            <w:vAlign w:val="bottom"/>
          </w:tcPr>
          <w:p>
            <w:pPr>
              <w:spacing w:after="0"/>
              <w:rPr>
                <w:sz w:val="16"/>
                <w:szCs w:val="16"/>
                <w:color w:val="auto"/>
              </w:rPr>
            </w:pPr>
          </w:p>
        </w:tc>
      </w:tr>
      <w:tr>
        <w:trPr>
          <w:trHeight w:val="134"/>
        </w:trPr>
        <w:tc>
          <w:tcPr>
            <w:tcW w:w="2740" w:type="dxa"/>
            <w:vAlign w:val="bottom"/>
          </w:tcPr>
          <w:p>
            <w:pPr>
              <w:spacing w:after="0"/>
              <w:rPr>
                <w:sz w:val="11"/>
                <w:szCs w:val="11"/>
                <w:color w:val="auto"/>
              </w:rPr>
            </w:pPr>
          </w:p>
        </w:tc>
        <w:tc>
          <w:tcPr>
            <w:tcW w:w="4560" w:type="dxa"/>
            <w:vAlign w:val="bottom"/>
            <w:tcBorders>
              <w:bottom w:val="single" w:sz="8" w:color="auto"/>
            </w:tcBorders>
          </w:tcPr>
          <w:p>
            <w:pPr>
              <w:spacing w:after="0"/>
              <w:rPr>
                <w:sz w:val="11"/>
                <w:szCs w:val="11"/>
                <w:color w:val="auto"/>
              </w:rPr>
            </w:pPr>
          </w:p>
        </w:tc>
        <w:tc>
          <w:tcPr>
            <w:tcW w:w="2100" w:type="dxa"/>
            <w:vAlign w:val="bottom"/>
          </w:tcPr>
          <w:p>
            <w:pPr>
              <w:spacing w:after="0"/>
              <w:rPr>
                <w:sz w:val="11"/>
                <w:szCs w:val="11"/>
                <w:color w:val="auto"/>
              </w:rPr>
            </w:pPr>
          </w:p>
        </w:tc>
      </w:tr>
    </w:tbl>
    <w:p>
      <w:pPr>
        <w:spacing w:after="0" w:line="32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6"/>
              </w:rPr>
              <w:t>Title of each class</w:t>
            </w:r>
          </w:p>
        </w:tc>
        <w:tc>
          <w:tcPr>
            <w:tcW w:w="3300" w:type="dxa"/>
            <w:vAlign w:val="bottom"/>
            <w:gridSpan w:val="2"/>
          </w:tcPr>
          <w:p>
            <w:pPr>
              <w:jc w:val="center"/>
              <w:ind w:right="1860"/>
              <w:spacing w:after="0"/>
              <w:rPr>
                <w:sz w:val="20"/>
                <w:szCs w:val="20"/>
                <w:color w:val="auto"/>
              </w:rPr>
            </w:pPr>
            <w:r>
              <w:rPr>
                <w:rFonts w:ascii="Arial" w:cs="Arial" w:eastAsia="Arial" w:hAnsi="Arial"/>
                <w:sz w:val="18"/>
                <w:szCs w:val="18"/>
                <w:b w:val="1"/>
                <w:bCs w:val="1"/>
                <w:color w:val="auto"/>
                <w:w w:val="91"/>
              </w:rPr>
              <w:t>Trading Symbol(s)</w:t>
            </w:r>
          </w:p>
        </w:tc>
        <w:tc>
          <w:tcPr>
            <w:tcW w:w="442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1"/>
        </w:trPr>
        <w:tc>
          <w:tcPr>
            <w:tcW w:w="780" w:type="dxa"/>
            <w:vAlign w:val="bottom"/>
          </w:tcPr>
          <w:p>
            <w:pPr>
              <w:spacing w:after="0"/>
              <w:rPr>
                <w:sz w:val="24"/>
                <w:szCs w:val="24"/>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Common stock</w:t>
            </w:r>
          </w:p>
        </w:tc>
        <w:tc>
          <w:tcPr>
            <w:tcW w:w="1580" w:type="dxa"/>
            <w:vAlign w:val="bottom"/>
          </w:tcPr>
          <w:p>
            <w:pPr>
              <w:spacing w:after="0"/>
              <w:rPr>
                <w:sz w:val="24"/>
                <w:szCs w:val="24"/>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WYNN</w:t>
            </w:r>
          </w:p>
        </w:tc>
        <w:tc>
          <w:tcPr>
            <w:tcW w:w="1860" w:type="dxa"/>
            <w:vAlign w:val="bottom"/>
          </w:tcPr>
          <w:p>
            <w:pPr>
              <w:spacing w:after="0"/>
              <w:rPr>
                <w:sz w:val="24"/>
                <w:szCs w:val="24"/>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1080" w:type="dxa"/>
            <w:vAlign w:val="bottom"/>
          </w:tcPr>
          <w:p>
            <w:pPr>
              <w:spacing w:after="0"/>
              <w:rPr>
                <w:sz w:val="24"/>
                <w:szCs w:val="24"/>
                <w:color w:val="auto"/>
              </w:rPr>
            </w:pPr>
          </w:p>
        </w:tc>
      </w:tr>
      <w:tr>
        <w:trPr>
          <w:trHeight w:val="304"/>
        </w:trPr>
        <w:tc>
          <w:tcPr>
            <w:tcW w:w="7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90"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7"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copy of the press release of Wynn Resorts, Limited (the “Company”) announcing the matters described under Item 8.01 is attached hereto and furnished as Exhibit 99.1.</w:t>
      </w:r>
    </w:p>
    <w:p>
      <w:pPr>
        <w:spacing w:after="0" w:line="383"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7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On April 30, 2019, the Massachusetts Gaming Commission (the “MGC”) concluded its investigation into the Company by determining the Company and Wynn MA, LLC are suitable to maintain a Massachusetts gaming license, subject to the Company’s payment of a fine of $35 million and fulfillment of other conditions set forth in the MGC decision. The Company is currently reviewing the MGC decision and evaluating its rights under applicable law.</w:t>
      </w:r>
    </w:p>
    <w:p>
      <w:pPr>
        <w:spacing w:after="0" w:line="14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1, 2019, the Company issued a press release following the decision of the MGC described above. A copy of the press release is attached hereto and furnished as Exhibit 99.1.</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information furnished in this Current Report on Form 8-K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39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576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60" w:type="dxa"/>
            <w:vAlign w:val="bottom"/>
          </w:tcPr>
          <w:p>
            <w:pPr>
              <w:ind w:left="400"/>
              <w:spacing w:after="0"/>
              <w:rPr>
                <w:sz w:val="20"/>
                <w:szCs w:val="20"/>
                <w:color w:val="auto"/>
              </w:rPr>
            </w:pPr>
            <w:r>
              <w:rPr>
                <w:rFonts w:ascii="Arial" w:cs="Arial" w:eastAsia="Arial" w:hAnsi="Arial"/>
                <w:sz w:val="18"/>
                <w:szCs w:val="18"/>
                <w:color w:val="auto"/>
              </w:rPr>
              <w:t>(d) Exhibits.</w:t>
            </w:r>
          </w:p>
        </w:tc>
        <w:tc>
          <w:tcPr>
            <w:tcW w:w="140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596"/>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15"/>
        </w:trPr>
        <w:tc>
          <w:tcPr>
            <w:tcW w:w="1460" w:type="dxa"/>
            <w:vAlign w:val="bottom"/>
          </w:tcPr>
          <w:p>
            <w:pPr>
              <w:spacing w:after="0"/>
              <w:rPr>
                <w:sz w:val="20"/>
                <w:szCs w:val="20"/>
                <w:color w:val="auto"/>
              </w:rPr>
            </w:pPr>
            <w:r>
              <w:rPr>
                <w:rFonts w:ascii="Arial" w:cs="Arial" w:eastAsia="Arial" w:hAnsi="Arial"/>
                <w:sz w:val="18"/>
                <w:szCs w:val="18"/>
                <w:color w:val="auto"/>
              </w:rPr>
              <w:t>99.1</w:t>
            </w:r>
          </w:p>
        </w:tc>
        <w:tc>
          <w:tcPr>
            <w:tcW w:w="1400" w:type="dxa"/>
            <w:vAlign w:val="bottom"/>
          </w:tcPr>
          <w:p>
            <w:pPr>
              <w:spacing w:after="0"/>
              <w:rPr>
                <w:sz w:val="18"/>
                <w:szCs w:val="18"/>
                <w:color w:val="auto"/>
              </w:rPr>
            </w:pPr>
          </w:p>
        </w:tc>
        <w:tc>
          <w:tcPr>
            <w:tcW w:w="4360" w:type="dxa"/>
            <w:vAlign w:val="bottom"/>
            <w:tcBorders>
              <w:bottom w:val="single" w:sz="8" w:color="0000FF"/>
            </w:tcBorders>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May 1, 2019, of Wynn Resorts, Limited.</w:t>
              </w:r>
            </w:hyperlink>
          </w:p>
        </w:tc>
      </w:tr>
    </w:tbl>
    <w:p>
      <w:pPr>
        <w:sectPr>
          <w:pgSz w:w="11900" w:h="16838" w:orient="portrait"/>
          <w:cols w:equalWidth="0" w:num="1">
            <w:col w:w="11420"/>
          </w:cols>
          <w:pgMar w:left="240" w:top="1013" w:right="239" w:bottom="1440" w:gutter="0" w:footer="0" w:header="0"/>
        </w:sectPr>
      </w:pPr>
    </w:p>
    <w:bookmarkStart w:id="2" w:name="page3"/>
    <w:bookmarkEnd w:id="2"/>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180" w:val="left"/>
          <w:tab w:leader="none" w:pos="6980" w:val="left"/>
        </w:tabs>
        <w:rPr>
          <w:sz w:val="20"/>
          <w:szCs w:val="20"/>
          <w:color w:val="auto"/>
        </w:rPr>
      </w:pPr>
      <w:r>
        <w:rPr>
          <w:rFonts w:ascii="Arial" w:cs="Arial" w:eastAsia="Arial" w:hAnsi="Arial"/>
          <w:sz w:val="18"/>
          <w:szCs w:val="18"/>
          <w:color w:val="auto"/>
        </w:rPr>
        <w:t>Dated: May 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99.1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from Wynn Resorts regarding the recent affirmative decision by the Massachusetts Gaming Commission: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Wynn Resorts CEO Matt Maddox and the Board of Directors have worked diligently to make the important and necessary changes to the Company’s corporate leadership, governance, compliance programs and Human Resources policies. With the Massachusetts Gaming Commission review complete, our company is now focused on a successful launch of Encore Boston Harbor, and the recruiting and training of 5,500 team members who will be bringing Greater Boston and New England a luxury hospitality and entertainment experience unlike anything the region has ever seen.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both its decision and in their meeting today, the Commission recognized the importance of the changes the company has made, with Chairwoman Judd-Stein noting in today’s meeting: “It’s fair to say that recent changes to the company’s governance model, policies, trainings, and operations show a new commitment and focus on all levels of employees, which combined with the ongoing successful business operations continue to demonstrate that Wynn will likely be a successful operator in Everett.”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2019-12-28T13:21:50Z</dcterms:created>
  <dcterms:modified xsi:type="dcterms:W3CDTF">2019-12-28T13:21:50Z</dcterms:modified>
</cp:coreProperties>
</file>