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370840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230505</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250825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360" w:type="dxa"/>
        <w:tblCellMar>
          <w:top w:w="0" w:type="dxa"/>
          <w:left w:w="0" w:type="dxa"/>
          <w:bottom w:w="0" w:type="dxa"/>
          <w:right w:w="0" w:type="dxa"/>
        </w:tblCellMar>
      </w:tblPr>
      <w:tr>
        <w:trPr>
          <w:trHeight w:val="230"/>
        </w:trPr>
        <w:tc>
          <w:tcPr>
            <w:tcW w:w="2560" w:type="dxa"/>
            <w:vAlign w:val="bottom"/>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85"/>
        </w:trPr>
        <w:tc>
          <w:tcPr>
            <w:tcW w:w="25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2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37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2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2560" w:type="dxa"/>
            <w:vAlign w:val="bottom"/>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3131 Las Vegas Boulevard South</w:t>
            </w:r>
          </w:p>
        </w:tc>
        <w:tc>
          <w:tcPr>
            <w:tcW w:w="37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0"/>
        </w:trPr>
        <w:tc>
          <w:tcPr>
            <w:tcW w:w="25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370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98"/>
        </w:trPr>
        <w:tc>
          <w:tcPr>
            <w:tcW w:w="25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00" w:type="dxa"/>
            <w:vAlign w:val="bottom"/>
          </w:tcPr>
          <w:p>
            <w:pPr>
              <w:spacing w:after="0"/>
              <w:rPr>
                <w:sz w:val="17"/>
                <w:szCs w:val="17"/>
                <w:color w:val="auto"/>
              </w:rPr>
            </w:pPr>
          </w:p>
        </w:tc>
        <w:tc>
          <w:tcPr>
            <w:tcW w:w="152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710"/>
        </w:trPr>
        <w:tc>
          <w:tcPr>
            <w:tcW w:w="2560" w:type="dxa"/>
            <w:vAlign w:val="bottom"/>
          </w:tcPr>
          <w:p>
            <w:pPr>
              <w:spacing w:after="0"/>
              <w:rPr>
                <w:sz w:val="24"/>
                <w:szCs w:val="24"/>
                <w:color w:val="auto"/>
              </w:rPr>
            </w:pPr>
          </w:p>
        </w:tc>
        <w:tc>
          <w:tcPr>
            <w:tcW w:w="3700" w:type="dxa"/>
            <w:vAlign w:val="bottom"/>
          </w:tcPr>
          <w:p>
            <w:pPr>
              <w:jc w:val="right"/>
              <w:ind w:right="1363"/>
              <w:spacing w:after="0"/>
              <w:rPr>
                <w:sz w:val="20"/>
                <w:szCs w:val="20"/>
                <w:color w:val="auto"/>
              </w:rPr>
            </w:pPr>
            <w:r>
              <w:rPr>
                <w:rFonts w:ascii="Times New Roman" w:cs="Times New Roman" w:eastAsia="Times New Roman" w:hAnsi="Times New Roman"/>
                <w:sz w:val="18"/>
                <w:szCs w:val="18"/>
                <w:b w:val="1"/>
                <w:bCs w:val="1"/>
                <w:color w:val="auto"/>
              </w:rPr>
              <w:t>(702) 770-7555</w:t>
            </w:r>
          </w:p>
        </w:tc>
        <w:tc>
          <w:tcPr>
            <w:tcW w:w="1520" w:type="dxa"/>
            <w:vAlign w:val="bottom"/>
          </w:tcPr>
          <w:p>
            <w:pPr>
              <w:spacing w:after="0"/>
              <w:rPr>
                <w:sz w:val="24"/>
                <w:szCs w:val="24"/>
                <w:color w:val="auto"/>
              </w:rPr>
            </w:pPr>
          </w:p>
        </w:tc>
      </w:tr>
      <w:tr>
        <w:trPr>
          <w:trHeight w:val="185"/>
        </w:trPr>
        <w:tc>
          <w:tcPr>
            <w:tcW w:w="2560" w:type="dxa"/>
            <w:vAlign w:val="bottom"/>
          </w:tcPr>
          <w:p>
            <w:pPr>
              <w:spacing w:after="0"/>
              <w:rPr>
                <w:sz w:val="16"/>
                <w:szCs w:val="16"/>
                <w:color w:val="auto"/>
              </w:rPr>
            </w:pPr>
          </w:p>
        </w:tc>
        <w:tc>
          <w:tcPr>
            <w:tcW w:w="37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520" w:type="dxa"/>
            <w:vAlign w:val="bottom"/>
          </w:tcPr>
          <w:p>
            <w:pPr>
              <w:spacing w:after="0"/>
              <w:rPr>
                <w:sz w:val="16"/>
                <w:szCs w:val="16"/>
                <w:color w:val="auto"/>
              </w:rPr>
            </w:pP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77470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Trading Symbol(s)</w:t>
            </w:r>
          </w:p>
        </w:tc>
        <w:tc>
          <w:tcPr>
            <w:tcW w:w="5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620" w:type="dxa"/>
            <w:vAlign w:val="bottom"/>
          </w:tcPr>
          <w:p>
            <w:pPr>
              <w:spacing w:after="0"/>
              <w:rPr>
                <w:sz w:val="21"/>
                <w:szCs w:val="21"/>
                <w:color w:val="auto"/>
              </w:rPr>
            </w:pPr>
          </w:p>
        </w:tc>
        <w:tc>
          <w:tcPr>
            <w:tcW w:w="22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6"/>
              </w:rPr>
              <w:t>WYNN</w:t>
            </w:r>
          </w:p>
        </w:tc>
        <w:tc>
          <w:tcPr>
            <w:tcW w:w="880" w:type="dxa"/>
            <w:vAlign w:val="bottom"/>
          </w:tcPr>
          <w:p>
            <w:pPr>
              <w:spacing w:after="0"/>
              <w:rPr>
                <w:sz w:val="21"/>
                <w:szCs w:val="21"/>
                <w:color w:val="auto"/>
              </w:rPr>
            </w:pPr>
          </w:p>
        </w:tc>
        <w:tc>
          <w:tcPr>
            <w:tcW w:w="4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9, 2023, Wynn Resorts, Limited (“Wynn Resorts”) issued a press release announcing that its indirect wholly-owned subsidiary, Wynn Resorts Finance, LLC (“Wynn Resorts Finance”), has commenced a cash tender offer for any and all of the outstanding $600 million aggregate principal amount of 7.750% Senior Notes due 2025 issued by Wynn Resorts Finance and Wynn Resorts Capital Corp. A copy of the press release is attached hereto as Exhibit 99.1 and is hereby incorporated by reference.</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Separately, on February 9, 2023, Wynn Resorts announced that Wynn Resorts Finance and Wynn Resorts Capital Corp. plan to offer $600 million aggregate principal amount Senior Notes due 2031 (the “Notes”). A copy of the press release is attached hereto as Exhibit 99.2 and is hereby incorporated by reference.</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including Exhibits 99.1 and 99.2,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4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February 9, 2023, of Wynn Resorts, Limited</w:t>
            </w:r>
          </w:p>
        </w:tc>
        <w:tc>
          <w:tcPr>
            <w:tcW w:w="5360" w:type="dxa"/>
            <w:vAlign w:val="bottom"/>
          </w:tcPr>
          <w:p>
            <w:pPr>
              <w:spacing w:after="0"/>
              <w:rPr>
                <w:sz w:val="23"/>
                <w:szCs w:val="23"/>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99.2</w:t>
            </w:r>
          </w:p>
        </w:tc>
        <w:tc>
          <w:tcPr>
            <w:tcW w:w="660" w:type="dxa"/>
            <w:vAlign w:val="bottom"/>
          </w:tcPr>
          <w:p>
            <w:pPr>
              <w:spacing w:after="0"/>
              <w:rPr>
                <w:sz w:val="17"/>
                <w:szCs w:val="17"/>
                <w:color w:val="auto"/>
              </w:rPr>
            </w:pPr>
          </w:p>
        </w:tc>
        <w:tc>
          <w:tcPr>
            <w:tcW w:w="988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Press release, dated February 9, 2023, of Wynn Resorts, Limited</w:t>
            </w:r>
          </w:p>
        </w:tc>
      </w:tr>
      <w:tr>
        <w:trPr>
          <w:trHeight w:val="1197"/>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840" w:type="dxa"/>
            <w:vAlign w:val="bottom"/>
            <w:tcBorders>
              <w:top w:val="single" w:sz="8" w:color="0000FF"/>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Dated: February 9, 2023</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44" w:lineRule="exact"/>
        <w:rPr>
          <w:sz w:val="20"/>
          <w:szCs w:val="20"/>
          <w:color w:val="auto"/>
        </w:rPr>
      </w:pPr>
    </w:p>
    <w:p>
      <w:pPr>
        <w:sectPr>
          <w:pgSz w:w="11900" w:h="16838" w:orient="portrait"/>
          <w:cols w:equalWidth="0" w:num="2">
            <w:col w:w="6180" w:space="720"/>
            <w:col w:w="4340"/>
          </w:cols>
          <w:pgMar w:left="320" w:top="869" w:right="339" w:bottom="1440" w:gutter="0" w:footer="0" w:header="0"/>
          <w:type w:val="continuous"/>
        </w:sectPr>
      </w:pPr>
    </w:p>
    <w:p>
      <w:pPr>
        <w:ind w:left="702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-130175</wp:posOffset>
            </wp:positionV>
            <wp:extent cx="2434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7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40"/>
          </w:cols>
          <w:pgMar w:left="320" w:top="869" w:right="339" w:bottom="1440" w:gutter="0" w:footer="0" w:header="0"/>
          <w:type w:val="continuous"/>
        </w:sectPr>
      </w:pPr>
    </w:p>
    <w:bookmarkStart w:id="3" w:name="page4"/>
    <w:bookmarkEnd w:id="3"/>
    <w:p>
      <w:pPr>
        <w:ind w:left="10380"/>
        <w:spacing w:after="0"/>
        <w:rPr>
          <w:sz w:val="20"/>
          <w:szCs w:val="20"/>
          <w:color w:val="auto"/>
        </w:rPr>
      </w:pPr>
      <w:r>
        <w:rPr>
          <w:rFonts w:ascii="Times New Roman" w:cs="Times New Roman" w:eastAsia="Times New Roman" w:hAnsi="Times New Roman"/>
          <w:sz w:val="16"/>
          <w:szCs w:val="16"/>
          <w:color w:val="auto"/>
        </w:rPr>
        <w:t>Exhibit 99.1</w:t>
      </w:r>
    </w:p>
    <w:p>
      <w:pPr>
        <w:spacing w:after="0" w:line="261"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Wynn Resorts Announces Commencement of Tender Offer for Cash by Wynn Resorts Finance, LLC for Any and All of its 7.750% Senior Notes due 2025</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LAS VEGAS, February 9, 2023 (BUSINESS WIRE) — Wynn Resorts, Limited (NASDAQ:WYNN) (“Wynn Resorts”) announced today that its indirect wholly-owned subsidiary, Wynn Resorts Finance, LLC, (“Wynn Resorts Finance”) has commenced a cash tender offer (the “Tender Offer”) for any and all of the outstanding $600 million aggregate principal amount of 7.750% Senior Notes due 2025 (the “2025 Notes”) of Wynn Resorts Finance and Wynn Resorts Capital Corp.</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Tender Offer is scheduled to expire at 5:00 P.M., New York City time, on February 15, 2023 unless extended or earlier terminated (such time, as may be extended, the “Expiration Time”). Holders who validly tender their 2025 Notes prior to the Expiration Time will be eligible to receive $1,024.50 for each $1,000 principal amount of 2025 Notes.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Completion of the Tender Offer is subject to certain market and other conditions, including the completion by Wynn Resorts Finance and Wynn Resorts Capital Corp. (the “Issuers”) of new debt financing on terms and conditions satisfactory to the Issuers. Settlement of the Tender Offer is expected to occur one business day following the Expiration Time, unless terminated (other than with respect to Notes tendered pursuant to the guaranteed delivery procedures described in the Offer to Purchase, with respect to which settlement is expected to occur three business days after the Expiration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Tendered Notes may be withdrawn at any time at or prior to the Expiration Time.</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This press release shall not constitute an offer to purchase or the solicitation of an offer to sell the 2025 Notes. The complete terms and conditions of the Tender Offer are described in the Offer to Purchase dated as of February 9, 2023, the related Letter of Transmittal and a Notice of Guaranteed Delivery, copies of which may be obtained from D.F. King &amp; Co., Inc., the tender and information agent for the Tender Offer, at http://www.wynn@dfking.com, by telephone at</w:t>
      </w:r>
    </w:p>
    <w:p>
      <w:pPr>
        <w:spacing w:after="0" w:line="1" w:lineRule="exact"/>
        <w:rPr>
          <w:sz w:val="20"/>
          <w:szCs w:val="20"/>
          <w:color w:val="auto"/>
        </w:rPr>
      </w:pPr>
    </w:p>
    <w:p>
      <w:pPr>
        <w:ind w:firstLine="5"/>
        <w:spacing w:after="0" w:line="248"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431-9646 (U.S. toll free) and (212) 269-5550 (banks and brokers) or in writing at D.F. King &amp; Co., Inc., 48 Wall Street, 22nd Floor, New York, NY 10005, Attention: Michael Horthman.</w:t>
      </w:r>
    </w:p>
    <w:p>
      <w:pPr>
        <w:spacing w:after="0" w:line="212"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Wynn Resorts Finance has engaged Deutsche Bank Securities Inc. to act as the dealer manager in connection with the Tender Offer. Questions regarding the terms of the Tender Offer may be directed to Deutsche Bank Securities Inc. by telephone at (855) 287-1922 (U.S. toll-free) and (212) 250-7527 (collect).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release contains forward-looking statements, including those related to the tender for 2025 Notes and whether or not Wynn Resorts Finance will consummate the tender offer.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the COVID-19 pandemic and the reimposition of restrictions on the general public or certain activities,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Wynn Resorts’ financial results is included in Wynn Resorts’ Annual Report on Form 10-K for the year ended December 31, 2021, as supplemented by Wynn Resorts’ other periodic reports filed with the Securities and Exchange Commission from time to time. Neither Wynn Resorts nor Wynn Resorts Finance are under any obligation to (and expressly disclaim any such obligation to) update or revise their forward-looking statements as a result of new information, future events or otherwise, except as required by law.</w:t>
      </w:r>
    </w:p>
    <w:p>
      <w:pPr>
        <w:sectPr>
          <w:pgSz w:w="11900" w:h="16838" w:orient="portrait"/>
          <w:cols w:equalWidth="0" w:num="1">
            <w:col w:w="11240"/>
          </w:cols>
          <w:pgMar w:left="320" w:top="13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Amir Markowitz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investorrelations@wynnresorts.com</w:t>
      </w:r>
    </w:p>
    <w:p>
      <w:pPr>
        <w:sectPr>
          <w:pgSz w:w="11900" w:h="16838" w:orient="portrait"/>
          <w:cols w:equalWidth="0" w:num="1">
            <w:col w:w="10139"/>
          </w:cols>
          <w:pgMar w:left="320" w:top="1384"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Announces Private Offering of $600 million of Wynn Resorts Finance Senior Notes due 2031</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LAS VEGAS, February 9, 2023 (BUSINESS WIRE) - Wynn Resorts, Limited (NASDAQ: WYNN) (“Wynn Resorts”) announced today that Wynn Resorts Finance, LLC (“Wynn Resorts Finance”) and its subsidiary Wynn Resorts Capital Corp. (“Wynn Resorts Capital” and, together with Wynn Resorts Finance, the “Issuers”), each an indirect wholly-owned subsidiary of Wynn Resorts, are offering $600 million aggregate principal amount of Senior Notes due 2031 (the “Notes”) in a private offering.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Notes will initially be jointly and severally guaranteed by all of Wynn Resorts Finance’s domestic subsidiaries (collectively, the “Guarantors”) that guarantee the Issuers’ existing senior secured credit facilities (the “Senior Credit Facilities”), except Wynn Resorts Capital, which is the co-issuer of the Notes, the Issuers’ 7.750% Senior Notes due 2025 (the “2025 WRF Notes”) and the Issuers’ 5.125% Senior Notes due 2029 (the “2029 WRF Notes”). The Notes and guarantees will be senior unsecured obligations of the Issuers and the Guarantors and will rank equal in right of payment with all existing and future liabilities of the Issuers and such Guarantors that are not subordinated, including their obligations under the 2025 WRF Notes and the 2029 WRF Notes, and, with respect to Wynn Las Vegas, LLC (“Wynn Las Vegas”) and certain of its subsidiaries, their obligations under the existing senior notes issued by Wynn Las Vegas. The Notes and guarantees will be effectively subordinated to all of the Issuers’ and the Guarantors’ existing and future secured debt (to the extent of the value of the collateral securing such debt), including the Senior Credit Facilities and the existing senior notes issued by Wynn Las Vegas.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Wynn Resorts Finance plans to use the net proceeds from the offering, together with cash on hand, (i) to purchase any and all of the 2025 WRF Notes that are validly tendered and accepted for payment pursuant to the tender offer commenced by Wynn Resorts Finance on the date hereof, (ii) to redeem any 2025 WRF Notes that remain outstanding upon completion of the tender offer and (iii) to pay related fees and expenses. This press release shall not constitute an offer to purchase or the solicitation of an offer to sell the 2025 WRF Notes.</w:t>
      </w:r>
    </w:p>
    <w:p>
      <w:pPr>
        <w:spacing w:after="0" w:line="2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Wynn Resorts Finance’s subsidiary Wynn Las Vegas intends to repurchase or redeem all of the outstanding Wynn Las Vegas 4.25% Senior Notes due 2023 with cash on hand on or after February 28, 2023 (when such notes become redeemable at a price equal to 100% of the principal amount plus accrued interest). This press release does not constitute a notice of redemption or an offer to purchase or the solicitation of an offer to sell such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the COVID-19 pandemic and the reimposition of restrictions on the general public or certain activities, extensive regulation of our business, pending or future legal proceedings, ability</w:t>
      </w:r>
    </w:p>
    <w:p>
      <w:pPr>
        <w:sectPr>
          <w:pgSz w:w="11900" w:h="16838" w:orient="portrait"/>
          <w:cols w:equalWidth="0" w:num="1">
            <w:col w:w="11240"/>
          </w:cols>
          <w:pgMar w:left="320" w:top="1384" w:right="339" w:bottom="1440" w:gutter="0" w:footer="0" w:header="0"/>
        </w:sectPr>
      </w:pPr>
    </w:p>
    <w:bookmarkStart w:id="6" w:name="page7"/>
    <w:bookmarkEnd w:id="6"/>
    <w:p>
      <w:pPr>
        <w:jc w:val="both"/>
        <w:spacing w:after="0" w:line="248" w:lineRule="auto"/>
        <w:rPr>
          <w:sz w:val="20"/>
          <w:szCs w:val="20"/>
          <w:color w:val="auto"/>
        </w:rPr>
      </w:pPr>
      <w:r>
        <w:rPr>
          <w:rFonts w:ascii="Times New Roman" w:cs="Times New Roman" w:eastAsia="Times New Roman" w:hAnsi="Times New Roman"/>
          <w:sz w:val="18"/>
          <w:szCs w:val="18"/>
          <w:color w:val="auto"/>
        </w:rPr>
        <w:t>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Wynn Resorts’ financial results is included in Wynn Resorts’ Annual Report on Form 10-K for the year ended December 31, 2021,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Amir Markowitz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sectPr>
      <w:pgSz w:w="11900" w:h="16838" w:orient="portrait"/>
      <w:cols w:equalWidth="0" w:num="1">
        <w:col w:w="11240"/>
      </w:cols>
      <w:pgMar w:left="320" w:top="13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2023-02-09T07:09:29Z</dcterms:created>
  <dcterms:modified xsi:type="dcterms:W3CDTF">2023-02-09T07:09:29Z</dcterms:modified>
</cp:coreProperties>
</file>