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6240" w:type="dxa"/>
            <w:vAlign w:val="bottom"/>
          </w:tcPr>
          <w:p>
            <w:pPr>
              <w:jc w:val="center"/>
              <w:ind w:right="3416"/>
              <w:spacing w:after="0"/>
              <w:rPr>
                <w:sz w:val="20"/>
                <w:szCs w:val="20"/>
                <w:color w:val="auto"/>
              </w:rPr>
            </w:pPr>
            <w:r>
              <w:rPr>
                <w:rFonts w:ascii="Arial" w:cs="Arial" w:eastAsia="Arial" w:hAnsi="Arial"/>
                <w:sz w:val="18"/>
                <w:szCs w:val="18"/>
                <w:b w:val="1"/>
                <w:bCs w:val="1"/>
                <w:color w:val="auto"/>
                <w:w w:val="91"/>
              </w:rPr>
              <w:t>Paul D. Tosetti</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Donald J. Campbell</w:t>
            </w:r>
          </w:p>
        </w:tc>
      </w:tr>
      <w:tr>
        <w:trPr>
          <w:trHeight w:val="216"/>
        </w:trPr>
        <w:tc>
          <w:tcPr>
            <w:tcW w:w="6240" w:type="dxa"/>
            <w:vAlign w:val="bottom"/>
          </w:tcPr>
          <w:p>
            <w:pPr>
              <w:jc w:val="center"/>
              <w:ind w:right="3416"/>
              <w:spacing w:after="0"/>
              <w:rPr>
                <w:sz w:val="20"/>
                <w:szCs w:val="20"/>
                <w:color w:val="auto"/>
              </w:rPr>
            </w:pPr>
            <w:r>
              <w:rPr>
                <w:rFonts w:ascii="Arial" w:cs="Arial" w:eastAsia="Arial" w:hAnsi="Arial"/>
                <w:sz w:val="18"/>
                <w:szCs w:val="18"/>
                <w:b w:val="1"/>
                <w:bCs w:val="1"/>
                <w:color w:val="auto"/>
                <w:w w:val="96"/>
              </w:rPr>
              <w:t>Latham &amp; Watkins, LLP</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Campbell &amp; Williams</w:t>
            </w:r>
          </w:p>
        </w:tc>
      </w:tr>
      <w:tr>
        <w:trPr>
          <w:trHeight w:val="216"/>
        </w:trPr>
        <w:tc>
          <w:tcPr>
            <w:tcW w:w="6240" w:type="dxa"/>
            <w:vAlign w:val="bottom"/>
          </w:tcPr>
          <w:p>
            <w:pPr>
              <w:jc w:val="center"/>
              <w:ind w:right="3416"/>
              <w:spacing w:after="0"/>
              <w:rPr>
                <w:sz w:val="20"/>
                <w:szCs w:val="20"/>
                <w:color w:val="auto"/>
              </w:rPr>
            </w:pPr>
            <w:r>
              <w:rPr>
                <w:rFonts w:ascii="Arial" w:cs="Arial" w:eastAsia="Arial" w:hAnsi="Arial"/>
                <w:sz w:val="18"/>
                <w:szCs w:val="18"/>
                <w:b w:val="1"/>
                <w:bCs w:val="1"/>
                <w:color w:val="auto"/>
                <w:w w:val="90"/>
              </w:rPr>
              <w:t>355 South Grand Avenue, Suite 100</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700 South 7th Street</w:t>
            </w:r>
          </w:p>
        </w:tc>
      </w:tr>
      <w:tr>
        <w:trPr>
          <w:trHeight w:val="216"/>
        </w:trPr>
        <w:tc>
          <w:tcPr>
            <w:tcW w:w="6240" w:type="dxa"/>
            <w:vAlign w:val="bottom"/>
          </w:tcPr>
          <w:p>
            <w:pPr>
              <w:jc w:val="center"/>
              <w:ind w:right="3416"/>
              <w:spacing w:after="0"/>
              <w:rPr>
                <w:sz w:val="20"/>
                <w:szCs w:val="20"/>
                <w:color w:val="auto"/>
              </w:rPr>
            </w:pPr>
            <w:r>
              <w:rPr>
                <w:rFonts w:ascii="Arial" w:cs="Arial" w:eastAsia="Arial" w:hAnsi="Arial"/>
                <w:sz w:val="18"/>
                <w:szCs w:val="18"/>
                <w:b w:val="1"/>
                <w:bCs w:val="1"/>
                <w:color w:val="auto"/>
                <w:w w:val="89"/>
              </w:rPr>
              <w:t>Los Angeles, CA 90071</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Las Vegas, NV 89101</w:t>
            </w:r>
          </w:p>
        </w:tc>
      </w:tr>
      <w:tr>
        <w:trPr>
          <w:trHeight w:val="225"/>
        </w:trPr>
        <w:tc>
          <w:tcPr>
            <w:tcW w:w="6240" w:type="dxa"/>
            <w:vAlign w:val="bottom"/>
          </w:tcPr>
          <w:p>
            <w:pPr>
              <w:jc w:val="center"/>
              <w:ind w:right="3416"/>
              <w:spacing w:after="0"/>
              <w:rPr>
                <w:sz w:val="20"/>
                <w:szCs w:val="20"/>
                <w:color w:val="auto"/>
              </w:rPr>
            </w:pPr>
            <w:r>
              <w:rPr>
                <w:rFonts w:ascii="Arial" w:cs="Arial" w:eastAsia="Arial" w:hAnsi="Arial"/>
                <w:sz w:val="18"/>
                <w:szCs w:val="18"/>
                <w:b w:val="1"/>
                <w:bCs w:val="1"/>
                <w:color w:val="auto"/>
                <w:w w:val="92"/>
              </w:rPr>
              <w:t>(213) 891-8770</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(702) 382-5222</w:t>
            </w:r>
          </w:p>
        </w:tc>
      </w:tr>
      <w:tr>
        <w:trPr>
          <w:trHeight w:val="149"/>
        </w:trPr>
        <w:tc>
          <w:tcPr>
            <w:tcW w:w="6240" w:type="dxa"/>
            <w:vAlign w:val="bottom"/>
          </w:tcPr>
          <w:p>
            <w:pPr>
              <w:jc w:val="center"/>
              <w:ind w:left="2076"/>
              <w:spacing w:after="0" w:line="149" w:lineRule="exact"/>
              <w:rPr>
                <w:sz w:val="20"/>
                <w:szCs w:val="20"/>
                <w:color w:val="auto"/>
              </w:rPr>
            </w:pPr>
            <w:r>
              <w:rPr>
                <w:rFonts w:ascii="Arial" w:cs="Arial" w:eastAsia="Arial" w:hAnsi="Arial"/>
                <w:sz w:val="14"/>
                <w:szCs w:val="14"/>
                <w:b w:val="1"/>
                <w:bCs w:val="1"/>
                <w:color w:val="auto"/>
                <w:w w:val="92"/>
              </w:rPr>
              <w:t>(Name, Address and Telephone Number of Person Authorized to</w:t>
            </w:r>
          </w:p>
        </w:tc>
        <w:tc>
          <w:tcPr>
            <w:tcW w:w="1720" w:type="dxa"/>
            <w:vAlign w:val="bottom"/>
          </w:tcPr>
          <w:p>
            <w:pPr>
              <w:spacing w:after="0"/>
              <w:rPr>
                <w:sz w:val="12"/>
                <w:szCs w:val="12"/>
                <w:color w:val="auto"/>
              </w:rPr>
            </w:pPr>
          </w:p>
        </w:tc>
      </w:tr>
      <w:tr>
        <w:trPr>
          <w:trHeight w:val="186"/>
        </w:trPr>
        <w:tc>
          <w:tcPr>
            <w:tcW w:w="6240" w:type="dxa"/>
            <w:vAlign w:val="bottom"/>
          </w:tcPr>
          <w:p>
            <w:pPr>
              <w:jc w:val="center"/>
              <w:ind w:left="2076"/>
              <w:spacing w:after="0"/>
              <w:rPr>
                <w:sz w:val="20"/>
                <w:szCs w:val="20"/>
                <w:color w:val="auto"/>
              </w:rPr>
            </w:pPr>
            <w:r>
              <w:rPr>
                <w:rFonts w:ascii="Arial" w:cs="Arial" w:eastAsia="Arial" w:hAnsi="Arial"/>
                <w:sz w:val="14"/>
                <w:szCs w:val="14"/>
                <w:b w:val="1"/>
                <w:bCs w:val="1"/>
                <w:color w:val="auto"/>
                <w:w w:val="91"/>
              </w:rPr>
              <w:t>Receive Notices and Communications)</w:t>
            </w:r>
          </w:p>
        </w:tc>
        <w:tc>
          <w:tcPr>
            <w:tcW w:w="1720" w:type="dxa"/>
            <w:vAlign w:val="bottom"/>
          </w:tcPr>
          <w:p>
            <w:pPr>
              <w:spacing w:after="0"/>
              <w:rPr>
                <w:sz w:val="16"/>
                <w:szCs w:val="16"/>
                <w:color w:val="auto"/>
              </w:rPr>
            </w:pPr>
          </w:p>
        </w:tc>
      </w:tr>
      <w:tr>
        <w:trPr>
          <w:trHeight w:val="502"/>
        </w:trPr>
        <w:tc>
          <w:tcPr>
            <w:tcW w:w="6240" w:type="dxa"/>
            <w:vAlign w:val="bottom"/>
          </w:tcPr>
          <w:p>
            <w:pPr>
              <w:jc w:val="center"/>
              <w:ind w:left="2076"/>
              <w:spacing w:after="0"/>
              <w:rPr>
                <w:sz w:val="20"/>
                <w:szCs w:val="20"/>
                <w:color w:val="auto"/>
              </w:rPr>
            </w:pPr>
            <w:r>
              <w:rPr>
                <w:rFonts w:ascii="Arial" w:cs="Arial" w:eastAsia="Arial" w:hAnsi="Arial"/>
                <w:sz w:val="18"/>
                <w:szCs w:val="18"/>
                <w:b w:val="1"/>
                <w:bCs w:val="1"/>
                <w:color w:val="auto"/>
                <w:w w:val="92"/>
              </w:rPr>
              <w:t>February 9, 2018</w:t>
            </w:r>
          </w:p>
        </w:tc>
        <w:tc>
          <w:tcPr>
            <w:tcW w:w="1720" w:type="dxa"/>
            <w:vAlign w:val="bottom"/>
          </w:tcPr>
          <w:p>
            <w:pPr>
              <w:spacing w:after="0"/>
              <w:rPr>
                <w:sz w:val="24"/>
                <w:szCs w:val="24"/>
                <w:color w:val="auto"/>
              </w:rPr>
            </w:pPr>
          </w:p>
        </w:tc>
      </w:tr>
      <w:tr>
        <w:trPr>
          <w:trHeight w:val="186"/>
        </w:trPr>
        <w:tc>
          <w:tcPr>
            <w:tcW w:w="6240" w:type="dxa"/>
            <w:vAlign w:val="bottom"/>
          </w:tcPr>
          <w:p>
            <w:pPr>
              <w:jc w:val="center"/>
              <w:ind w:left="2076"/>
              <w:spacing w:after="0"/>
              <w:rPr>
                <w:sz w:val="20"/>
                <w:szCs w:val="20"/>
                <w:color w:val="auto"/>
              </w:rPr>
            </w:pPr>
            <w:r>
              <w:rPr>
                <w:rFonts w:ascii="Arial" w:cs="Arial" w:eastAsia="Arial" w:hAnsi="Arial"/>
                <w:sz w:val="14"/>
                <w:szCs w:val="14"/>
                <w:b w:val="1"/>
                <w:bCs w:val="1"/>
                <w:color w:val="auto"/>
                <w:w w:val="93"/>
              </w:rPr>
              <w:t>(Date of Event Which Requires Filing of This Statement)</w:t>
            </w:r>
          </w:p>
        </w:tc>
        <w:tc>
          <w:tcPr>
            <w:tcW w:w="1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Stephen A. Wynn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4"/>
                <w:szCs w:val="4"/>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12,131,707</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98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tcPr>
          <w:p>
            <w:pPr>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1"/>
                <w:szCs w:val="11"/>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12,131,707</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5"/>
              </w:rPr>
              <w:t>12,131,707</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11.80%*</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ind w:left="40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011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0115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Wynn Family Limited Partnership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2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N/A</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980" w:type="dxa"/>
            <w:vAlign w:val="bottom"/>
            <w:gridSpan w:val="5"/>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98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Delaware</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4"/>
                <w:szCs w:val="4"/>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5"/>
                <w:szCs w:val="15"/>
                <w:color w:val="auto"/>
              </w:rPr>
            </w:pPr>
          </w:p>
        </w:tc>
        <w:tc>
          <w:tcPr>
            <w:tcW w:w="30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12,131,707</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98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tcPr>
          <w:p>
            <w:pPr>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1"/>
                <w:szCs w:val="11"/>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12,131,707</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5"/>
              </w:rPr>
              <w:t>12,131,707</w:t>
            </w: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10980" w:type="dxa"/>
            <w:vAlign w:val="bottom"/>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spacing w:after="0"/>
              <w:rPr>
                <w:sz w:val="16"/>
                <w:szCs w:val="16"/>
                <w:color w:val="auto"/>
              </w:rPr>
            </w:pPr>
          </w:p>
        </w:tc>
        <w:tc>
          <w:tcPr>
            <w:tcW w:w="99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11.80%</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PN</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ind w:left="40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ind w:right="4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14 hereby amends and supplements the Schedule 13D filed with the Securities and Exchange Commission (the “Commission”) on November 13, 2002, as amended to date (the “Schedule 13D”) relating to the common stock, par value $0.01 (the “Common Stock”) of Wynn Resorts, Limited (the “Company”). Capitalized terms used but not defined herein shall have the respective meanings set forth in the Schedule 13D.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 is hereby amended and restated by the following:</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Schedule 13D is being filed by Stephen A. Wynn and the Wynn Family Limited Partnership (“WFLP”) (each a “Reporting Person” and, collectively, the “Reporting Persons”). Mr. Wynn is trustee of the Stephen A. Wynn Revocable Trust U/D/T/ Dated June 24, 2010 (the “Revocable Trust”), which is the sole manager of Wynn GP, LLC (‘Wynn GP”), which is the general partner of WFLP, which is the record holder of the shares reported herein.</w:t>
      </w:r>
    </w:p>
    <w:p>
      <w:pPr>
        <w:spacing w:after="0" w:line="16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business address of each of the Reporting Persons is c/o Wynn Resorts, 3131 Las Vegas Boulevard South, Las Vegas, Nevada 89109. The principal business of WFLP is to hold the Common Stock of the Company. Mr. Wynn is a citizen of the United States of America. WFLP is a Delaware limited partnership.</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last five years, neither of the Reporting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with the following information: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9, 2018, counsel for Mr. Wynn in Wynn Resorts, Limited vs. Kazuo Okada, et al., Case No. A-12-656710 (the “Proceeding”) sent a letter (the “February 9 Letter”) to counsel for Elaine P. Wynn (“Ms. Wynn”) in that Proceeding, by which letter counsel for Mr. Wynn notified counsel for Ms. Wynn that Mr. Wynn now agrees that the Amended and Restated Stockholders Agreement, dated as of January 6, 2010, among Mr. Wynn, Ms. Wynn and Aruze USA, Inc. (the “Amended and Restated Stockholders Agreement”) no longer binds either Mr. Wynn or Ms. Wynn. Counsel for Mr. Wynn plans to advise the Eighth Judicial District Court in Clark County, Nevada (the “Nevada Court”) of this development, and the Nevada Court will take such actions in response as it deems appropriate. There can be no assurance that the Nevada Court will concur with the position now taken by Mr. Wynn, or that the Amended and Restated Stockholders Agreement will in fact be deemed to no longer bind Mr. Wynn or Ms. Wynn.</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Assuming the Nevada Court determines the Amended and Restated Stockholders Agreement is deemed to no longer bind Mr. Wynn or Ms. Wynn, Mr. Wynn and WFLP will no longer be deemed a group with Ms. Wynn. Accordingly, in such case, Mr. Wynn and WFLP will no longer file jointly with Ms. Wynn on the Schedule 13D.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 w:name="page5"/>
    <w:bookmarkEnd w:id="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Wynn has informed the Company that regardless of whether the Amended and Restated Stockholders Agreement is binding on him, he has no immediate plans to sell Common Stock that he owns and that if he elects to sell any such Common Stock over time, he will seek to conduct such sales in an orderly fashion. As the Reporting Persons previously disclosed, the Reporting Persons’ decision to acquire or dispose of shares of Common Stock, either alone or in concert with others, will depend on a number of considerations, including the price and availability of the Common Stock, subsequent developments affecting the Company, the business prospects of the Company, general stock market and economic conditions, tax considerations, regulatory approvals, available liquidity and other factors. Although the Reporting Persons may take certain actions described in this paragraph, the future plans of the Reporting Persons are subject to change at any time.</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description of the February 9 Letter does not purport to be complete and is qualified in its entirety by reference to the full text of the February 9 Letter filed as exhibit to this Schedule 13D, and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by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following sets forth, as of the date of this Schedule 13D, the aggregate number of shares of Common Stock and percentage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or shared power to dispose or to direct the disposition of, as of the date hereof, based on 102,782,543 shares of Common Stock outstanding as of October 31, 2017, as reported in the Company’s quarterly report on Form 10-Q for the quarter ended September 30, 2017, as filed with the Commission on November 8,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Sole</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power to</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power to</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power to</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dispose 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Percent</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vote or to</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vote or to</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 direct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80" w:type="dxa"/>
            <w:vAlign w:val="bottom"/>
            <w:gridSpan w:val="2"/>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direct the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direct the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the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owned</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of class</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vote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vote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disposition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Stephen A. Wynn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12,131,707</w:t>
            </w:r>
          </w:p>
        </w:tc>
        <w:tc>
          <w:tcPr>
            <w:tcW w:w="2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12,131,707</w:t>
            </w:r>
          </w:p>
        </w:tc>
        <w:tc>
          <w:tcPr>
            <w:tcW w:w="2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12,131,707</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WFLP</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12,131,707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11.80%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12,131,707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12,131,707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WFLP is the record holder of the shares reported herein. Mr. Wynn, is trustee of the Revocable Trust, which is the sole manager of Wynn GP, which is the general partner of WFLP.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 The following table sets forth the transactions in the Common Stock effected by the Reporting Persons within sixty (60) days preceding the date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1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Party</w:t>
            </w:r>
          </w:p>
        </w:tc>
        <w:tc>
          <w:tcPr>
            <w:tcW w:w="24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 of Transaction</w:t>
            </w:r>
          </w:p>
        </w:tc>
        <w:tc>
          <w:tcPr>
            <w:tcW w:w="22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Type of Security</w:t>
            </w:r>
          </w:p>
        </w:tc>
        <w:tc>
          <w:tcPr>
            <w:tcW w:w="1720" w:type="dxa"/>
            <w:vAlign w:val="bottom"/>
          </w:tcPr>
          <w:p>
            <w:pPr>
              <w:jc w:val="right"/>
              <w:ind w:right="459"/>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ind w:left="52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720" w:type="dxa"/>
            <w:vAlign w:val="bottom"/>
          </w:tcPr>
          <w:p>
            <w:pPr>
              <w:jc w:val="right"/>
              <w:ind w:right="579"/>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12/22/17</w:t>
            </w:r>
          </w:p>
        </w:tc>
        <w:tc>
          <w:tcPr>
            <w:tcW w:w="21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WFLP</w:t>
            </w:r>
          </w:p>
        </w:tc>
        <w:tc>
          <w:tcPr>
            <w:tcW w:w="2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Stock grant*</w:t>
            </w:r>
          </w:p>
        </w:tc>
        <w:tc>
          <w:tcPr>
            <w:tcW w:w="2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Common Stock</w:t>
            </w:r>
          </w:p>
        </w:tc>
        <w:tc>
          <w:tcPr>
            <w:tcW w:w="17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83,418</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12/22/17</w:t>
            </w:r>
          </w:p>
        </w:tc>
        <w:tc>
          <w:tcPr>
            <w:tcW w:w="2120" w:type="dxa"/>
            <w:vAlign w:val="bottom"/>
          </w:tcPr>
          <w:p>
            <w:pPr>
              <w:ind w:left="1120"/>
              <w:spacing w:after="0"/>
              <w:rPr>
                <w:sz w:val="20"/>
                <w:szCs w:val="20"/>
                <w:color w:val="auto"/>
              </w:rPr>
            </w:pPr>
            <w:r>
              <w:rPr>
                <w:rFonts w:ascii="Arial" w:cs="Arial" w:eastAsia="Arial" w:hAnsi="Arial"/>
                <w:sz w:val="18"/>
                <w:szCs w:val="18"/>
                <w:color w:val="auto"/>
              </w:rPr>
              <w:t>WFLP</w:t>
            </w:r>
          </w:p>
        </w:tc>
        <w:tc>
          <w:tcPr>
            <w:tcW w:w="2460" w:type="dxa"/>
            <w:vAlign w:val="bottom"/>
          </w:tcPr>
          <w:p>
            <w:pPr>
              <w:ind w:left="920"/>
              <w:spacing w:after="0"/>
              <w:rPr>
                <w:sz w:val="20"/>
                <w:szCs w:val="20"/>
                <w:color w:val="auto"/>
              </w:rPr>
            </w:pPr>
            <w:r>
              <w:rPr>
                <w:rFonts w:ascii="Arial" w:cs="Arial" w:eastAsia="Arial" w:hAnsi="Arial"/>
                <w:sz w:val="18"/>
                <w:szCs w:val="18"/>
                <w:color w:val="auto"/>
              </w:rPr>
              <w:t>Disposition**</w:t>
            </w:r>
          </w:p>
        </w:tc>
        <w:tc>
          <w:tcPr>
            <w:tcW w:w="2200" w:type="dxa"/>
            <w:vAlign w:val="bottom"/>
          </w:tcPr>
          <w:p>
            <w:pPr>
              <w:ind w:left="560"/>
              <w:spacing w:after="0"/>
              <w:rPr>
                <w:sz w:val="20"/>
                <w:szCs w:val="20"/>
                <w:color w:val="auto"/>
              </w:rPr>
            </w:pPr>
            <w:r>
              <w:rPr>
                <w:rFonts w:ascii="Arial" w:cs="Arial" w:eastAsia="Arial" w:hAnsi="Arial"/>
                <w:sz w:val="18"/>
                <w:szCs w:val="18"/>
                <w:color w:val="auto"/>
              </w:rPr>
              <w:t>Common Stock</w:t>
            </w:r>
          </w:p>
        </w:tc>
        <w:tc>
          <w:tcPr>
            <w:tcW w:w="1720" w:type="dxa"/>
            <w:vAlign w:val="bottom"/>
          </w:tcPr>
          <w:p>
            <w:pPr>
              <w:jc w:val="right"/>
              <w:ind w:right="439"/>
              <w:spacing w:after="0"/>
              <w:rPr>
                <w:sz w:val="20"/>
                <w:szCs w:val="20"/>
                <w:color w:val="auto"/>
              </w:rPr>
            </w:pPr>
            <w:r>
              <w:rPr>
                <w:rFonts w:ascii="Arial" w:cs="Arial" w:eastAsia="Arial" w:hAnsi="Arial"/>
                <w:sz w:val="18"/>
                <w:szCs w:val="18"/>
                <w:color w:val="auto"/>
              </w:rPr>
              <w:t>37,511</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167.75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8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Common Stock of the Company granted pursuant to the Company’s 2014 Omnibus Incentive Plan, which shares vested immediately upon grant.</w:t>
      </w:r>
    </w:p>
    <w:p>
      <w:pPr>
        <w:spacing w:after="0" w:line="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shares automatically withheld by the Company for payment of taxes in connection with a grant of Common Stock.</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with the following information: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4 above summarizes certain provisions of the February 9 Letter and is incorporated herein by reference. A copy of the February 9 Letter is attached as an exhibit to this Schedule 13D, and is incorporated herein by reference.</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Except as set forth in this Item 6, as amended and supplemented, none of the Reporting Persons has any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2" w:lineRule="exact"/>
        <w:rPr>
          <w:sz w:val="20"/>
          <w:szCs w:val="20"/>
          <w:color w:val="auto"/>
        </w:rPr>
      </w:pPr>
    </w:p>
    <w:p>
      <w:pPr>
        <w:spacing w:after="0"/>
        <w:tabs>
          <w:tab w:leader="none" w:pos="12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ind w:left="1220" w:hanging="1212"/>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Correspondence from Donald J. Campbell, Esq., dated February 9, 2018.</w:t>
      </w:r>
    </w:p>
    <w:p>
      <w:pPr>
        <w:spacing w:after="0" w:line="117" w:lineRule="exact"/>
        <w:rPr>
          <w:rFonts w:ascii="Arial" w:cs="Arial" w:eastAsia="Arial" w:hAnsi="Arial"/>
          <w:sz w:val="18"/>
          <w:szCs w:val="18"/>
          <w:color w:val="auto"/>
        </w:rPr>
      </w:pPr>
    </w:p>
    <w:p>
      <w:pPr>
        <w:ind w:left="5660" w:right="1900" w:hanging="5652"/>
        <w:spacing w:after="0" w:line="449" w:lineRule="auto"/>
        <w:tabs>
          <w:tab w:leader="none" w:pos="1201" w:val="left"/>
        </w:tabs>
        <w:numPr>
          <w:ilvl w:val="0"/>
          <w:numId w:val="4"/>
        </w:numPr>
        <w:rPr>
          <w:rFonts w:ascii="Arial" w:cs="Arial" w:eastAsia="Arial" w:hAnsi="Arial"/>
          <w:sz w:val="18"/>
          <w:szCs w:val="18"/>
          <w:color w:val="auto"/>
        </w:rPr>
      </w:pPr>
      <w:r>
        <w:rPr>
          <w:rFonts w:ascii="Arial" w:cs="Arial" w:eastAsia="Arial" w:hAnsi="Arial"/>
          <w:sz w:val="18"/>
          <w:szCs w:val="18"/>
          <w:color w:val="auto"/>
        </w:rPr>
        <w:t>Joint Filing Agreement, dated February 8, 2018, between Stephen A. Wynn and Wynn Family Limited Partnership. 5</w:t>
      </w:r>
    </w:p>
    <w:p>
      <w:pPr>
        <w:sectPr>
          <w:pgSz w:w="11900" w:h="16838" w:orient="portrait"/>
          <w:cols w:equalWidth="0" w:num="1">
            <w:col w:w="11400"/>
          </w:cols>
          <w:pgMar w:left="240" w:top="270" w:right="259" w:bottom="1440" w:gutter="0" w:footer="0" w:header="0"/>
        </w:sectPr>
      </w:pPr>
    </w:p>
    <w:bookmarkStart w:id="6" w:name="page7"/>
    <w:bookmarkEnd w:id="6"/>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240" w:top="270" w:right="739" w:bottom="1440" w:gutter="0" w:footer="0" w:header="0"/>
        </w:sectPr>
      </w:pPr>
    </w:p>
    <w:bookmarkStart w:id="7" w:name="page8"/>
    <w:bookmarkEnd w:id="7"/>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Trustee</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240" w:top="270" w:right="7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Arial" w:cs="Arial" w:eastAsia="Arial" w:hAnsi="Arial"/>
                <w:sz w:val="18"/>
                <w:szCs w:val="18"/>
                <w:color w:val="auto"/>
              </w:rPr>
              <w:t>VIA EMAIL</w:t>
            </w:r>
          </w:p>
        </w:tc>
        <w:tc>
          <w:tcPr>
            <w:tcW w:w="4300" w:type="dxa"/>
            <w:vAlign w:val="bottom"/>
          </w:tcPr>
          <w:p>
            <w:pPr>
              <w:ind w:left="740"/>
              <w:spacing w:after="0"/>
              <w:rPr>
                <w:sz w:val="20"/>
                <w:szCs w:val="20"/>
                <w:color w:val="auto"/>
              </w:rPr>
            </w:pPr>
            <w:r>
              <w:rPr>
                <w:rFonts w:ascii="Arial" w:cs="Arial" w:eastAsia="Arial" w:hAnsi="Arial"/>
                <w:sz w:val="18"/>
                <w:szCs w:val="18"/>
                <w:color w:val="auto"/>
              </w:rPr>
              <w:t>February 9, 2018</w:t>
            </w:r>
          </w:p>
        </w:tc>
      </w:tr>
      <w:tr>
        <w:trPr>
          <w:trHeight w:val="20"/>
        </w:trPr>
        <w:tc>
          <w:tcPr>
            <w:tcW w:w="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65"/>
        </w:trPr>
        <w:tc>
          <w:tcPr>
            <w:tcW w:w="3720" w:type="dxa"/>
            <w:vAlign w:val="bottom"/>
            <w:gridSpan w:val="2"/>
          </w:tcPr>
          <w:p>
            <w:pPr>
              <w:spacing w:after="0"/>
              <w:rPr>
                <w:sz w:val="20"/>
                <w:szCs w:val="20"/>
                <w:color w:val="auto"/>
              </w:rPr>
            </w:pPr>
            <w:r>
              <w:rPr>
                <w:rFonts w:ascii="Arial" w:cs="Arial" w:eastAsia="Arial" w:hAnsi="Arial"/>
                <w:sz w:val="18"/>
                <w:szCs w:val="18"/>
                <w:color w:val="auto"/>
              </w:rPr>
              <w:t>GREENBERG TRAURIG</w:t>
            </w:r>
          </w:p>
        </w:tc>
        <w:tc>
          <w:tcPr>
            <w:tcW w:w="4300" w:type="dxa"/>
            <w:vAlign w:val="bottom"/>
          </w:tcPr>
          <w:p>
            <w:pPr>
              <w:ind w:left="2340"/>
              <w:spacing w:after="0"/>
              <w:rPr>
                <w:sz w:val="20"/>
                <w:szCs w:val="20"/>
                <w:color w:val="auto"/>
              </w:rPr>
            </w:pPr>
            <w:r>
              <w:rPr>
                <w:rFonts w:ascii="Arial" w:cs="Arial" w:eastAsia="Arial" w:hAnsi="Arial"/>
                <w:sz w:val="18"/>
                <w:szCs w:val="18"/>
                <w:color w:val="auto"/>
              </w:rPr>
              <w:t>SIDLEY AUSTIN, LLP</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Mark E. Ferrario, Esq.</w:t>
            </w:r>
          </w:p>
        </w:tc>
        <w:tc>
          <w:tcPr>
            <w:tcW w:w="4300" w:type="dxa"/>
            <w:vAlign w:val="bottom"/>
          </w:tcPr>
          <w:p>
            <w:pPr>
              <w:ind w:left="2340"/>
              <w:spacing w:after="0"/>
              <w:rPr>
                <w:sz w:val="20"/>
                <w:szCs w:val="20"/>
                <w:color w:val="auto"/>
              </w:rPr>
            </w:pPr>
            <w:r>
              <w:rPr>
                <w:rFonts w:ascii="Arial" w:cs="Arial" w:eastAsia="Arial" w:hAnsi="Arial"/>
                <w:sz w:val="18"/>
                <w:szCs w:val="18"/>
                <w:color w:val="auto"/>
              </w:rPr>
              <w:t>James M. Cole, Esq.</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3773 Howard Hughes Parkway</w:t>
            </w:r>
          </w:p>
        </w:tc>
        <w:tc>
          <w:tcPr>
            <w:tcW w:w="4300" w:type="dxa"/>
            <w:vAlign w:val="bottom"/>
          </w:tcPr>
          <w:p>
            <w:pPr>
              <w:ind w:left="2340"/>
              <w:spacing w:after="0"/>
              <w:rPr>
                <w:sz w:val="20"/>
                <w:szCs w:val="20"/>
                <w:color w:val="auto"/>
              </w:rPr>
            </w:pPr>
            <w:r>
              <w:rPr>
                <w:rFonts w:ascii="Arial" w:cs="Arial" w:eastAsia="Arial" w:hAnsi="Arial"/>
                <w:sz w:val="18"/>
                <w:szCs w:val="18"/>
                <w:color w:val="auto"/>
              </w:rPr>
              <w:t>Scott D. Stein, Esq.</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Suite 400 North</w:t>
            </w:r>
          </w:p>
        </w:tc>
        <w:tc>
          <w:tcPr>
            <w:tcW w:w="4300" w:type="dxa"/>
            <w:vAlign w:val="bottom"/>
          </w:tcPr>
          <w:p>
            <w:pPr>
              <w:ind w:left="2340"/>
              <w:spacing w:after="0"/>
              <w:rPr>
                <w:sz w:val="20"/>
                <w:szCs w:val="20"/>
                <w:color w:val="auto"/>
              </w:rPr>
            </w:pPr>
            <w:r>
              <w:rPr>
                <w:rFonts w:ascii="Arial" w:cs="Arial" w:eastAsia="Arial" w:hAnsi="Arial"/>
                <w:sz w:val="18"/>
                <w:szCs w:val="18"/>
                <w:color w:val="auto"/>
                <w:w w:val="88"/>
              </w:rPr>
              <w:t>One South Dearborn Street</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Las Vegas, Nevada 89169</w:t>
            </w:r>
          </w:p>
        </w:tc>
        <w:tc>
          <w:tcPr>
            <w:tcW w:w="4300" w:type="dxa"/>
            <w:vAlign w:val="bottom"/>
          </w:tcPr>
          <w:p>
            <w:pPr>
              <w:ind w:left="2340"/>
              <w:spacing w:after="0"/>
              <w:rPr>
                <w:sz w:val="20"/>
                <w:szCs w:val="20"/>
                <w:color w:val="auto"/>
              </w:rPr>
            </w:pPr>
            <w:r>
              <w:rPr>
                <w:rFonts w:ascii="Arial" w:cs="Arial" w:eastAsia="Arial" w:hAnsi="Arial"/>
                <w:sz w:val="18"/>
                <w:szCs w:val="18"/>
                <w:color w:val="auto"/>
              </w:rPr>
              <w:t>Chicago, IL 60603</w:t>
            </w:r>
          </w:p>
        </w:tc>
      </w:tr>
      <w:tr>
        <w:trPr>
          <w:trHeight w:val="445"/>
        </w:trPr>
        <w:tc>
          <w:tcPr>
            <w:tcW w:w="3720" w:type="dxa"/>
            <w:vAlign w:val="bottom"/>
            <w:gridSpan w:val="2"/>
          </w:tcPr>
          <w:p>
            <w:pPr>
              <w:spacing w:after="0"/>
              <w:rPr>
                <w:sz w:val="20"/>
                <w:szCs w:val="20"/>
                <w:color w:val="auto"/>
              </w:rPr>
            </w:pPr>
            <w:r>
              <w:rPr>
                <w:rFonts w:ascii="Arial" w:cs="Arial" w:eastAsia="Arial" w:hAnsi="Arial"/>
                <w:sz w:val="18"/>
                <w:szCs w:val="18"/>
                <w:color w:val="auto"/>
              </w:rPr>
              <w:t>JOLLEY URGA WOODBURY LITTLE</w:t>
            </w:r>
          </w:p>
        </w:tc>
        <w:tc>
          <w:tcPr>
            <w:tcW w:w="4300" w:type="dxa"/>
            <w:vAlign w:val="bottom"/>
          </w:tcPr>
          <w:p>
            <w:pPr>
              <w:spacing w:after="0"/>
              <w:rPr>
                <w:sz w:val="24"/>
                <w:szCs w:val="24"/>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William R. Urga, Esq.</w:t>
            </w:r>
          </w:p>
        </w:tc>
        <w:tc>
          <w:tcPr>
            <w:tcW w:w="430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David J. Malley, Esq.</w:t>
            </w:r>
          </w:p>
        </w:tc>
        <w:tc>
          <w:tcPr>
            <w:tcW w:w="430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330 South Rampart Blvd., #380</w:t>
            </w:r>
          </w:p>
        </w:tc>
        <w:tc>
          <w:tcPr>
            <w:tcW w:w="4300" w:type="dxa"/>
            <w:vAlign w:val="bottom"/>
          </w:tcPr>
          <w:p>
            <w:pPr>
              <w:spacing w:after="0"/>
              <w:rPr>
                <w:sz w:val="18"/>
                <w:szCs w:val="18"/>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Las Vegas, Nevada 89145</w:t>
            </w:r>
          </w:p>
        </w:tc>
        <w:tc>
          <w:tcPr>
            <w:tcW w:w="4300" w:type="dxa"/>
            <w:vAlign w:val="bottom"/>
          </w:tcPr>
          <w:p>
            <w:pPr>
              <w:spacing w:after="0"/>
              <w:rPr>
                <w:sz w:val="20"/>
                <w:szCs w:val="20"/>
                <w:color w:val="auto"/>
              </w:rPr>
            </w:pPr>
          </w:p>
        </w:tc>
      </w:tr>
    </w:tbl>
    <w:p>
      <w:pPr>
        <w:spacing w:after="0" w:line="22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Wynn Resorts, Limited vs. Kazuo Okada, et al., Case No. A-12-656710-B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Counsel:</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you now know, Stephen A. Wynn (“Mr. Wynn”) has resigned as the Chief Executive Officer and Chairman of the Board of Wynn Resorts, Limited and Wynn Macau, Limited effective February 6, 2018. As you also know, Elaine P. Wynn (“Ms. Wynn”) has asserted multiple claims against Mr. Wynn in the above-referenced litigation seeking a judicial declaration that the Amended and Restated Stockholders Agreement dated January 6, 2010 (the “2010 Stockholders Agreement”) “is invalid and unenforceable as a matter of law.”</w:t>
      </w:r>
      <w:r>
        <w:rPr>
          <w:rFonts w:ascii="Arial" w:cs="Arial" w:eastAsia="Arial" w:hAnsi="Arial"/>
          <w:sz w:val="18"/>
          <w:szCs w:val="18"/>
          <w:i w:val="1"/>
          <w:iCs w:val="1"/>
          <w:color w:val="auto"/>
        </w:rPr>
        <w:t>See</w:t>
      </w:r>
      <w:r>
        <w:rPr>
          <w:rFonts w:ascii="Arial" w:cs="Arial" w:eastAsia="Arial" w:hAnsi="Arial"/>
          <w:sz w:val="18"/>
          <w:szCs w:val="18"/>
          <w:color w:val="auto"/>
        </w:rPr>
        <w:t xml:space="preserve"> 6ACC ¶ 1. Each of the subject claims is premised on the allegation that “[a]n actual controversy exists among Mr. Wynn, Ms. Wynn and Aruze with respect to the validity and/or enforceability of the January 2010 Stockholders Agreement.”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6ACC ¶¶ 68, 76, 82, 87, 93, and 114 (Claims 1-5; 7).</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light of the significant changed circumstances triggered by Mr. Wynn’s resignation, this letter hereby constitutes formal notice that Mr. Wynn no longer contests Ms. Wynn’s judicial admission that the 2010 Stockholders Agreement is invalid and unenforceable. Accordingly, while Mr. Wynn does not agree with Ms. Wynn’s bases for claiming the 2010 Stockholders Agreement is now invalid and unenforceable, he does agree that it no longer binds either party. As such, it is Mr. Wynn’s position that there is no longer a live controversy between the parties on this issue, and that Claims 1 through 5, 7, and 10 are now moot.</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Mr. Wynn plans to advise the Court of this development so that it may consider the same and streamline its preparation in advance of next week’s summary judgment hearings.</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CAMPBELL &amp; WILLIAMS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Donald J. Campbell</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Donald J. Campbell,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DJC:jyc</w:t>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right="460"/>
        <w:spacing w:after="0" w:line="302" w:lineRule="auto"/>
        <w:rPr>
          <w:sz w:val="20"/>
          <w:szCs w:val="20"/>
          <w:color w:val="auto"/>
        </w:rPr>
      </w:pPr>
      <w:r>
        <w:rPr>
          <w:rFonts w:ascii="Arial" w:cs="Arial" w:eastAsia="Arial" w:hAnsi="Arial"/>
          <w:sz w:val="16"/>
          <w:szCs w:val="16"/>
          <w:color w:val="auto"/>
        </w:rPr>
        <w:t>In accordance with Rule 13d-1(k)(1) promulgated under the Securities Exchange Act of 1934, as amended, the undersigned agree to the joint filing of a Statement on Schedule 13D (including any and all amendments thereto) with respect to the shares of common stock, par value $0.01 per share, of Wynn Resorts, Limited, and further agree that this Joint Filing Agreement (this “Agreement”) be included as an Exhibit thereto. In addition, each party to this Agreement expressly authorizes each other party to this Agreement to file on his or her behalf any and all amendments to such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Trustee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2019-12-06T20:26:19Z</dcterms:created>
  <dcterms:modified xsi:type="dcterms:W3CDTF">2019-12-06T20:26:19Z</dcterms:modified>
</cp:coreProperties>
</file>