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023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023100"/>
                    </a:xfrm>
                    <a:prstGeom prst="rect">
                      <a:avLst/>
                    </a:prstGeom>
                    <a:noFill/>
                  </pic:spPr>
                </pic:pic>
              </a:graphicData>
            </a:graphic>
          </wp:anchor>
        </w:drawing>
      </w:r>
    </w:p>
    <w:p>
      <w:pPr>
        <w:spacing w:after="0" w:line="96" w:lineRule="exact"/>
        <w:rPr>
          <w:sz w:val="24"/>
          <w:szCs w:val="24"/>
          <w:color w:val="auto"/>
        </w:rPr>
      </w:pPr>
    </w:p>
    <w:p>
      <w:pPr>
        <w:sectPr>
          <w:pgSz w:w="11900" w:h="16923"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WYNN STEPHEN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923" w:orient="portrait"/>
          <w:cols w:equalWidth="0" w:num="3">
            <w:col w:w="3360" w:space="720"/>
            <w:col w:w="3257" w:space="720"/>
            <w:col w:w="3363"/>
          </w:cols>
          <w:pgMar w:left="240" w:top="226" w:right="239" w:bottom="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000" w:type="dxa"/>
            <w:vAlign w:val="bottom"/>
          </w:tcPr>
          <w:p>
            <w:pPr>
              <w:ind w:left="160"/>
              <w:spacing w:after="0"/>
              <w:rPr>
                <w:sz w:val="20"/>
                <w:szCs w:val="20"/>
                <w:color w:val="auto"/>
              </w:rPr>
            </w:pPr>
            <w:r>
              <w:rPr>
                <w:rFonts w:ascii="Arial" w:cs="Arial" w:eastAsia="Arial" w:hAnsi="Arial"/>
                <w:sz w:val="18"/>
                <w:szCs w:val="18"/>
                <w:color w:val="0000FF"/>
              </w:rPr>
              <w:t>NV</w:t>
            </w:r>
          </w:p>
        </w:tc>
        <w:tc>
          <w:tcPr>
            <w:tcW w:w="1680" w:type="dxa"/>
            <w:vAlign w:val="bottom"/>
          </w:tcPr>
          <w:p>
            <w:pPr>
              <w:ind w:left="420"/>
              <w:spacing w:after="0"/>
              <w:rPr>
                <w:sz w:val="20"/>
                <w:szCs w:val="20"/>
                <w:color w:val="auto"/>
              </w:rPr>
            </w:pPr>
            <w:r>
              <w:rPr>
                <w:rFonts w:ascii="Arial" w:cs="Arial" w:eastAsia="Arial" w:hAnsi="Arial"/>
                <w:sz w:val="18"/>
                <w:szCs w:val="18"/>
                <w:color w:val="0000FF"/>
              </w:rPr>
              <w:t>89109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923"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12/04/2015</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color w:val="0000FF"/>
              </w:rPr>
              <w:t>P</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w w:val="89"/>
              </w:rPr>
              <w:t>163,174</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64.29</w:t>
            </w:r>
            <w:r>
              <w:rPr>
                <w:rFonts w:ascii="Arial" w:cs="Arial" w:eastAsia="Arial" w:hAnsi="Arial"/>
                <w:sz w:val="22"/>
                <w:szCs w:val="22"/>
                <w:color w:val="008000"/>
                <w:w w:val="84"/>
                <w:vertAlign w:val="superscript"/>
              </w:rPr>
              <w:t>(1)</w:t>
            </w: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202,489</w:t>
            </w:r>
          </w:p>
        </w:tc>
        <w:tc>
          <w:tcPr>
            <w:tcW w:w="360" w:type="dxa"/>
            <w:vAlign w:val="bottom"/>
          </w:tcPr>
          <w:p>
            <w:pPr>
              <w:spacing w:after="0"/>
              <w:rPr>
                <w:sz w:val="22"/>
                <w:szCs w:val="22"/>
                <w:color w:val="auto"/>
              </w:rPr>
            </w:pPr>
          </w:p>
        </w:tc>
        <w:tc>
          <w:tcPr>
            <w:tcW w:w="540" w:type="dxa"/>
            <w:vAlign w:val="bottom"/>
            <w:vMerge w:val="restart"/>
          </w:tcPr>
          <w:p>
            <w:pPr>
              <w:jc w:val="center"/>
              <w:ind w:right="326"/>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12/07/2015</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color w:val="0000FF"/>
              </w:rPr>
              <w:t>P</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w w:val="87"/>
              </w:rPr>
              <w:t>85,054</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63.91</w:t>
            </w:r>
            <w:r>
              <w:rPr>
                <w:rFonts w:ascii="Arial" w:cs="Arial" w:eastAsia="Arial" w:hAnsi="Arial"/>
                <w:sz w:val="22"/>
                <w:szCs w:val="22"/>
                <w:color w:val="008000"/>
                <w:w w:val="84"/>
                <w:vertAlign w:val="superscript"/>
              </w:rPr>
              <w:t>(2)</w:t>
            </w: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287,543</w:t>
            </w:r>
          </w:p>
        </w:tc>
        <w:tc>
          <w:tcPr>
            <w:tcW w:w="360" w:type="dxa"/>
            <w:vAlign w:val="bottom"/>
          </w:tcPr>
          <w:p>
            <w:pPr>
              <w:spacing w:after="0"/>
              <w:rPr>
                <w:sz w:val="22"/>
                <w:szCs w:val="22"/>
                <w:color w:val="auto"/>
              </w:rPr>
            </w:pPr>
          </w:p>
        </w:tc>
        <w:tc>
          <w:tcPr>
            <w:tcW w:w="540" w:type="dxa"/>
            <w:vAlign w:val="bottom"/>
            <w:vMerge w:val="restart"/>
          </w:tcPr>
          <w:p>
            <w:pPr>
              <w:jc w:val="center"/>
              <w:ind w:right="326"/>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12/07/2015</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color w:val="0000FF"/>
              </w:rPr>
              <w:t>P</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w w:val="89"/>
              </w:rPr>
              <w:t>320,960</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64.44</w:t>
            </w:r>
            <w:r>
              <w:rPr>
                <w:rFonts w:ascii="Arial" w:cs="Arial" w:eastAsia="Arial" w:hAnsi="Arial"/>
                <w:sz w:val="22"/>
                <w:szCs w:val="22"/>
                <w:color w:val="008000"/>
                <w:w w:val="84"/>
                <w:vertAlign w:val="superscript"/>
              </w:rPr>
              <w:t>(3)</w:t>
            </w: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608,503</w:t>
            </w:r>
          </w:p>
        </w:tc>
        <w:tc>
          <w:tcPr>
            <w:tcW w:w="360" w:type="dxa"/>
            <w:vAlign w:val="bottom"/>
          </w:tcPr>
          <w:p>
            <w:pPr>
              <w:spacing w:after="0"/>
              <w:rPr>
                <w:sz w:val="22"/>
                <w:szCs w:val="22"/>
                <w:color w:val="auto"/>
              </w:rPr>
            </w:pPr>
          </w:p>
        </w:tc>
        <w:tc>
          <w:tcPr>
            <w:tcW w:w="540" w:type="dxa"/>
            <w:vAlign w:val="bottom"/>
            <w:vMerge w:val="restart"/>
          </w:tcPr>
          <w:p>
            <w:pPr>
              <w:jc w:val="center"/>
              <w:ind w:right="326"/>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12/08/2015</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color w:val="0000FF"/>
              </w:rPr>
              <w:t>P</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w w:val="89"/>
              </w:rPr>
              <w:t>266,614</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62.41</w:t>
            </w:r>
            <w:r>
              <w:rPr>
                <w:rFonts w:ascii="Arial" w:cs="Arial" w:eastAsia="Arial" w:hAnsi="Arial"/>
                <w:sz w:val="22"/>
                <w:szCs w:val="22"/>
                <w:color w:val="008000"/>
                <w:w w:val="84"/>
                <w:vertAlign w:val="superscript"/>
              </w:rPr>
              <w:t>(4)</w:t>
            </w: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875,117</w:t>
            </w:r>
          </w:p>
        </w:tc>
        <w:tc>
          <w:tcPr>
            <w:tcW w:w="360" w:type="dxa"/>
            <w:vAlign w:val="bottom"/>
          </w:tcPr>
          <w:p>
            <w:pPr>
              <w:spacing w:after="0"/>
              <w:rPr>
                <w:sz w:val="22"/>
                <w:szCs w:val="22"/>
                <w:color w:val="auto"/>
              </w:rPr>
            </w:pPr>
          </w:p>
        </w:tc>
        <w:tc>
          <w:tcPr>
            <w:tcW w:w="540" w:type="dxa"/>
            <w:vAlign w:val="bottom"/>
            <w:vMerge w:val="restart"/>
          </w:tcPr>
          <w:p>
            <w:pPr>
              <w:jc w:val="center"/>
              <w:ind w:right="326"/>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12/08/2015</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color w:val="0000FF"/>
              </w:rPr>
              <w:t>P</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w w:val="89"/>
              </w:rPr>
              <w:t>168,175</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63.1</w:t>
            </w:r>
            <w:r>
              <w:rPr>
                <w:rFonts w:ascii="Arial" w:cs="Arial" w:eastAsia="Arial" w:hAnsi="Arial"/>
                <w:sz w:val="22"/>
                <w:szCs w:val="22"/>
                <w:color w:val="008000"/>
                <w:w w:val="85"/>
                <w:vertAlign w:val="superscript"/>
              </w:rPr>
              <w:t>(5)</w:t>
            </w:r>
          </w:p>
        </w:tc>
        <w:tc>
          <w:tcPr>
            <w:tcW w:w="2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1,043,292</w:t>
            </w:r>
          </w:p>
        </w:tc>
        <w:tc>
          <w:tcPr>
            <w:tcW w:w="360" w:type="dxa"/>
            <w:vAlign w:val="bottom"/>
          </w:tcPr>
          <w:p>
            <w:pPr>
              <w:spacing w:after="0"/>
              <w:rPr>
                <w:sz w:val="22"/>
                <w:szCs w:val="22"/>
                <w:color w:val="auto"/>
              </w:rPr>
            </w:pPr>
          </w:p>
        </w:tc>
        <w:tc>
          <w:tcPr>
            <w:tcW w:w="540" w:type="dxa"/>
            <w:vAlign w:val="bottom"/>
            <w:vMerge w:val="restart"/>
          </w:tcPr>
          <w:p>
            <w:pPr>
              <w:jc w:val="center"/>
              <w:ind w:right="326"/>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By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10,026,708</w:t>
            </w:r>
          </w:p>
        </w:tc>
        <w:tc>
          <w:tcPr>
            <w:tcW w:w="360" w:type="dxa"/>
            <w:vAlign w:val="bottom"/>
          </w:tcPr>
          <w:p>
            <w:pPr>
              <w:spacing w:after="0"/>
              <w:rPr>
                <w:sz w:val="18"/>
                <w:szCs w:val="18"/>
                <w:color w:val="auto"/>
              </w:rPr>
            </w:pPr>
          </w:p>
        </w:tc>
        <w:tc>
          <w:tcPr>
            <w:tcW w:w="540" w:type="dxa"/>
            <w:vAlign w:val="bottom"/>
            <w:vMerge w:val="restart"/>
          </w:tcPr>
          <w:p>
            <w:pPr>
              <w:jc w:val="center"/>
              <w:ind w:right="326"/>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0"/>
              </w:rPr>
              <w:t>Partnership</w:t>
            </w:r>
            <w:r>
              <w:rPr>
                <w:rFonts w:ascii="Arial" w:cs="Arial" w:eastAsia="Arial" w:hAnsi="Arial"/>
                <w:sz w:val="22"/>
                <w:szCs w:val="22"/>
                <w:color w:val="008000"/>
                <w:w w:val="90"/>
                <w:vertAlign w:val="superscript"/>
              </w:rPr>
              <w:t>(6)</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price of multiple transactions with a range of prices between $63.54 and $64.50. The reporting person, upon request by the staff of the SEC, Wynn Resorts, Limited (the "Company") or by a security holder of the Company, undertakes to provide further information regarding the number of securities sold at each separate price.</w:t>
      </w: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$63.15 and $64.14. The reporting person, upon request by the staff of the SEC, the Company or by a security holder of the Company, undertakes to provide further information regarding the number of securities sold at each separate price.</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$64.15 and $64.50. The reporting person, upon request by the staff of the SEC, the Company or by a security holder of the Company, undertakes to provide further information regarding the number of securities sold at each separate price.</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$61.77 and $62.76. The reporting person, upon request by the staff of the SEC, the Company or by a security holder of the Company, undertakes to provide further information regarding the number of securities sold at each separate price.</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$62.77 and $63.60. The reporting person, upon request by the staff of the SEC, the Company or by a security holder of the Company, undertakes to provide further information regarding the number of securities sold at each separate price.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that 10,026,708 shares previously reported as held directly by the reporting person were acquired by the Wynn Family Limited Partnership on September 28, 2012 in connection with the merger of a predecessor entity and have been held indirectly by the reporting person since that time. Such transaction represented a change in the form of beneficial ownership without changing the reporting person's pecuniary interest in such shares, and was exempt from Section 16 pursuant to Rule 16a-13.</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Kevin Tourek, Attorney-in-</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12/08/2015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Stephen A. Wynn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923"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396"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2019-12-08T01:45:47Z</dcterms:created>
  <dcterms:modified xsi:type="dcterms:W3CDTF">2019-12-08T01:45:47Z</dcterms:modified>
</cp:coreProperties>
</file>