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November 1, 2024</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2024, Wynn Resorts, Limited (the "Company") issued a press release announcing its results of operations for the quarter ended September 30, 2024.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4, 2024, the Company announced that its Board of Directors declared a quarterly cash dividend of $0.25 per share, payable on November 27, 2024 to stockholders of record as of November 15, 2024.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8"/>
        <w:gridCol w:w="2638"/>
        <w:gridCol w:w="376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32024pressrelease.htm">
              <w:r>
                <w:rPr>
                  <w:rStyle w:val="InternetLink"/>
                  <w:rFonts w:ascii="Times New Roman;sans-serif" w:hAnsi="Times New Roman;sans-serif"/>
                  <w:b w:val="false"/>
                  <w:color w:val="0000FF"/>
                  <w:sz w:val="20"/>
                  <w:u w:val="single"/>
                </w:rPr>
                <w:t>Press release, dated November 4, 2024,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916"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134"/>
        <w:gridCol w:w="134"/>
        <w:gridCol w:w="136"/>
        <w:gridCol w:w="109"/>
        <w:gridCol w:w="109"/>
        <w:gridCol w:w="109"/>
        <w:gridCol w:w="777"/>
        <w:gridCol w:w="777"/>
        <w:gridCol w:w="110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4,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Third Quarter 2024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November 4, 2024 — Wynn Resorts, Limited (NASDAQ: WYNN) ("Wynn Resorts" or the "Company") today reported financial results for the third quarter ended September 30, 2024.</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Operating revenues were $1.69 billion for the third quarter of 2024, an increase of $21.4 million from $1.67 billion for the third quarter of 2023. Net loss attributable to Wynn Resorts, Limited was $32.1 million for the third quarter of 2024, compared to net loss attributable to Wynn Resorts, Limited of $116.7 million for the third quarter of 2023. Diluted net loss per share was $0.29 for the third quarter of 2024, compared to diluted net loss per share of $1.03 for the third quarter of 2023.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$527.7 million for the third quarter of 2024, compared to Adjusted Property EBITDAR of $530.4 million for the third quarter of 2023.</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third quarter results reflect healthy demand across our resorts highlighted by strong mass gaming win in Macau and solid non-gaming performance in Las Vegas. The investments we have made in our properties, our team and our unique programming continue to extend our leadership position in each of our markets," said Craig Billings, CEO of Wynn Resorts, Limited. "Importantly, we are also continuing to invest in growing the business with construction on Wynn Al Marjan Island rapidly advancing. We are confident the resort will be a 'must see' tourism destination in the UAE and expect that it will support strong long-term free cash flow growth. At the same time, we continue to increase the return of capital to shareholders through our recurring dividend and opportunistic share repurchases. To that end, we are pleased to announce that the Board has increased our share repurchase authorization to $1 billion. We are excited about the outlook for the Company, and we will continue to focus on driving long-term returns for shareholders."</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were $1.69 billion for the third quarter of 2024, an increase of $21.4 million from $1.67 billion for the third quarter of 2023. For the third quarter of 2024, operating revenues increased $56.9 million and $3.7 million at Wynn Macau and Encore Boston Harbor, respectively, and decreased $11.8 million and $5.0 million at our Las Vegas Operations and Wynn Palace, respectively, from the third quarter of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loss attributable to Wynn Resorts, Limited was $32.1 million for the third quarter of 2024, compared to net loss attributable to Wynn Resorts, Limited of $116.7 million for the third quarter of 2023. Diluted net loss per share was $0.29 for the third quarter of 2024, compared to diluted net loss per share of $1.03 for the third quarter of 2023.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$98.9 million, or $0.90 per diluted share, for the third quarter of 2024, compared to adjusted net income attributable to Wynn Resorts, Limited of $112.0 million, or $0.99 per diluted share, for the third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$527.7 million for the third quarter of 2024, a decrease of $2.7 million compared to Adjusted Property EBITDAR of $530.4 million for the third quarter of 2023. For the third quarter of 2024, Adjusted Property EBITDAR increased $22.7 million and $2.5 million at Wynn Macau and Encore Boston Harbor, respectively, and decreased $17.0 million and $14.8 million at our Las Vegas Operations and Wynn Palace, respectively, from the third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November 27, 2024 to stockholders of record as of November 15, 2024.</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Palace were $519.8 million for the third quarter of 2024, a decrease of $5.0 million from $524.8 million for the third quarter of 2023. Adjusted Property EBITDAR from Wynn Palace was $162.3 million for the third quarter of 2024, compared to $177.0 million for the third quarter of 2023. Table games win percentage in mass market operations was 23.9%, above the 23.3% experienced in the third quarter of 2023. VIP table games win as a percentage of turnover was 3.04%, below the property's expected range of 3.1% to 3.4% and below the 3.42% experienced in the third quarter of 2023.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$352.0 million for the third quarter of 2024, an increase of $56.9 million from $295.0 million for the third quarter of 2023. Adjusted Property EBITDAR from Wynn Macau was $100.6 million for the third quarter of 2024, compared to $77.9 million for the third quarter of 2023. Table games win percentage in mass market operations was 18.5%, above the 16.5% experienced in the third quarter of 2023. VIP table games win as a percentage of turnover was 3.61%, above the property's expected range of 3.1% to 3.4% and above the 3.52% experienced in the third quarter of 2023.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$607.2 million for the third quarter of 2024, a decrease of $11.8 million from $619.0 million for the third quarter of 2023. Adjusted Property EBITDAR from our Las Vegas Operations for the third quarter of 2024 was $202.7 million, compared to $219.7 million for the third quarter of 2023. Table games win percentage for the third quarter of 2024 was 23.3%, within the property's expected range of 22% to 26% and below the 26.0% experienced in the third quarter of 2023.</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$214.1 million for the third quarter of 2024, an increase of $3.7 million from $210.4 million for the third quarter of 2023. Adjusted Property EBITDAR from Encore Boston Harbor for the third quarter of 2024 was $63.0 million, compared to $60.5 million for the third quarter of 2023. Table games win percentage for the third quarter of 2024 was 21.3%, within the property's expected range of 18% to 22% and above the 20.8% experienced in the third quarter of 2023.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Wynn Al Marjan Island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Company contributed $18.2 million of cash into a 40%-owned joint venture that is constructing the Wynn Al Marjan Island development in the UAE, bringing our life-to-date cash contributions to the project to $532.6 million. Wynn Al Marjan Island is currently expected to open in 2027.</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as of September 30, 2024 totaled $2.41 billion, comprised of $1.34 billion held by Wynn Macau, Limited ("WML") and subsidiaries, $464.1 million held by Wynn Resorts Finance, LLC ("WRF") and subsidiaries excluding WML, and $603.7 million held at Corporate and other. In addition, as of September 30, 2024, WML and WRF held $600.0 million and $605.9 million in short-term restricted cash, respectively, which was used to repay or repurchase certain senior notes in October 2024, as described below. As of September 30, 2024, the available borrowing capacity under the WRF Revolver and the WM Cayman II Revolver was $735.3 million and $353.6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September 30, 2024 was $11.79 billion, comprised of $6.41 billion of Macau related debt, $1.46 billion of Wynn Las Vegas debt, $3.30 billion of WRF debt, and $614.5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Debt 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we amended the WML facility agreement to extend the maturity date of the outstanding loans under the WM Cayman II Revolver to September 2028. On October 1, 2024, we repaid the $600.0 million aggregate principal amount of WML's 4.875% Senior Notes due 2024 on their stated maturity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2024, we amended the WRF credit agreement to extend the maturity dates of a portion of the term loans and revolving commitments under the credit facility to September 2027. In September 2024, WRF and its subsidiary Wynn Resorts Capital Corp. issued $800.0 million aggregate principal amount of 6.250% Senior Notes due 2033 (the "2033 WRF Senior Notes"), using a portion of the proceeds in October 2024 to repurchase the remaining $600.0 million aggregate principal amount of WLV 5.500% Senior Notes due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previously disclosed, in October 2024, we amended the retail term loan agreement to extend the maturity date to July 2027.</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Company repurchased 1,464,773 shares of its common stock under its publicly announced equity repurchase program at an average price of $80.37 per share, for an aggregate cost of $117.7 million, bringing the total repurchases by the Company for the nine months ended September 30, 2024 to 2,206,113 shares of its common stock for an aggregate cost of $185.7 million. As of September 30, 2024, the Company had $247.7 million in repurchase authority remaining under the equity repurchase program.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the Company’s Board of Directors authorized the Company to repurchase a total of up to $1.00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November 4, 2024 at 1:30 p.m. PT (4:30 p.m. ET). Interested parties are invited to join the call by accessing a live audio webcast at http://www.wynnresorts.com. On or before November 14, 2024, the Company will make Wynn Resorts Finance, LLC and Wynn Las Vegas, LLC financial information for the quarter ended September 30, 2024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2023,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(loss)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(gain)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attributable to Wynn Resorts, Limited" is net income (loss) attributable to Wynn Resorts, Limited before pre-opening expenses, property charges and other expenses, change in derivatives fair value, loss (gain) on debt financing transactions, and foreign currency remeasurement and other,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(loss) attributable to Wynn Resorts, Limited to adjusted net income attributable to Wynn Resorts, Limited, (ii) operating income (loss) to Adjusted Property EBITDAR, and (iii) net income (loss) attributable to Wynn Resorts, Limited to Adjusted Property EBITDAR.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272"/>
        <w:gridCol w:w="1274"/>
        <w:gridCol w:w="211"/>
        <w:gridCol w:w="976"/>
        <w:gridCol w:w="109"/>
        <w:gridCol w:w="109"/>
        <w:gridCol w:w="109"/>
        <w:gridCol w:w="109"/>
        <w:gridCol w:w="211"/>
        <w:gridCol w:w="884"/>
        <w:gridCol w:w="109"/>
        <w:gridCol w:w="109"/>
        <w:gridCol w:w="109"/>
        <w:gridCol w:w="109"/>
        <w:gridCol w:w="211"/>
        <w:gridCol w:w="976"/>
        <w:gridCol w:w="109"/>
        <w:gridCol w:w="109"/>
        <w:gridCol w:w="109"/>
        <w:gridCol w:w="109"/>
        <w:gridCol w:w="211"/>
        <w:gridCol w:w="976"/>
        <w:gridCol w:w="155"/>
      </w:tblGrid>
      <w:tr>
        <w:trPr/>
        <w:tc>
          <w:tcPr>
            <w:tcW w:w="154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1,671,936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5,289,164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4,691,437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1,560,086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1,609,341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4,523,328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4,208,991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765,836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482,446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debt financing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(403,404)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(471,432)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11,014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01"/>
        <w:gridCol w:w="1379"/>
        <w:gridCol w:w="1384"/>
        <w:gridCol w:w="211"/>
        <w:gridCol w:w="773"/>
        <w:gridCol w:w="109"/>
        <w:gridCol w:w="109"/>
        <w:gridCol w:w="109"/>
        <w:gridCol w:w="109"/>
        <w:gridCol w:w="211"/>
        <w:gridCol w:w="878"/>
        <w:gridCol w:w="109"/>
        <w:gridCol w:w="109"/>
        <w:gridCol w:w="109"/>
        <w:gridCol w:w="109"/>
        <w:gridCol w:w="211"/>
        <w:gridCol w:w="841"/>
        <w:gridCol w:w="109"/>
        <w:gridCol w:w="109"/>
        <w:gridCol w:w="109"/>
        <w:gridCol w:w="109"/>
        <w:gridCol w:w="211"/>
        <w:gridCol w:w="841"/>
        <w:gridCol w:w="156"/>
      </w:tblGrid>
      <w:tr>
        <w:trPr/>
        <w:tc>
          <w:tcPr>
            <w:tcW w:w="180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debt financing transactions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400,208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248,689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 per diluted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w:t>
            </w: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48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133,237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76,031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156,273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150,475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27,637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36,184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13,670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35,381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162,283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100,594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262,877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202,720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527,677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503"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127,090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62,595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171,969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93,990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114,288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35,104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35,404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177,048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77,939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254,987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219,740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60,498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530,361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803" w:type="dxa"/>
        <w:jc w:val="left"/>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765,836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227,323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507,611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206,238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109,799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44,206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106,127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549,112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333,691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882,803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679,315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188,284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1,745,867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908" w:type="dxa"/>
        <w:jc w:val="left"/>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295,911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482,446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224,709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510,743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132,265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102,342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49,139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106,318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444,713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212,274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656,987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675,458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1,484,565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(LOSS)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2"/>
        <w:gridCol w:w="1303"/>
        <w:gridCol w:w="1308"/>
        <w:gridCol w:w="211"/>
        <w:gridCol w:w="841"/>
        <w:gridCol w:w="109"/>
        <w:gridCol w:w="109"/>
        <w:gridCol w:w="109"/>
        <w:gridCol w:w="109"/>
        <w:gridCol w:w="211"/>
        <w:gridCol w:w="891"/>
        <w:gridCol w:w="109"/>
        <w:gridCol w:w="109"/>
        <w:gridCol w:w="109"/>
        <w:gridCol w:w="109"/>
        <w:gridCol w:w="211"/>
        <w:gridCol w:w="991"/>
        <w:gridCol w:w="109"/>
        <w:gridCol w:w="109"/>
        <w:gridCol w:w="109"/>
        <w:gridCol w:w="109"/>
        <w:gridCol w:w="211"/>
        <w:gridCol w:w="991"/>
        <w:gridCol w:w="156"/>
      </w:tblGrid>
      <w:tr>
        <w:trPr/>
        <w:tc>
          <w:tcPr>
            <w:tcW w:w="157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527,677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1,745,867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1,484,565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52"/>
        <w:gridCol w:w="748"/>
        <w:gridCol w:w="752"/>
        <w:gridCol w:w="211"/>
        <w:gridCol w:w="260"/>
        <w:gridCol w:w="580"/>
        <w:gridCol w:w="114"/>
        <w:gridCol w:w="114"/>
        <w:gridCol w:w="114"/>
        <w:gridCol w:w="211"/>
        <w:gridCol w:w="260"/>
        <w:gridCol w:w="580"/>
        <w:gridCol w:w="109"/>
        <w:gridCol w:w="109"/>
        <w:gridCol w:w="109"/>
        <w:gridCol w:w="336"/>
        <w:gridCol w:w="315"/>
        <w:gridCol w:w="316"/>
        <w:gridCol w:w="109"/>
        <w:gridCol w:w="109"/>
        <w:gridCol w:w="109"/>
        <w:gridCol w:w="206"/>
        <w:gridCol w:w="260"/>
        <w:gridCol w:w="580"/>
        <w:gridCol w:w="111"/>
        <w:gridCol w:w="111"/>
        <w:gridCol w:w="111"/>
        <w:gridCol w:w="206"/>
        <w:gridCol w:w="260"/>
        <w:gridCol w:w="580"/>
        <w:gridCol w:w="109"/>
        <w:gridCol w:w="109"/>
        <w:gridCol w:w="109"/>
        <w:gridCol w:w="325"/>
        <w:gridCol w:w="289"/>
        <w:gridCol w:w="422"/>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418,043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153,287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93,405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71,260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519,790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524,773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1,654,740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1,362,486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21.5</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162,283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549,112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444,713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23.5</w:t>
            </w: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3,199,140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9,930,241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8,202,165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97,312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342,024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1,694,575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5,215,019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404,307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1,251,039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577,289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1,815,623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3"/>
        <w:gridCol w:w="749"/>
        <w:gridCol w:w="753"/>
        <w:gridCol w:w="211"/>
        <w:gridCol w:w="260"/>
        <w:gridCol w:w="580"/>
        <w:gridCol w:w="114"/>
        <w:gridCol w:w="114"/>
        <w:gridCol w:w="114"/>
        <w:gridCol w:w="211"/>
        <w:gridCol w:w="260"/>
        <w:gridCol w:w="580"/>
        <w:gridCol w:w="109"/>
        <w:gridCol w:w="109"/>
        <w:gridCol w:w="109"/>
        <w:gridCol w:w="336"/>
        <w:gridCol w:w="314"/>
        <w:gridCol w:w="316"/>
        <w:gridCol w:w="109"/>
        <w:gridCol w:w="109"/>
        <w:gridCol w:w="109"/>
        <w:gridCol w:w="206"/>
        <w:gridCol w:w="260"/>
        <w:gridCol w:w="580"/>
        <w:gridCol w:w="111"/>
        <w:gridCol w:w="111"/>
        <w:gridCol w:w="111"/>
        <w:gridCol w:w="206"/>
        <w:gridCol w:w="260"/>
        <w:gridCol w:w="580"/>
        <w:gridCol w:w="109"/>
        <w:gridCol w:w="109"/>
        <w:gridCol w:w="109"/>
        <w:gridCol w:w="325"/>
        <w:gridCol w:w="289"/>
        <w:gridCol w:w="420"/>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296,781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923,851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76,116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351,957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295,016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1,100,970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827,335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33.1</w:t>
            </w:r>
            <w:r>
              <w:rPr>
                <w:color w:val="000000"/>
              </w:rPr>
              <w:t>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100,594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77,939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333,691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57.2</w:t>
            </w: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1,201,516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3,955,277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122,705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1,515,462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4,801,533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280,044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887,194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815,319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2,347,521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6"/>
        <w:gridCol w:w="779"/>
        <w:gridCol w:w="783"/>
        <w:gridCol w:w="227"/>
        <w:gridCol w:w="272"/>
        <w:gridCol w:w="554"/>
        <w:gridCol w:w="113"/>
        <w:gridCol w:w="113"/>
        <w:gridCol w:w="113"/>
        <w:gridCol w:w="227"/>
        <w:gridCol w:w="272"/>
        <w:gridCol w:w="554"/>
        <w:gridCol w:w="109"/>
        <w:gridCol w:w="109"/>
        <w:gridCol w:w="109"/>
        <w:gridCol w:w="323"/>
        <w:gridCol w:w="298"/>
        <w:gridCol w:w="299"/>
        <w:gridCol w:w="109"/>
        <w:gridCol w:w="109"/>
        <w:gridCol w:w="109"/>
        <w:gridCol w:w="206"/>
        <w:gridCol w:w="260"/>
        <w:gridCol w:w="580"/>
        <w:gridCol w:w="110"/>
        <w:gridCol w:w="110"/>
        <w:gridCol w:w="110"/>
        <w:gridCol w:w="206"/>
        <w:gridCol w:w="260"/>
        <w:gridCol w:w="580"/>
        <w:gridCol w:w="109"/>
        <w:gridCol w:w="109"/>
        <w:gridCol w:w="109"/>
        <w:gridCol w:w="316"/>
        <w:gridCol w:w="274"/>
        <w:gridCol w:w="399"/>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145,186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617,071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191,776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593,804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83,087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251,476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607,172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618,966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1,872,374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1,783,802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202,720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219,740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(7.7)</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679,315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675,458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0.6</w:t>
            </w: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1,721,435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135,230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409,336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1,695,799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4,840,241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112,771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322,544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3"/>
        <w:gridCol w:w="774"/>
        <w:gridCol w:w="779"/>
        <w:gridCol w:w="227"/>
        <w:gridCol w:w="272"/>
        <w:gridCol w:w="554"/>
        <w:gridCol w:w="113"/>
        <w:gridCol w:w="113"/>
        <w:gridCol w:w="113"/>
        <w:gridCol w:w="227"/>
        <w:gridCol w:w="272"/>
        <w:gridCol w:w="554"/>
        <w:gridCol w:w="109"/>
        <w:gridCol w:w="109"/>
        <w:gridCol w:w="109"/>
        <w:gridCol w:w="322"/>
        <w:gridCol w:w="308"/>
        <w:gridCol w:w="309"/>
        <w:gridCol w:w="109"/>
        <w:gridCol w:w="109"/>
        <w:gridCol w:w="109"/>
        <w:gridCol w:w="206"/>
        <w:gridCol w:w="260"/>
        <w:gridCol w:w="580"/>
        <w:gridCol w:w="111"/>
        <w:gridCol w:w="111"/>
        <w:gridCol w:w="111"/>
        <w:gridCol w:w="206"/>
        <w:gridCol w:w="260"/>
        <w:gridCol w:w="580"/>
        <w:gridCol w:w="109"/>
        <w:gridCol w:w="109"/>
        <w:gridCol w:w="109"/>
        <w:gridCol w:w="283"/>
        <w:gridCol w:w="283"/>
        <w:gridCol w:w="413"/>
      </w:tblGrid>
      <w:tr>
        <w:trPr/>
        <w:tc>
          <w:tcPr>
            <w:tcW w:w="88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478,504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63,184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214,121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210,403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w:t>
            </w: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644,513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648,641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(0.6)</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63,018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188,284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193,016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347,082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1,072,750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227,496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1,378,066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4,201,520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105,550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315,773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(6)Refer to accompanying reconciliations of Operating Income (Loss) to Adjusted Property EBITDAR and Net Income (Loss)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Karr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5961</Words>
  <Characters>31893</Characters>
  <CharactersWithSpaces>36815</CharactersWithSpaces>
  <Paragraphs>1887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