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000" w:type="dxa"/>
            <w:vAlign w:val="bottom"/>
          </w:tcPr>
          <w:p>
            <w:pPr>
              <w:jc w:val="center"/>
              <w:ind w:right="262"/>
              <w:spacing w:after="0"/>
              <w:rPr>
                <w:sz w:val="20"/>
                <w:szCs w:val="20"/>
                <w:color w:val="auto"/>
              </w:rPr>
            </w:pPr>
            <w:r>
              <w:rPr>
                <w:rFonts w:ascii="Arial" w:cs="Arial" w:eastAsia="Arial" w:hAnsi="Arial"/>
                <w:sz w:val="18"/>
                <w:szCs w:val="18"/>
                <w:b w:val="1"/>
                <w:bCs w:val="1"/>
                <w:color w:val="auto"/>
                <w:w w:val="90"/>
              </w:rPr>
              <w:t>Nevada</w:t>
            </w:r>
          </w:p>
        </w:tc>
        <w:tc>
          <w:tcPr>
            <w:tcW w:w="5320" w:type="dxa"/>
            <w:vAlign w:val="bottom"/>
          </w:tcPr>
          <w:p>
            <w:pPr>
              <w:ind w:left="2240"/>
              <w:spacing w:after="0"/>
              <w:rPr>
                <w:sz w:val="20"/>
                <w:szCs w:val="20"/>
                <w:color w:val="auto"/>
              </w:rPr>
            </w:pPr>
            <w:r>
              <w:rPr>
                <w:rFonts w:ascii="Arial" w:cs="Arial" w:eastAsia="Arial" w:hAnsi="Arial"/>
                <w:sz w:val="18"/>
                <w:szCs w:val="18"/>
                <w:b w:val="1"/>
                <w:bCs w:val="1"/>
                <w:color w:val="auto"/>
              </w:rPr>
              <w:t>000-50028</w:t>
            </w:r>
          </w:p>
        </w:tc>
        <w:tc>
          <w:tcPr>
            <w:tcW w:w="1500" w:type="dxa"/>
            <w:vAlign w:val="bottom"/>
          </w:tcPr>
          <w:p>
            <w:pPr>
              <w:jc w:val="center"/>
              <w:ind w:left="28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2000" w:type="dxa"/>
            <w:vAlign w:val="bottom"/>
          </w:tcPr>
          <w:p>
            <w:pPr>
              <w:jc w:val="center"/>
              <w:ind w:right="282"/>
              <w:spacing w:after="0"/>
              <w:rPr>
                <w:sz w:val="20"/>
                <w:szCs w:val="20"/>
                <w:color w:val="auto"/>
              </w:rPr>
            </w:pPr>
            <w:r>
              <w:rPr>
                <w:rFonts w:ascii="Arial" w:cs="Arial" w:eastAsia="Arial" w:hAnsi="Arial"/>
                <w:sz w:val="14"/>
                <w:szCs w:val="14"/>
                <w:b w:val="1"/>
                <w:bCs w:val="1"/>
                <w:color w:val="auto"/>
                <w:w w:val="93"/>
              </w:rPr>
              <w:t>(State or other jurisdiction</w:t>
            </w:r>
          </w:p>
        </w:tc>
        <w:tc>
          <w:tcPr>
            <w:tcW w:w="5320" w:type="dxa"/>
            <w:vAlign w:val="bottom"/>
          </w:tcPr>
          <w:p>
            <w:pPr>
              <w:ind w:left="2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ind w:right="262"/>
              <w:spacing w:after="0"/>
              <w:rPr>
                <w:sz w:val="20"/>
                <w:szCs w:val="20"/>
                <w:color w:val="auto"/>
              </w:rPr>
            </w:pPr>
            <w:r>
              <w:rPr>
                <w:rFonts w:ascii="Arial" w:cs="Arial" w:eastAsia="Arial" w:hAnsi="Arial"/>
                <w:sz w:val="14"/>
                <w:szCs w:val="14"/>
                <w:b w:val="1"/>
                <w:bCs w:val="1"/>
                <w:color w:val="auto"/>
                <w:w w:val="94"/>
              </w:rPr>
              <w:t>of incorporation)</w:t>
            </w:r>
          </w:p>
        </w:tc>
        <w:tc>
          <w:tcPr>
            <w:tcW w:w="5320" w:type="dxa"/>
            <w:vAlign w:val="bottom"/>
          </w:tcPr>
          <w:p>
            <w:pPr>
              <w:ind w:left="2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Identification No.)</w:t>
            </w:r>
          </w:p>
        </w:tc>
      </w:tr>
      <w:tr>
        <w:trPr>
          <w:trHeight w:val="421"/>
        </w:trPr>
        <w:tc>
          <w:tcPr>
            <w:tcW w:w="20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50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500" w:type="dxa"/>
            <w:vAlign w:val="bottom"/>
          </w:tcPr>
          <w:p>
            <w:pPr>
              <w:spacing w:after="0"/>
              <w:rPr>
                <w:sz w:val="16"/>
                <w:szCs w:val="16"/>
                <w:color w:val="auto"/>
              </w:rPr>
            </w:pPr>
          </w:p>
        </w:tc>
      </w:tr>
      <w:tr>
        <w:trPr>
          <w:trHeight w:val="408"/>
        </w:trPr>
        <w:tc>
          <w:tcPr>
            <w:tcW w:w="20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150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r>
        <w:trPr>
          <w:trHeight w:val="408"/>
        </w:trPr>
        <w:tc>
          <w:tcPr>
            <w:tcW w:w="20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150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5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12, 2016, Wynn Resorts (Macau) S.A., an indirect subsidiary of Wynn Resorts, Limited (the “Company”), received notification from the Gaming Inspection and Coordination Bureau of Macau (“DICJ”) that Wynn Palace was approved to commence operations on August 22, 2016. DICJ authorized 100 new table games for operation at Wynn Palace effective August 22, 2016, with 25 new table games authorized for operation on January 1, 2017 and 25 new table games for operation on January 1, 2018 for a total of 150 new table games in the aggregate. DICJ also approved 1,145 slot machines for operation at Wynn Palace effective August 22, 2016. In addition, DICJ approved the transfer of 250 table games from Wynn Macau to Wynn Palace. We plan to transfer approximately 250 tables from Wynn Macau to Wynn Palace, bringing total table games at Wynn Palace to approximately 350 and total table games at Wynn Macau to approximately 270.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2015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in this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380"/>
          </w:cols>
          <w:pgMar w:left="240" w:top="958" w:right="2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10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2019-12-07T17:08:00Z</dcterms:created>
  <dcterms:modified xsi:type="dcterms:W3CDTF">2019-12-07T17:08:00Z</dcterms:modified>
</cp:coreProperties>
</file>