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281305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30,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tcPr>
          <w:p>
            <w:pPr>
              <w:ind w:left="162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6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or other jurisdiction</w:t>
            </w:r>
          </w:p>
        </w:tc>
        <w:tc>
          <w:tcPr>
            <w:tcW w:w="4580" w:type="dxa"/>
            <w:vAlign w:val="bottom"/>
          </w:tcPr>
          <w:p>
            <w:pPr>
              <w:ind w:left="162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of incorporation)</w:t>
            </w:r>
          </w:p>
        </w:tc>
        <w:tc>
          <w:tcPr>
            <w:tcW w:w="4580" w:type="dxa"/>
            <w:vAlign w:val="bottom"/>
          </w:tcPr>
          <w:p>
            <w:pPr>
              <w:ind w:left="160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88"/>
              </w:rPr>
              <w:t>3131 Las Vegas Boulevard South</w:t>
            </w:r>
          </w:p>
        </w:tc>
        <w:tc>
          <w:tcPr>
            <w:tcW w:w="45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4"/>
        </w:trPr>
        <w:tc>
          <w:tcPr>
            <w:tcW w:w="2860" w:type="dxa"/>
            <w:vAlign w:val="bottom"/>
          </w:tcPr>
          <w:p>
            <w:pPr>
              <w:jc w:val="center"/>
              <w:ind w:right="259"/>
              <w:spacing w:after="0"/>
              <w:rPr>
                <w:sz w:val="20"/>
                <w:szCs w:val="20"/>
                <w:color w:val="auto"/>
              </w:rPr>
            </w:pPr>
            <w:r>
              <w:rPr>
                <w:rFonts w:ascii="Arial" w:cs="Arial" w:eastAsia="Arial" w:hAnsi="Arial"/>
                <w:sz w:val="18"/>
                <w:szCs w:val="18"/>
                <w:b w:val="1"/>
                <w:bCs w:val="1"/>
                <w:color w:val="auto"/>
                <w:w w:val="88"/>
              </w:rPr>
              <w:t>Las Vegas, Nevada</w:t>
            </w:r>
          </w:p>
        </w:tc>
        <w:tc>
          <w:tcPr>
            <w:tcW w:w="458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80" w:type="dxa"/>
            <w:vAlign w:val="bottom"/>
          </w:tcPr>
          <w:p>
            <w:pPr>
              <w:spacing w:after="0"/>
              <w:rPr>
                <w:sz w:val="18"/>
                <w:szCs w:val="18"/>
                <w:color w:val="auto"/>
              </w:rPr>
            </w:pP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3"/>
                <w:szCs w:val="23"/>
                <w:color w:val="auto"/>
              </w:rPr>
            </w:pPr>
          </w:p>
        </w:tc>
      </w:tr>
      <w:tr>
        <w:trPr>
          <w:trHeight w:val="166"/>
        </w:trPr>
        <w:tc>
          <w:tcPr>
            <w:tcW w:w="2860" w:type="dxa"/>
            <w:vAlign w:val="bottom"/>
          </w:tcPr>
          <w:p>
            <w:pPr>
              <w:spacing w:after="0"/>
              <w:rPr>
                <w:sz w:val="14"/>
                <w:szCs w:val="14"/>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4"/>
                <w:szCs w:val="14"/>
                <w:color w:val="auto"/>
              </w:rPr>
            </w:pPr>
          </w:p>
        </w:tc>
      </w:tr>
      <w:tr>
        <w:trPr>
          <w:trHeight w:val="212"/>
        </w:trPr>
        <w:tc>
          <w:tcPr>
            <w:tcW w:w="28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560" w:type="dxa"/>
            <w:vAlign w:val="bottom"/>
          </w:tcPr>
          <w:p>
            <w:pPr>
              <w:spacing w:after="0"/>
              <w:rPr>
                <w:sz w:val="18"/>
                <w:szCs w:val="18"/>
                <w:color w:val="auto"/>
              </w:rPr>
            </w:pPr>
          </w:p>
        </w:tc>
      </w:tr>
      <w:tr>
        <w:trPr>
          <w:trHeight w:val="186"/>
        </w:trPr>
        <w:tc>
          <w:tcPr>
            <w:tcW w:w="286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6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68" w:right="23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2.03 of this report is incorporated herein by reference.</w:t>
      </w:r>
    </w:p>
    <w:p>
      <w:pPr>
        <w:spacing w:after="0" w:line="3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30, 2018, Wynn Resorts, Limited (the "Company"), and certain subsidiaries of the Company entered into a Credit Agreement (the "Credit Agreement") with Deutsche Bank AG New York Branch ("Deutsche Bank"), as administrative agent and as collateral agent, and the lenders party thereto. The Credit Agreement provides for a six-year term loan facility to the Company in an aggregate principal amount of $500 million (the "Term Loan"). The Term Loan bears interest at LIBOR plus 2.25% per annum.</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intends to use the net proceeds for general corporate purposes, including, without limitation, repurchases of the Company’s common stock, investments in subsidiaries and/or capital expenditures. Wynn Group Asia, Inc. and Wynn Resorts Holdings, LLC, each a subsidiary of the Company (collectively, the “Guarantors”), guarantee the obligations of the Company under the Credit Agreement. The Company will pledge all of the equity interests in the Guarantors to the extent permitted by applicable law. The Credit Agreement contains customary representations and warranties, events of default and negative and affirmative covenants, including, among other things, limitations on: incurrence of indebtedness; liens securing indebtedness; mergers and sales of assets; restricted payments; and transactions with affiliates.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Credit Agreement does not purport to be complete and is qualified in its entirety by reference to the full text of the agreement, a copy of which will be filed as an exhibit to the Company's Quarterly Report on Form 10-Q for the quarter ended September 30, 2018.</w:t>
      </w:r>
    </w:p>
    <w:p>
      <w:pPr>
        <w:spacing w:after="0" w:line="30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disclosed, on September 19, 2018, the Company entered into a commitment letter providing for a 364-day term loan facility to the Company in an aggregate principal amount of up to $750 million (as subsequently amended and restated to add additional lenders, the "Commitment Letter"). On October 24, 2018, the Company agreed to terminate $500 million of the lenders' commitments under the Commitment Letter. Accordingly, the lenders' remaining commitments under the Commitment Letter are $250 million and expire on December 19, 2018, with an option to extend to April 5, 2019, subject to certain conditions.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080" w:val="left"/>
          <w:tab w:leader="none" w:pos="6940" w:val="left"/>
        </w:tabs>
        <w:rPr>
          <w:sz w:val="20"/>
          <w:szCs w:val="20"/>
          <w:color w:val="auto"/>
        </w:rPr>
      </w:pPr>
      <w:r>
        <w:rPr>
          <w:rFonts w:ascii="Arial" w:cs="Arial" w:eastAsia="Arial" w:hAnsi="Arial"/>
          <w:sz w:val="18"/>
          <w:szCs w:val="18"/>
          <w:color w:val="auto"/>
        </w:rPr>
        <w:t>Dated: 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2019-12-06T19:56:06Z</dcterms:created>
  <dcterms:modified xsi:type="dcterms:W3CDTF">2019-12-06T19:56:06Z</dcterms:modified>
</cp:coreProperties>
</file>