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Chen Linda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Pres, Wynn Int'l Marketing</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LAS VEGAS</w:t>
            </w:r>
          </w:p>
        </w:tc>
        <w:tc>
          <w:tcPr>
            <w:tcW w:w="1000" w:type="dxa"/>
            <w:vAlign w:val="bottom"/>
          </w:tcPr>
          <w:p>
            <w:pPr>
              <w:ind w:left="160"/>
              <w:spacing w:after="0"/>
              <w:rPr>
                <w:sz w:val="20"/>
                <w:szCs w:val="20"/>
                <w:color w:val="auto"/>
              </w:rPr>
            </w:pPr>
            <w:r>
              <w:rPr>
                <w:rFonts w:ascii="Arial" w:cs="Arial" w:eastAsia="Arial" w:hAnsi="Arial"/>
                <w:sz w:val="18"/>
                <w:szCs w:val="18"/>
                <w:color w:val="0000FF"/>
              </w:rPr>
              <w:t>NV</w:t>
            </w:r>
          </w:p>
        </w:tc>
        <w:tc>
          <w:tcPr>
            <w:tcW w:w="1680" w:type="dxa"/>
            <w:vAlign w:val="bottom"/>
          </w:tcPr>
          <w:p>
            <w:pPr>
              <w:ind w:left="420"/>
              <w:spacing w:after="0"/>
              <w:rPr>
                <w:sz w:val="20"/>
                <w:szCs w:val="20"/>
                <w:color w:val="auto"/>
              </w:rPr>
            </w:pPr>
            <w:r>
              <w:rPr>
                <w:rFonts w:ascii="Arial" w:cs="Arial" w:eastAsia="Arial" w:hAnsi="Arial"/>
                <w:sz w:val="18"/>
                <w:szCs w:val="18"/>
                <w:color w:val="0000FF"/>
              </w:rPr>
              <w:t>89109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par value $0.01</w:t>
            </w: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09/10/2010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10,000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89.03</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235,000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par value $0.01</w:t>
            </w: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09/13/2010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10,000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90.77</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225,000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weighted average price of multiple transactions with a range of prices between $89.00 and $89.21. The reporting person, upon request by the staff of the SEC, Wynn Resorts, Limited or any security holder of Wynn Resorts, Limited, undertakes to provide further information regarding the number of securities sold at each separate price.</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weighted average price of multiple transactions with a range of prices between $90.58 and $91.10. The reporting person, upon request by the staff of the SEC, Wynn Resorts, Limited or any security holder of Wynn Resorts, Limited, undertakes to provide further information regarding the number of securities sold at each separate price.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4"/>
              </w:rPr>
              <w:t>/s/ Kevin Tourek,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09/14/2010</w:t>
            </w: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fact for Linda Chen</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0948"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2019-12-18T02:04:30Z</dcterms:created>
  <dcterms:modified xsi:type="dcterms:W3CDTF">2019-12-18T02:04:30Z</dcterms:modified>
</cp:coreProperties>
</file>