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372745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229870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250825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81"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262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Nevada</w:t>
            </w:r>
          </w:p>
        </w:tc>
        <w:tc>
          <w:tcPr>
            <w:tcW w:w="3800" w:type="dxa"/>
            <w:vAlign w:val="bottom"/>
          </w:tcPr>
          <w:p>
            <w:pPr>
              <w:ind w:left="1280"/>
              <w:spacing w:after="0"/>
              <w:rPr>
                <w:sz w:val="20"/>
                <w:szCs w:val="20"/>
                <w:color w:val="auto"/>
              </w:rPr>
            </w:pPr>
            <w:r>
              <w:rPr>
                <w:rFonts w:ascii="Arial" w:cs="Arial" w:eastAsia="Arial" w:hAnsi="Arial"/>
                <w:sz w:val="18"/>
                <w:szCs w:val="18"/>
                <w:b w:val="1"/>
                <w:bCs w:val="1"/>
                <w:color w:val="auto"/>
              </w:rPr>
              <w:t>000-50028</w:t>
            </w:r>
          </w:p>
        </w:tc>
        <w:tc>
          <w:tcPr>
            <w:tcW w:w="1560" w:type="dxa"/>
            <w:vAlign w:val="bottom"/>
          </w:tcPr>
          <w:p>
            <w:pPr>
              <w:jc w:val="right"/>
              <w:ind w:right="6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62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3800" w:type="dxa"/>
            <w:vAlign w:val="bottom"/>
          </w:tcPr>
          <w:p>
            <w:pPr>
              <w:ind w:left="1280"/>
              <w:spacing w:after="0"/>
              <w:rPr>
                <w:sz w:val="20"/>
                <w:szCs w:val="20"/>
                <w:color w:val="auto"/>
              </w:rPr>
            </w:pPr>
            <w:r>
              <w:rPr>
                <w:rFonts w:ascii="Arial" w:cs="Arial" w:eastAsia="Arial" w:hAnsi="Arial"/>
                <w:sz w:val="14"/>
                <w:szCs w:val="14"/>
                <w:b w:val="1"/>
                <w:bCs w:val="1"/>
                <w:color w:val="auto"/>
              </w:rPr>
              <w:t>(Commission</w:t>
            </w:r>
          </w:p>
        </w:tc>
        <w:tc>
          <w:tcPr>
            <w:tcW w:w="1560" w:type="dxa"/>
            <w:vAlign w:val="bottom"/>
          </w:tcPr>
          <w:p>
            <w:pPr>
              <w:jc w:val="center"/>
              <w:ind w:left="3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6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of incorporation)</w:t>
            </w:r>
          </w:p>
        </w:tc>
        <w:tc>
          <w:tcPr>
            <w:tcW w:w="380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156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Identification No.)</w:t>
            </w:r>
          </w:p>
        </w:tc>
      </w:tr>
      <w:tr>
        <w:trPr>
          <w:trHeight w:val="255"/>
        </w:trPr>
        <w:tc>
          <w:tcPr>
            <w:tcW w:w="2620" w:type="dxa"/>
            <w:vAlign w:val="bottom"/>
          </w:tcPr>
          <w:p>
            <w:pPr>
              <w:jc w:val="center"/>
              <w:ind w:right="39"/>
              <w:spacing w:after="0"/>
              <w:rPr>
                <w:sz w:val="20"/>
                <w:szCs w:val="20"/>
                <w:color w:val="auto"/>
              </w:rPr>
            </w:pPr>
            <w:r>
              <w:rPr>
                <w:rFonts w:ascii="Arial" w:cs="Arial" w:eastAsia="Arial" w:hAnsi="Arial"/>
                <w:sz w:val="18"/>
                <w:szCs w:val="18"/>
                <w:b w:val="1"/>
                <w:bCs w:val="1"/>
                <w:color w:val="auto"/>
                <w:w w:val="88"/>
              </w:rPr>
              <w:t>3131 Las Vegas Boulevard South</w:t>
            </w:r>
          </w:p>
        </w:tc>
        <w:tc>
          <w:tcPr>
            <w:tcW w:w="38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0"/>
        </w:trPr>
        <w:tc>
          <w:tcPr>
            <w:tcW w:w="262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800" w:type="dxa"/>
            <w:vAlign w:val="bottom"/>
          </w:tcPr>
          <w:p>
            <w:pPr>
              <w:spacing w:after="0"/>
              <w:rPr>
                <w:sz w:val="23"/>
                <w:szCs w:val="23"/>
                <w:color w:val="auto"/>
              </w:rPr>
            </w:pPr>
          </w:p>
        </w:tc>
        <w:tc>
          <w:tcPr>
            <w:tcW w:w="15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62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00" w:type="dxa"/>
            <w:vAlign w:val="bottom"/>
          </w:tcPr>
          <w:p>
            <w:pPr>
              <w:spacing w:after="0"/>
              <w:rPr>
                <w:sz w:val="18"/>
                <w:szCs w:val="18"/>
                <w:color w:val="auto"/>
              </w:rPr>
            </w:pPr>
          </w:p>
        </w:tc>
        <w:tc>
          <w:tcPr>
            <w:tcW w:w="1560" w:type="dxa"/>
            <w:vAlign w:val="bottom"/>
          </w:tcPr>
          <w:p>
            <w:pPr>
              <w:jc w:val="center"/>
              <w:ind w:left="341"/>
              <w:spacing w:after="0"/>
              <w:rPr>
                <w:sz w:val="20"/>
                <w:szCs w:val="20"/>
                <w:color w:val="auto"/>
              </w:rPr>
            </w:pPr>
            <w:r>
              <w:rPr>
                <w:rFonts w:ascii="Arial" w:cs="Arial" w:eastAsia="Arial" w:hAnsi="Arial"/>
                <w:sz w:val="14"/>
                <w:szCs w:val="14"/>
                <w:b w:val="1"/>
                <w:bCs w:val="1"/>
                <w:color w:val="auto"/>
                <w:w w:val="95"/>
              </w:rPr>
              <w:t>(Zip Code)</w:t>
            </w:r>
          </w:p>
        </w:tc>
      </w:tr>
      <w:tr>
        <w:trPr>
          <w:trHeight w:val="732"/>
        </w:trPr>
        <w:tc>
          <w:tcPr>
            <w:tcW w:w="2620" w:type="dxa"/>
            <w:vAlign w:val="bottom"/>
          </w:tcPr>
          <w:p>
            <w:pPr>
              <w:spacing w:after="0"/>
              <w:rPr>
                <w:sz w:val="24"/>
                <w:szCs w:val="24"/>
                <w:color w:val="auto"/>
              </w:rPr>
            </w:pPr>
          </w:p>
        </w:tc>
        <w:tc>
          <w:tcPr>
            <w:tcW w:w="380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(702) 770-7555</w:t>
            </w:r>
          </w:p>
        </w:tc>
        <w:tc>
          <w:tcPr>
            <w:tcW w:w="1560" w:type="dxa"/>
            <w:vAlign w:val="bottom"/>
          </w:tcPr>
          <w:p>
            <w:pPr>
              <w:spacing w:after="0"/>
              <w:rPr>
                <w:sz w:val="24"/>
                <w:szCs w:val="24"/>
                <w:color w:val="auto"/>
              </w:rPr>
            </w:pPr>
          </w:p>
        </w:tc>
      </w:tr>
      <w:tr>
        <w:trPr>
          <w:trHeight w:val="186"/>
        </w:trPr>
        <w:tc>
          <w:tcPr>
            <w:tcW w:w="2620" w:type="dxa"/>
            <w:vAlign w:val="bottom"/>
          </w:tcPr>
          <w:p>
            <w:pPr>
              <w:spacing w:after="0"/>
              <w:rPr>
                <w:sz w:val="16"/>
                <w:szCs w:val="16"/>
                <w:color w:val="auto"/>
              </w:rPr>
            </w:pPr>
          </w:p>
        </w:tc>
        <w:tc>
          <w:tcPr>
            <w:tcW w:w="380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60" w:type="dxa"/>
            <w:vAlign w:val="bottom"/>
          </w:tcPr>
          <w:p>
            <w:pPr>
              <w:spacing w:after="0"/>
              <w:rPr>
                <w:sz w:val="16"/>
                <w:szCs w:val="16"/>
                <w:color w:val="auto"/>
              </w:rPr>
            </w:pPr>
          </w:p>
        </w:tc>
      </w:tr>
      <w:tr>
        <w:trPr>
          <w:trHeight w:val="424"/>
        </w:trPr>
        <w:tc>
          <w:tcPr>
            <w:tcW w:w="2620" w:type="dxa"/>
            <w:vAlign w:val="bottom"/>
          </w:tcPr>
          <w:p>
            <w:pPr>
              <w:spacing w:after="0"/>
              <w:rPr>
                <w:sz w:val="24"/>
                <w:szCs w:val="24"/>
                <w:color w:val="auto"/>
              </w:rPr>
            </w:pPr>
          </w:p>
        </w:tc>
        <w:tc>
          <w:tcPr>
            <w:tcW w:w="3800" w:type="dxa"/>
            <w:vAlign w:val="bottom"/>
          </w:tcPr>
          <w:p>
            <w:pPr>
              <w:jc w:val="center"/>
              <w:ind w:right="239"/>
              <w:spacing w:after="0"/>
              <w:rPr>
                <w:sz w:val="20"/>
                <w:szCs w:val="20"/>
                <w:color w:val="auto"/>
              </w:rPr>
            </w:pPr>
            <w:r>
              <w:rPr>
                <w:rFonts w:ascii="Arial" w:cs="Arial" w:eastAsia="Arial" w:hAnsi="Arial"/>
                <w:sz w:val="18"/>
                <w:szCs w:val="18"/>
                <w:b w:val="1"/>
                <w:bCs w:val="1"/>
                <w:color w:val="auto"/>
                <w:w w:val="92"/>
              </w:rPr>
              <w:t>Not Applicable</w:t>
            </w:r>
          </w:p>
        </w:tc>
        <w:tc>
          <w:tcPr>
            <w:tcW w:w="156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81915</wp:posOffset>
            </wp:positionV>
            <wp:extent cx="2794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00" w:type="dxa"/>
            <w:vAlign w:val="bottom"/>
          </w:tcPr>
          <w:p>
            <w:pPr>
              <w:spacing w:after="0"/>
              <w:rPr>
                <w:sz w:val="18"/>
                <w:szCs w:val="18"/>
                <w:color w:val="auto"/>
              </w:rPr>
            </w:pPr>
          </w:p>
        </w:tc>
        <w:tc>
          <w:tcPr>
            <w:tcW w:w="308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89"/>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84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1"/>
        </w:trPr>
        <w:tc>
          <w:tcPr>
            <w:tcW w:w="376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Common stock, par value $0.01</w:t>
            </w:r>
          </w:p>
        </w:tc>
        <w:tc>
          <w:tcPr>
            <w:tcW w:w="3080" w:type="dxa"/>
            <w:vAlign w:val="bottom"/>
            <w:gridSpan w:val="2"/>
          </w:tcPr>
          <w:p>
            <w:pPr>
              <w:jc w:val="center"/>
              <w:ind w:right="1640"/>
              <w:spacing w:after="0"/>
              <w:rPr>
                <w:sz w:val="20"/>
                <w:szCs w:val="20"/>
                <w:color w:val="auto"/>
              </w:rPr>
            </w:pPr>
            <w:r>
              <w:rPr>
                <w:rFonts w:ascii="Arial" w:cs="Arial" w:eastAsia="Arial" w:hAnsi="Arial"/>
                <w:sz w:val="18"/>
                <w:szCs w:val="18"/>
                <w:color w:val="auto"/>
              </w:rPr>
              <w:t>WYNN</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840" w:type="dxa"/>
            <w:vAlign w:val="bottom"/>
          </w:tcPr>
          <w:p>
            <w:pPr>
              <w:spacing w:after="0"/>
              <w:rPr>
                <w:sz w:val="24"/>
                <w:szCs w:val="24"/>
                <w:color w:val="auto"/>
              </w:rPr>
            </w:pPr>
          </w:p>
        </w:tc>
      </w:tr>
      <w:tr>
        <w:trPr>
          <w:trHeight w:val="236"/>
        </w:trPr>
        <w:tc>
          <w:tcPr>
            <w:tcW w:w="8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bl>
    <w:p>
      <w:pPr>
        <w:spacing w:after="0" w:line="32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 w:lineRule="exact"/>
        <w:rPr>
          <w:sz w:val="24"/>
          <w:szCs w:val="24"/>
          <w:color w:val="auto"/>
        </w:rPr>
      </w:pPr>
    </w:p>
    <w:p>
      <w:pPr>
        <w:ind w:right="20"/>
        <w:spacing w:after="0" w:line="24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ind w:left="20"/>
        <w:spacing w:after="0"/>
        <w:tabs>
          <w:tab w:leader="none" w:pos="16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70"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On June 25, 2020, Wynn Resorts, Limited (the "Company") held its 2020 Annual Meeting of Stockholders (the "Annual Meeting"). The proposals voted upon at the Annual Meeting and the final results of the stockholder vote on each proposal, as certified by American Election Services, LLC, the independent inspector of elections for the Annual Meeting, were as follows: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Proposal 1: Election of Directors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elect three Class III directors, each to serve until the 2023 Annual Meeting of Stockholders: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 Nominees</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000" w:type="dxa"/>
            <w:vAlign w:val="bottom"/>
            <w:gridSpan w:val="2"/>
          </w:tcPr>
          <w:p>
            <w:pPr>
              <w:ind w:left="360"/>
              <w:spacing w:after="0"/>
              <w:rPr>
                <w:sz w:val="20"/>
                <w:szCs w:val="20"/>
                <w:color w:val="auto"/>
              </w:rPr>
            </w:pPr>
            <w:r>
              <w:rPr>
                <w:rFonts w:ascii="Arial" w:cs="Arial" w:eastAsia="Arial" w:hAnsi="Arial"/>
                <w:sz w:val="18"/>
                <w:szCs w:val="18"/>
                <w:b w:val="1"/>
                <w:bCs w:val="1"/>
                <w:color w:val="auto"/>
              </w:rPr>
              <w:t>Votes Withheld</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Broker Non-Votes</w:t>
            </w:r>
          </w:p>
        </w:tc>
      </w:tr>
      <w:tr>
        <w:trPr>
          <w:trHeight w:val="27"/>
        </w:trPr>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Richard J. Byrne</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80,578,349</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795,899</w:t>
            </w: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13,373,698</w:t>
            </w:r>
          </w:p>
        </w:tc>
      </w:tr>
      <w:tr>
        <w:trPr>
          <w:trHeight w:val="27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Patricia Mulroy</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80,273,638</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1,100,610</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13,373,698</w:t>
            </w:r>
          </w:p>
        </w:tc>
      </w:tr>
      <w:tr>
        <w:trPr>
          <w:trHeight w:val="27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Clark T. Randt, Jr.</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79,477,170</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1,897,078</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13,373,698</w:t>
            </w: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Proposal 2: Ratification of Appointment of Independent Registered Public Accounting Firm</w:t>
      </w:r>
    </w:p>
    <w:p>
      <w:pPr>
        <w:spacing w:after="0" w:line="25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To ratify the Audit Committee’s appointment of Ernst &amp; Young LLP as the Company’s independent registered public accounting firm for the fiscal year ending December 31, 2020:</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Votes For</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Votes Against</w:t>
            </w:r>
          </w:p>
        </w:tc>
        <w:tc>
          <w:tcPr>
            <w:tcW w:w="2840" w:type="dxa"/>
            <w:vAlign w:val="bottom"/>
            <w:gridSpan w:val="2"/>
          </w:tcPr>
          <w:p>
            <w:pPr>
              <w:ind w:left="1060"/>
              <w:spacing w:after="0"/>
              <w:rPr>
                <w:sz w:val="20"/>
                <w:szCs w:val="20"/>
                <w:color w:val="auto"/>
              </w:rPr>
            </w:pPr>
            <w:r>
              <w:rPr>
                <w:rFonts w:ascii="Arial" w:cs="Arial" w:eastAsia="Arial" w:hAnsi="Arial"/>
                <w:sz w:val="18"/>
                <w:szCs w:val="18"/>
                <w:b w:val="1"/>
                <w:bCs w:val="1"/>
                <w:color w:val="auto"/>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jc w:val="right"/>
              <w:ind w:right="850"/>
              <w:spacing w:after="0"/>
              <w:rPr>
                <w:sz w:val="20"/>
                <w:szCs w:val="20"/>
                <w:color w:val="auto"/>
              </w:rPr>
            </w:pPr>
            <w:r>
              <w:rPr>
                <w:rFonts w:ascii="Arial" w:cs="Arial" w:eastAsia="Arial" w:hAnsi="Arial"/>
                <w:sz w:val="18"/>
                <w:szCs w:val="18"/>
                <w:color w:val="auto"/>
              </w:rPr>
              <w:t>93,880,396</w:t>
            </w:r>
          </w:p>
        </w:tc>
        <w:tc>
          <w:tcPr>
            <w:tcW w:w="100" w:type="dxa"/>
            <w:vAlign w:val="bottom"/>
          </w:tcPr>
          <w:p>
            <w:pPr>
              <w:spacing w:after="0"/>
              <w:rPr>
                <w:sz w:val="20"/>
                <w:szCs w:val="20"/>
                <w:color w:val="auto"/>
              </w:rPr>
            </w:pPr>
          </w:p>
        </w:tc>
        <w:tc>
          <w:tcPr>
            <w:tcW w:w="2740" w:type="dxa"/>
            <w:vAlign w:val="bottom"/>
          </w:tcPr>
          <w:p>
            <w:pPr>
              <w:jc w:val="right"/>
              <w:ind w:right="990"/>
              <w:spacing w:after="0"/>
              <w:rPr>
                <w:sz w:val="20"/>
                <w:szCs w:val="20"/>
                <w:color w:val="auto"/>
              </w:rPr>
            </w:pPr>
            <w:r>
              <w:rPr>
                <w:rFonts w:ascii="Arial" w:cs="Arial" w:eastAsia="Arial" w:hAnsi="Arial"/>
                <w:sz w:val="18"/>
                <w:szCs w:val="18"/>
                <w:color w:val="auto"/>
              </w:rPr>
              <w:t>732,690</w:t>
            </w:r>
          </w:p>
        </w:tc>
        <w:tc>
          <w:tcPr>
            <w:tcW w:w="100" w:type="dxa"/>
            <w:vAlign w:val="bottom"/>
          </w:tcPr>
          <w:p>
            <w:pPr>
              <w:spacing w:after="0"/>
              <w:rPr>
                <w:sz w:val="20"/>
                <w:szCs w:val="20"/>
                <w:color w:val="auto"/>
              </w:rPr>
            </w:pPr>
          </w:p>
        </w:tc>
        <w:tc>
          <w:tcPr>
            <w:tcW w:w="2740" w:type="dxa"/>
            <w:vAlign w:val="bottom"/>
          </w:tcPr>
          <w:p>
            <w:pPr>
              <w:ind w:left="1080"/>
              <w:spacing w:after="0"/>
              <w:rPr>
                <w:sz w:val="20"/>
                <w:szCs w:val="20"/>
                <w:color w:val="auto"/>
              </w:rPr>
            </w:pPr>
            <w:r>
              <w:rPr>
                <w:rFonts w:ascii="Arial" w:cs="Arial" w:eastAsia="Arial" w:hAnsi="Arial"/>
                <w:sz w:val="18"/>
                <w:szCs w:val="18"/>
                <w:color w:val="auto"/>
              </w:rPr>
              <w:t>134,860</w:t>
            </w:r>
          </w:p>
        </w:tc>
        <w:tc>
          <w:tcPr>
            <w:tcW w:w="10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Proposal 3: Approval, on an Advisory Basis, of our Executive Compensation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 approve, on a non-binding advisory basis, the compensation of the Company’s named executive officers as described in the Proxy Statement:</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jc w:val="right"/>
              <w:ind w:right="850"/>
              <w:spacing w:after="0"/>
              <w:rPr>
                <w:sz w:val="20"/>
                <w:szCs w:val="20"/>
                <w:color w:val="auto"/>
              </w:rPr>
            </w:pPr>
            <w:r>
              <w:rPr>
                <w:rFonts w:ascii="Arial" w:cs="Arial" w:eastAsia="Arial" w:hAnsi="Arial"/>
                <w:sz w:val="18"/>
                <w:szCs w:val="18"/>
                <w:color w:val="auto"/>
              </w:rPr>
              <w:t>75,106,754</w:t>
            </w:r>
          </w:p>
        </w:tc>
        <w:tc>
          <w:tcPr>
            <w:tcW w:w="100" w:type="dxa"/>
            <w:vAlign w:val="bottom"/>
          </w:tcPr>
          <w:p>
            <w:pPr>
              <w:spacing w:after="0"/>
              <w:rPr>
                <w:sz w:val="20"/>
                <w:szCs w:val="20"/>
                <w:color w:val="auto"/>
              </w:rPr>
            </w:pPr>
          </w:p>
        </w:tc>
        <w:tc>
          <w:tcPr>
            <w:tcW w:w="2720" w:type="dxa"/>
            <w:vAlign w:val="bottom"/>
          </w:tcPr>
          <w:p>
            <w:pPr>
              <w:jc w:val="right"/>
              <w:ind w:right="910"/>
              <w:spacing w:after="0"/>
              <w:rPr>
                <w:sz w:val="20"/>
                <w:szCs w:val="20"/>
                <w:color w:val="auto"/>
              </w:rPr>
            </w:pPr>
            <w:r>
              <w:rPr>
                <w:rFonts w:ascii="Arial" w:cs="Arial" w:eastAsia="Arial" w:hAnsi="Arial"/>
                <w:sz w:val="18"/>
                <w:szCs w:val="18"/>
                <w:color w:val="auto"/>
              </w:rPr>
              <w:t>6,175,677</w:t>
            </w:r>
          </w:p>
        </w:tc>
        <w:tc>
          <w:tcPr>
            <w:tcW w:w="120" w:type="dxa"/>
            <w:vAlign w:val="bottom"/>
          </w:tcPr>
          <w:p>
            <w:pPr>
              <w:spacing w:after="0"/>
              <w:rPr>
                <w:sz w:val="20"/>
                <w:szCs w:val="20"/>
                <w:color w:val="auto"/>
              </w:rPr>
            </w:pPr>
          </w:p>
        </w:tc>
        <w:tc>
          <w:tcPr>
            <w:tcW w:w="2680" w:type="dxa"/>
            <w:vAlign w:val="bottom"/>
          </w:tcPr>
          <w:p>
            <w:pPr>
              <w:jc w:val="right"/>
              <w:ind w:right="1010"/>
              <w:spacing w:after="0"/>
              <w:rPr>
                <w:sz w:val="20"/>
                <w:szCs w:val="20"/>
                <w:color w:val="auto"/>
              </w:rPr>
            </w:pPr>
            <w:r>
              <w:rPr>
                <w:rFonts w:ascii="Arial" w:cs="Arial" w:eastAsia="Arial" w:hAnsi="Arial"/>
                <w:sz w:val="18"/>
                <w:szCs w:val="18"/>
                <w:color w:val="auto"/>
              </w:rPr>
              <w:t>91,817</w:t>
            </w:r>
          </w:p>
        </w:tc>
        <w:tc>
          <w:tcPr>
            <w:tcW w:w="120" w:type="dxa"/>
            <w:vAlign w:val="bottom"/>
          </w:tcPr>
          <w:p>
            <w:pPr>
              <w:spacing w:after="0"/>
              <w:rPr>
                <w:sz w:val="20"/>
                <w:szCs w:val="20"/>
                <w:color w:val="auto"/>
              </w:rPr>
            </w:pPr>
          </w:p>
        </w:tc>
        <w:tc>
          <w:tcPr>
            <w:tcW w:w="2720" w:type="dxa"/>
            <w:vAlign w:val="bottom"/>
          </w:tcPr>
          <w:p>
            <w:pPr>
              <w:jc w:val="right"/>
              <w:ind w:right="870"/>
              <w:spacing w:after="0"/>
              <w:rPr>
                <w:sz w:val="20"/>
                <w:szCs w:val="20"/>
                <w:color w:val="auto"/>
              </w:rPr>
            </w:pPr>
            <w:r>
              <w:rPr>
                <w:rFonts w:ascii="Arial" w:cs="Arial" w:eastAsia="Arial" w:hAnsi="Arial"/>
                <w:sz w:val="18"/>
                <w:szCs w:val="18"/>
                <w:color w:val="auto"/>
              </w:rPr>
              <w:t>13,373,698</w:t>
            </w:r>
          </w:p>
        </w:tc>
      </w:tr>
    </w:tbl>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Proposal 4: Approval of an Amendment to the 2014 Omnibus Incentive Plan to Increase the Authorized Shares by 1,500,000 Shares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approve an amendment to the Company's 2014 Omnibus Incentive Plan to increase the authorized shares by 1,500,000 shares: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Votes For</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Votes Against</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Broker Non-Votes</w:t>
            </w:r>
          </w:p>
        </w:tc>
      </w:tr>
      <w:tr>
        <w:trPr>
          <w:trHeight w:val="27"/>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680" w:type="dxa"/>
            <w:vAlign w:val="bottom"/>
          </w:tcPr>
          <w:p>
            <w:pPr>
              <w:jc w:val="right"/>
              <w:ind w:right="850"/>
              <w:spacing w:after="0"/>
              <w:rPr>
                <w:sz w:val="20"/>
                <w:szCs w:val="20"/>
                <w:color w:val="auto"/>
              </w:rPr>
            </w:pPr>
            <w:r>
              <w:rPr>
                <w:rFonts w:ascii="Arial" w:cs="Arial" w:eastAsia="Arial" w:hAnsi="Arial"/>
                <w:sz w:val="18"/>
                <w:szCs w:val="18"/>
                <w:color w:val="auto"/>
              </w:rPr>
              <w:t>76,706,182</w:t>
            </w:r>
          </w:p>
        </w:tc>
        <w:tc>
          <w:tcPr>
            <w:tcW w:w="100" w:type="dxa"/>
            <w:vAlign w:val="bottom"/>
          </w:tcPr>
          <w:p>
            <w:pPr>
              <w:spacing w:after="0"/>
              <w:rPr>
                <w:sz w:val="20"/>
                <w:szCs w:val="20"/>
                <w:color w:val="auto"/>
              </w:rPr>
            </w:pPr>
          </w:p>
        </w:tc>
        <w:tc>
          <w:tcPr>
            <w:tcW w:w="2740" w:type="dxa"/>
            <w:vAlign w:val="bottom"/>
          </w:tcPr>
          <w:p>
            <w:pPr>
              <w:jc w:val="right"/>
              <w:ind w:right="910"/>
              <w:spacing w:after="0"/>
              <w:rPr>
                <w:sz w:val="20"/>
                <w:szCs w:val="20"/>
                <w:color w:val="auto"/>
              </w:rPr>
            </w:pPr>
            <w:r>
              <w:rPr>
                <w:rFonts w:ascii="Arial" w:cs="Arial" w:eastAsia="Arial" w:hAnsi="Arial"/>
                <w:sz w:val="18"/>
                <w:szCs w:val="18"/>
                <w:color w:val="auto"/>
              </w:rPr>
              <w:t>4,588,720</w:t>
            </w:r>
          </w:p>
        </w:tc>
        <w:tc>
          <w:tcPr>
            <w:tcW w:w="100" w:type="dxa"/>
            <w:vAlign w:val="bottom"/>
          </w:tcPr>
          <w:p>
            <w:pPr>
              <w:spacing w:after="0"/>
              <w:rPr>
                <w:sz w:val="20"/>
                <w:szCs w:val="20"/>
                <w:color w:val="auto"/>
              </w:rPr>
            </w:pPr>
          </w:p>
        </w:tc>
        <w:tc>
          <w:tcPr>
            <w:tcW w:w="2700" w:type="dxa"/>
            <w:vAlign w:val="bottom"/>
          </w:tcPr>
          <w:p>
            <w:pPr>
              <w:jc w:val="right"/>
              <w:ind w:right="1010"/>
              <w:spacing w:after="0"/>
              <w:rPr>
                <w:sz w:val="20"/>
                <w:szCs w:val="20"/>
                <w:color w:val="auto"/>
              </w:rPr>
            </w:pPr>
            <w:r>
              <w:rPr>
                <w:rFonts w:ascii="Arial" w:cs="Arial" w:eastAsia="Arial" w:hAnsi="Arial"/>
                <w:sz w:val="18"/>
                <w:szCs w:val="18"/>
                <w:color w:val="auto"/>
              </w:rPr>
              <w:t>79,346</w:t>
            </w:r>
          </w:p>
        </w:tc>
        <w:tc>
          <w:tcPr>
            <w:tcW w:w="100" w:type="dxa"/>
            <w:vAlign w:val="bottom"/>
          </w:tcPr>
          <w:p>
            <w:pPr>
              <w:spacing w:after="0"/>
              <w:rPr>
                <w:sz w:val="20"/>
                <w:szCs w:val="20"/>
                <w:color w:val="auto"/>
              </w:rPr>
            </w:pPr>
          </w:p>
        </w:tc>
        <w:tc>
          <w:tcPr>
            <w:tcW w:w="2720" w:type="dxa"/>
            <w:vAlign w:val="bottom"/>
          </w:tcPr>
          <w:p>
            <w:pPr>
              <w:jc w:val="right"/>
              <w:ind w:right="870"/>
              <w:spacing w:after="0"/>
              <w:rPr>
                <w:sz w:val="20"/>
                <w:szCs w:val="20"/>
                <w:color w:val="auto"/>
              </w:rPr>
            </w:pPr>
            <w:r>
              <w:rPr>
                <w:rFonts w:ascii="Arial" w:cs="Arial" w:eastAsia="Arial" w:hAnsi="Arial"/>
                <w:sz w:val="18"/>
                <w:szCs w:val="18"/>
                <w:color w:val="auto"/>
              </w:rPr>
              <w:t>13,373,698</w:t>
            </w:r>
          </w:p>
        </w:tc>
        <w:tc>
          <w:tcPr>
            <w:tcW w:w="100" w:type="dxa"/>
            <w:vAlign w:val="bottom"/>
          </w:tcPr>
          <w:p>
            <w:pPr>
              <w:spacing w:after="0"/>
              <w:rPr>
                <w:sz w:val="20"/>
                <w:szCs w:val="20"/>
                <w:color w:val="auto"/>
              </w:rPr>
            </w:pPr>
          </w:p>
        </w:tc>
      </w:tr>
      <w:tr>
        <w:trPr>
          <w:trHeight w:val="1735"/>
        </w:trPr>
        <w:tc>
          <w:tcPr>
            <w:tcW w:w="2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99"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WYNN RESORTS, LIMITED</w:t>
      </w:r>
    </w:p>
    <w:p>
      <w:pPr>
        <w:spacing w:after="0" w:line="121" w:lineRule="exact"/>
        <w:rPr>
          <w:sz w:val="20"/>
          <w:szCs w:val="20"/>
          <w:color w:val="auto"/>
        </w:rPr>
      </w:pPr>
    </w:p>
    <w:p>
      <w:pPr>
        <w:ind w:left="20"/>
        <w:spacing w:after="0"/>
        <w:tabs>
          <w:tab w:leader="none" w:pos="5900" w:val="left"/>
          <w:tab w:leader="none" w:pos="6640" w:val="left"/>
        </w:tabs>
        <w:rPr>
          <w:sz w:val="20"/>
          <w:szCs w:val="20"/>
          <w:color w:val="auto"/>
        </w:rPr>
      </w:pPr>
      <w:r>
        <w:rPr>
          <w:rFonts w:ascii="Arial" w:cs="Arial" w:eastAsia="Arial" w:hAnsi="Arial"/>
          <w:sz w:val="18"/>
          <w:szCs w:val="18"/>
          <w:color w:val="auto"/>
        </w:rPr>
        <w:t>Dated: June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Ellen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31750</wp:posOffset>
            </wp:positionV>
            <wp:extent cx="2991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Ellen Whittemore</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2020-06-30T07:53:37Z</dcterms:created>
  <dcterms:modified xsi:type="dcterms:W3CDTF">2020-06-30T07:53:37Z</dcterms:modified>
</cp:coreProperties>
</file>