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20,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Agreement.</w:t>
      </w:r>
    </w:p>
    <w:p>
      <w:pPr>
        <w:spacing w:after="0" w:line="36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March 20, 2018, Wynn Las Vegas, LLC and Wynn Las Vegas Capital Corp. (the "Issuers"), wholly owned subsidiaries of Wynn Resorts, Limited (the "Company") executed a second supplemental indenture (the "Supplemental Indenture") to the Indenture dated May 22, 2013, as supplemented by that certain Supplemental Indenture dated as of February 18, 2015 (the “Indenture”), relating to the Issuers’ 4.25% Senior Notes due 2023 (the "Notes"). The Supplemental Indenture amended the Indenture by conforming the definition of “Change of Control” relating to ownership of equity interests in the Company in the Indenture to the terms of the indentures governing the Issuers’ other outstanding notes. The Supplemental Indenture was effective upon execution, but will be operative only upon the payment of an aggregate cash amount equal to $25 million (the "Consent Payment") to the holders of the Notes who validly delivered (and did not validly revoke) their consents in accordance with the procedures described in the Consent Solicitation Statement, dated March 15, 2018, prior to 5:00 p.m., New York City time, on March 20, 2018 (the "Expiration Time"). The Consent Payment will be paid to the consenting holders pro rata in accordance with the principal amount of Notes as to which consents were validly tendered (and not revoked) prior to the Expiration Time.</w:t>
      </w:r>
    </w:p>
    <w:p>
      <w:pPr>
        <w:spacing w:after="0" w:line="5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copy of the Supplemental Indenture is attached hereto as Exhibit 4.1 and incorporated by reference herein. The foregoing description is qualified in its entirety by reference to the exhibit.</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Issuers had sought the consent of the holders of the Notes to the amendment contained in the Supplemental Indenture pursuant to a consent solicitation previously announced on March 15, 2018. On March 20, 2018, the Company announced that the Issuers had obtained sufficient consents to amend the Indenture. 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44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1400" w:type="dxa"/>
            <w:vAlign w:val="bottom"/>
          </w:tcPr>
          <w:p>
            <w:pPr>
              <w:spacing w:after="0"/>
              <w:rPr>
                <w:sz w:val="18"/>
                <w:szCs w:val="18"/>
                <w:color w:val="auto"/>
              </w:rPr>
            </w:pPr>
          </w:p>
        </w:tc>
        <w:tc>
          <w:tcPr>
            <w:tcW w:w="80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Second Supplemental Indenture, dated March 20, 2018 among Wynn Las Vegas, LLC, Wynn Las Vegas Capital</w:t>
              </w:r>
            </w:hyperlink>
          </w:p>
        </w:tc>
      </w:tr>
      <w:tr>
        <w:trPr>
          <w:trHeight w:val="196"/>
        </w:trPr>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1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Corp., the guarantors party thereto and U.S. Bank National Association.</w:t>
              </w:r>
            </w:hyperlink>
          </w:p>
        </w:tc>
        <w:tc>
          <w:tcPr>
            <w:tcW w:w="2860" w:type="dxa"/>
            <w:vAlign w:val="bottom"/>
          </w:tcPr>
          <w:p>
            <w:pPr>
              <w:spacing w:after="0"/>
              <w:rPr>
                <w:sz w:val="17"/>
                <w:szCs w:val="17"/>
                <w:color w:val="auto"/>
              </w:rPr>
            </w:pPr>
          </w:p>
        </w:tc>
      </w:tr>
      <w:tr>
        <w:trPr>
          <w:trHeight w:val="507"/>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24"/>
                <w:szCs w:val="24"/>
                <w:color w:val="auto"/>
              </w:rPr>
            </w:pPr>
          </w:p>
        </w:tc>
        <w:tc>
          <w:tcPr>
            <w:tcW w:w="8040" w:type="dxa"/>
            <w:vAlign w:val="bottom"/>
            <w:gridSpan w:val="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Press release, dated March 20, 2018, of Wynn Resorts, Limited.</w:t>
              </w:r>
            </w:hyperlink>
          </w:p>
        </w:tc>
      </w:tr>
      <w:tr>
        <w:trPr>
          <w:trHeight w:val="20"/>
        </w:trPr>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March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LAS VEGAS, LLC</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WYNN LAS VEGAS CAPITAL CORP.,</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joint and several obligors</w:t>
      </w:r>
    </w:p>
    <w:p>
      <w:pPr>
        <w:spacing w:after="0" w:line="36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36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KEVYN, LLC,</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WORLD TRAVEL, LLC,</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WYNN SHOW PERFORMERS, LLC,</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WYNN SUNRISE, LLC,</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WLV EVENTS, LLC,</w:t>
      </w:r>
    </w:p>
    <w:p>
      <w:pPr>
        <w:spacing w:after="0" w:line="5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guarantors</w:t>
      </w:r>
    </w:p>
    <w:p>
      <w:pPr>
        <w:spacing w:after="0" w:line="36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4.25% SENIOR NOTES DUE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SECOND SUPPLEMENTAL INDENTURE</w:t>
      </w:r>
    </w:p>
    <w:p>
      <w:pPr>
        <w:spacing w:after="0" w:line="368"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Dated as of March 20,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U.S. BANK NATIONAL ASSOCIATION</w:t>
      </w:r>
    </w:p>
    <w:p>
      <w:pPr>
        <w:spacing w:after="0" w:line="36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652" w:right="239" w:bottom="1440" w:gutter="0" w:footer="0" w:header="0"/>
        </w:sectPr>
      </w:pPr>
    </w:p>
    <w:bookmarkStart w:id="4" w:name="page5"/>
    <w:bookmarkEnd w:id="4"/>
    <w:p>
      <w:pPr>
        <w:ind w:right="40" w:firstLine="1297"/>
        <w:spacing w:after="0" w:line="265" w:lineRule="auto"/>
        <w:rPr>
          <w:sz w:val="20"/>
          <w:szCs w:val="20"/>
          <w:color w:val="auto"/>
        </w:rPr>
      </w:pPr>
      <w:r>
        <w:rPr>
          <w:rFonts w:ascii="Arial" w:cs="Arial" w:eastAsia="Arial" w:hAnsi="Arial"/>
          <w:sz w:val="21"/>
          <w:szCs w:val="21"/>
          <w:color w:val="auto"/>
        </w:rPr>
        <w:t>SECOND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March 20, 2018, among Wynn Las Vegas, LLC, a Nevada limited liability company (“</w:t>
      </w:r>
      <w:r>
        <w:rPr>
          <w:rFonts w:ascii="Arial" w:cs="Arial" w:eastAsia="Arial" w:hAnsi="Arial"/>
          <w:sz w:val="21"/>
          <w:szCs w:val="21"/>
          <w:i w:val="1"/>
          <w:iCs w:val="1"/>
          <w:color w:val="auto"/>
        </w:rPr>
        <w:t>Wynn Las Vegas</w:t>
      </w:r>
      <w:r>
        <w:rPr>
          <w:rFonts w:ascii="Arial" w:cs="Arial" w:eastAsia="Arial" w:hAnsi="Arial"/>
          <w:sz w:val="21"/>
          <w:szCs w:val="21"/>
          <w:color w:val="auto"/>
        </w:rPr>
        <w:t>”), Wynn Las Vegas Capital Corp., a Nevada corporation (together with Wynn Las Vegas, the “</w:t>
      </w:r>
      <w:r>
        <w:rPr>
          <w:rFonts w:ascii="Arial" w:cs="Arial" w:eastAsia="Arial" w:hAnsi="Arial"/>
          <w:sz w:val="21"/>
          <w:szCs w:val="21"/>
          <w:i w:val="1"/>
          <w:iCs w:val="1"/>
          <w:color w:val="auto"/>
        </w:rPr>
        <w:t>Issuers</w:t>
      </w:r>
      <w:r>
        <w:rPr>
          <w:rFonts w:ascii="Arial" w:cs="Arial" w:eastAsia="Arial" w:hAnsi="Arial"/>
          <w:sz w:val="21"/>
          <w:szCs w:val="21"/>
          <w:color w:val="auto"/>
        </w:rPr>
        <w:t>”), the Guarantors (as defined in the Indenture referred to herein) and U.S. Bank National Association, as trustee under the Indenture referred to below (the “</w:t>
      </w:r>
      <w:r>
        <w:rPr>
          <w:rFonts w:ascii="Arial" w:cs="Arial" w:eastAsia="Arial" w:hAnsi="Arial"/>
          <w:sz w:val="21"/>
          <w:szCs w:val="21"/>
          <w:i w:val="1"/>
          <w:iCs w:val="1"/>
          <w:color w:val="auto"/>
        </w:rPr>
        <w:t>Trustee</w:t>
      </w:r>
      <w:r>
        <w:rPr>
          <w:rFonts w:ascii="Arial" w:cs="Arial" w:eastAsia="Arial" w:hAnsi="Arial"/>
          <w:sz w:val="21"/>
          <w:szCs w:val="21"/>
          <w:color w:val="auto"/>
        </w:rPr>
        <w: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 I T N E S E T H</w:t>
      </w:r>
    </w:p>
    <w:p>
      <w:pPr>
        <w:spacing w:after="0" w:line="220"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WHEREAS, the Issuers have heretofore executed and delivered to the Trustee an indenture (as amended by that certain Supplemental Indenture dated as of February 18, 2015 and as may be further amended, supplemented, or otherwise modified,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May 22, 2013, providing for the issuance of an aggregate principal amount of $500,000,000 of 4.25% Senior Notes due 2023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8" w:lineRule="exact"/>
        <w:rPr>
          <w:sz w:val="20"/>
          <w:szCs w:val="20"/>
          <w:color w:val="auto"/>
        </w:rPr>
      </w:pPr>
    </w:p>
    <w:p>
      <w:pPr>
        <w:ind w:right="300" w:firstLine="1297"/>
        <w:spacing w:after="0" w:line="253" w:lineRule="auto"/>
        <w:rPr>
          <w:sz w:val="20"/>
          <w:szCs w:val="20"/>
          <w:color w:val="auto"/>
        </w:rPr>
      </w:pPr>
      <w:r>
        <w:rPr>
          <w:rFonts w:ascii="Arial" w:cs="Arial" w:eastAsia="Arial" w:hAnsi="Arial"/>
          <w:sz w:val="22"/>
          <w:szCs w:val="22"/>
          <w:color w:val="auto"/>
        </w:rPr>
        <w:t>WHEREAS, the Issuers have solicited consents (“</w:t>
      </w:r>
      <w:r>
        <w:rPr>
          <w:rFonts w:ascii="Arial" w:cs="Arial" w:eastAsia="Arial" w:hAnsi="Arial"/>
          <w:sz w:val="22"/>
          <w:szCs w:val="22"/>
          <w:i w:val="1"/>
          <w:iCs w:val="1"/>
          <w:color w:val="auto"/>
        </w:rPr>
        <w:t>Consents</w:t>
      </w:r>
      <w:r>
        <w:rPr>
          <w:rFonts w:ascii="Arial" w:cs="Arial" w:eastAsia="Arial" w:hAnsi="Arial"/>
          <w:sz w:val="22"/>
          <w:szCs w:val="22"/>
          <w:color w:val="auto"/>
        </w:rPr>
        <w:t>”) pursuant to a Consent Solicitation Statement, dated March 15, 2018 (the “</w:t>
      </w:r>
      <w:r>
        <w:rPr>
          <w:rFonts w:ascii="Arial" w:cs="Arial" w:eastAsia="Arial" w:hAnsi="Arial"/>
          <w:sz w:val="22"/>
          <w:szCs w:val="22"/>
          <w:i w:val="1"/>
          <w:iCs w:val="1"/>
          <w:color w:val="auto"/>
        </w:rPr>
        <w:t>Consent Solicitation Statement</w:t>
      </w:r>
      <w:r>
        <w:rPr>
          <w:rFonts w:ascii="Arial" w:cs="Arial" w:eastAsia="Arial" w:hAnsi="Arial"/>
          <w:sz w:val="22"/>
          <w:szCs w:val="22"/>
          <w:color w:val="auto"/>
        </w:rPr>
        <w:t>”) from the Holders of the Notes to amend the Indenture to narrow the circumstances in which a Change of Control may be deemed to have occurred;</w:t>
      </w:r>
    </w:p>
    <w:p>
      <w:pPr>
        <w:spacing w:after="0" w:line="186" w:lineRule="exact"/>
        <w:rPr>
          <w:sz w:val="20"/>
          <w:szCs w:val="20"/>
          <w:color w:val="auto"/>
        </w:rPr>
      </w:pPr>
    </w:p>
    <w:p>
      <w:pPr>
        <w:ind w:right="160" w:firstLine="1297"/>
        <w:spacing w:after="0" w:line="250" w:lineRule="auto"/>
        <w:rPr>
          <w:sz w:val="20"/>
          <w:szCs w:val="20"/>
          <w:color w:val="auto"/>
        </w:rPr>
      </w:pPr>
      <w:r>
        <w:rPr>
          <w:rFonts w:ascii="Arial" w:cs="Arial" w:eastAsia="Arial" w:hAnsi="Arial"/>
          <w:sz w:val="22"/>
          <w:szCs w:val="22"/>
          <w:color w:val="auto"/>
        </w:rPr>
        <w:t>WHEREAS, the Holders of at least a majority in aggregate principal amount of the outstanding Notes, excluding Notes owned by either of the Issuers or by any Person directly or indirectly controlling or controlled by or under direct or indirect common control with either of the Issuers, voting as a single class have delivered valid Consents to the proposed amendment set forth in this Supplemental Indenture;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Issuers have heretofore delivered or are delivering contemporaneously herewith to the Trustee</w:t>
      </w:r>
    </w:p>
    <w:p>
      <w:pPr>
        <w:spacing w:after="0" w:line="56" w:lineRule="exact"/>
        <w:rPr>
          <w:sz w:val="20"/>
          <w:szCs w:val="20"/>
          <w:color w:val="auto"/>
        </w:rPr>
      </w:pPr>
    </w:p>
    <w:p>
      <w:pPr>
        <w:jc w:val="both"/>
        <w:ind w:right="560" w:firstLine="8"/>
        <w:spacing w:after="0" w:line="244" w:lineRule="auto"/>
        <w:tabs>
          <w:tab w:leader="none" w:pos="258" w:val="left"/>
        </w:tabs>
        <w:numPr>
          <w:ilvl w:val="0"/>
          <w:numId w:val="2"/>
        </w:numPr>
        <w:rPr>
          <w:rFonts w:ascii="Arial" w:cs="Arial" w:eastAsia="Arial" w:hAnsi="Arial"/>
          <w:sz w:val="22"/>
          <w:szCs w:val="22"/>
          <w:color w:val="auto"/>
        </w:rPr>
      </w:pPr>
      <w:r>
        <w:rPr>
          <w:rFonts w:ascii="Arial" w:cs="Arial" w:eastAsia="Arial" w:hAnsi="Arial"/>
          <w:sz w:val="22"/>
          <w:szCs w:val="22"/>
          <w:color w:val="auto"/>
        </w:rPr>
        <w:t>copies of resolutions of the Boards of Directors (or equivalent governing bodies or persons) of each of the Issuers and the Guarantors authorizing the execution of this Supplemental Indenture, (ii) evidence satisfactory to the Trustee of the Consents described in the immediately preceding paragraph, and (iii) the Officer’s Certificate and Opinions of Counsel described in Section 9.05 of the Indenture; and</w:t>
      </w:r>
    </w:p>
    <w:p>
      <w:pPr>
        <w:spacing w:after="0" w:line="196"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9"/>
          <w:szCs w:val="19"/>
          <w:color w:val="auto"/>
        </w:rPr>
        <w:t>WHEREAS, all other acts and proceedings required by law and the Indenture necessary to authorize the execution and delivery of this Supplemental Indenture and to make this Supplemental Indenture a valid and binding agreement for the purposes expressed herein, in accordance with its terms, have been complied with or have been duly done or performed.</w:t>
      </w:r>
    </w:p>
    <w:p>
      <w:pPr>
        <w:spacing w:after="0" w:line="134"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parties hereto mutually covenant and agree for the benefit of each other and the equal and ratable benefit of the Holders of the Notes as follows:</w:t>
      </w:r>
    </w:p>
    <w:p>
      <w:pPr>
        <w:spacing w:after="0" w:line="186" w:lineRule="exact"/>
        <w:rPr>
          <w:sz w:val="20"/>
          <w:szCs w:val="20"/>
          <w:color w:val="auto"/>
        </w:rPr>
      </w:pPr>
    </w:p>
    <w:p>
      <w:pPr>
        <w:ind w:right="320" w:firstLine="656"/>
        <w:spacing w:after="0" w:line="263"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888" w:right="279" w:bottom="1440" w:gutter="0" w:footer="0" w:header="0"/>
        </w:sectPr>
      </w:pPr>
    </w:p>
    <w:bookmarkStart w:id="5" w:name="page6"/>
    <w:bookmarkEnd w:id="5"/>
    <w:p>
      <w:pPr>
        <w:ind w:left="-20" w:right="400" w:firstLine="656"/>
        <w:spacing w:after="0" w:line="263" w:lineRule="auto"/>
        <w:tabs>
          <w:tab w:leader="none" w:pos="1439" w:val="left"/>
        </w:tabs>
        <w:numPr>
          <w:ilvl w:val="0"/>
          <w:numId w:val="4"/>
        </w:numPr>
        <w:rPr>
          <w:rFonts w:ascii="Arial" w:cs="Arial" w:eastAsia="Arial" w:hAnsi="Arial"/>
          <w:sz w:val="22"/>
          <w:szCs w:val="22"/>
          <w:color w:val="auto"/>
        </w:rPr>
      </w:pPr>
      <w:r>
        <w:rPr>
          <w:rFonts w:ascii="Arial" w:cs="Arial" w:eastAsia="Arial" w:hAnsi="Arial"/>
          <w:sz w:val="22"/>
          <w:szCs w:val="22"/>
          <w:color w:val="auto"/>
        </w:rPr>
        <w:t>AMENDMENT. Clause (3) of the definition of “Change of Control” in Section 1.01 of the Indenture is hereby amended and restated in its entirety to read as set forth below:</w:t>
      </w:r>
    </w:p>
    <w:p>
      <w:pPr>
        <w:spacing w:after="0" w:line="174" w:lineRule="exact"/>
        <w:rPr>
          <w:rFonts w:ascii="Arial" w:cs="Arial" w:eastAsia="Arial" w:hAnsi="Arial"/>
          <w:sz w:val="22"/>
          <w:szCs w:val="22"/>
          <w:color w:val="auto"/>
        </w:rPr>
      </w:pPr>
    </w:p>
    <w:p>
      <w:pPr>
        <w:jc w:val="both"/>
        <w:ind w:left="1280" w:firstLine="5"/>
        <w:spacing w:after="0" w:line="265" w:lineRule="auto"/>
        <w:tabs>
          <w:tab w:leader="none" w:pos="1781" w:val="left"/>
        </w:tabs>
        <w:numPr>
          <w:ilvl w:val="1"/>
          <w:numId w:val="4"/>
        </w:numPr>
        <w:rPr>
          <w:rFonts w:ascii="Arial" w:cs="Arial" w:eastAsia="Arial" w:hAnsi="Arial"/>
          <w:sz w:val="21"/>
          <w:szCs w:val="21"/>
          <w:color w:val="auto"/>
        </w:rPr>
      </w:pPr>
      <w:r>
        <w:rPr>
          <w:rFonts w:ascii="Arial" w:cs="Arial" w:eastAsia="Arial" w:hAnsi="Arial"/>
          <w:sz w:val="21"/>
          <w:szCs w:val="21"/>
          <w:color w:val="auto"/>
        </w:rPr>
        <w:t>the consummation of any transaction (including, without limitation, any merger or consolidation) the result of which is that 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75" w:lineRule="exact"/>
        <w:rPr>
          <w:rFonts w:ascii="Arial" w:cs="Arial" w:eastAsia="Arial" w:hAnsi="Arial"/>
          <w:sz w:val="21"/>
          <w:szCs w:val="21"/>
          <w:color w:val="auto"/>
        </w:rPr>
      </w:pPr>
    </w:p>
    <w:p>
      <w:pPr>
        <w:ind w:left="-20" w:right="120" w:firstLine="656"/>
        <w:spacing w:after="0" w:line="312" w:lineRule="auto"/>
        <w:tabs>
          <w:tab w:leader="none" w:pos="1439" w:val="left"/>
        </w:tabs>
        <w:numPr>
          <w:ilvl w:val="0"/>
          <w:numId w:val="4"/>
        </w:numPr>
        <w:rPr>
          <w:rFonts w:ascii="Arial" w:cs="Arial" w:eastAsia="Arial" w:hAnsi="Arial"/>
          <w:sz w:val="19"/>
          <w:szCs w:val="19"/>
          <w:color w:val="auto"/>
        </w:rPr>
      </w:pPr>
      <w:r>
        <w:rPr>
          <w:rFonts w:ascii="Arial" w:cs="Arial" w:eastAsia="Arial" w:hAnsi="Arial"/>
          <w:sz w:val="19"/>
          <w:szCs w:val="19"/>
          <w:color w:val="auto"/>
        </w:rPr>
        <w:t>EFFECTIVE DATE OF THIS SUPPLEMENTAL INDENTURE. This Supplemental Indenture shall be executed, delivered and effective as of the date first written above but shall not become operative until the payment of the Consent Payment (as defined in the Consent Solicitation Statement) by the Issuers pursuant to the terms of the Consent Solicitation Statement.</w:t>
      </w:r>
    </w:p>
    <w:p>
      <w:pPr>
        <w:spacing w:after="0" w:line="133" w:lineRule="exact"/>
        <w:rPr>
          <w:rFonts w:ascii="Arial" w:cs="Arial" w:eastAsia="Arial" w:hAnsi="Arial"/>
          <w:sz w:val="19"/>
          <w:szCs w:val="19"/>
          <w:color w:val="auto"/>
        </w:rPr>
      </w:pPr>
    </w:p>
    <w:p>
      <w:pPr>
        <w:ind w:left="-20" w:right="100" w:firstLine="656"/>
        <w:spacing w:after="0" w:line="294" w:lineRule="auto"/>
        <w:tabs>
          <w:tab w:leader="none" w:pos="1439" w:val="left"/>
        </w:tabs>
        <w:numPr>
          <w:ilvl w:val="0"/>
          <w:numId w:val="4"/>
        </w:numPr>
        <w:rPr>
          <w:rFonts w:ascii="Arial" w:cs="Arial" w:eastAsia="Arial" w:hAnsi="Arial"/>
          <w:sz w:val="19"/>
          <w:szCs w:val="19"/>
          <w:color w:val="auto"/>
        </w:rPr>
      </w:pPr>
      <w:r>
        <w:rPr>
          <w:rFonts w:ascii="Arial" w:cs="Arial" w:eastAsia="Arial" w:hAnsi="Arial"/>
          <w:sz w:val="19"/>
          <w:szCs w:val="19"/>
          <w:color w:val="auto"/>
        </w:rPr>
        <w:t>REFERENCE TO AND EFFECT ON INDENTURE. On and after the date upon which this Supplemental Indenture becomes operative, each reference in the Indenture to “this Indenture,” “hereunder,” “hereof,” or “herein” (and all references to the Indenture in any other agreements, documents or instruments) shall mean and be a reference to the Indenture as supplemented by this Supplemental Indenture, unless the context otherwise requires. The Indenture, as supplemented by this Supplemental Indenture, shall be read, taken and construed as one and the same instrument. Except as specifically amended above, the Indenture shall remain in full force and effect and is hereby ratified and confirmed.</w:t>
      </w:r>
    </w:p>
    <w:p>
      <w:pPr>
        <w:spacing w:after="0" w:line="149" w:lineRule="exact"/>
        <w:rPr>
          <w:rFonts w:ascii="Arial" w:cs="Arial" w:eastAsia="Arial" w:hAnsi="Arial"/>
          <w:sz w:val="19"/>
          <w:szCs w:val="19"/>
          <w:color w:val="auto"/>
        </w:rPr>
      </w:pPr>
    </w:p>
    <w:p>
      <w:pPr>
        <w:ind w:left="-20" w:right="180" w:firstLine="656"/>
        <w:spacing w:after="0" w:line="253" w:lineRule="auto"/>
        <w:tabs>
          <w:tab w:leader="none" w:pos="1439" w:val="left"/>
        </w:tabs>
        <w:numPr>
          <w:ilvl w:val="0"/>
          <w:numId w:val="4"/>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 STATE OF NEW YORK, INCLUDING, WITHOUT LIMITATION, SECTION 4-1401 OF THE NEW YORK OBLIGATIONS LAW.</w:t>
      </w:r>
    </w:p>
    <w:p>
      <w:pPr>
        <w:spacing w:after="0" w:line="185" w:lineRule="exact"/>
        <w:rPr>
          <w:rFonts w:ascii="Arial" w:cs="Arial" w:eastAsia="Arial" w:hAnsi="Arial"/>
          <w:sz w:val="22"/>
          <w:szCs w:val="22"/>
          <w:color w:val="auto"/>
        </w:rPr>
      </w:pPr>
    </w:p>
    <w:p>
      <w:pPr>
        <w:ind w:left="-20" w:right="280" w:firstLine="656"/>
        <w:spacing w:after="0" w:line="253" w:lineRule="auto"/>
        <w:tabs>
          <w:tab w:leader="none" w:pos="1439"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85" w:lineRule="exact"/>
        <w:rPr>
          <w:rFonts w:ascii="Arial" w:cs="Arial" w:eastAsia="Arial" w:hAnsi="Arial"/>
          <w:sz w:val="22"/>
          <w:szCs w:val="22"/>
          <w:color w:val="auto"/>
        </w:rPr>
      </w:pPr>
    </w:p>
    <w:p>
      <w:pPr>
        <w:ind w:left="-20" w:right="100" w:firstLine="656"/>
        <w:spacing w:after="0" w:line="263" w:lineRule="auto"/>
        <w:tabs>
          <w:tab w:leader="none" w:pos="1439" w:val="left"/>
        </w:tabs>
        <w:numPr>
          <w:ilvl w:val="0"/>
          <w:numId w:val="4"/>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74" w:lineRule="exact"/>
        <w:rPr>
          <w:rFonts w:ascii="Arial" w:cs="Arial" w:eastAsia="Arial" w:hAnsi="Arial"/>
          <w:sz w:val="22"/>
          <w:szCs w:val="22"/>
          <w:color w:val="auto"/>
        </w:rPr>
      </w:pPr>
    </w:p>
    <w:p>
      <w:pPr>
        <w:ind w:left="-20" w:right="900" w:firstLine="656"/>
        <w:spacing w:after="0" w:line="263" w:lineRule="auto"/>
        <w:tabs>
          <w:tab w:leader="none" w:pos="1439" w:val="left"/>
        </w:tabs>
        <w:numPr>
          <w:ilvl w:val="0"/>
          <w:numId w:val="4"/>
        </w:numPr>
        <w:rPr>
          <w:rFonts w:ascii="Arial" w:cs="Arial" w:eastAsia="Arial" w:hAnsi="Arial"/>
          <w:sz w:val="22"/>
          <w:szCs w:val="22"/>
          <w:color w:val="auto"/>
        </w:rPr>
      </w:pPr>
      <w:r>
        <w:rPr>
          <w:rFonts w:ascii="Arial" w:cs="Arial" w:eastAsia="Arial" w:hAnsi="Arial"/>
          <w:sz w:val="22"/>
          <w:szCs w:val="22"/>
          <w:color w:val="auto"/>
        </w:rPr>
        <w:t>EFFECT OF HEADINGS. The Section headings herein are for convenience only and shall not affect the construction hereof.</w:t>
      </w:r>
    </w:p>
    <w:p>
      <w:pPr>
        <w:spacing w:after="0" w:line="174" w:lineRule="exact"/>
        <w:rPr>
          <w:rFonts w:ascii="Arial" w:cs="Arial" w:eastAsia="Arial" w:hAnsi="Arial"/>
          <w:sz w:val="22"/>
          <w:szCs w:val="22"/>
          <w:color w:val="auto"/>
        </w:rPr>
      </w:pPr>
    </w:p>
    <w:p>
      <w:pPr>
        <w:ind w:left="-20" w:right="40" w:firstLine="656"/>
        <w:spacing w:after="0" w:line="253" w:lineRule="auto"/>
        <w:tabs>
          <w:tab w:leader="none" w:pos="1439"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631" w:right="239" w:bottom="1440" w:gutter="0" w:footer="0" w:header="0"/>
        </w:sectPr>
      </w:pPr>
    </w:p>
    <w:bookmarkStart w:id="6" w:name="page7"/>
    <w:bookmarkEnd w:id="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WYNN LAS VEGAS, LLC,</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Nevada limited liability company</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Wynn Las Vegas Holdings, LLC,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Wynn America, LLC,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385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WYNN LAS VEGAS CAPITAL CORP.,</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Nevada corporation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385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1300"/>
          </w:cols>
          <w:pgMar w:left="240" w:top="631"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SHOW PERFORMERS, LLC,</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America,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538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0179"/>
          </w:cols>
          <w:pgMar w:left="280" w:top="900" w:right="1440" w:bottom="1440" w:gutter="0" w:footer="0" w:header="0"/>
        </w:sectPr>
      </w:pPr>
    </w:p>
    <w:bookmarkStart w:id="8" w:name="page9"/>
    <w:bookmarkEnd w:id="8"/>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TRAVEL, LLC,</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America,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5385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Treasurer</w:t>
      </w:r>
    </w:p>
    <w:p>
      <w:pPr>
        <w:spacing w:after="0" w:line="267"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0179"/>
          </w:cols>
          <w:pgMar w:left="280" w:top="1440" w:right="1440"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WYNN SUNRISE, LLC,</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America,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5385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0179"/>
          </w:cols>
          <w:pgMar w:left="280" w:top="1328" w:right="1440" w:bottom="1440" w:gutter="0" w:footer="0" w:header="0"/>
        </w:sectPr>
      </w:pPr>
    </w:p>
    <w:bookmarkStart w:id="10" w:name="page11"/>
    <w:bookmarkEnd w:id="10"/>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KEVYN, LLC,</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America,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5385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Treasurer</w:t>
      </w:r>
    </w:p>
    <w:p>
      <w:pPr>
        <w:spacing w:after="0" w:line="267"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0179"/>
          </w:cols>
          <w:pgMar w:left="280" w:top="1440" w:right="1440"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WLV EVENTS, LLC,</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Las Vegas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America,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By: Wynn Resorts,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5385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Craig Billings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0179"/>
          </w:cols>
          <w:pgMar w:left="280" w:top="1328" w:right="1440" w:bottom="1440" w:gutter="0" w:footer="0" w:header="0"/>
        </w:sectPr>
      </w:pPr>
    </w:p>
    <w:bookmarkStart w:id="12" w:name="page13"/>
    <w:bookmarkEnd w:id="12"/>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BANK NATIONAL ASSOCIATION</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5385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Raymond S. Haverstock</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Second Supplemental Indenture]</w:t>
      </w:r>
    </w:p>
    <w:p>
      <w:pPr>
        <w:sectPr>
          <w:pgSz w:w="11900" w:h="16838" w:orient="portrait"/>
          <w:cols w:equalWidth="0" w:num="1">
            <w:col w:w="10179"/>
          </w:cols>
          <w:pgMar w:left="280" w:top="1440"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99.1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EXPIRATION OF CONSENT SOLICITATION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WYNN LAS VEGAS, LLC AND WYNN LAS VEGAS CAPITAL CORP.</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21"/>
          <w:szCs w:val="21"/>
          <w:color w:val="auto"/>
        </w:rPr>
        <w:t>LAS VEGAS – (BUSINESS WIRE) – March 20, 2018 – Wynn Resorts, Limited (NASDAQ: WYNN) (the “Company”) announced today that the previously announced solicitation of consents of Wynn Las Vegas, LLC and Wynn Las Vegas Capital Corp., indirect wholly owned subsidiaries of the Company (the “Issuers”) with respect to the proposed amendment (the “Proposed Amendment”) to the indenture (the “Indenture”) governing the Issuers’ outstanding 4.25% Senior Notes due 2023 (the “Notes”) expired at 5:00 p.m., New York City time, on March 20, 2018 (the “Expiration Time”). As of the Expiration Time, $481,181,000 aggregate principal amount of the Notes, representing approximately 96.24% of the aggregate principal amount of Notes outstanding, validly delivered (and did not validly revoke) a consent for the Proposed Amendment. The consents received exceed the number needed to approve the Proposed Amendment to the Indenture.</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The Issuers will make an aggregate cash payment of $25.0 million (the “Consent Payment”) to the holders of Notes who validly delivered (and did not validly revoke) their consents in accordance with the procedures described in the Consent Solicitation Statement, dated March 15, 2018 (the “Consent Solicitation Statement”) prior to the Expiration Time. The Consent Payment will be paid to the consenting holders pro rata in accordance with the principal amount of Notes as to which consents were validly tendered (and not revoked) prior to the Expiration Time.</w:t>
      </w:r>
    </w:p>
    <w:p>
      <w:pPr>
        <w:spacing w:after="0" w:line="258" w:lineRule="exact"/>
        <w:rPr>
          <w:sz w:val="20"/>
          <w:szCs w:val="20"/>
          <w:color w:val="auto"/>
        </w:rPr>
      </w:pPr>
    </w:p>
    <w:p>
      <w:pPr>
        <w:jc w:val="both"/>
        <w:spacing w:after="0" w:line="288" w:lineRule="auto"/>
        <w:rPr>
          <w:sz w:val="20"/>
          <w:szCs w:val="20"/>
          <w:color w:val="auto"/>
        </w:rPr>
      </w:pPr>
      <w:r>
        <w:rPr>
          <w:rFonts w:ascii="Arial" w:cs="Arial" w:eastAsia="Arial" w:hAnsi="Arial"/>
          <w:sz w:val="21"/>
          <w:szCs w:val="21"/>
          <w:color w:val="auto"/>
        </w:rPr>
        <w:t>The Issuers intend to execute a supplemental indenture with respect to the Notes containing the Proposed Amendment. The supplemental indenture will conform the definition of “Change of Control” relating to ownership of equity interests in the Company in the Indenture to the terms of the indentures governing the Issuers’ other outstanding notes, and will bind all holders of the Notes, including those that did not give their consent, though non-consenting holders will not receive such holder’s portion of the Consent Payment. The Proposed Amendment will be effective for the Notes upon execution of the supplemental indenture, but will be operative only upon payment of the Consent Payment.</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This announcement is for information purposes only and is neither an offer to sell nor a solicitation of an offer to buy any security. This announcement is also not a solicitation of consents with respect to the Proposed Amendment or of any securities. The solicitation of consents is not being made in any jurisdiction in which, or to or from any person to or from whom, it is unlawful to make such solicitation under applicable securities or “blue sky” laws.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i w:val="1"/>
          <w:iCs w:val="1"/>
          <w:color w:val="auto"/>
        </w:rPr>
        <w:t>This release contains forward-looking statements, including those related to the solicitation of consents.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controversy, regulatory action, litigation and investigations related to Stephen A. Wynn and his separation from the Company, dependence on key employees, levels of travel, leisure and casino spending, general domestic or international economic conditions, and changes in gaming laws or regulations. Additional</w:t>
      </w:r>
    </w:p>
    <w:p>
      <w:pPr>
        <w:sectPr>
          <w:pgSz w:w="11900" w:h="16838" w:orient="portrait"/>
          <w:cols w:equalWidth="0" w:num="1">
            <w:col w:w="11420"/>
          </w:cols>
          <w:pgMar w:left="240" w:top="369" w:right="2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2"/>
          <w:szCs w:val="22"/>
          <w:i w:val="1"/>
          <w:iCs w:val="1"/>
          <w:color w:val="auto"/>
        </w:rPr>
        <w:t>information concerning potential factors that could affect the Issuers’ financial results is included in Wynn Las Vegas, LLC’s Annual Statement for the year ended December 31, 2017.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2019-12-28T23:23:52Z</dcterms:created>
  <dcterms:modified xsi:type="dcterms:W3CDTF">2019-12-28T23:23:52Z</dcterms:modified>
</cp:coreProperties>
</file>