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2"/>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150495</wp:posOffset>
            </wp:positionH>
            <wp:positionV relativeFrom="page">
              <wp:posOffset>150495</wp:posOffset>
            </wp:positionV>
            <wp:extent cx="726059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0590" cy="22860"/>
                    </a:xfrm>
                    <a:prstGeom prst="rect">
                      <a:avLst/>
                    </a:prstGeom>
                    <a:noFill/>
                  </pic:spPr>
                </pic:pic>
              </a:graphicData>
            </a:graphic>
          </wp:anchor>
        </w:drawing>
        <w:drawing>
          <wp:anchor simplePos="0" relativeHeight="251657728" behindDoc="1" locked="0" layoutInCell="0" allowOverlap="1">
            <wp:simplePos x="0" y="0"/>
            <wp:positionH relativeFrom="page">
              <wp:posOffset>150495</wp:posOffset>
            </wp:positionH>
            <wp:positionV relativeFrom="page">
              <wp:posOffset>181610</wp:posOffset>
            </wp:positionV>
            <wp:extent cx="72605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0590" cy="7620"/>
                    </a:xfrm>
                    <a:prstGeom prst="rect">
                      <a:avLst/>
                    </a:prstGeom>
                    <a:noFill/>
                  </pic:spPr>
                </pic:pic>
              </a:graphicData>
            </a:graphic>
          </wp:anchor>
        </w:drawing>
        <w:t>UNITED STATES</w:t>
      </w:r>
    </w:p>
    <w:p>
      <w:pPr>
        <w:spacing w:after="0" w:line="26" w:lineRule="exact"/>
        <w:rPr>
          <w:sz w:val="24"/>
          <w:szCs w:val="24"/>
          <w:color w:val="auto"/>
        </w:rPr>
      </w:pPr>
    </w:p>
    <w:p>
      <w:pPr>
        <w:jc w:val="center"/>
        <w:ind w:right="-82"/>
        <w:spacing w:after="0"/>
        <w:rPr>
          <w:sz w:val="20"/>
          <w:szCs w:val="20"/>
          <w:color w:val="auto"/>
        </w:rPr>
      </w:pPr>
      <w:r>
        <w:rPr>
          <w:rFonts w:ascii="Arial" w:cs="Arial" w:eastAsia="Arial" w:hAnsi="Arial"/>
          <w:sz w:val="16"/>
          <w:szCs w:val="16"/>
          <w:b w:val="1"/>
          <w:bCs w:val="1"/>
          <w:color w:val="auto"/>
        </w:rPr>
        <w:t>SECURITIES AND EXCHANGE COMMISSION</w:t>
      </w:r>
    </w:p>
    <w:p>
      <w:pPr>
        <w:spacing w:after="0" w:line="10" w:lineRule="exact"/>
        <w:rPr>
          <w:sz w:val="24"/>
          <w:szCs w:val="24"/>
          <w:color w:val="auto"/>
        </w:rPr>
      </w:pPr>
    </w:p>
    <w:p>
      <w:pPr>
        <w:jc w:val="center"/>
        <w:ind w:right="-82"/>
        <w:spacing w:after="0"/>
        <w:rPr>
          <w:sz w:val="20"/>
          <w:szCs w:val="20"/>
          <w:color w:val="auto"/>
        </w:rPr>
      </w:pPr>
      <w:r>
        <w:rPr>
          <w:rFonts w:ascii="Arial" w:cs="Arial" w:eastAsia="Arial" w:hAnsi="Arial"/>
          <w:sz w:val="16"/>
          <w:szCs w:val="16"/>
          <w:b w:val="1"/>
          <w:bCs w:val="1"/>
          <w:color w:val="auto"/>
        </w:rPr>
        <w:t>Washington, D.C. 20549</w:t>
      </w:r>
    </w:p>
    <w:p>
      <w:pPr>
        <w:spacing w:after="0" w:line="184" w:lineRule="exact"/>
        <w:rPr>
          <w:sz w:val="24"/>
          <w:szCs w:val="24"/>
          <w:color w:val="auto"/>
        </w:rPr>
      </w:pPr>
    </w:p>
    <w:p>
      <w:pPr>
        <w:jc w:val="center"/>
        <w:ind w:right="-82"/>
        <w:spacing w:after="0"/>
        <w:rPr>
          <w:sz w:val="20"/>
          <w:szCs w:val="20"/>
          <w:color w:val="auto"/>
        </w:rPr>
      </w:pPr>
      <w:r>
        <w:rPr>
          <w:rFonts w:ascii="Arial" w:cs="Arial" w:eastAsia="Arial" w:hAnsi="Arial"/>
          <w:sz w:val="23"/>
          <w:szCs w:val="23"/>
          <w:b w:val="1"/>
          <w:bCs w:val="1"/>
          <w:color w:val="auto"/>
        </w:rPr>
        <w:t>SCHEDULE 14A</w:t>
      </w:r>
    </w:p>
    <w:p>
      <w:pPr>
        <w:spacing w:after="0" w:line="202" w:lineRule="exact"/>
        <w:rPr>
          <w:sz w:val="24"/>
          <w:szCs w:val="24"/>
          <w:color w:val="auto"/>
        </w:rPr>
      </w:pPr>
    </w:p>
    <w:p>
      <w:pPr>
        <w:jc w:val="center"/>
        <w:ind w:right="-82"/>
        <w:spacing w:after="0"/>
        <w:rPr>
          <w:sz w:val="20"/>
          <w:szCs w:val="20"/>
          <w:color w:val="auto"/>
        </w:rPr>
      </w:pPr>
      <w:r>
        <w:rPr>
          <w:rFonts w:ascii="Arial" w:cs="Arial" w:eastAsia="Arial" w:hAnsi="Arial"/>
          <w:sz w:val="16"/>
          <w:szCs w:val="16"/>
          <w:b w:val="1"/>
          <w:bCs w:val="1"/>
          <w:color w:val="auto"/>
        </w:rPr>
        <w:t>(Rule 14a-101)</w:t>
      </w:r>
    </w:p>
    <w:p>
      <w:pPr>
        <w:spacing w:after="0" w:line="26" w:lineRule="exact"/>
        <w:rPr>
          <w:sz w:val="24"/>
          <w:szCs w:val="24"/>
          <w:color w:val="auto"/>
        </w:rPr>
      </w:pPr>
    </w:p>
    <w:p>
      <w:pPr>
        <w:jc w:val="center"/>
        <w:ind w:right="-82"/>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10" w:lineRule="exact"/>
        <w:rPr>
          <w:sz w:val="24"/>
          <w:szCs w:val="24"/>
          <w:color w:val="auto"/>
        </w:rPr>
      </w:pPr>
    </w:p>
    <w:p>
      <w:pPr>
        <w:jc w:val="center"/>
        <w:ind w:right="-82"/>
        <w:spacing w:after="0"/>
        <w:rPr>
          <w:sz w:val="20"/>
          <w:szCs w:val="20"/>
          <w:color w:val="auto"/>
        </w:rPr>
      </w:pPr>
      <w:r>
        <w:rPr>
          <w:rFonts w:ascii="Arial" w:cs="Arial" w:eastAsia="Arial" w:hAnsi="Arial"/>
          <w:sz w:val="16"/>
          <w:szCs w:val="16"/>
          <w:b w:val="1"/>
          <w:bCs w:val="1"/>
          <w:color w:val="auto"/>
        </w:rPr>
        <w:t>SCHEDULE 14A INFORMATION</w:t>
      </w:r>
    </w:p>
    <w:p>
      <w:pPr>
        <w:spacing w:after="0" w:line="192" w:lineRule="exact"/>
        <w:rPr>
          <w:sz w:val="24"/>
          <w:szCs w:val="24"/>
          <w:color w:val="auto"/>
        </w:rPr>
      </w:pPr>
    </w:p>
    <w:p>
      <w:pPr>
        <w:jc w:val="center"/>
        <w:ind w:right="-82"/>
        <w:spacing w:after="0"/>
        <w:rPr>
          <w:sz w:val="20"/>
          <w:szCs w:val="20"/>
          <w:color w:val="auto"/>
        </w:rPr>
      </w:pPr>
      <w:r>
        <w:rPr>
          <w:rFonts w:ascii="Arial" w:cs="Arial" w:eastAsia="Arial" w:hAnsi="Arial"/>
          <w:sz w:val="16"/>
          <w:szCs w:val="16"/>
          <w:color w:val="auto"/>
        </w:rPr>
        <w:t>Proxy Statement Pursuant to Section 14(a) of</w:t>
      </w:r>
    </w:p>
    <w:p>
      <w:pPr>
        <w:spacing w:after="0" w:line="22" w:lineRule="exact"/>
        <w:rPr>
          <w:sz w:val="24"/>
          <w:szCs w:val="24"/>
          <w:color w:val="auto"/>
        </w:rPr>
      </w:pPr>
    </w:p>
    <w:p>
      <w:pPr>
        <w:jc w:val="center"/>
        <w:ind w:right="-82"/>
        <w:spacing w:after="0"/>
        <w:rPr>
          <w:sz w:val="20"/>
          <w:szCs w:val="20"/>
          <w:color w:val="auto"/>
        </w:rPr>
      </w:pPr>
      <w:r>
        <w:rPr>
          <w:rFonts w:ascii="Arial" w:cs="Arial" w:eastAsia="Arial" w:hAnsi="Arial"/>
          <w:sz w:val="16"/>
          <w:szCs w:val="16"/>
          <w:color w:val="auto"/>
        </w:rPr>
        <w:t>the Securities Exchange Act of 1934 (Amendment No.  )</w:t>
      </w:r>
    </w:p>
    <w:p>
      <w:pPr>
        <w:spacing w:after="0" w:line="162" w:lineRule="exact"/>
        <w:rPr>
          <w:sz w:val="24"/>
          <w:szCs w:val="24"/>
          <w:color w:val="auto"/>
        </w:rPr>
      </w:pPr>
    </w:p>
    <w:p>
      <w:pPr>
        <w:ind w:left="3"/>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3"/>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34" w:lineRule="exact"/>
        <w:rPr>
          <w:sz w:val="24"/>
          <w:szCs w:val="24"/>
          <w:color w:val="auto"/>
        </w:rPr>
      </w:pPr>
    </w:p>
    <w:p>
      <w:pPr>
        <w:ind w:left="3"/>
        <w:spacing w:after="0"/>
        <w:rPr>
          <w:sz w:val="20"/>
          <w:szCs w:val="20"/>
          <w:color w:val="auto"/>
        </w:rPr>
      </w:pPr>
      <w:r>
        <w:rPr>
          <w:rFonts w:ascii="Arial" w:cs="Arial" w:eastAsia="Arial" w:hAnsi="Arial"/>
          <w:sz w:val="16"/>
          <w:szCs w:val="16"/>
          <w:color w:val="auto"/>
        </w:rPr>
        <w:t>Check the appropriate box:</w:t>
      </w:r>
    </w:p>
    <w:p>
      <w:pPr>
        <w:spacing w:after="0" w:line="229" w:lineRule="exact"/>
        <w:rPr>
          <w:sz w:val="24"/>
          <w:szCs w:val="24"/>
          <w:color w:val="auto"/>
        </w:rPr>
      </w:pPr>
    </w:p>
    <w:p>
      <w:pPr>
        <w:ind w:left="583" w:hanging="583"/>
        <w:spacing w:after="0"/>
        <w:tabs>
          <w:tab w:leader="none" w:pos="58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24" w:lineRule="exact"/>
        <w:rPr>
          <w:rFonts w:ascii="MS PGothic" w:cs="MS PGothic" w:eastAsia="MS PGothic" w:hAnsi="MS PGothic"/>
          <w:sz w:val="16"/>
          <w:szCs w:val="16"/>
          <w:color w:val="auto"/>
        </w:rPr>
      </w:pPr>
    </w:p>
    <w:p>
      <w:pPr>
        <w:ind w:left="583" w:hanging="583"/>
        <w:spacing w:after="0"/>
        <w:tabs>
          <w:tab w:leader="none" w:pos="583"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232" w:lineRule="exact"/>
        <w:rPr>
          <w:rFonts w:ascii="MS PGothic" w:cs="MS PGothic" w:eastAsia="MS PGothic" w:hAnsi="MS PGothic"/>
          <w:sz w:val="16"/>
          <w:szCs w:val="16"/>
          <w:color w:val="auto"/>
        </w:rPr>
      </w:pPr>
    </w:p>
    <w:p>
      <w:pPr>
        <w:ind w:left="583" w:hanging="583"/>
        <w:spacing w:after="0"/>
        <w:tabs>
          <w:tab w:leader="none" w:pos="58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29" w:lineRule="exact"/>
        <w:rPr>
          <w:sz w:val="24"/>
          <w:szCs w:val="24"/>
          <w:color w:val="auto"/>
        </w:rPr>
      </w:pPr>
    </w:p>
    <w:p>
      <w:pPr>
        <w:ind w:left="583" w:hanging="583"/>
        <w:spacing w:after="0"/>
        <w:tabs>
          <w:tab w:leader="none" w:pos="583"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229" w:lineRule="exact"/>
        <w:rPr>
          <w:sz w:val="24"/>
          <w:szCs w:val="24"/>
          <w:color w:val="auto"/>
        </w:rPr>
      </w:pPr>
    </w:p>
    <w:p>
      <w:pPr>
        <w:ind w:left="583" w:hanging="583"/>
        <w:spacing w:after="0"/>
        <w:tabs>
          <w:tab w:leader="none" w:pos="583"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211" w:lineRule="exact"/>
        <w:rPr>
          <w:sz w:val="24"/>
          <w:szCs w:val="24"/>
          <w:color w:val="auto"/>
        </w:rPr>
      </w:pPr>
    </w:p>
    <w:p>
      <w:pPr>
        <w:jc w:val="center"/>
        <w:ind w:right="-82"/>
        <w:spacing w:after="0"/>
        <w:rPr>
          <w:sz w:val="20"/>
          <w:szCs w:val="20"/>
          <w:color w:val="auto"/>
        </w:rPr>
      </w:pPr>
      <w:r>
        <w:rPr>
          <w:rFonts w:ascii="Arial" w:cs="Arial" w:eastAsia="Arial" w:hAnsi="Arial"/>
          <w:sz w:val="26"/>
          <w:szCs w:val="26"/>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26059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pacing w:after="0" w:line="26" w:lineRule="exact"/>
        <w:rPr>
          <w:sz w:val="24"/>
          <w:szCs w:val="24"/>
          <w:color w:val="auto"/>
        </w:rPr>
      </w:pPr>
    </w:p>
    <w:p>
      <w:pPr>
        <w:jc w:val="center"/>
        <w:ind w:right="-82"/>
        <w:spacing w:after="0"/>
        <w:rPr>
          <w:sz w:val="20"/>
          <w:szCs w:val="20"/>
          <w:color w:val="auto"/>
        </w:rPr>
      </w:pPr>
      <w:r>
        <w:rPr>
          <w:rFonts w:ascii="Arial" w:cs="Arial" w:eastAsia="Arial" w:hAnsi="Arial"/>
          <w:sz w:val="16"/>
          <w:szCs w:val="16"/>
          <w:color w:val="auto"/>
        </w:rPr>
        <w:t>(Name of Registrant as Specified In Its Charter)</w:t>
      </w:r>
    </w:p>
    <w:p>
      <w:pPr>
        <w:spacing w:after="0" w:line="200" w:lineRule="exact"/>
        <w:rPr>
          <w:sz w:val="24"/>
          <w:szCs w:val="24"/>
          <w:color w:val="auto"/>
        </w:rPr>
      </w:pPr>
    </w:p>
    <w:p>
      <w:pPr>
        <w:jc w:val="center"/>
        <w:ind w:right="-82"/>
        <w:spacing w:after="0"/>
        <w:rPr>
          <w:sz w:val="20"/>
          <w:szCs w:val="20"/>
          <w:color w:val="auto"/>
        </w:rPr>
      </w:pPr>
      <w:r>
        <w:rPr>
          <w:rFonts w:ascii="Arial" w:cs="Arial" w:eastAsia="Arial" w:hAnsi="Arial"/>
          <w:sz w:val="16"/>
          <w:szCs w:val="16"/>
          <w:b w:val="1"/>
          <w:bCs w:val="1"/>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6059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pacing w:after="0" w:line="18" w:lineRule="exact"/>
        <w:rPr>
          <w:sz w:val="24"/>
          <w:szCs w:val="24"/>
          <w:color w:val="auto"/>
        </w:rPr>
      </w:pPr>
    </w:p>
    <w:p>
      <w:pPr>
        <w:jc w:val="center"/>
        <w:ind w:right="-82"/>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4" w:lineRule="exact"/>
        <w:rPr>
          <w:sz w:val="24"/>
          <w:szCs w:val="24"/>
          <w:color w:val="auto"/>
        </w:rPr>
      </w:pPr>
    </w:p>
    <w:p>
      <w:pPr>
        <w:ind w:left="3"/>
        <w:spacing w:after="0"/>
        <w:rPr>
          <w:sz w:val="20"/>
          <w:szCs w:val="20"/>
          <w:color w:val="auto"/>
        </w:rPr>
      </w:pPr>
      <w:r>
        <w:rPr>
          <w:rFonts w:ascii="Arial" w:cs="Arial" w:eastAsia="Arial" w:hAnsi="Arial"/>
          <w:sz w:val="16"/>
          <w:szCs w:val="16"/>
          <w:color w:val="auto"/>
        </w:rPr>
        <w:t>Payment of Filing Fee (Check the appropriate box):</w:t>
      </w:r>
    </w:p>
    <w:p>
      <w:pPr>
        <w:spacing w:after="0" w:line="204" w:lineRule="exact"/>
        <w:rPr>
          <w:sz w:val="24"/>
          <w:szCs w:val="24"/>
          <w:color w:val="auto"/>
        </w:rPr>
      </w:pPr>
    </w:p>
    <w:p>
      <w:pPr>
        <w:ind w:left="583" w:hanging="583"/>
        <w:spacing w:after="0"/>
        <w:tabs>
          <w:tab w:leader="none" w:pos="583"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29" w:lineRule="exact"/>
        <w:rPr>
          <w:sz w:val="24"/>
          <w:szCs w:val="24"/>
          <w:color w:val="auto"/>
        </w:rPr>
      </w:pPr>
    </w:p>
    <w:p>
      <w:pPr>
        <w:ind w:left="583" w:hanging="583"/>
        <w:spacing w:after="0"/>
        <w:tabs>
          <w:tab w:leader="none" w:pos="583"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28" w:lineRule="exact"/>
        <w:rPr>
          <w:rFonts w:ascii="MS PGothic" w:cs="MS PGothic" w:eastAsia="MS PGothic" w:hAnsi="MS PGothic"/>
          <w:sz w:val="16"/>
          <w:szCs w:val="16"/>
          <w:color w:val="auto"/>
        </w:rPr>
      </w:pPr>
    </w:p>
    <w:p>
      <w:pPr>
        <w:ind w:left="1163" w:hanging="580"/>
        <w:spacing w:after="0"/>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168" w:lineRule="exact"/>
        <w:rPr>
          <w:rFonts w:ascii="Arial" w:cs="Arial" w:eastAsia="Arial" w:hAnsi="Arial"/>
          <w:sz w:val="16"/>
          <w:szCs w:val="16"/>
          <w:color w:val="auto"/>
        </w:rPr>
      </w:pPr>
    </w:p>
    <w:p>
      <w:pPr>
        <w:ind w:left="1163" w:hanging="580"/>
        <w:spacing w:after="0"/>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168" w:lineRule="exact"/>
        <w:rPr>
          <w:rFonts w:ascii="Arial" w:cs="Arial" w:eastAsia="Arial" w:hAnsi="Arial"/>
          <w:sz w:val="16"/>
          <w:szCs w:val="16"/>
          <w:color w:val="auto"/>
        </w:rPr>
      </w:pPr>
    </w:p>
    <w:p>
      <w:pPr>
        <w:ind w:left="1163" w:right="580" w:hanging="580"/>
        <w:spacing w:after="0" w:line="282" w:lineRule="auto"/>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13" w:lineRule="exact"/>
        <w:rPr>
          <w:rFonts w:ascii="Arial" w:cs="Arial" w:eastAsia="Arial" w:hAnsi="Arial"/>
          <w:sz w:val="16"/>
          <w:szCs w:val="16"/>
          <w:color w:val="auto"/>
        </w:rPr>
      </w:pPr>
    </w:p>
    <w:p>
      <w:pPr>
        <w:ind w:left="1163" w:hanging="580"/>
        <w:spacing w:after="0"/>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168" w:lineRule="exact"/>
        <w:rPr>
          <w:rFonts w:ascii="Arial" w:cs="Arial" w:eastAsia="Arial" w:hAnsi="Arial"/>
          <w:sz w:val="16"/>
          <w:szCs w:val="16"/>
          <w:color w:val="auto"/>
        </w:rPr>
      </w:pPr>
    </w:p>
    <w:p>
      <w:pPr>
        <w:ind w:left="1163" w:hanging="580"/>
        <w:spacing w:after="0"/>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362" w:lineRule="exact"/>
        <w:rPr>
          <w:rFonts w:ascii="Arial" w:cs="Arial" w:eastAsia="Arial" w:hAnsi="Arial"/>
          <w:sz w:val="16"/>
          <w:szCs w:val="16"/>
          <w:color w:val="auto"/>
        </w:rPr>
      </w:pPr>
    </w:p>
    <w:p>
      <w:pPr>
        <w:ind w:left="583" w:hanging="583"/>
        <w:spacing w:after="0"/>
        <w:tabs>
          <w:tab w:leader="none" w:pos="583"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04" w:lineRule="exact"/>
        <w:rPr>
          <w:rFonts w:ascii="MS PGothic" w:cs="MS PGothic" w:eastAsia="MS PGothic" w:hAnsi="MS PGothic"/>
          <w:sz w:val="16"/>
          <w:szCs w:val="16"/>
          <w:color w:val="auto"/>
        </w:rPr>
      </w:pPr>
    </w:p>
    <w:p>
      <w:pPr>
        <w:ind w:left="583" w:hanging="583"/>
        <w:spacing w:after="0" w:line="282" w:lineRule="auto"/>
        <w:tabs>
          <w:tab w:leader="none" w:pos="583"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4" w:lineRule="exact"/>
        <w:rPr>
          <w:rFonts w:ascii="MS PGothic" w:cs="MS PGothic" w:eastAsia="MS PGothic" w:hAnsi="MS PGothic"/>
          <w:sz w:val="16"/>
          <w:szCs w:val="16"/>
          <w:color w:val="auto"/>
        </w:rPr>
      </w:pPr>
    </w:p>
    <w:p>
      <w:pPr>
        <w:ind w:left="1163" w:hanging="580"/>
        <w:spacing w:after="0"/>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168" w:lineRule="exact"/>
        <w:rPr>
          <w:rFonts w:ascii="Arial" w:cs="Arial" w:eastAsia="Arial" w:hAnsi="Arial"/>
          <w:sz w:val="16"/>
          <w:szCs w:val="16"/>
          <w:color w:val="auto"/>
        </w:rPr>
      </w:pPr>
    </w:p>
    <w:p>
      <w:pPr>
        <w:ind w:left="1163" w:hanging="580"/>
        <w:spacing w:after="0"/>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168" w:lineRule="exact"/>
        <w:rPr>
          <w:rFonts w:ascii="Arial" w:cs="Arial" w:eastAsia="Arial" w:hAnsi="Arial"/>
          <w:sz w:val="16"/>
          <w:szCs w:val="16"/>
          <w:color w:val="auto"/>
        </w:rPr>
      </w:pPr>
    </w:p>
    <w:p>
      <w:pPr>
        <w:ind w:left="1163" w:hanging="580"/>
        <w:spacing w:after="0"/>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168" w:lineRule="exact"/>
        <w:rPr>
          <w:rFonts w:ascii="Arial" w:cs="Arial" w:eastAsia="Arial" w:hAnsi="Arial"/>
          <w:sz w:val="16"/>
          <w:szCs w:val="16"/>
          <w:color w:val="auto"/>
        </w:rPr>
      </w:pPr>
    </w:p>
    <w:p>
      <w:pPr>
        <w:ind w:left="1163" w:hanging="580"/>
        <w:spacing w:after="0"/>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739775</wp:posOffset>
            </wp:positionH>
            <wp:positionV relativeFrom="paragraph">
              <wp:posOffset>-2566670</wp:posOffset>
            </wp:positionV>
            <wp:extent cx="652081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-2343150</wp:posOffset>
            </wp:positionV>
            <wp:extent cx="652081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-1996440</wp:posOffset>
            </wp:positionV>
            <wp:extent cx="652081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-1772920</wp:posOffset>
            </wp:positionV>
            <wp:extent cx="652081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-1549400</wp:posOffset>
            </wp:positionV>
            <wp:extent cx="652081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-570865</wp:posOffset>
            </wp:positionV>
            <wp:extent cx="652081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-347345</wp:posOffset>
            </wp:positionV>
            <wp:extent cx="652081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-123825</wp:posOffset>
            </wp:positionV>
            <wp:extent cx="652081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99060</wp:posOffset>
            </wp:positionV>
            <wp:extent cx="652081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238125</wp:posOffset>
            </wp:positionV>
            <wp:extent cx="726059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05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253365</wp:posOffset>
            </wp:positionV>
            <wp:extent cx="7260590" cy="2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0590"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538480</wp:posOffset>
            </wp:positionV>
            <wp:extent cx="726059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343"/>
          </w:cols>
          <w:pgMar w:left="237" w:top="499" w:right="319" w:bottom="1440" w:gutter="0" w:footer="0" w:header="0"/>
        </w:sectPr>
      </w:pPr>
    </w:p>
    <w:bookmarkStart w:id="1" w:name="page2"/>
    <w:bookmarkEnd w:id="1"/>
    <w:p>
      <w:pPr>
        <w:jc w:val="both"/>
        <w:spacing w:after="0" w:line="285" w:lineRule="auto"/>
        <w:rPr>
          <w:sz w:val="20"/>
          <w:szCs w:val="20"/>
          <w:color w:val="auto"/>
        </w:rPr>
      </w:pPr>
      <w:r>
        <w:rPr>
          <w:rFonts w:ascii="Arial" w:cs="Arial" w:eastAsia="Arial" w:hAnsi="Arial"/>
          <w:sz w:val="15"/>
          <w:szCs w:val="15"/>
          <w:color w:val="auto"/>
        </w:rPr>
        <w:t xml:space="preserve">On May 9, 2018, Elaine P. Wynn began to use an updated version of the “Restore Wynn” investor presentation in calls and meetings with other shareholders of Wynn Resorts, Limited (the “Company”). The presentation has been updated to reflect the fact that all three leading proxy advisory firms—Institutional Shareholder Services, Glass, Lewis &amp; Co. and Egan-Jones Proxy Services—have recommended that shareholders “Withhold” their votes with regard to the re-election of legacy director John J. Hagenbuch and vote “Against” the Company’s say-on-proposal. A copy of the updated investor presentation is filed herewith as </w:t>
      </w:r>
      <w:r>
        <w:rPr>
          <w:rFonts w:ascii="Arial" w:cs="Arial" w:eastAsia="Arial" w:hAnsi="Arial"/>
          <w:sz w:val="15"/>
          <w:szCs w:val="15"/>
          <w:u w:val="single" w:color="auto"/>
          <w:color w:val="0000EE"/>
        </w:rPr>
        <w:t>Exhibit 99.1</w:t>
      </w:r>
      <w:r>
        <w:rPr>
          <w:rFonts w:ascii="Arial" w:cs="Arial" w:eastAsia="Arial" w:hAnsi="Arial"/>
          <w:sz w:val="15"/>
          <w:szCs w:val="15"/>
          <w:color w:val="auto"/>
        </w:rPr>
        <w:t>.</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Important Additional Information</w:t>
      </w:r>
    </w:p>
    <w:p>
      <w:pPr>
        <w:spacing w:after="0" w:line="17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Elaine P. Wynn is a participant in the solicitation of proxies from the shareholders of Wynn Resorts, Limited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Company’s 2018 annual meeting of shareholders. On April 27, 2018, Ms. Wynn filed a definitive proxy statement (the “</w:t>
      </w:r>
      <w:r>
        <w:rPr>
          <w:rFonts w:ascii="Arial" w:cs="Arial" w:eastAsia="Arial" w:hAnsi="Arial"/>
          <w:sz w:val="16"/>
          <w:szCs w:val="16"/>
          <w:b w:val="1"/>
          <w:bCs w:val="1"/>
          <w:i w:val="1"/>
          <w:iCs w:val="1"/>
          <w:color w:val="auto"/>
        </w:rPr>
        <w:t>Definitive Proxy Statement</w:t>
      </w:r>
      <w:r>
        <w:rPr>
          <w:rFonts w:ascii="Arial" w:cs="Arial" w:eastAsia="Arial" w:hAnsi="Arial"/>
          <w:sz w:val="16"/>
          <w:szCs w:val="16"/>
          <w:color w:val="auto"/>
        </w:rPr>
        <w:t xml:space="preserve">”) and form of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with the U.S.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xml:space="preserve">”) in connection with such solicitation of proxies from the Company’s shareholders. A description of Ms. Wynn’s direct or indirect interests, by security holdings or otherwise, is contained in the Definitive Proxy Statement. MS. WYNN STRONGLY ENCOURAGES THE COMPANY’S SHAREHOLDERS TO READ THE DEFINITIVE PROXY STATEMENT,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OTHER PROXY MATERIALS BECAUSE THEY CONTAIN IMPORTANT INFORMATION. Shareholders may obtain the Definitive Proxy Statement and any other relevant documents at no charge from the SEC’s website at www.sec.gov or by contacting Ms. Wynn’s proxy solicitor MacKenzie Partners, Inc. at wynn@mackenziepartners.com or by calling toll-free (800) 322-2885 or collect (212) 929-5500.</w:t>
      </w:r>
    </w:p>
    <w:p>
      <w:pPr>
        <w:sectPr>
          <w:pgSz w:w="11900" w:h="16838" w:orient="portrait"/>
          <w:cols w:equalWidth="0" w:num="1">
            <w:col w:w="11340"/>
          </w:cols>
          <w:pgMar w:left="240" w:top="661" w:right="319" w:bottom="1440" w:gutter="0" w:footer="0" w:header="0"/>
        </w:sectPr>
      </w:pPr>
    </w:p>
    <w:bookmarkStart w:id="2" w:name="page3"/>
    <w:bookmarkEnd w:id="2"/>
    <w:p>
      <w:pPr>
        <w:ind w:left="92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161290</wp:posOffset>
            </wp:positionV>
            <wp:extent cx="7317105" cy="4408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0" w:num="1">
            <w:col w:w="10240"/>
          </w:cols>
          <w:pgMar w:left="1440" w:top="115" w:right="21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08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088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08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088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164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105" cy="441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088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088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088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088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088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088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088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164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7105" cy="441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088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4805680</wp:posOffset>
            </wp:positionV>
            <wp:extent cx="726059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088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088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088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088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088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164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7105" cy="441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088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088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088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088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088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088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088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4088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412750</wp:posOffset>
            </wp:positionV>
            <wp:extent cx="7317105" cy="4293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7105" cy="42932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2019-12-06T20:30:38Z</dcterms:created>
  <dcterms:modified xsi:type="dcterms:W3CDTF">2019-12-06T20:30:38Z</dcterms:modified>
</cp:coreProperties>
</file>