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170180</wp:posOffset>
            </wp:positionV>
            <wp:extent cx="2891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2125980</wp:posOffset>
            </wp:positionH>
            <wp:positionV relativeFrom="paragraph">
              <wp:posOffset>46990</wp:posOffset>
            </wp:positionV>
            <wp:extent cx="2891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February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83820</wp:posOffset>
            </wp:positionV>
            <wp:extent cx="2891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WYNN RESORTS, LIMITED</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24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372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32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46-0484987</w:t>
            </w:r>
          </w:p>
        </w:tc>
        <w:tc>
          <w:tcPr>
            <w:tcW w:w="920" w:type="dxa"/>
            <w:vAlign w:val="bottom"/>
          </w:tcPr>
          <w:p>
            <w:pPr>
              <w:spacing w:after="0"/>
              <w:rPr>
                <w:sz w:val="19"/>
                <w:szCs w:val="19"/>
                <w:color w:val="auto"/>
              </w:rPr>
            </w:pPr>
          </w:p>
        </w:tc>
      </w:tr>
      <w:tr>
        <w:trPr>
          <w:trHeight w:val="145"/>
        </w:trPr>
        <w:tc>
          <w:tcPr>
            <w:tcW w:w="860" w:type="dxa"/>
            <w:vAlign w:val="bottom"/>
          </w:tcPr>
          <w:p>
            <w:pPr>
              <w:spacing w:after="0"/>
              <w:rPr>
                <w:sz w:val="12"/>
                <w:szCs w:val="12"/>
                <w:color w:val="auto"/>
              </w:rPr>
            </w:pPr>
          </w:p>
        </w:tc>
        <w:tc>
          <w:tcPr>
            <w:tcW w:w="2480" w:type="dxa"/>
            <w:vAlign w:val="bottom"/>
            <w:gridSpan w:val="2"/>
          </w:tcPr>
          <w:p>
            <w:pPr>
              <w:jc w:val="center"/>
              <w:ind w:right="600"/>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20" w:type="dxa"/>
            <w:vAlign w:val="bottom"/>
          </w:tcPr>
          <w:p>
            <w:pPr>
              <w:spacing w:after="0"/>
              <w:rPr>
                <w:sz w:val="12"/>
                <w:szCs w:val="12"/>
                <w:color w:val="auto"/>
              </w:rPr>
            </w:pPr>
          </w:p>
        </w:tc>
        <w:tc>
          <w:tcPr>
            <w:tcW w:w="3200" w:type="dxa"/>
            <w:vAlign w:val="bottom"/>
            <w:gridSpan w:val="2"/>
          </w:tcPr>
          <w:p>
            <w:pPr>
              <w:ind w:left="1260"/>
              <w:spacing w:after="0" w:line="145"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840" w:type="dxa"/>
            <w:vAlign w:val="bottom"/>
          </w:tcPr>
          <w:p>
            <w:pPr>
              <w:spacing w:after="0"/>
              <w:rPr>
                <w:sz w:val="12"/>
                <w:szCs w:val="12"/>
                <w:color w:val="auto"/>
              </w:rPr>
            </w:pPr>
          </w:p>
        </w:tc>
        <w:tc>
          <w:tcPr>
            <w:tcW w:w="3340" w:type="dxa"/>
            <w:vAlign w:val="bottom"/>
            <w:gridSpan w:val="2"/>
          </w:tcPr>
          <w:p>
            <w:pPr>
              <w:jc w:val="center"/>
              <w:ind w:right="480"/>
              <w:spacing w:after="0" w:line="145"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5"/>
        </w:trPr>
        <w:tc>
          <w:tcPr>
            <w:tcW w:w="860" w:type="dxa"/>
            <w:vAlign w:val="bottom"/>
          </w:tcPr>
          <w:p>
            <w:pPr>
              <w:spacing w:after="0"/>
              <w:rPr>
                <w:sz w:val="16"/>
                <w:szCs w:val="16"/>
                <w:color w:val="auto"/>
              </w:rPr>
            </w:pPr>
          </w:p>
        </w:tc>
        <w:tc>
          <w:tcPr>
            <w:tcW w:w="24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20" w:type="dxa"/>
            <w:vAlign w:val="bottom"/>
          </w:tcPr>
          <w:p>
            <w:pPr>
              <w:spacing w:after="0"/>
              <w:rPr>
                <w:sz w:val="16"/>
                <w:szCs w:val="16"/>
                <w:color w:val="auto"/>
              </w:rPr>
            </w:pPr>
          </w:p>
        </w:tc>
        <w:tc>
          <w:tcPr>
            <w:tcW w:w="320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840" w:type="dxa"/>
            <w:vAlign w:val="bottom"/>
          </w:tcPr>
          <w:p>
            <w:pPr>
              <w:spacing w:after="0"/>
              <w:rPr>
                <w:sz w:val="16"/>
                <w:szCs w:val="16"/>
                <w:color w:val="auto"/>
              </w:rPr>
            </w:pPr>
          </w:p>
        </w:tc>
        <w:tc>
          <w:tcPr>
            <w:tcW w:w="3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27"/>
        </w:trPr>
        <w:tc>
          <w:tcPr>
            <w:tcW w:w="3340" w:type="dxa"/>
            <w:vAlign w:val="bottom"/>
            <w:gridSpan w:val="3"/>
          </w:tcPr>
          <w:p>
            <w:pPr>
              <w:jc w:val="center"/>
              <w:ind w:left="177"/>
              <w:spacing w:after="0"/>
              <w:rPr>
                <w:sz w:val="20"/>
                <w:szCs w:val="20"/>
                <w:color w:val="auto"/>
              </w:rPr>
            </w:pPr>
            <w:r>
              <w:rPr>
                <w:rFonts w:ascii="Times New Roman" w:cs="Times New Roman" w:eastAsia="Times New Roman" w:hAnsi="Times New Roman"/>
                <w:sz w:val="18"/>
                <w:szCs w:val="18"/>
                <w:b w:val="1"/>
                <w:bCs w:val="1"/>
                <w:color w:val="auto"/>
                <w:w w:val="96"/>
              </w:rPr>
              <w:t>3131 Las Vegas Boulevard South</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60" w:type="dxa"/>
            <w:vAlign w:val="bottom"/>
          </w:tcPr>
          <w:p>
            <w:pPr>
              <w:spacing w:after="0"/>
              <w:rPr>
                <w:sz w:val="19"/>
                <w:szCs w:val="19"/>
                <w:color w:val="auto"/>
              </w:rPr>
            </w:pP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Las Vegas, Nevada</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89109</w:t>
            </w:r>
          </w:p>
        </w:tc>
        <w:tc>
          <w:tcPr>
            <w:tcW w:w="920" w:type="dxa"/>
            <w:vAlign w:val="bottom"/>
          </w:tcPr>
          <w:p>
            <w:pPr>
              <w:spacing w:after="0"/>
              <w:rPr>
                <w:sz w:val="19"/>
                <w:szCs w:val="19"/>
                <w:color w:val="auto"/>
              </w:rPr>
            </w:pPr>
          </w:p>
        </w:tc>
      </w:tr>
      <w:tr>
        <w:trPr>
          <w:trHeight w:val="185"/>
        </w:trPr>
        <w:tc>
          <w:tcPr>
            <w:tcW w:w="3340" w:type="dxa"/>
            <w:vAlign w:val="bottom"/>
            <w:gridSpan w:val="3"/>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670"/>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20" w:type="dxa"/>
            <w:vAlign w:val="bottom"/>
            <w:gridSpan w:val="3"/>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7"/>
              </w:rPr>
              <w:t>(702) 770-7555</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380" w:type="dxa"/>
            <w:vAlign w:val="bottom"/>
            <w:gridSpan w:val="5"/>
          </w:tcPr>
          <w:p>
            <w:pPr>
              <w:jc w:val="center"/>
              <w:ind w:right="386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407"/>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0" w:type="dxa"/>
            <w:vAlign w:val="bottom"/>
            <w:gridSpan w:val="2"/>
          </w:tcPr>
          <w:p>
            <w:pPr>
              <w:jc w:val="center"/>
              <w:ind w:left="241"/>
              <w:spacing w:after="0"/>
              <w:rPr>
                <w:sz w:val="20"/>
                <w:szCs w:val="20"/>
                <w:color w:val="auto"/>
              </w:rPr>
            </w:pPr>
            <w:r>
              <w:rPr>
                <w:rFonts w:ascii="Times New Roman" w:cs="Times New Roman" w:eastAsia="Times New Roman" w:hAnsi="Times New Roman"/>
                <w:sz w:val="18"/>
                <w:szCs w:val="18"/>
                <w:b w:val="1"/>
                <w:bCs w:val="1"/>
                <w:color w:val="auto"/>
                <w:w w:val="96"/>
              </w:rPr>
              <w:t>Not Applicable</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900" w:type="dxa"/>
            <w:vAlign w:val="bottom"/>
            <w:gridSpan w:val="6"/>
          </w:tcPr>
          <w:p>
            <w:pPr>
              <w:jc w:val="center"/>
              <w:ind w:right="334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r>
      <w:tr>
        <w:trPr>
          <w:trHeight w:val="24"/>
        </w:trPr>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572"/>
        </w:trPr>
        <w:tc>
          <w:tcPr>
            <w:tcW w:w="7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1"/>
        </w:trPr>
        <w:tc>
          <w:tcPr>
            <w:tcW w:w="8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41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3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7"/>
              </w:rPr>
              <w:t>Common stock, par value $0.01</w:t>
            </w:r>
          </w:p>
        </w:tc>
        <w:tc>
          <w:tcPr>
            <w:tcW w:w="520" w:type="dxa"/>
            <w:vAlign w:val="bottom"/>
          </w:tcPr>
          <w:p>
            <w:pPr>
              <w:spacing w:after="0"/>
              <w:rPr>
                <w:sz w:val="21"/>
                <w:szCs w:val="21"/>
                <w:color w:val="auto"/>
              </w:rPr>
            </w:pPr>
          </w:p>
        </w:tc>
        <w:tc>
          <w:tcPr>
            <w:tcW w:w="3200" w:type="dxa"/>
            <w:vAlign w:val="bottom"/>
            <w:gridSpan w:val="2"/>
          </w:tcPr>
          <w:p>
            <w:pPr>
              <w:jc w:val="center"/>
              <w:ind w:right="1780"/>
              <w:spacing w:after="0"/>
              <w:rPr>
                <w:sz w:val="20"/>
                <w:szCs w:val="20"/>
                <w:color w:val="auto"/>
              </w:rPr>
            </w:pPr>
            <w:r>
              <w:rPr>
                <w:rFonts w:ascii="Times New Roman" w:cs="Times New Roman" w:eastAsia="Times New Roman" w:hAnsi="Times New Roman"/>
                <w:sz w:val="18"/>
                <w:szCs w:val="18"/>
                <w:color w:val="auto"/>
                <w:w w:val="96"/>
              </w:rPr>
              <w:t>WYNN</w:t>
            </w:r>
          </w:p>
        </w:tc>
        <w:tc>
          <w:tcPr>
            <w:tcW w:w="41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7"/>
              </w:rPr>
              <w:t>Nasdaq Global Select Market</w:t>
            </w:r>
          </w:p>
        </w:tc>
      </w:tr>
      <w:tr>
        <w:trPr>
          <w:trHeight w:val="204"/>
        </w:trPr>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bl>
    <w:p>
      <w:pPr>
        <w:spacing w:after="0" w:line="324" w:lineRule="exact"/>
        <w:rPr>
          <w:sz w:val="24"/>
          <w:szCs w:val="24"/>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 w:lineRule="exact"/>
        <w:rPr>
          <w:sz w:val="24"/>
          <w:szCs w:val="24"/>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 w:lineRule="exact"/>
        <w:rPr>
          <w:sz w:val="24"/>
          <w:szCs w:val="24"/>
          <w:color w:val="auto"/>
        </w:rPr>
      </w:pPr>
    </w:p>
    <w:p>
      <w:pPr>
        <w:spacing w:after="0" w:line="22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671830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 w:name="page2"/>
    <w:bookmarkEnd w:id="1"/>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6"/>
          <w:szCs w:val="16"/>
          <w:b w:val="1"/>
          <w:bCs w:val="1"/>
          <w:color w:val="auto"/>
        </w:rPr>
        <w:t>Entry into a Material Definitive Agreement.</w:t>
      </w:r>
    </w:p>
    <w:p>
      <w:pPr>
        <w:spacing w:after="0" w:line="2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Supplemental Indenture for 7.125% Senior Notes due 2031</w:t>
      </w:r>
    </w:p>
    <w:p>
      <w:pPr>
        <w:spacing w:after="0" w:line="111"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On February 23, 2024, Wynn Resorts, Limited (the “Company”) announced that Wynn Resorts Finance, LLC (“WRF”) and its subsidiary, Wynn Resorts Capital Corp. (“Wynn Resorts Capital” and, together with WRF, the “Issuers”), each an indirect wholly-owned subsidiary of the Company, issued $400 million aggregate principal amount of 7.125% Senior Notes due 2031 (the “Notes”). The Notes were issued as additional notes pursuant to a supplemental indenture (the “Supplemental Indenture”), dated as of February 23, 2024, among the Issuers, the guarantors party thereto (the “Guarantors”) and U.S. Bank Trust Company, National Association, as trustee (the “Trustee”), to the indenture (the “Existing Indenture,” as amended by the Supplemental Indenture and as further amended or supplemented from time to time, the “Indenture”), dated as of February 16, 2023, among the Issuers, the Guarantors and the Trustee. The Notes constitute the same series of securities as the $600 million 7.125% Senior Notes due 2031 issued on February 16, 2023 pursuant to the Existing Indenture (the “Existing Notes”). The Notes were offered and sold in reliance on exemptions from the registration requirements of the Securities Act of 1933. The Notes will mature on February 15, 2031. Interest is payable in cash semi-annually on February 15 and August 15 of each year, beginning on August 15, 2024.</w:t>
      </w:r>
    </w:p>
    <w:p>
      <w:pPr>
        <w:spacing w:after="0" w:line="19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Notes are jointly and severally guaranteed by all of WRF’s domestic subsidiaries that guarantee the Issuers’ existing senior secured credit facilities, except Wynn Resorts Capital, which is the co-issuer of the Notes, the Issuers’ 5.125% senior notes due 2029 and the Existing Notes.</w:t>
      </w:r>
    </w:p>
    <w:p>
      <w:pPr>
        <w:spacing w:after="0" w:line="19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Issuers may redeem the Notes, in whole or in part, at any time or from time to time prior to November 15, 2030 at a redemption price equal to the greater of (1) 100% of the principal amount of the Notes to be redeemed and (2) a “make-whole” amount, plus in either case accrued and unpaid interest, if any, to, but not including, the redemption date.</w:t>
      </w:r>
    </w:p>
    <w:p>
      <w:pPr>
        <w:spacing w:after="0" w:line="2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or after November 15, 2030, the Issuers may redeem the Notes, in whole or in part, at the redemption prices set forth in the Indenture plus accrued and unpaid interest. The Notes are subject to disposition and redemption requirements imposed by gaming laws and regulations of applicable gaming regulatory authorities.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Indenture contains covenants that limit the ability of the Issuers and the guarantors to, among other things, (1) enter into sale-leaseback transactions,</w:t>
      </w:r>
    </w:p>
    <w:p>
      <w:pPr>
        <w:spacing w:after="0" w:line="44" w:lineRule="exact"/>
        <w:rPr>
          <w:sz w:val="20"/>
          <w:szCs w:val="20"/>
          <w:color w:val="auto"/>
        </w:rPr>
      </w:pPr>
    </w:p>
    <w:p>
      <w:pPr>
        <w:ind w:firstLine="5"/>
        <w:spacing w:after="0" w:line="248" w:lineRule="auto"/>
        <w:tabs>
          <w:tab w:leader="none" w:pos="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 to secure debt, and (3) merge, consolidate or sell all or substantially all of the Issuers’ assets. These covenants are subject to exceptions and qualifications set forth in the Indenture.</w:t>
      </w:r>
    </w:p>
    <w:p>
      <w:pPr>
        <w:spacing w:after="0" w:line="21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the event of a change of control triggering event, the Issuers must offer to repurchase the Notes at a repurchase price equal to 101% of the aggregate principal amount thereof plus any accrued and unpaid interest, to, but not including, the repurchase date.</w:t>
      </w:r>
    </w:p>
    <w:p>
      <w:pPr>
        <w:spacing w:after="0" w:line="19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Indenture also contains customary events of default, including (1) failure to make required payments, (2) failure to comply with certain covenants, (3) failure to pay certain other indebtedness, (4) certain events of bankruptcy and insolvency, and (5) failure to pay certain judgments. An event of default under the Indenture allows either the Trustee or the holders of at least 25% in aggregate principal amount of the Notes, as applicable, issued under such Indenture to accelerate the amounts due under the Notes, or in the case of a bankruptcy or insolvency, will automatically cause the acceleration of the amounts due under the Notes.</w:t>
      </w:r>
    </w:p>
    <w:p>
      <w:pPr>
        <w:spacing w:after="0" w:line="21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foregoing description of the Indenture is qualified in its entirety by reference to the full text of the Existing Indenture and the Supplemental Indenture, which are filed herewith as Exhibits 4.1 and 4.2 and incorporated herein by reference.</w:t>
      </w:r>
    </w:p>
    <w:p>
      <w:pPr>
        <w:spacing w:after="0" w:line="102"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February 22, 2024, the Company issued a press release announcing early results of the previously announced cash tender offer by its indirect wholly-owned subsidiary, Wynn Las Vegas, LLC, to purchase up to $800,000,000 in aggregate principal amount of Wynn Las Vegas, LLC and Wynn Las Vegas Capital Corp.’s outstanding 5.500% Senior Notes due 2025. A copy of the press release is attached hereto as Exhibit 99.1 and is hereby incorporated by reference.</w:t>
      </w:r>
    </w:p>
    <w:p>
      <w:pPr>
        <w:spacing w:after="0" w:line="21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From time to time after completion of the tender offer, Wynn Las Vegas, LLC may purchase additional notes in the open market, in privately negotiated transactions, through tender offers, or otherwise, or may redeem, discharge or defease the notes that are able to be redeemed, discharged or defeased pursuant to their terms. Any future purchases of the notes may be on the same terms or on terms that are more or less favorable to holders of the notes than the terms of the tender offer. Any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525145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color w:val="auto"/>
        </w:rPr>
        <w:t>purchases of the notes by Wynn Las Vegas, LLC will depend on various factors existing at that time. There can be no assurance as to which, if any, of these alternatives (or combinations thereof) Wynn Las Vegas, LLC may choose to pursue in the future.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This report, including Exhibit 99.1, contains “forward-looking statements” within the meaning of the U.S. Private Securities Litigation Reform Act of 1995. These statements are based upon management’s current expectations, beliefs, assumptions and estimates, and on information currently available to us, all of which are subject to change, and are not guarantees of timing, future results or performance. These forward-looking statements involve certain risks and uncertainties and other factors that could cause actual results to differ materially from those indicated in such forward-looking statements, as discussed further in the attached press release.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03"/>
        </w:trPr>
        <w:tc>
          <w:tcPr>
            <w:tcW w:w="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 Exhibits.</w:t>
            </w:r>
          </w:p>
        </w:tc>
        <w:tc>
          <w:tcPr>
            <w:tcW w:w="6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660" w:type="dxa"/>
            <w:vAlign w:val="bottom"/>
          </w:tcPr>
          <w:p>
            <w:pPr>
              <w:spacing w:after="0"/>
              <w:rPr>
                <w:sz w:val="23"/>
                <w:szCs w:val="23"/>
                <w:color w:val="auto"/>
              </w:rPr>
            </w:pPr>
          </w:p>
        </w:tc>
        <w:tc>
          <w:tcPr>
            <w:tcW w:w="9880" w:type="dxa"/>
            <w:vAlign w:val="bottom"/>
            <w:gridSpan w:val="6"/>
          </w:tcPr>
          <w:p>
            <w:pPr>
              <w:spacing w:after="0"/>
              <w:rPr>
                <w:rFonts w:ascii="Times New Roman" w:cs="Times New Roman" w:eastAsia="Times New Roman" w:hAnsi="Times New Roman"/>
                <w:sz w:val="18"/>
                <w:szCs w:val="18"/>
                <w:color w:val="0000FF"/>
                <w:w w:val="98"/>
              </w:rPr>
            </w:pPr>
            <w:hyperlink r:id="rId13">
              <w:r>
                <w:rPr>
                  <w:rFonts w:ascii="Times New Roman" w:cs="Times New Roman" w:eastAsia="Times New Roman" w:hAnsi="Times New Roman"/>
                  <w:sz w:val="18"/>
                  <w:szCs w:val="18"/>
                  <w:color w:val="0000FF"/>
                  <w:w w:val="98"/>
                </w:rPr>
                <w:t>Indenture, dated February 16, 2023, among the Issuers, the Guarantors named therein and the Trustee (incorporated by reference to Exhibit</w:t>
              </w:r>
            </w:hyperlink>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90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6"/>
                <w:szCs w:val="16"/>
                <w:color w:val="0000FF"/>
              </w:rPr>
            </w:pPr>
            <w:hyperlink r:id="rId13">
              <w:r>
                <w:rPr>
                  <w:rFonts w:ascii="Times New Roman" w:cs="Times New Roman" w:eastAsia="Times New Roman" w:hAnsi="Times New Roman"/>
                  <w:sz w:val="16"/>
                  <w:szCs w:val="16"/>
                  <w:color w:val="0000FF"/>
                </w:rPr>
                <w:t>4.</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FF"/>
                </w:rPr>
                <w:t xml:space="preserve"> to the Current Report on Form 8-K filed by the Company on February 16, 2023)</w:t>
              </w:r>
            </w:hyperlink>
          </w:p>
        </w:tc>
        <w:tc>
          <w:tcPr>
            <w:tcW w:w="3840" w:type="dxa"/>
            <w:vAlign w:val="bottom"/>
            <w:tcBorders>
              <w:top w:val="single" w:sz="8" w:color="0000FF"/>
            </w:tcBorders>
            <w:gridSpan w:val="2"/>
          </w:tcPr>
          <w:p>
            <w:pPr>
              <w:spacing w:after="0"/>
              <w:rPr>
                <w:sz w:val="13"/>
                <w:szCs w:val="13"/>
                <w:color w:val="auto"/>
              </w:rPr>
            </w:pPr>
          </w:p>
        </w:tc>
        <w:tc>
          <w:tcPr>
            <w:tcW w:w="140" w:type="dxa"/>
            <w:vAlign w:val="bottom"/>
          </w:tcPr>
          <w:p>
            <w:pPr>
              <w:spacing w:after="0"/>
              <w:rPr>
                <w:sz w:val="13"/>
                <w:szCs w:val="13"/>
                <w:color w:val="auto"/>
              </w:rPr>
            </w:pPr>
          </w:p>
        </w:tc>
      </w:tr>
      <w:tr>
        <w:trPr>
          <w:trHeight w:val="217"/>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660" w:type="dxa"/>
            <w:vAlign w:val="bottom"/>
          </w:tcPr>
          <w:p>
            <w:pPr>
              <w:spacing w:after="0"/>
              <w:rPr>
                <w:sz w:val="18"/>
                <w:szCs w:val="18"/>
                <w:color w:val="auto"/>
              </w:rPr>
            </w:pPr>
          </w:p>
        </w:tc>
        <w:tc>
          <w:tcPr>
            <w:tcW w:w="81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Supplemental Indenture, dated February 23, 2024, among the Issuers, the Guarantors named therein and the Trustee</w:t>
            </w:r>
          </w:p>
        </w:tc>
        <w:tc>
          <w:tcPr>
            <w:tcW w:w="1760" w:type="dxa"/>
            <w:vAlign w:val="bottom"/>
            <w:gridSpan w:val="2"/>
          </w:tcPr>
          <w:p>
            <w:pPr>
              <w:spacing w:after="0"/>
              <w:rPr>
                <w:sz w:val="18"/>
                <w:szCs w:val="18"/>
                <w:color w:val="auto"/>
              </w:rPr>
            </w:pPr>
          </w:p>
        </w:tc>
      </w:tr>
      <w:tr>
        <w:trPr>
          <w:trHeight w:val="204"/>
        </w:trPr>
        <w:tc>
          <w:tcPr>
            <w:tcW w:w="70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auto"/>
              </w:rPr>
              <w:t>99.1</w:t>
            </w:r>
          </w:p>
        </w:tc>
        <w:tc>
          <w:tcPr>
            <w:tcW w:w="660" w:type="dxa"/>
            <w:vAlign w:val="bottom"/>
          </w:tcPr>
          <w:p>
            <w:pPr>
              <w:spacing w:after="0"/>
              <w:rPr>
                <w:sz w:val="17"/>
                <w:szCs w:val="17"/>
                <w:color w:val="auto"/>
              </w:rPr>
            </w:pPr>
          </w:p>
        </w:tc>
        <w:tc>
          <w:tcPr>
            <w:tcW w:w="988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0000FF"/>
              </w:rPr>
              <w:t>Press release, dated February 22, 2024, of Wynn Resorts, Limited.</w:t>
            </w:r>
          </w:p>
        </w:tc>
      </w:tr>
      <w:tr>
        <w:trPr>
          <w:trHeight w:val="20"/>
        </w:trPr>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40" w:type="dxa"/>
            <w:vAlign w:val="bottom"/>
            <w:gridSpan w:val="2"/>
            <w:shd w:val="clear" w:color="auto" w:fill="0000FF"/>
          </w:tcPr>
          <w:p>
            <w:pPr>
              <w:spacing w:after="0" w:line="20" w:lineRule="exact"/>
              <w:rPr>
                <w:sz w:val="1"/>
                <w:szCs w:val="1"/>
                <w:color w:val="auto"/>
              </w:rPr>
            </w:pPr>
          </w:p>
        </w:tc>
        <w:tc>
          <w:tcPr>
            <w:tcW w:w="5240" w:type="dxa"/>
            <w:vAlign w:val="bottom"/>
            <w:gridSpan w:val="4"/>
          </w:tcPr>
          <w:p>
            <w:pPr>
              <w:spacing w:after="0" w:line="20" w:lineRule="exact"/>
              <w:rPr>
                <w:sz w:val="1"/>
                <w:szCs w:val="1"/>
                <w:color w:val="auto"/>
              </w:rPr>
            </w:pPr>
          </w:p>
        </w:tc>
      </w:tr>
      <w:tr>
        <w:trPr>
          <w:trHeight w:val="243"/>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1"/>
                <w:szCs w:val="21"/>
                <w:color w:val="auto"/>
              </w:rPr>
            </w:pP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178"/>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4"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71" w:lineRule="exact"/>
        <w:rPr>
          <w:sz w:val="20"/>
          <w:szCs w:val="20"/>
          <w:color w:val="auto"/>
        </w:rPr>
      </w:pPr>
    </w:p>
    <w:p>
      <w:pPr>
        <w:ind w:left="460"/>
        <w:spacing w:after="0"/>
        <w:tabs>
          <w:tab w:leader="none" w:pos="6880" w:val="left"/>
          <w:tab w:leader="none" w:pos="7620" w:val="left"/>
        </w:tabs>
        <w:rPr>
          <w:sz w:val="20"/>
          <w:szCs w:val="20"/>
          <w:color w:val="auto"/>
        </w:rPr>
      </w:pPr>
      <w:r>
        <w:rPr>
          <w:rFonts w:ascii="Times New Roman" w:cs="Times New Roman" w:eastAsia="Times New Roman" w:hAnsi="Times New Roman"/>
          <w:sz w:val="18"/>
          <w:szCs w:val="18"/>
          <w:color w:val="auto"/>
        </w:rPr>
        <w:t>Dated: February 23,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4766310</wp:posOffset>
            </wp:positionH>
            <wp:positionV relativeFrom="paragraph">
              <wp:posOffset>13970</wp:posOffset>
            </wp:positionV>
            <wp:extent cx="2434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0"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Julie Cameron-Doe</w:t>
      </w:r>
    </w:p>
    <w:p>
      <w:pPr>
        <w:spacing w:after="0" w:line="2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69"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Exhibit 4.2</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SUPPLEMENTAL INDENTURE</w:t>
      </w:r>
    </w:p>
    <w:p>
      <w:pPr>
        <w:spacing w:after="0" w:line="200" w:lineRule="exact"/>
        <w:rPr>
          <w:sz w:val="20"/>
          <w:szCs w:val="20"/>
          <w:color w:val="auto"/>
        </w:rPr>
      </w:pPr>
    </w:p>
    <w:p>
      <w:pPr>
        <w:spacing w:after="0" w:line="2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FIRST SUPPLEMENTAL INDENTURE (this “</w:t>
      </w:r>
      <w:r>
        <w:rPr>
          <w:rFonts w:ascii="Times New Roman" w:cs="Times New Roman" w:eastAsia="Times New Roman" w:hAnsi="Times New Roman"/>
          <w:sz w:val="19"/>
          <w:szCs w:val="19"/>
          <w:u w:val="single" w:color="auto"/>
          <w:color w:val="auto"/>
        </w:rPr>
        <w:t>Supplemental Indenture</w:t>
      </w:r>
      <w:r>
        <w:rPr>
          <w:rFonts w:ascii="Times New Roman" w:cs="Times New Roman" w:eastAsia="Times New Roman" w:hAnsi="Times New Roman"/>
          <w:sz w:val="19"/>
          <w:szCs w:val="19"/>
          <w:color w:val="auto"/>
        </w:rPr>
        <w:t>”) dated as of February 23, 2024, by and among Wynn Resorts</w:t>
      </w:r>
    </w:p>
    <w:p>
      <w:pPr>
        <w:spacing w:after="0" w:line="1" w:lineRule="exact"/>
        <w:rPr>
          <w:sz w:val="20"/>
          <w:szCs w:val="20"/>
          <w:color w:val="auto"/>
        </w:rPr>
      </w:pPr>
    </w:p>
    <w:p>
      <w:pPr>
        <w:jc w:val="both"/>
        <w:ind w:right="280"/>
        <w:spacing w:after="0" w:line="209" w:lineRule="auto"/>
        <w:rPr>
          <w:sz w:val="20"/>
          <w:szCs w:val="20"/>
          <w:color w:val="auto"/>
        </w:rPr>
      </w:pPr>
      <w:r>
        <w:rPr>
          <w:rFonts w:ascii="Times New Roman" w:cs="Times New Roman" w:eastAsia="Times New Roman" w:hAnsi="Times New Roman"/>
          <w:sz w:val="19"/>
          <w:szCs w:val="19"/>
          <w:color w:val="auto"/>
        </w:rPr>
        <w:t>Finance, LLC, a Nevada limited liability company (“</w:t>
      </w:r>
      <w:r>
        <w:rPr>
          <w:rFonts w:ascii="Times New Roman" w:cs="Times New Roman" w:eastAsia="Times New Roman" w:hAnsi="Times New Roman"/>
          <w:sz w:val="19"/>
          <w:szCs w:val="19"/>
          <w:u w:val="single" w:color="auto"/>
          <w:color w:val="auto"/>
        </w:rPr>
        <w:t>Wynn Resorts Finance</w:t>
      </w:r>
      <w:r>
        <w:rPr>
          <w:rFonts w:ascii="Times New Roman" w:cs="Times New Roman" w:eastAsia="Times New Roman" w:hAnsi="Times New Roman"/>
          <w:sz w:val="19"/>
          <w:szCs w:val="19"/>
          <w:color w:val="auto"/>
        </w:rPr>
        <w:t>”) and Wynn Resorts Capital Corp., a Nevada corporation (“</w:t>
      </w:r>
      <w:r>
        <w:rPr>
          <w:rFonts w:ascii="Times New Roman" w:cs="Times New Roman" w:eastAsia="Times New Roman" w:hAnsi="Times New Roman"/>
          <w:sz w:val="19"/>
          <w:szCs w:val="19"/>
          <w:u w:val="single" w:color="auto"/>
          <w:color w:val="auto"/>
        </w:rPr>
        <w:t>Wynn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Resorts Capital</w:t>
      </w:r>
      <w:r>
        <w:rPr>
          <w:rFonts w:ascii="Times New Roman" w:cs="Times New Roman" w:eastAsia="Times New Roman" w:hAnsi="Times New Roman"/>
          <w:sz w:val="19"/>
          <w:szCs w:val="19"/>
          <w:color w:val="auto"/>
        </w:rPr>
        <w:t>,” and together with Wynn Resorts Finance, the “</w:t>
      </w:r>
      <w:r>
        <w:rPr>
          <w:rFonts w:ascii="Times New Roman" w:cs="Times New Roman" w:eastAsia="Times New Roman" w:hAnsi="Times New Roman"/>
          <w:sz w:val="19"/>
          <w:szCs w:val="19"/>
          <w:u w:val="single" w:color="auto"/>
          <w:color w:val="auto"/>
        </w:rPr>
        <w:t>Issuers</w:t>
      </w:r>
      <w:r>
        <w:rPr>
          <w:rFonts w:ascii="Times New Roman" w:cs="Times New Roman" w:eastAsia="Times New Roman" w:hAnsi="Times New Roman"/>
          <w:sz w:val="19"/>
          <w:szCs w:val="19"/>
          <w:color w:val="auto"/>
        </w:rPr>
        <w:t>”), each of the parties identified on Annex A hereto (the “</w:t>
      </w:r>
      <w:r>
        <w:rPr>
          <w:rFonts w:ascii="Times New Roman" w:cs="Times New Roman" w:eastAsia="Times New Roman" w:hAnsi="Times New Roman"/>
          <w:sz w:val="19"/>
          <w:szCs w:val="19"/>
          <w:u w:val="single" w:color="auto"/>
          <w:color w:val="auto"/>
        </w:rPr>
        <w:t>Guarantors</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jc w:val="right"/>
        <w:ind w:right="4980"/>
        <w:spacing w:after="0" w:line="428" w:lineRule="auto"/>
        <w:rPr>
          <w:sz w:val="20"/>
          <w:szCs w:val="20"/>
          <w:color w:val="auto"/>
        </w:rPr>
      </w:pPr>
      <w:r>
        <w:rPr>
          <w:rFonts w:ascii="Times New Roman" w:cs="Times New Roman" w:eastAsia="Times New Roman" w:hAnsi="Times New Roman"/>
          <w:sz w:val="19"/>
          <w:szCs w:val="19"/>
          <w:color w:val="auto"/>
        </w:rPr>
        <w:t>and U.S. Bank Trust Company, National Association, as Trustee (the “</w:t>
      </w:r>
      <w:r>
        <w:rPr>
          <w:rFonts w:ascii="Times New Roman" w:cs="Times New Roman" w:eastAsia="Times New Roman" w:hAnsi="Times New Roman"/>
          <w:sz w:val="19"/>
          <w:szCs w:val="19"/>
          <w:u w:val="single" w:color="auto"/>
          <w:color w:val="auto"/>
        </w:rPr>
        <w:t>Trustee</w:t>
      </w:r>
      <w:r>
        <w:rPr>
          <w:rFonts w:ascii="Times New Roman" w:cs="Times New Roman" w:eastAsia="Times New Roman" w:hAnsi="Times New Roman"/>
          <w:sz w:val="19"/>
          <w:szCs w:val="19"/>
          <w:color w:val="auto"/>
        </w:rPr>
        <w:t>”). WITNESSETH:</w:t>
      </w:r>
    </w:p>
    <w:p>
      <w:pPr>
        <w:spacing w:after="0" w:line="1" w:lineRule="exact"/>
        <w:rPr>
          <w:sz w:val="20"/>
          <w:szCs w:val="20"/>
          <w:color w:val="auto"/>
        </w:rPr>
      </w:pPr>
    </w:p>
    <w:p>
      <w:pPr>
        <w:ind w:right="160" w:firstLine="1263"/>
        <w:spacing w:after="0" w:line="236" w:lineRule="auto"/>
        <w:rPr>
          <w:sz w:val="20"/>
          <w:szCs w:val="20"/>
          <w:color w:val="auto"/>
        </w:rPr>
      </w:pPr>
      <w:r>
        <w:rPr>
          <w:rFonts w:ascii="Times New Roman" w:cs="Times New Roman" w:eastAsia="Times New Roman" w:hAnsi="Times New Roman"/>
          <w:sz w:val="19"/>
          <w:szCs w:val="19"/>
          <w:color w:val="auto"/>
        </w:rPr>
        <w:t>WHEREAS, the Issuer, the Guarantors, and the Trustee are party to an indenture, dated as of February 16, 2023 (the “</w:t>
      </w:r>
      <w:r>
        <w:rPr>
          <w:rFonts w:ascii="Times New Roman" w:cs="Times New Roman" w:eastAsia="Times New Roman" w:hAnsi="Times New Roman"/>
          <w:sz w:val="19"/>
          <w:szCs w:val="19"/>
          <w:u w:val="single" w:color="auto"/>
          <w:color w:val="auto"/>
        </w:rPr>
        <w:t>Base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Indenture</w:t>
      </w:r>
      <w:r>
        <w:rPr>
          <w:rFonts w:ascii="Times New Roman" w:cs="Times New Roman" w:eastAsia="Times New Roman" w:hAnsi="Times New Roman"/>
          <w:sz w:val="19"/>
          <w:szCs w:val="19"/>
          <w:color w:val="auto"/>
        </w:rPr>
        <w:t>” and together with this Supplemental Indenture, the “</w:t>
      </w:r>
      <w:r>
        <w:rPr>
          <w:rFonts w:ascii="Times New Roman" w:cs="Times New Roman" w:eastAsia="Times New Roman" w:hAnsi="Times New Roman"/>
          <w:sz w:val="19"/>
          <w:szCs w:val="19"/>
          <w:u w:val="single" w:color="auto"/>
          <w:color w:val="auto"/>
        </w:rPr>
        <w:t>Indenture</w:t>
      </w:r>
      <w:r>
        <w:rPr>
          <w:rFonts w:ascii="Times New Roman" w:cs="Times New Roman" w:eastAsia="Times New Roman" w:hAnsi="Times New Roman"/>
          <w:sz w:val="19"/>
          <w:szCs w:val="19"/>
          <w:color w:val="auto"/>
        </w:rPr>
        <w:t>”), providing for the issuance by the Issuer of its 7.125% Senior Notes due 2031;</w:t>
      </w:r>
    </w:p>
    <w:p>
      <w:pPr>
        <w:spacing w:after="0" w:line="145" w:lineRule="exact"/>
        <w:rPr>
          <w:sz w:val="20"/>
          <w:szCs w:val="20"/>
          <w:color w:val="auto"/>
        </w:rPr>
      </w:pPr>
    </w:p>
    <w:p>
      <w:pPr>
        <w:ind w:right="500" w:firstLine="1263"/>
        <w:spacing w:after="0" w:line="253" w:lineRule="auto"/>
        <w:rPr>
          <w:sz w:val="20"/>
          <w:szCs w:val="20"/>
          <w:color w:val="auto"/>
        </w:rPr>
      </w:pPr>
      <w:r>
        <w:rPr>
          <w:rFonts w:ascii="Times New Roman" w:cs="Times New Roman" w:eastAsia="Times New Roman" w:hAnsi="Times New Roman"/>
          <w:sz w:val="19"/>
          <w:szCs w:val="19"/>
          <w:color w:val="auto"/>
        </w:rPr>
        <w:t>WHEREAS, pursuant to and on the date of the Base Indenture, the Issuer initially issued $600,000,000 aggregate principal amount of its 7.125% Senior Notes due 2031 (the “</w:t>
      </w:r>
      <w:r>
        <w:rPr>
          <w:rFonts w:ascii="Times New Roman" w:cs="Times New Roman" w:eastAsia="Times New Roman" w:hAnsi="Times New Roman"/>
          <w:sz w:val="19"/>
          <w:szCs w:val="19"/>
          <w:u w:val="single" w:color="auto"/>
          <w:color w:val="auto"/>
        </w:rPr>
        <w:t>Existing Notes</w:t>
      </w:r>
      <w:r>
        <w:rPr>
          <w:rFonts w:ascii="Times New Roman" w:cs="Times New Roman" w:eastAsia="Times New Roman" w:hAnsi="Times New Roman"/>
          <w:sz w:val="19"/>
          <w:szCs w:val="19"/>
          <w:color w:val="auto"/>
        </w:rPr>
        <w:t>”);</w:t>
      </w:r>
    </w:p>
    <w:p>
      <w:pPr>
        <w:spacing w:after="0" w:line="145" w:lineRule="exact"/>
        <w:rPr>
          <w:sz w:val="20"/>
          <w:szCs w:val="20"/>
          <w:color w:val="auto"/>
        </w:rPr>
      </w:pPr>
    </w:p>
    <w:p>
      <w:pPr>
        <w:ind w:right="220" w:firstLine="1263"/>
        <w:spacing w:after="0" w:line="239" w:lineRule="auto"/>
        <w:rPr>
          <w:sz w:val="20"/>
          <w:szCs w:val="20"/>
          <w:color w:val="auto"/>
        </w:rPr>
      </w:pPr>
      <w:r>
        <w:rPr>
          <w:rFonts w:ascii="Times New Roman" w:cs="Times New Roman" w:eastAsia="Times New Roman" w:hAnsi="Times New Roman"/>
          <w:sz w:val="19"/>
          <w:szCs w:val="19"/>
          <w:color w:val="auto"/>
        </w:rPr>
        <w:t>WHEREAS, Section 2.13 of the Base Indenture provides that, without the consent of any Holder of the Notes, the Issuers may amend the Base Indenture to facilitate the issuance of Additional Notes (as defined in the Base Indenture) under the Base Indenture;</w:t>
      </w:r>
    </w:p>
    <w:p>
      <w:pPr>
        <w:spacing w:after="0" w:line="183" w:lineRule="exact"/>
        <w:rPr>
          <w:sz w:val="20"/>
          <w:szCs w:val="20"/>
          <w:color w:val="auto"/>
        </w:rPr>
      </w:pPr>
    </w:p>
    <w:p>
      <w:pPr>
        <w:ind w:right="220" w:firstLine="1263"/>
        <w:spacing w:after="0" w:line="253" w:lineRule="auto"/>
        <w:rPr>
          <w:sz w:val="20"/>
          <w:szCs w:val="20"/>
          <w:color w:val="auto"/>
        </w:rPr>
      </w:pPr>
      <w:r>
        <w:rPr>
          <w:rFonts w:ascii="Times New Roman" w:cs="Times New Roman" w:eastAsia="Times New Roman" w:hAnsi="Times New Roman"/>
          <w:sz w:val="19"/>
          <w:szCs w:val="19"/>
          <w:color w:val="auto"/>
        </w:rPr>
        <w:t>WHEREAS, the Issuer wishes to issue an additional $400,000,000 aggregate principal amount of its 7.125% Senior Notes due 2031 as Additional Notes (the “</w:t>
      </w:r>
      <w:r>
        <w:rPr>
          <w:rFonts w:ascii="Times New Roman" w:cs="Times New Roman" w:eastAsia="Times New Roman" w:hAnsi="Times New Roman"/>
          <w:sz w:val="19"/>
          <w:szCs w:val="19"/>
          <w:u w:val="single" w:color="auto"/>
          <w:color w:val="auto"/>
        </w:rPr>
        <w:t>New Notes</w:t>
      </w:r>
      <w:r>
        <w:rPr>
          <w:rFonts w:ascii="Times New Roman" w:cs="Times New Roman" w:eastAsia="Times New Roman" w:hAnsi="Times New Roman"/>
          <w:sz w:val="19"/>
          <w:szCs w:val="19"/>
          <w:color w:val="auto"/>
        </w:rPr>
        <w:t>”);</w:t>
      </w:r>
    </w:p>
    <w:p>
      <w:pPr>
        <w:spacing w:after="0" w:line="1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9"/>
          <w:szCs w:val="19"/>
          <w:color w:val="auto"/>
        </w:rPr>
        <w:t>WHEREAS, Section 9.01(g) of the Base Indenture provides that, without the consent of any Holder of the Notes, the Issuer, the</w:t>
      </w:r>
    </w:p>
    <w:p>
      <w:pPr>
        <w:spacing w:after="0" w:line="1"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9"/>
          <w:szCs w:val="19"/>
          <w:color w:val="auto"/>
        </w:rPr>
        <w:t>Guarantors and the Trustee may amend or supplement the Base Indenture to provide for the issuance of Additional Notes in accordance with the limitations set forth the Base Indenture;</w:t>
      </w:r>
    </w:p>
    <w:p>
      <w:pPr>
        <w:spacing w:after="0" w:line="1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9"/>
          <w:szCs w:val="19"/>
          <w:color w:val="auto"/>
        </w:rPr>
        <w:t>WHEREAS, Section 9.01(d) of the Base Indenture provides that, without the consent of any Holder of the Notes, the Issuer, the</w:t>
      </w:r>
    </w:p>
    <w:p>
      <w:pPr>
        <w:spacing w:after="0" w:line="1" w:lineRule="exact"/>
        <w:rPr>
          <w:sz w:val="20"/>
          <w:szCs w:val="20"/>
          <w:color w:val="auto"/>
        </w:rPr>
      </w:pPr>
    </w:p>
    <w:p>
      <w:pPr>
        <w:ind w:right="480"/>
        <w:spacing w:after="0" w:line="227" w:lineRule="auto"/>
        <w:rPr>
          <w:sz w:val="20"/>
          <w:szCs w:val="20"/>
          <w:color w:val="auto"/>
        </w:rPr>
      </w:pPr>
      <w:r>
        <w:rPr>
          <w:rFonts w:ascii="Times New Roman" w:cs="Times New Roman" w:eastAsia="Times New Roman" w:hAnsi="Times New Roman"/>
          <w:sz w:val="19"/>
          <w:szCs w:val="19"/>
          <w:color w:val="auto"/>
        </w:rPr>
        <w:t>Guarantors and the Trustee may amend or supplement the Base Indenture to make any change that does not adversely affect the legal rights under the Indenture of any Holder of the Notes;</w:t>
      </w:r>
    </w:p>
    <w:p>
      <w:pPr>
        <w:spacing w:after="0" w:line="157" w:lineRule="exact"/>
        <w:rPr>
          <w:sz w:val="20"/>
          <w:szCs w:val="20"/>
          <w:color w:val="auto"/>
        </w:rPr>
      </w:pPr>
    </w:p>
    <w:p>
      <w:pPr>
        <w:ind w:left="1260" w:right="1520"/>
        <w:spacing w:after="0" w:line="440" w:lineRule="auto"/>
        <w:rPr>
          <w:sz w:val="20"/>
          <w:szCs w:val="20"/>
          <w:color w:val="auto"/>
        </w:rPr>
      </w:pPr>
      <w:r>
        <w:rPr>
          <w:rFonts w:ascii="Times New Roman" w:cs="Times New Roman" w:eastAsia="Times New Roman" w:hAnsi="Times New Roman"/>
          <w:sz w:val="19"/>
          <w:szCs w:val="19"/>
          <w:color w:val="auto"/>
        </w:rPr>
        <w:t>WHEREAS, the Issuer and the Guarantors are authorized to execute and deliver this Supplemental Indenture; WHEREAS, the Issuer has requested that the Trustee execute and deliver this Supplemental Indenture; and</w:t>
      </w:r>
    </w:p>
    <w:p>
      <w:pPr>
        <w:spacing w:after="0" w:line="2" w:lineRule="exact"/>
        <w:rPr>
          <w:sz w:val="20"/>
          <w:szCs w:val="20"/>
          <w:color w:val="auto"/>
        </w:rPr>
      </w:pPr>
    </w:p>
    <w:p>
      <w:pPr>
        <w:ind w:right="180" w:firstLine="1263"/>
        <w:spacing w:after="0" w:line="253" w:lineRule="auto"/>
        <w:rPr>
          <w:sz w:val="20"/>
          <w:szCs w:val="20"/>
          <w:color w:val="auto"/>
        </w:rPr>
      </w:pPr>
      <w:r>
        <w:rPr>
          <w:rFonts w:ascii="Times New Roman" w:cs="Times New Roman" w:eastAsia="Times New Roman" w:hAnsi="Times New Roman"/>
          <w:sz w:val="19"/>
          <w:szCs w:val="19"/>
          <w:color w:val="auto"/>
        </w:rPr>
        <w:t>WHEREAS, all conditions and requirements necessary to the execution and delivery of this Supplemental Indenture have been done and performed, and the execution and delivery hereof has been in all respects authorized.</w:t>
      </w:r>
    </w:p>
    <w:p>
      <w:pPr>
        <w:spacing w:after="0" w:line="145" w:lineRule="exact"/>
        <w:rPr>
          <w:sz w:val="20"/>
          <w:szCs w:val="20"/>
          <w:color w:val="auto"/>
        </w:rPr>
      </w:pPr>
    </w:p>
    <w:p>
      <w:pPr>
        <w:ind w:right="320" w:firstLine="1263"/>
        <w:spacing w:after="0" w:line="239" w:lineRule="auto"/>
        <w:rPr>
          <w:sz w:val="20"/>
          <w:szCs w:val="20"/>
          <w:color w:val="auto"/>
        </w:rPr>
      </w:pPr>
      <w:r>
        <w:rPr>
          <w:rFonts w:ascii="Times New Roman" w:cs="Times New Roman" w:eastAsia="Times New Roman" w:hAnsi="Times New Roman"/>
          <w:sz w:val="19"/>
          <w:szCs w:val="19"/>
          <w:color w:val="auto"/>
        </w:rPr>
        <w:t>NOW THEREFORE, in consideration of the foregoing and for other good and valuable consideration, the receipt of which is hereby acknowledged the Issuer, the Guarantors and the Trustee mutually covenant and agree as follows:</w:t>
      </w:r>
    </w:p>
    <w:p>
      <w:pPr>
        <w:spacing w:after="0" w:line="157" w:lineRule="exact"/>
        <w:rPr>
          <w:sz w:val="20"/>
          <w:szCs w:val="20"/>
          <w:color w:val="auto"/>
        </w:rPr>
      </w:pPr>
    </w:p>
    <w:p>
      <w:pPr>
        <w:ind w:right="20" w:firstLine="637"/>
        <w:spacing w:after="0" w:line="231" w:lineRule="auto"/>
        <w:tabs>
          <w:tab w:leader="none" w:pos="1263"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Capitalized terms used herein without definition shall have the meanings assigned to them in the Base Indenture. The words “herein,” “hereof” and “hereby” and other words of similar import used in this Supplemental Indenture refer to this Supplemental Indenture as a whole and not to any particular section hereof.</w:t>
      </w:r>
    </w:p>
    <w:p>
      <w:pPr>
        <w:sectPr>
          <w:pgSz w:w="11900" w:h="16838" w:orient="portrait"/>
          <w:cols w:equalWidth="0" w:num="1">
            <w:col w:w="11240"/>
          </w:cols>
          <w:pgMar w:left="320" w:top="1371" w:right="339" w:bottom="1440" w:gutter="0" w:footer="0" w:header="0"/>
        </w:sectPr>
      </w:pPr>
    </w:p>
    <w:bookmarkStart w:id="5" w:name="page6"/>
    <w:bookmarkEnd w:id="5"/>
    <w:p>
      <w:pPr>
        <w:ind w:firstLine="637"/>
        <w:spacing w:after="0" w:line="253" w:lineRule="auto"/>
        <w:tabs>
          <w:tab w:leader="none" w:pos="126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Amount of New Notes</w:t>
      </w:r>
      <w:r>
        <w:rPr>
          <w:rFonts w:ascii="Times New Roman" w:cs="Times New Roman" w:eastAsia="Times New Roman" w:hAnsi="Times New Roman"/>
          <w:sz w:val="19"/>
          <w:szCs w:val="19"/>
          <w:color w:val="auto"/>
        </w:rPr>
        <w:t>. The aggregate principal amount of New Notes to be authenticated and delivered under this Supplemental Indenture on February 23, 2024 is $400,000,000.</w:t>
      </w:r>
    </w:p>
    <w:p>
      <w:pPr>
        <w:spacing w:after="0" w:line="157" w:lineRule="exact"/>
        <w:rPr>
          <w:rFonts w:ascii="Times New Roman" w:cs="Times New Roman" w:eastAsia="Times New Roman" w:hAnsi="Times New Roman"/>
          <w:sz w:val="19"/>
          <w:szCs w:val="19"/>
          <w:color w:val="auto"/>
        </w:rPr>
      </w:pPr>
    </w:p>
    <w:p>
      <w:pPr>
        <w:ind w:left="1260" w:hanging="623"/>
        <w:spacing w:after="0"/>
        <w:tabs>
          <w:tab w:leader="none" w:pos="12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Terms of New Notes</w:t>
      </w:r>
      <w:r>
        <w:rPr>
          <w:rFonts w:ascii="Times New Roman" w:cs="Times New Roman" w:eastAsia="Times New Roman" w:hAnsi="Times New Roman"/>
          <w:sz w:val="19"/>
          <w:szCs w:val="19"/>
          <w:color w:val="auto"/>
        </w:rPr>
        <w:t>. The New Notes are to be issued as Additional Notes under the Indenture and shall:</w:t>
      </w:r>
    </w:p>
    <w:p>
      <w:pPr>
        <w:spacing w:after="0" w:line="215" w:lineRule="exact"/>
        <w:rPr>
          <w:rFonts w:ascii="Times New Roman" w:cs="Times New Roman" w:eastAsia="Times New Roman" w:hAnsi="Times New Roman"/>
          <w:sz w:val="19"/>
          <w:szCs w:val="19"/>
          <w:color w:val="auto"/>
        </w:rPr>
      </w:pPr>
    </w:p>
    <w:p>
      <w:pPr>
        <w:ind w:left="1580" w:hanging="312"/>
        <w:spacing w:after="0" w:line="231" w:lineRule="auto"/>
        <w:tabs>
          <w:tab w:leader="none" w:pos="1569"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 issued as part of the existing series of Existing Notes under the Indenture, and the New Notes and the Existing Notes shall be a single class for all purposes under the Indenture, including, without limitation, with respect to waivers, amendments, redemptions and offers to purchase;</w:t>
      </w:r>
    </w:p>
    <w:p>
      <w:pPr>
        <w:spacing w:after="0" w:line="184" w:lineRule="exact"/>
        <w:rPr>
          <w:rFonts w:ascii="Times New Roman" w:cs="Times New Roman" w:eastAsia="Times New Roman" w:hAnsi="Times New Roman"/>
          <w:sz w:val="19"/>
          <w:szCs w:val="19"/>
          <w:color w:val="auto"/>
        </w:rPr>
      </w:pPr>
    </w:p>
    <w:p>
      <w:pPr>
        <w:ind w:left="1580" w:right="20" w:hanging="312"/>
        <w:spacing w:after="0" w:line="253" w:lineRule="auto"/>
        <w:tabs>
          <w:tab w:leader="none" w:pos="1580"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 issued on February 23, 2024 at a purchase price of 103.000% of the principal amount plus accrued interest from February 15, 2024;</w:t>
      </w:r>
    </w:p>
    <w:p>
      <w:pPr>
        <w:spacing w:after="0" w:line="157" w:lineRule="exact"/>
        <w:rPr>
          <w:rFonts w:ascii="Times New Roman" w:cs="Times New Roman" w:eastAsia="Times New Roman" w:hAnsi="Times New Roman"/>
          <w:sz w:val="19"/>
          <w:szCs w:val="19"/>
          <w:color w:val="auto"/>
        </w:rPr>
      </w:pPr>
    </w:p>
    <w:p>
      <w:pPr>
        <w:ind w:left="1580" w:right="440" w:hanging="312"/>
        <w:spacing w:after="0" w:line="253" w:lineRule="auto"/>
        <w:tabs>
          <w:tab w:leader="none" w:pos="1569"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 issuable in whole in the form of one or more Global Notes to be held by DTC and in the form, including appropriate transfer restriction legends, provided in Exhibit A to the Base Indenture;</w:t>
      </w:r>
    </w:p>
    <w:p>
      <w:pPr>
        <w:spacing w:after="0" w:line="170" w:lineRule="exact"/>
        <w:rPr>
          <w:rFonts w:ascii="Times New Roman" w:cs="Times New Roman" w:eastAsia="Times New Roman" w:hAnsi="Times New Roman"/>
          <w:sz w:val="19"/>
          <w:szCs w:val="19"/>
          <w:color w:val="auto"/>
        </w:rPr>
      </w:pPr>
    </w:p>
    <w:p>
      <w:pPr>
        <w:ind w:left="1580" w:right="240" w:hanging="312"/>
        <w:spacing w:after="0" w:line="239" w:lineRule="auto"/>
        <w:tabs>
          <w:tab w:leader="none" w:pos="1580"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initially bear, in the case of New Notes sold under Regulation S of the Securities Act, the CUSIP number of U98354 AD2 and ISIN of USU98354AD20; and</w:t>
      </w:r>
    </w:p>
    <w:p>
      <w:pPr>
        <w:spacing w:after="0" w:line="157" w:lineRule="exact"/>
        <w:rPr>
          <w:rFonts w:ascii="Times New Roman" w:cs="Times New Roman" w:eastAsia="Times New Roman" w:hAnsi="Times New Roman"/>
          <w:sz w:val="19"/>
          <w:szCs w:val="19"/>
          <w:color w:val="auto"/>
        </w:rPr>
      </w:pPr>
    </w:p>
    <w:p>
      <w:pPr>
        <w:ind w:left="1580" w:right="660" w:hanging="312"/>
        <w:spacing w:after="0" w:line="253" w:lineRule="auto"/>
        <w:tabs>
          <w:tab w:leader="none" w:pos="1569"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bear, in the case of New Notes sold under Rule 144A of the Securities Act, the same CUSIP number and ISIN as the Existing Notes that are Rule 144A Notes.</w:t>
      </w:r>
    </w:p>
    <w:p>
      <w:pPr>
        <w:spacing w:after="0" w:line="131" w:lineRule="exact"/>
        <w:rPr>
          <w:rFonts w:ascii="Times New Roman" w:cs="Times New Roman" w:eastAsia="Times New Roman" w:hAnsi="Times New Roman"/>
          <w:sz w:val="19"/>
          <w:szCs w:val="19"/>
          <w:color w:val="auto"/>
        </w:rPr>
      </w:pPr>
    </w:p>
    <w:p>
      <w:pPr>
        <w:ind w:left="1260" w:hanging="623"/>
        <w:spacing w:after="0"/>
        <w:tabs>
          <w:tab w:leader="none" w:pos="12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Amendments to the Indenture</w:t>
      </w:r>
    </w:p>
    <w:p>
      <w:pPr>
        <w:ind w:right="300" w:firstLine="1268"/>
        <w:spacing w:after="0" w:line="234" w:lineRule="auto"/>
        <w:tabs>
          <w:tab w:leader="none" w:pos="1884"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definition of “Revolving Credit Facility” under Section 1.01 of the Indenture is hereby deleted in its entirety and replaced with the following:</w:t>
      </w:r>
    </w:p>
    <w:p>
      <w:pPr>
        <w:spacing w:after="0" w:line="142" w:lineRule="exact"/>
        <w:rPr>
          <w:sz w:val="20"/>
          <w:szCs w:val="20"/>
          <w:color w:val="auto"/>
        </w:rPr>
      </w:pPr>
    </w:p>
    <w:p>
      <w:pPr>
        <w:ind w:left="1260" w:right="16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Revolving Credit Facility</w:t>
      </w:r>
      <w:r>
        <w:rPr>
          <w:rFonts w:ascii="Times New Roman" w:cs="Times New Roman" w:eastAsia="Times New Roman" w:hAnsi="Times New Roman"/>
          <w:sz w:val="19"/>
          <w:szCs w:val="19"/>
          <w:color w:val="auto"/>
        </w:rPr>
        <w:t>” means the first lien revolving credit facility, as amended, in an aggregate principal amount of up to $750.0 million entered into on September 20, 2019 by Wynn Resorts Finance.”</w:t>
      </w:r>
    </w:p>
    <w:p>
      <w:pPr>
        <w:spacing w:after="0" w:line="130" w:lineRule="exact"/>
        <w:rPr>
          <w:sz w:val="20"/>
          <w:szCs w:val="20"/>
          <w:color w:val="auto"/>
        </w:rPr>
      </w:pPr>
    </w:p>
    <w:p>
      <w:pPr>
        <w:ind w:left="1900" w:hanging="632"/>
        <w:spacing w:after="0"/>
        <w:tabs>
          <w:tab w:leader="none" w:pos="19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definition of “Term Facility” under Section 1.01 of the Indenture is hereby deleted in its entirety and replaced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w:t>
      </w:r>
    </w:p>
    <w:p>
      <w:pPr>
        <w:spacing w:after="0" w:line="165" w:lineRule="exact"/>
        <w:rPr>
          <w:sz w:val="20"/>
          <w:szCs w:val="20"/>
          <w:color w:val="auto"/>
        </w:rPr>
      </w:pPr>
    </w:p>
    <w:p>
      <w:pPr>
        <w:ind w:left="1260" w:right="200"/>
        <w:spacing w:after="0" w:line="24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Term Facility</w:t>
      </w:r>
      <w:r>
        <w:rPr>
          <w:rFonts w:ascii="Times New Roman" w:cs="Times New Roman" w:eastAsia="Times New Roman" w:hAnsi="Times New Roman"/>
          <w:sz w:val="19"/>
          <w:szCs w:val="19"/>
          <w:color w:val="auto"/>
        </w:rPr>
        <w:t>” means the first lien term loan A facility, as amended, in an aggregate principal amount of up to $825.0 million entered into on September 20, 2019 by Wynn Resorts Finance.”</w:t>
      </w:r>
    </w:p>
    <w:p>
      <w:pPr>
        <w:spacing w:after="0" w:line="155" w:lineRule="exact"/>
        <w:rPr>
          <w:sz w:val="20"/>
          <w:szCs w:val="20"/>
          <w:color w:val="auto"/>
        </w:rPr>
      </w:pPr>
    </w:p>
    <w:p>
      <w:pPr>
        <w:ind w:left="1880" w:hanging="612"/>
        <w:spacing w:after="0"/>
        <w:tabs>
          <w:tab w:leader="none" w:pos="188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definitions of “2023 LV Notes” and “2025 WRF Notes” under Section 1.01 and any references thereto are deleted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their entirety.</w:t>
      </w:r>
    </w:p>
    <w:p>
      <w:pPr>
        <w:spacing w:after="0" w:line="181" w:lineRule="exact"/>
        <w:rPr>
          <w:sz w:val="20"/>
          <w:szCs w:val="20"/>
          <w:color w:val="auto"/>
        </w:rPr>
      </w:pPr>
    </w:p>
    <w:p>
      <w:pPr>
        <w:ind w:firstLine="637"/>
        <w:spacing w:after="0" w:line="228" w:lineRule="auto"/>
        <w:tabs>
          <w:tab w:leader="none" w:pos="1263"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Ratification of Base Indenture; Supplemental Indenture; Part of Indenture</w:t>
      </w:r>
      <w:r>
        <w:rPr>
          <w:rFonts w:ascii="Times New Roman" w:cs="Times New Roman" w:eastAsia="Times New Roman" w:hAnsi="Times New Roman"/>
          <w:sz w:val="19"/>
          <w:szCs w:val="19"/>
          <w:color w:val="auto"/>
        </w:rPr>
        <w:t>. The Base Indenture is in all respects ratified and confirmed and all the terms, conditions and provisions thereof shall remain in full force and effect. This Supplemental Indenture shall form a part of the Base Indenture for all purposes, and every Holder of a Note or New Note heretofore or hereafter authenticated and delivered shall be bound hereby.</w:t>
      </w:r>
    </w:p>
    <w:p>
      <w:pPr>
        <w:spacing w:after="0" w:line="183" w:lineRule="exact"/>
        <w:rPr>
          <w:rFonts w:ascii="Times New Roman" w:cs="Times New Roman" w:eastAsia="Times New Roman" w:hAnsi="Times New Roman"/>
          <w:sz w:val="19"/>
          <w:szCs w:val="19"/>
          <w:color w:val="auto"/>
        </w:rPr>
      </w:pPr>
    </w:p>
    <w:p>
      <w:pPr>
        <w:ind w:right="100" w:firstLine="637"/>
        <w:spacing w:after="0" w:line="231" w:lineRule="auto"/>
        <w:tabs>
          <w:tab w:leader="none" w:pos="1263"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SUPPLEMENTAL INDENTURE SHALL BE GOVERNED BY AND CONSTRUED IN ACCORDANCE WITH THE LAWS OF THE STATE OF NEW YORK, INCLUDING, WITHOUT LIMITATION, SECTION 5-1401 OF THE NEW YORK OBLIGATIONS LAW.</w:t>
      </w:r>
    </w:p>
    <w:p>
      <w:pPr>
        <w:spacing w:after="0" w:line="184" w:lineRule="exact"/>
        <w:rPr>
          <w:rFonts w:ascii="Times New Roman" w:cs="Times New Roman" w:eastAsia="Times New Roman" w:hAnsi="Times New Roman"/>
          <w:sz w:val="19"/>
          <w:szCs w:val="19"/>
          <w:color w:val="auto"/>
        </w:rPr>
      </w:pPr>
    </w:p>
    <w:p>
      <w:pPr>
        <w:jc w:val="both"/>
        <w:ind w:right="40" w:firstLine="637"/>
        <w:spacing w:after="0" w:line="231" w:lineRule="auto"/>
        <w:tabs>
          <w:tab w:leader="none" w:pos="1263"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Trustee’s Assumption; Trustee Makes No Representation</w:t>
      </w:r>
      <w:r>
        <w:rPr>
          <w:rFonts w:ascii="Times New Roman" w:cs="Times New Roman" w:eastAsia="Times New Roman" w:hAnsi="Times New Roman"/>
          <w:sz w:val="19"/>
          <w:szCs w:val="19"/>
          <w:color w:val="auto"/>
        </w:rPr>
        <w:t>. The Trustee assumes no duties, responsibilities or liabilities under this Supplemental Indenture other than as set forth in the Base Indenture. The Trustee makes no representation as to the validity or sufficiency of this Supplemental</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20"/>
          </w:cols>
          <w:pgMar w:left="320" w:top="1367" w:right="359" w:bottom="1440" w:gutter="0" w:footer="0" w:header="0"/>
        </w:sectPr>
      </w:pPr>
    </w:p>
    <w:bookmarkStart w:id="6" w:name="page7"/>
    <w:bookmarkEnd w:id="6"/>
    <w:p>
      <w:pPr>
        <w:ind w:right="460"/>
        <w:spacing w:after="0" w:line="253" w:lineRule="auto"/>
        <w:rPr>
          <w:sz w:val="20"/>
          <w:szCs w:val="20"/>
          <w:color w:val="auto"/>
        </w:rPr>
      </w:pPr>
      <w:r>
        <w:rPr>
          <w:rFonts w:ascii="Times New Roman" w:cs="Times New Roman" w:eastAsia="Times New Roman" w:hAnsi="Times New Roman"/>
          <w:sz w:val="19"/>
          <w:szCs w:val="19"/>
          <w:color w:val="auto"/>
        </w:rPr>
        <w:t>Indenture. The Trustee shall not be responsible for any statement or recital herein or any statement or recital contained in any document in connection with the sale of the New Notes.</w:t>
      </w:r>
    </w:p>
    <w:p>
      <w:pPr>
        <w:spacing w:after="0" w:line="158" w:lineRule="exact"/>
        <w:rPr>
          <w:sz w:val="20"/>
          <w:szCs w:val="20"/>
          <w:color w:val="auto"/>
        </w:rPr>
      </w:pPr>
    </w:p>
    <w:p>
      <w:pPr>
        <w:ind w:firstLine="637"/>
        <w:spacing w:after="0" w:line="253" w:lineRule="auto"/>
        <w:tabs>
          <w:tab w:leader="none" w:pos="1263"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The parties may sign any number of copies of this Supplemental Indenture. Each signed copy shall be an original, but all of them together represent the same agreement.</w:t>
      </w:r>
    </w:p>
    <w:p>
      <w:pPr>
        <w:spacing w:after="0" w:line="170" w:lineRule="exact"/>
        <w:rPr>
          <w:rFonts w:ascii="Times New Roman" w:cs="Times New Roman" w:eastAsia="Times New Roman" w:hAnsi="Times New Roman"/>
          <w:sz w:val="19"/>
          <w:szCs w:val="19"/>
          <w:color w:val="auto"/>
        </w:rPr>
      </w:pPr>
    </w:p>
    <w:p>
      <w:pPr>
        <w:ind w:right="260" w:firstLine="637"/>
        <w:spacing w:after="0" w:line="239" w:lineRule="auto"/>
        <w:tabs>
          <w:tab w:leader="none" w:pos="1263"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 of Headings</w:t>
      </w:r>
      <w:r>
        <w:rPr>
          <w:rFonts w:ascii="Times New Roman" w:cs="Times New Roman" w:eastAsia="Times New Roman" w:hAnsi="Times New Roman"/>
          <w:sz w:val="19"/>
          <w:szCs w:val="19"/>
          <w:color w:val="auto"/>
        </w:rPr>
        <w:t>. The Section headings herein are for convenience of reference only, are not to be considered a part of this Supplemental Indenture and shall in no way modify or restrict any of the terms or provisions hereof.</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140"/>
          </w:cols>
          <w:pgMar w:left="320" w:top="1367" w:right="439" w:bottom="1440" w:gutter="0" w:footer="0" w:header="0"/>
        </w:sectPr>
      </w:pPr>
    </w:p>
    <w:bookmarkStart w:id="7" w:name="page8"/>
    <w:bookmarkEnd w:id="7"/>
    <w:p>
      <w:pPr>
        <w:spacing w:after="0" w:line="33" w:lineRule="exact"/>
        <w:rPr>
          <w:sz w:val="20"/>
          <w:szCs w:val="20"/>
          <w:color w:val="auto"/>
        </w:rPr>
      </w:pPr>
    </w:p>
    <w:p>
      <w:pPr>
        <w:ind w:firstLine="632"/>
        <w:spacing w:after="0" w:line="253" w:lineRule="auto"/>
        <w:rPr>
          <w:sz w:val="20"/>
          <w:szCs w:val="20"/>
          <w:color w:val="auto"/>
        </w:rPr>
      </w:pPr>
      <w:r>
        <w:rPr>
          <w:rFonts w:ascii="Times New Roman" w:cs="Times New Roman" w:eastAsia="Times New Roman" w:hAnsi="Times New Roman"/>
          <w:sz w:val="19"/>
          <w:szCs w:val="19"/>
          <w:color w:val="auto"/>
        </w:rPr>
        <w:t>If the foregoing is in accordance with your understanding, please indicate your acceptance of this Agreement by signing in the space provided below.</w:t>
      </w:r>
    </w:p>
    <w:p>
      <w:pPr>
        <w:spacing w:after="0" w:line="12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282828"/>
        </w:rPr>
        <w:t>Very truly yours,</w:t>
      </w:r>
    </w:p>
    <w:p>
      <w:pPr>
        <w:spacing w:after="0" w:line="22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b w:val="1"/>
          <w:bCs w:val="1"/>
          <w:color w:val="auto"/>
        </w:rPr>
        <w:t>ISSUERS:</w:t>
      </w:r>
    </w:p>
    <w:p>
      <w:pPr>
        <w:spacing w:after="0" w:line="200" w:lineRule="exact"/>
        <w:rPr>
          <w:sz w:val="20"/>
          <w:szCs w:val="20"/>
          <w:color w:val="auto"/>
        </w:rPr>
      </w:pPr>
    </w:p>
    <w:p>
      <w:pPr>
        <w:spacing w:after="0" w:line="25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b w:val="1"/>
          <w:bCs w:val="1"/>
          <w:color w:val="auto"/>
        </w:rPr>
        <w:t>WYNN RESORTS FINANCE, LLC</w:t>
      </w:r>
    </w:p>
    <w:p>
      <w:pPr>
        <w:spacing w:after="0" w:line="200" w:lineRule="exact"/>
        <w:rPr>
          <w:sz w:val="20"/>
          <w:szCs w:val="20"/>
          <w:color w:val="auto"/>
        </w:rPr>
      </w:pPr>
    </w:p>
    <w:p>
      <w:pPr>
        <w:spacing w:after="0" w:line="24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By: /s/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-6350</wp:posOffset>
            </wp:positionV>
            <wp:extent cx="13468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3800"/>
        <w:spacing w:after="0" w:line="217" w:lineRule="auto"/>
        <w:rPr>
          <w:sz w:val="20"/>
          <w:szCs w:val="20"/>
          <w:color w:val="auto"/>
        </w:rPr>
      </w:pPr>
      <w:r>
        <w:rPr>
          <w:rFonts w:ascii="Times New Roman" w:cs="Times New Roman" w:eastAsia="Times New Roman" w:hAnsi="Times New Roman"/>
          <w:sz w:val="19"/>
          <w:szCs w:val="19"/>
          <w:color w:val="auto"/>
        </w:rPr>
        <w:t>Name: Julie Cameron-Doe</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b w:val="1"/>
          <w:bCs w:val="1"/>
          <w:color w:val="auto"/>
        </w:rPr>
        <w:t>WYNN RESORTS CAPITAL CORP.</w:t>
      </w:r>
    </w:p>
    <w:p>
      <w:pPr>
        <w:spacing w:after="0" w:line="200" w:lineRule="exact"/>
        <w:rPr>
          <w:sz w:val="20"/>
          <w:szCs w:val="20"/>
          <w:color w:val="auto"/>
        </w:rPr>
      </w:pPr>
    </w:p>
    <w:p>
      <w:pPr>
        <w:spacing w:after="0" w:line="25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By: /s/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-6350</wp:posOffset>
            </wp:positionV>
            <wp:extent cx="13468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3800"/>
        <w:spacing w:after="0" w:line="203" w:lineRule="auto"/>
        <w:rPr>
          <w:sz w:val="20"/>
          <w:szCs w:val="20"/>
          <w:color w:val="auto"/>
        </w:rPr>
      </w:pPr>
      <w:r>
        <w:rPr>
          <w:rFonts w:ascii="Times New Roman" w:cs="Times New Roman" w:eastAsia="Times New Roman" w:hAnsi="Times New Roman"/>
          <w:sz w:val="19"/>
          <w:szCs w:val="19"/>
          <w:color w:val="auto"/>
        </w:rPr>
        <w:t>Name: Julie Cameron-Doe</w:t>
      </w:r>
    </w:p>
    <w:p>
      <w:pPr>
        <w:ind w:left="3800"/>
        <w:spacing w:after="0"/>
        <w:rPr>
          <w:sz w:val="20"/>
          <w:szCs w:val="20"/>
          <w:color w:val="auto"/>
        </w:rPr>
      </w:pPr>
      <w:r>
        <w:rPr>
          <w:rFonts w:ascii="Times New Roman" w:cs="Times New Roman" w:eastAsia="Times New Roman" w:hAnsi="Times New Roman"/>
          <w:sz w:val="19"/>
          <w:szCs w:val="19"/>
          <w:color w:val="auto"/>
        </w:rPr>
        <w:t>Title: Treasurer</w:t>
      </w:r>
    </w:p>
    <w:p>
      <w:pPr>
        <w:sectPr>
          <w:pgSz w:w="11900" w:h="16838" w:orient="portrait"/>
          <w:cols w:equalWidth="0" w:num="1">
            <w:col w:w="10860"/>
          </w:cols>
          <w:pgMar w:left="320" w:top="1440"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Supplemental Indenture</w:t>
      </w:r>
      <w:r>
        <w:rPr>
          <w:rFonts w:ascii="Times New Roman" w:cs="Times New Roman" w:eastAsia="Times New Roman" w:hAnsi="Times New Roman"/>
          <w:sz w:val="19"/>
          <w:szCs w:val="19"/>
          <w:color w:val="auto"/>
        </w:rPr>
        <w:t>]</w:t>
      </w:r>
    </w:p>
    <w:p>
      <w:pPr>
        <w:sectPr>
          <w:pgSz w:w="11900" w:h="16838" w:orient="portrait"/>
          <w:cols w:equalWidth="0" w:num="1">
            <w:col w:w="10860"/>
          </w:cols>
          <w:pgMar w:left="320" w:top="1440" w:right="719" w:bottom="1440" w:gutter="0" w:footer="0" w:header="0"/>
          <w:type w:val="continuous"/>
        </w:sectPr>
      </w:pPr>
    </w:p>
    <w:bookmarkStart w:id="8" w:name="page9"/>
    <w:bookmarkEnd w:id="8"/>
    <w:p>
      <w:pPr>
        <w:ind w:left="2680"/>
        <w:spacing w:after="0"/>
        <w:rPr>
          <w:sz w:val="20"/>
          <w:szCs w:val="20"/>
          <w:color w:val="auto"/>
        </w:rPr>
      </w:pPr>
      <w:r>
        <w:rPr>
          <w:rFonts w:ascii="Times New Roman" w:cs="Times New Roman" w:eastAsia="Times New Roman" w:hAnsi="Times New Roman"/>
          <w:sz w:val="19"/>
          <w:szCs w:val="19"/>
          <w:b w:val="1"/>
          <w:bCs w:val="1"/>
          <w:color w:val="auto"/>
        </w:rPr>
        <w:t>GUARANTORS:</w:t>
      </w:r>
    </w:p>
    <w:p>
      <w:pPr>
        <w:spacing w:after="0" w:line="18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EBH HOLDINGS, LLC</w:t>
      </w:r>
    </w:p>
    <w:p>
      <w:pPr>
        <w:ind w:left="2680"/>
        <w:spacing w:after="0" w:line="216" w:lineRule="auto"/>
        <w:rPr>
          <w:sz w:val="20"/>
          <w:szCs w:val="20"/>
          <w:color w:val="auto"/>
        </w:rPr>
      </w:pPr>
      <w:r>
        <w:rPr>
          <w:rFonts w:ascii="Times New Roman" w:cs="Times New Roman" w:eastAsia="Times New Roman" w:hAnsi="Times New Roman"/>
          <w:sz w:val="19"/>
          <w:szCs w:val="19"/>
          <w:b w:val="1"/>
          <w:bCs w:val="1"/>
          <w:color w:val="auto"/>
        </w:rPr>
        <w:t>EVERETT PROPERTY, LLC</w:t>
      </w:r>
    </w:p>
    <w:p>
      <w:pPr>
        <w:ind w:left="2680"/>
        <w:spacing w:after="0" w:line="217" w:lineRule="auto"/>
        <w:rPr>
          <w:sz w:val="20"/>
          <w:szCs w:val="20"/>
          <w:color w:val="auto"/>
        </w:rPr>
      </w:pPr>
      <w:r>
        <w:rPr>
          <w:rFonts w:ascii="Times New Roman" w:cs="Times New Roman" w:eastAsia="Times New Roman" w:hAnsi="Times New Roman"/>
          <w:sz w:val="19"/>
          <w:szCs w:val="19"/>
          <w:b w:val="1"/>
          <w:bCs w:val="1"/>
          <w:color w:val="auto"/>
        </w:rPr>
        <w:t>WYNN AMERICA GROUP, LLC</w:t>
      </w:r>
    </w:p>
    <w:p>
      <w:pPr>
        <w:ind w:left="2680"/>
        <w:spacing w:after="0" w:line="203" w:lineRule="auto"/>
        <w:rPr>
          <w:sz w:val="20"/>
          <w:szCs w:val="20"/>
          <w:color w:val="auto"/>
        </w:rPr>
      </w:pPr>
      <w:r>
        <w:rPr>
          <w:rFonts w:ascii="Times New Roman" w:cs="Times New Roman" w:eastAsia="Times New Roman" w:hAnsi="Times New Roman"/>
          <w:sz w:val="19"/>
          <w:szCs w:val="19"/>
          <w:b w:val="1"/>
          <w:bCs w:val="1"/>
          <w:color w:val="auto"/>
        </w:rPr>
        <w:t>WYNN GROUP ASIA, INC.</w:t>
      </w:r>
    </w:p>
    <w:p>
      <w:pPr>
        <w:ind w:left="2680"/>
        <w:spacing w:after="0" w:line="216" w:lineRule="auto"/>
        <w:rPr>
          <w:sz w:val="20"/>
          <w:szCs w:val="20"/>
          <w:color w:val="auto"/>
        </w:rPr>
      </w:pPr>
      <w:r>
        <w:rPr>
          <w:rFonts w:ascii="Times New Roman" w:cs="Times New Roman" w:eastAsia="Times New Roman" w:hAnsi="Times New Roman"/>
          <w:sz w:val="19"/>
          <w:szCs w:val="19"/>
          <w:b w:val="1"/>
          <w:bCs w:val="1"/>
          <w:color w:val="auto"/>
        </w:rPr>
        <w:t>WYNN LAS VEGAS HOLDINGS, LLC</w:t>
      </w:r>
    </w:p>
    <w:p>
      <w:pPr>
        <w:spacing w:after="0" w:line="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WYNN LAS VEGAS CAPITAL CORP.</w:t>
      </w:r>
    </w:p>
    <w:p>
      <w:pPr>
        <w:spacing w:after="0" w:line="200" w:lineRule="exact"/>
        <w:rPr>
          <w:sz w:val="20"/>
          <w:szCs w:val="20"/>
          <w:color w:val="auto"/>
        </w:rPr>
      </w:pPr>
    </w:p>
    <w:p>
      <w:pPr>
        <w:spacing w:after="0" w:line="21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/s/ Julie Cameron-Doe</w:t>
      </w:r>
    </w:p>
    <w:p>
      <w:pPr>
        <w:ind w:left="2680"/>
        <w:spacing w:after="0" w:line="216" w:lineRule="auto"/>
        <w:rPr>
          <w:sz w:val="20"/>
          <w:szCs w:val="20"/>
          <w:color w:val="auto"/>
        </w:rPr>
      </w:pPr>
      <w:r>
        <w:rPr>
          <w:rFonts w:ascii="Times New Roman" w:cs="Times New Roman" w:eastAsia="Times New Roman" w:hAnsi="Times New Roman"/>
          <w:sz w:val="19"/>
          <w:szCs w:val="19"/>
          <w:color w:val="auto"/>
        </w:rPr>
        <w:t>Name: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-123825</wp:posOffset>
            </wp:positionV>
            <wp:extent cx="13468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2680"/>
        <w:spacing w:after="0"/>
        <w:rPr>
          <w:sz w:val="20"/>
          <w:szCs w:val="20"/>
          <w:color w:val="auto"/>
        </w:rPr>
      </w:pPr>
      <w:r>
        <w:rPr>
          <w:rFonts w:ascii="Times New Roman" w:cs="Times New Roman" w:eastAsia="Times New Roman" w:hAnsi="Times New Roman"/>
          <w:sz w:val="19"/>
          <w:szCs w:val="19"/>
          <w:color w:val="auto"/>
        </w:rPr>
        <w:t>Title: Treasurer</w:t>
      </w:r>
    </w:p>
    <w:p>
      <w:pPr>
        <w:spacing w:after="0" w:line="200" w:lineRule="exact"/>
        <w:rPr>
          <w:sz w:val="20"/>
          <w:szCs w:val="20"/>
          <w:color w:val="auto"/>
        </w:rPr>
      </w:pPr>
    </w:p>
    <w:p>
      <w:pPr>
        <w:spacing w:after="0" w:line="22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WYNN LAS VEGAS, LLC</w:t>
      </w:r>
    </w:p>
    <w:p>
      <w:pPr>
        <w:spacing w:after="0" w:line="200" w:lineRule="exact"/>
        <w:rPr>
          <w:sz w:val="20"/>
          <w:szCs w:val="20"/>
          <w:color w:val="auto"/>
        </w:rPr>
      </w:pPr>
    </w:p>
    <w:p>
      <w:pPr>
        <w:spacing w:after="0" w:line="24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/s/ Dean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2852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ind w:left="2680"/>
        <w:spacing w:after="0" w:line="217" w:lineRule="auto"/>
        <w:rPr>
          <w:sz w:val="20"/>
          <w:szCs w:val="20"/>
          <w:color w:val="auto"/>
        </w:rPr>
      </w:pPr>
      <w:r>
        <w:rPr>
          <w:rFonts w:ascii="Times New Roman" w:cs="Times New Roman" w:eastAsia="Times New Roman" w:hAnsi="Times New Roman"/>
          <w:sz w:val="19"/>
          <w:szCs w:val="19"/>
          <w:color w:val="auto"/>
        </w:rPr>
        <w:t>Name: Dean Lawrence</w:t>
      </w:r>
    </w:p>
    <w:p>
      <w:pPr>
        <w:spacing w:after="0" w:line="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Chief Financial Officer and Senior Vice President</w:t>
      </w:r>
    </w:p>
    <w:p>
      <w:pPr>
        <w:spacing w:after="0" w:line="200" w:lineRule="exact"/>
        <w:rPr>
          <w:sz w:val="20"/>
          <w:szCs w:val="20"/>
          <w:color w:val="auto"/>
        </w:rPr>
      </w:pPr>
    </w:p>
    <w:p>
      <w:pPr>
        <w:spacing w:after="0" w:line="2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WYNN MA, LLC</w:t>
      </w:r>
    </w:p>
    <w:p>
      <w:pPr>
        <w:spacing w:after="0" w:line="200" w:lineRule="exact"/>
        <w:rPr>
          <w:sz w:val="20"/>
          <w:szCs w:val="20"/>
          <w:color w:val="auto"/>
        </w:rPr>
      </w:pPr>
    </w:p>
    <w:p>
      <w:pPr>
        <w:spacing w:after="0" w:line="25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/s/ John Santon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115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115695" cy="8255"/>
                    </a:xfrm>
                    <a:prstGeom prst="rect">
                      <a:avLst/>
                    </a:prstGeom>
                    <a:noFill/>
                  </pic:spPr>
                </pic:pic>
              </a:graphicData>
            </a:graphic>
          </wp:anchor>
        </w:drawing>
      </w:r>
    </w:p>
    <w:p>
      <w:pPr>
        <w:ind w:left="2680"/>
        <w:spacing w:after="0" w:line="203" w:lineRule="auto"/>
        <w:rPr>
          <w:sz w:val="20"/>
          <w:szCs w:val="20"/>
          <w:color w:val="auto"/>
        </w:rPr>
      </w:pPr>
      <w:r>
        <w:rPr>
          <w:rFonts w:ascii="Times New Roman" w:cs="Times New Roman" w:eastAsia="Times New Roman" w:hAnsi="Times New Roman"/>
          <w:sz w:val="19"/>
          <w:szCs w:val="19"/>
          <w:color w:val="auto"/>
        </w:rPr>
        <w:t>Name: John Santon</w:t>
      </w:r>
    </w:p>
    <w:p>
      <w:pPr>
        <w:ind w:left="2680"/>
        <w:spacing w:after="0"/>
        <w:rPr>
          <w:sz w:val="20"/>
          <w:szCs w:val="20"/>
          <w:color w:val="auto"/>
        </w:rPr>
      </w:pPr>
      <w:r>
        <w:rPr>
          <w:rFonts w:ascii="Times New Roman" w:cs="Times New Roman" w:eastAsia="Times New Roman" w:hAnsi="Times New Roman"/>
          <w:sz w:val="19"/>
          <w:szCs w:val="19"/>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WYNN SUNRISE, LLC</w:t>
      </w:r>
    </w:p>
    <w:p>
      <w:pPr>
        <w:spacing w:after="0" w:line="20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Las Vegas, LLC its sole member</w:t>
      </w:r>
    </w:p>
    <w:p>
      <w:pPr>
        <w:spacing w:after="0" w:line="21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Las Vegas Holdings, LLC, its sole member</w:t>
      </w:r>
    </w:p>
    <w:p>
      <w:pPr>
        <w:spacing w:after="0" w:line="21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America Group, LLC, its sole member</w:t>
      </w:r>
    </w:p>
    <w:p>
      <w:pPr>
        <w:spacing w:after="0" w:line="203" w:lineRule="exact"/>
        <w:rPr>
          <w:sz w:val="20"/>
          <w:szCs w:val="20"/>
          <w:color w:val="auto"/>
        </w:rPr>
      </w:pPr>
    </w:p>
    <w:p>
      <w:pPr>
        <w:ind w:left="2680"/>
        <w:spacing w:after="0"/>
        <w:tabs>
          <w:tab w:leader="none" w:pos="3120" w:val="left"/>
        </w:tabs>
        <w:rPr>
          <w:sz w:val="20"/>
          <w:szCs w:val="20"/>
          <w:color w:val="auto"/>
        </w:rPr>
      </w:pPr>
      <w:r>
        <w:rPr>
          <w:rFonts w:ascii="Times New Roman" w:cs="Times New Roman" w:eastAsia="Times New Roman" w:hAnsi="Times New Roman"/>
          <w:sz w:val="19"/>
          <w:szCs w:val="19"/>
          <w:color w:val="auto"/>
        </w:rPr>
        <w:t>By:</w:t>
        <w:tab/>
        <w:t>Wynn Resorts Finance, LLC, its sole member</w:t>
      </w:r>
    </w:p>
    <w:p>
      <w:pPr>
        <w:spacing w:after="0" w:line="216" w:lineRule="exact"/>
        <w:rPr>
          <w:sz w:val="20"/>
          <w:szCs w:val="20"/>
          <w:color w:val="auto"/>
        </w:rPr>
      </w:pPr>
    </w:p>
    <w:p>
      <w:pPr>
        <w:ind w:left="2680"/>
        <w:spacing w:after="0"/>
        <w:tabs>
          <w:tab w:leader="none" w:pos="3120" w:val="left"/>
        </w:tabs>
        <w:rPr>
          <w:sz w:val="20"/>
          <w:szCs w:val="20"/>
          <w:color w:val="auto"/>
        </w:rPr>
      </w:pPr>
      <w:r>
        <w:rPr>
          <w:rFonts w:ascii="Times New Roman" w:cs="Times New Roman" w:eastAsia="Times New Roman" w:hAnsi="Times New Roman"/>
          <w:sz w:val="19"/>
          <w:szCs w:val="19"/>
          <w:color w:val="auto"/>
        </w:rPr>
        <w:t>By:</w:t>
        <w:tab/>
        <w:t>Wynn Resorts Holdings, LLC, its sole member</w:t>
      </w:r>
    </w:p>
    <w:p>
      <w:pPr>
        <w:spacing w:after="0" w:line="2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By: Wynn Resorts, Limited, its sole member</w:t>
      </w:r>
    </w:p>
    <w:p>
      <w:pPr>
        <w:spacing w:after="0" w:line="200" w:lineRule="exact"/>
        <w:rPr>
          <w:sz w:val="20"/>
          <w:szCs w:val="20"/>
          <w:color w:val="auto"/>
        </w:rPr>
      </w:pPr>
    </w:p>
    <w:p>
      <w:pPr>
        <w:spacing w:after="0" w:line="23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3468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2680"/>
        <w:spacing w:after="0" w:line="217" w:lineRule="auto"/>
        <w:rPr>
          <w:sz w:val="20"/>
          <w:szCs w:val="20"/>
          <w:color w:val="auto"/>
        </w:rPr>
      </w:pPr>
      <w:r>
        <w:rPr>
          <w:rFonts w:ascii="Times New Roman" w:cs="Times New Roman" w:eastAsia="Times New Roman" w:hAnsi="Times New Roman"/>
          <w:sz w:val="19"/>
          <w:szCs w:val="19"/>
          <w:color w:val="auto"/>
        </w:rPr>
        <w:t>Name: Julie Cameron-Doe</w:t>
      </w:r>
    </w:p>
    <w:p>
      <w:pPr>
        <w:spacing w:after="0" w:line="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Supplemental Indenture</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363" w:right="1440" w:bottom="1440" w:gutter="0" w:footer="0" w:header="0"/>
        </w:sectPr>
      </w:pPr>
    </w:p>
    <w:bookmarkStart w:id="9" w:name="page10"/>
    <w:bookmarkEnd w:id="9"/>
    <w:p>
      <w:pPr>
        <w:spacing w:after="0" w:line="138" w:lineRule="exact"/>
        <w:rPr>
          <w:sz w:val="20"/>
          <w:szCs w:val="20"/>
          <w:color w:val="auto"/>
        </w:rPr>
      </w:pPr>
    </w:p>
    <w:p>
      <w:pPr>
        <w:ind w:left="2840" w:right="1359" w:hanging="176"/>
        <w:spacing w:after="0" w:line="253" w:lineRule="auto"/>
        <w:rPr>
          <w:sz w:val="20"/>
          <w:szCs w:val="20"/>
          <w:color w:val="auto"/>
        </w:rPr>
      </w:pPr>
      <w:r>
        <w:rPr>
          <w:rFonts w:ascii="Times New Roman" w:cs="Times New Roman" w:eastAsia="Times New Roman" w:hAnsi="Times New Roman"/>
          <w:sz w:val="19"/>
          <w:szCs w:val="19"/>
          <w:color w:val="auto"/>
        </w:rPr>
        <w:t>U.S. BANK TRUST COMPANY, NATIONAL ASSOCIATION, as Trustee</w:t>
      </w:r>
    </w:p>
    <w:p>
      <w:pPr>
        <w:spacing w:after="0" w:line="355" w:lineRule="exact"/>
        <w:rPr>
          <w:sz w:val="20"/>
          <w:szCs w:val="20"/>
          <w:color w:val="auto"/>
        </w:rPr>
      </w:pPr>
    </w:p>
    <w:p>
      <w:pPr>
        <w:ind w:left="2680"/>
        <w:spacing w:after="0"/>
        <w:tabs>
          <w:tab w:leader="none" w:pos="3120" w:val="left"/>
        </w:tabs>
        <w:rPr>
          <w:sz w:val="20"/>
          <w:szCs w:val="20"/>
          <w:color w:val="auto"/>
        </w:rPr>
      </w:pPr>
      <w:r>
        <w:rPr>
          <w:rFonts w:ascii="Times New Roman" w:cs="Times New Roman" w:eastAsia="Times New Roman" w:hAnsi="Times New Roman"/>
          <w:sz w:val="19"/>
          <w:szCs w:val="19"/>
          <w:color w:val="auto"/>
        </w:rPr>
        <w:t>By:</w:t>
        <w:tab/>
        <w:t>/s/ Joshua A.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1997710</wp:posOffset>
            </wp:positionH>
            <wp:positionV relativeFrom="paragraph">
              <wp:posOffset>-6350</wp:posOffset>
            </wp:positionV>
            <wp:extent cx="10477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ind w:left="3180"/>
        <w:spacing w:after="0"/>
        <w:rPr>
          <w:sz w:val="20"/>
          <w:szCs w:val="20"/>
          <w:color w:val="auto"/>
        </w:rPr>
      </w:pPr>
      <w:r>
        <w:rPr>
          <w:rFonts w:ascii="Times New Roman" w:cs="Times New Roman" w:eastAsia="Times New Roman" w:hAnsi="Times New Roman"/>
          <w:sz w:val="19"/>
          <w:szCs w:val="19"/>
          <w:color w:val="auto"/>
        </w:rPr>
        <w:t>Name: Joshua A. Hahn</w:t>
      </w:r>
    </w:p>
    <w:p>
      <w:pPr>
        <w:ind w:left="318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Supplemental Indenture</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40" w:right="1440" w:bottom="1440" w:gutter="0" w:footer="0" w:header="0"/>
        </w:sectPr>
      </w:pPr>
    </w:p>
    <w:bookmarkStart w:id="10" w:name="page11"/>
    <w:bookmarkEnd w:id="10"/>
    <w:p>
      <w:pPr>
        <w:jc w:val="right"/>
        <w:ind w:right="4159"/>
        <w:spacing w:after="0"/>
        <w:rPr>
          <w:sz w:val="20"/>
          <w:szCs w:val="20"/>
          <w:color w:val="auto"/>
        </w:rPr>
      </w:pPr>
      <w:r>
        <w:rPr>
          <w:rFonts w:ascii="Times New Roman" w:cs="Times New Roman" w:eastAsia="Times New Roman" w:hAnsi="Times New Roman"/>
          <w:sz w:val="19"/>
          <w:szCs w:val="19"/>
          <w:b w:val="1"/>
          <w:bCs w:val="1"/>
          <w:color w:val="auto"/>
        </w:rPr>
        <w:t>Annex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EBH Holdings, LLC</w:t>
      </w:r>
    </w:p>
    <w:p>
      <w:pPr>
        <w:spacing w:after="0" w:line="203" w:lineRule="auto"/>
        <w:rPr>
          <w:sz w:val="20"/>
          <w:szCs w:val="20"/>
          <w:color w:val="auto"/>
        </w:rPr>
      </w:pPr>
      <w:r>
        <w:rPr>
          <w:rFonts w:ascii="Times New Roman" w:cs="Times New Roman" w:eastAsia="Times New Roman" w:hAnsi="Times New Roman"/>
          <w:sz w:val="19"/>
          <w:szCs w:val="19"/>
          <w:color w:val="auto"/>
        </w:rPr>
        <w:t>Wynn Group Asia, Inc.</w:t>
      </w:r>
    </w:p>
    <w:p>
      <w:pPr>
        <w:spacing w:after="0" w:line="217" w:lineRule="auto"/>
        <w:rPr>
          <w:sz w:val="20"/>
          <w:szCs w:val="20"/>
          <w:color w:val="auto"/>
        </w:rPr>
      </w:pPr>
      <w:r>
        <w:rPr>
          <w:rFonts w:ascii="Times New Roman" w:cs="Times New Roman" w:eastAsia="Times New Roman" w:hAnsi="Times New Roman"/>
          <w:sz w:val="19"/>
          <w:szCs w:val="19"/>
          <w:color w:val="auto"/>
        </w:rPr>
        <w:t>Everett Property, LLC</w:t>
      </w:r>
    </w:p>
    <w:p>
      <w:pPr>
        <w:spacing w:after="0" w:line="217" w:lineRule="auto"/>
        <w:rPr>
          <w:sz w:val="20"/>
          <w:szCs w:val="20"/>
          <w:color w:val="auto"/>
        </w:rPr>
      </w:pPr>
      <w:r>
        <w:rPr>
          <w:rFonts w:ascii="Times New Roman" w:cs="Times New Roman" w:eastAsia="Times New Roman" w:hAnsi="Times New Roman"/>
          <w:sz w:val="19"/>
          <w:szCs w:val="19"/>
          <w:color w:val="auto"/>
        </w:rPr>
        <w:t>Wynn America Group, LLC</w:t>
      </w:r>
    </w:p>
    <w:p>
      <w:pPr>
        <w:spacing w:after="0" w:line="202" w:lineRule="auto"/>
        <w:rPr>
          <w:sz w:val="20"/>
          <w:szCs w:val="20"/>
          <w:color w:val="auto"/>
        </w:rPr>
      </w:pPr>
      <w:r>
        <w:rPr>
          <w:rFonts w:ascii="Times New Roman" w:cs="Times New Roman" w:eastAsia="Times New Roman" w:hAnsi="Times New Roman"/>
          <w:sz w:val="19"/>
          <w:szCs w:val="19"/>
          <w:color w:val="auto"/>
        </w:rPr>
        <w:t>Wynn Las Vegas Holdings, LLC</w:t>
      </w:r>
    </w:p>
    <w:p>
      <w:pPr>
        <w:spacing w:after="0" w:line="217" w:lineRule="auto"/>
        <w:rPr>
          <w:sz w:val="20"/>
          <w:szCs w:val="20"/>
          <w:color w:val="auto"/>
        </w:rPr>
      </w:pPr>
      <w:r>
        <w:rPr>
          <w:rFonts w:ascii="Times New Roman" w:cs="Times New Roman" w:eastAsia="Times New Roman" w:hAnsi="Times New Roman"/>
          <w:sz w:val="19"/>
          <w:szCs w:val="19"/>
          <w:color w:val="auto"/>
        </w:rPr>
        <w:t>Wynn Las Vegas, LLC</w:t>
      </w:r>
    </w:p>
    <w:p>
      <w:pPr>
        <w:spacing w:after="0" w:line="217" w:lineRule="auto"/>
        <w:rPr>
          <w:sz w:val="20"/>
          <w:szCs w:val="20"/>
          <w:color w:val="auto"/>
        </w:rPr>
      </w:pPr>
      <w:r>
        <w:rPr>
          <w:rFonts w:ascii="Times New Roman" w:cs="Times New Roman" w:eastAsia="Times New Roman" w:hAnsi="Times New Roman"/>
          <w:sz w:val="19"/>
          <w:szCs w:val="19"/>
          <w:color w:val="auto"/>
        </w:rPr>
        <w:t>Wynn MA, LLC</w:t>
      </w:r>
    </w:p>
    <w:p>
      <w:pPr>
        <w:spacing w:after="0" w:line="202" w:lineRule="auto"/>
        <w:rPr>
          <w:sz w:val="20"/>
          <w:szCs w:val="20"/>
          <w:color w:val="auto"/>
        </w:rPr>
      </w:pPr>
      <w:r>
        <w:rPr>
          <w:rFonts w:ascii="Times New Roman" w:cs="Times New Roman" w:eastAsia="Times New Roman" w:hAnsi="Times New Roman"/>
          <w:sz w:val="19"/>
          <w:szCs w:val="19"/>
          <w:color w:val="auto"/>
        </w:rPr>
        <w:t>Wynn Sunrise, LLC</w:t>
      </w:r>
    </w:p>
    <w:p>
      <w:pPr>
        <w:spacing w:after="0"/>
        <w:rPr>
          <w:sz w:val="20"/>
          <w:szCs w:val="20"/>
          <w:color w:val="auto"/>
        </w:rPr>
      </w:pPr>
      <w:r>
        <w:rPr>
          <w:rFonts w:ascii="Times New Roman" w:cs="Times New Roman" w:eastAsia="Times New Roman" w:hAnsi="Times New Roman"/>
          <w:sz w:val="19"/>
          <w:szCs w:val="19"/>
          <w:color w:val="auto"/>
        </w:rPr>
        <w:t>Wynn Las Vegas Capital Corp.</w:t>
      </w:r>
    </w:p>
    <w:p>
      <w:pPr>
        <w:sectPr>
          <w:pgSz w:w="11900" w:h="16838" w:orient="portrait"/>
          <w:cols w:equalWidth="0" w:num="1">
            <w:col w:w="10139"/>
          </w:cols>
          <w:pgMar w:left="320" w:top="1376" w:right="1440" w:bottom="1440" w:gutter="0" w:footer="0" w:header="0"/>
        </w:sectPr>
      </w:pPr>
    </w:p>
    <w:bookmarkStart w:id="11" w:name="page12"/>
    <w:bookmarkEnd w:id="11"/>
    <w:p>
      <w:pPr>
        <w:jc w:val="right"/>
        <w:ind w:right="20"/>
        <w:spacing w:after="0"/>
        <w:rPr>
          <w:sz w:val="20"/>
          <w:szCs w:val="20"/>
          <w:color w:val="auto"/>
        </w:rPr>
      </w:pPr>
      <w:r>
        <w:rPr>
          <w:rFonts w:ascii="Times New Roman" w:cs="Times New Roman" w:eastAsia="Times New Roman" w:hAnsi="Times New Roman"/>
          <w:sz w:val="16"/>
          <w:szCs w:val="16"/>
          <w:color w:val="auto"/>
        </w:rPr>
        <w:t>Exhibit 99.1</w:t>
      </w: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Wynn Resorts Announces Early Results of Tender Offer for Cash by Wynn Las Vegas, LLC for its 5.500% Senior Notes due 2025</w:t>
      </w:r>
    </w:p>
    <w:p>
      <w:pPr>
        <w:spacing w:after="0" w:line="242"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LAS VEGAS, February 22, 2024 (BUSINESS WIRE) — Wynn Resorts, Limited (NASDAQ: WYNN) (“Wynn Resorts”) today announced the early results and upsizing of the previously announced tender offer (the “Tender Offer”) by its indirect wholly-owned subsidiary, Wynn Las Vegas, LLC, to purchase a portion of Wynn Las Vegas, LLC and Wynn Las Vegas Capital Corp.’s outstanding 5.500% Senior Notes due 2025 (the “Notes”). The Tender Offer is subject to the terms and conditions set forth in the Offer to Purchase dated February 8, 2024 (the “Offer to Purchase”).</w:t>
      </w:r>
    </w:p>
    <w:p>
      <w:pPr>
        <w:spacing w:after="0" w:line="21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The following table sets forth, among other things, the principal amount of Notes validly tendered and accepted for purchase as of 5:00 p.m., New York City time, on February 22, 2024 (such date, the “Early Tender Date”):</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9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Title of Notes</w:t>
            </w:r>
          </w:p>
        </w:tc>
        <w:tc>
          <w:tcPr>
            <w:tcW w:w="1860" w:type="dxa"/>
            <w:vAlign w:val="bottom"/>
            <w:tcBorders>
              <w:top w:val="single" w:sz="8" w:color="auto"/>
              <w:right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CUSIP Numbers</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Aggregate Principal</w:t>
            </w:r>
          </w:p>
        </w:tc>
        <w:tc>
          <w:tcPr>
            <w:tcW w:w="1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Tender Cap</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Principal Amount Tendered</w:t>
            </w:r>
          </w:p>
        </w:tc>
        <w:tc>
          <w:tcPr>
            <w:tcW w:w="1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Principal Amount</w:t>
            </w:r>
          </w:p>
        </w:tc>
      </w:tr>
      <w:tr>
        <w:trPr>
          <w:trHeight w:val="193"/>
        </w:trPr>
        <w:tc>
          <w:tcPr>
            <w:tcW w:w="1920" w:type="dxa"/>
            <w:vAlign w:val="bottom"/>
            <w:tcBorders>
              <w:left w:val="single" w:sz="8" w:color="auto"/>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Amount Outstanding</w:t>
            </w:r>
          </w:p>
        </w:tc>
        <w:tc>
          <w:tcPr>
            <w:tcW w:w="186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at Early Tender Date</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Accepted for Purchase</w:t>
            </w:r>
          </w:p>
        </w:tc>
      </w:tr>
      <w:tr>
        <w:trPr>
          <w:trHeight w:val="566"/>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r>
      <w:tr>
        <w:trPr>
          <w:trHeight w:val="142"/>
        </w:trPr>
        <w:tc>
          <w:tcPr>
            <w:tcW w:w="1920" w:type="dxa"/>
            <w:vAlign w:val="bottom"/>
            <w:tcBorders>
              <w:left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5.500% Senior Notes due</w:t>
            </w:r>
          </w:p>
        </w:tc>
        <w:tc>
          <w:tcPr>
            <w:tcW w:w="1860" w:type="dxa"/>
            <w:vAlign w:val="bottom"/>
            <w:tcBorders>
              <w:right w:val="single" w:sz="8" w:color="auto"/>
            </w:tcBorders>
          </w:tcPr>
          <w:p>
            <w:pPr>
              <w:jc w:val="right"/>
              <w:ind w:right="490"/>
              <w:spacing w:after="0" w:line="142" w:lineRule="exact"/>
              <w:rPr>
                <w:sz w:val="20"/>
                <w:szCs w:val="20"/>
                <w:color w:val="auto"/>
              </w:rPr>
            </w:pPr>
            <w:r>
              <w:rPr>
                <w:rFonts w:ascii="Arial" w:cs="Arial" w:eastAsia="Arial" w:hAnsi="Arial"/>
                <w:sz w:val="14"/>
                <w:szCs w:val="14"/>
                <w:color w:val="auto"/>
              </w:rPr>
              <w:t>983130 AV7</w:t>
            </w:r>
          </w:p>
        </w:tc>
        <w:tc>
          <w:tcPr>
            <w:tcW w:w="188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$1,400,001,000</w:t>
            </w:r>
          </w:p>
        </w:tc>
        <w:tc>
          <w:tcPr>
            <w:tcW w:w="1860" w:type="dxa"/>
            <w:vAlign w:val="bottom"/>
            <w:tcBorders>
              <w:right w:val="single" w:sz="8" w:color="auto"/>
            </w:tcBorders>
          </w:tcPr>
          <w:p>
            <w:pPr>
              <w:jc w:val="right"/>
              <w:ind w:right="450"/>
              <w:spacing w:after="0" w:line="142" w:lineRule="exact"/>
              <w:rPr>
                <w:sz w:val="20"/>
                <w:szCs w:val="20"/>
                <w:color w:val="auto"/>
              </w:rPr>
            </w:pPr>
            <w:r>
              <w:rPr>
                <w:rFonts w:ascii="Arial" w:cs="Arial" w:eastAsia="Arial" w:hAnsi="Arial"/>
                <w:sz w:val="14"/>
                <w:szCs w:val="14"/>
                <w:color w:val="auto"/>
              </w:rPr>
              <w:t>$800,000,000</w:t>
            </w:r>
          </w:p>
        </w:tc>
        <w:tc>
          <w:tcPr>
            <w:tcW w:w="188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$677,975,000</w:t>
            </w:r>
          </w:p>
        </w:tc>
        <w:tc>
          <w:tcPr>
            <w:tcW w:w="186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$677,975,000</w:t>
            </w:r>
          </w:p>
        </w:tc>
      </w:tr>
      <w:tr>
        <w:trPr>
          <w:trHeight w:val="185"/>
        </w:trPr>
        <w:tc>
          <w:tcPr>
            <w:tcW w:w="1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1860" w:type="dxa"/>
            <w:vAlign w:val="bottom"/>
            <w:tcBorders>
              <w:right w:val="single" w:sz="8" w:color="auto"/>
            </w:tcBorders>
          </w:tcPr>
          <w:p>
            <w:pPr>
              <w:jc w:val="right"/>
              <w:ind w:right="490"/>
              <w:spacing w:after="0"/>
              <w:rPr>
                <w:sz w:val="20"/>
                <w:szCs w:val="20"/>
                <w:color w:val="auto"/>
              </w:rPr>
            </w:pPr>
            <w:r>
              <w:rPr>
                <w:rFonts w:ascii="Arial" w:cs="Arial" w:eastAsia="Arial" w:hAnsi="Arial"/>
                <w:sz w:val="14"/>
                <w:szCs w:val="14"/>
                <w:color w:val="auto"/>
              </w:rPr>
              <w:t>U98347 AK0</w:t>
            </w:r>
          </w:p>
        </w:tc>
        <w:tc>
          <w:tcPr>
            <w:tcW w:w="188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r>
      <w:tr>
        <w:trPr>
          <w:trHeight w:val="785"/>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r>
    </w:tbl>
    <w:p>
      <w:pPr>
        <w:spacing w:after="0" w:line="297"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8"/>
          <w:szCs w:val="18"/>
          <w:color w:val="auto"/>
        </w:rPr>
        <w:t>The Tender Offer is scheduled to expire at 5:00 P.M., New York City time, on March 8, 2024 unless extended or earlier terminated (such date and time, as the same may be extended, the “Expiration Time”). Withdrawal and revocation rights expired at 5:00 p.m., New York City time, on February 22, 2024. Notes that have been tendered may no longer be withdrawn.</w:t>
      </w:r>
    </w:p>
    <w:p>
      <w:pPr>
        <w:spacing w:after="0" w:line="21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All Notes validly tendered (and not validly withdrawn) at or prior to the Early Tender Date and accepted for purchase will be purchased by Wynn Las Vegas, LLC on the “Early Settlement Date,” which is currently expected to occur on February 23, 2024. Payment for the Notes that are purchased will include accrued and unpaid interest from the last interest payment date to, but excluding, the Early Settlement Date.</w:t>
      </w:r>
    </w:p>
    <w:p>
      <w:pPr>
        <w:spacing w:after="0" w:line="19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For Notes that are validly tendered after the Early Tender Date but on or before the Expiration Time and that are accepted for payment and purchase, settlement will occur on the “Final Settlement Date,” which is currently expected to occur on March 11, 2024.</w:t>
      </w:r>
    </w:p>
    <w:p>
      <w:pPr>
        <w:spacing w:after="0" w:line="20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This press release does not constitute an offer to purchase or the solicitation of an offer to sell the securities described herein, nor shall there be any sale of these securities in any state or jurisdiction in which such offer, solicitation or sale would be unlawful prior to registration or qualification under the securities laws of any such state or jurisdiction.</w:t>
      </w:r>
    </w:p>
    <w:p>
      <w:pPr>
        <w:spacing w:after="0" w:line="20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Deutsche Bank Securities Inc. and Scotia Capital (USA) Inc. are the dealer managers for the Tender Offer. Persons with questions regarding the Tender Offer should contact Deutsche Bank Securities Inc. by telephone at (855) 287-1922 (U.S. toll-free) and (212) 250-7527 (collect) or Scotia Capital (USA) Inc. by telephone at (833) 498-1660. Requests for copies of the Offer to Purchase should be directed to D.F. King &amp; Co., Inc., the tender and information agent for the Tender Offer, at wynn@dfking.com, by telephone at (866) 796-3441 (U.S. toll free) and (212) 269-5550 (banks and brokers) or in writing at D.F. King &amp; Co., Inc., 48 Wall Street, 22nd Floor, New York, NY 10005, Attention: Michael Horthman.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This release contains forward-looking statements, including those related to the tender for Notes and whether or not Wynn Las Vegas, LLC will consummate the Tender Offer. Such forward-looking statements are subject to a number of risks and uncertainties that could cause actual results to differ materially from those we express in these forward-</w:t>
      </w:r>
    </w:p>
    <w:p>
      <w:pPr>
        <w:sectPr>
          <w:pgSz w:w="11900" w:h="16838" w:orient="portrait"/>
          <w:cols w:equalWidth="0" w:num="1">
            <w:col w:w="11260"/>
          </w:cols>
          <w:pgMar w:left="320" w:top="1389" w:right="319" w:bottom="1440" w:gutter="0" w:footer="0" w:header="0"/>
        </w:sectPr>
      </w:pPr>
    </w:p>
    <w:bookmarkStart w:id="12" w:name="page13"/>
    <w:bookmarkEnd w:id="12"/>
    <w:p>
      <w:pPr>
        <w:jc w:val="both"/>
        <w:spacing w:after="0" w:line="281" w:lineRule="auto"/>
        <w:rPr>
          <w:sz w:val="20"/>
          <w:szCs w:val="20"/>
          <w:color w:val="auto"/>
        </w:rPr>
      </w:pPr>
      <w:r>
        <w:rPr>
          <w:rFonts w:ascii="Times New Roman" w:cs="Times New Roman" w:eastAsia="Times New Roman" w:hAnsi="Times New Roman"/>
          <w:sz w:val="16"/>
          <w:szCs w:val="16"/>
          <w:color w:val="auto"/>
        </w:rPr>
        <w:t>looking statements, including, but not limited to, reductions in discretionary consumer spending, adverse macroeconomic conditions and their impact on levels of disposable consumer income and wealth, changes in interest rates, inflation, a decline in general economic activity or recession in the U.S. and/or global economies, extensive regulation of our business, pending or future legal proceedings, ability to maintain gaming licenses and concessions, dependence on key employees, general global political conditions, adverse tourism trends, travel disruptions caused by events outside of our control, dependence on a limited number of resorts, competition in the casino/hotel and resort industries, uncertainties over the development and success of new gaming and resort properties, construction and regulatory risks associated with current and future projects (including Wynn Al Marjan Island), cybersecurity risk and our leverage and ability to meet our debt service obligations. Additional information concerning potential factors that could affect Wynn Resorts’ financial results is included in Wynn Resorts’ Annual Report on Form 10-K for the year ended December 31, 2022, as supplemented by Wynn Resorts’ other periodic reports filed with the Securities and Exchange Commission from time to time. Neither Wynn Resorts nor Wynn Las Vegas, LLC are under any obligation to (and expressly disclaim any such obligation to) update or revise their forward-looking statements as a result of new information, future events or otherwise,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Karr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702-770-7555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investorrelations@wynnresorts.com</w:t>
      </w:r>
    </w:p>
    <w:sectPr>
      <w:pgSz w:w="11900" w:h="16838" w:orient="portrait"/>
      <w:cols w:equalWidth="0" w:num="1">
        <w:col w:w="11240"/>
      </w:cols>
      <w:pgMar w:left="320" w:top="13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lvl w:ilvl="1">
      <w:lvlJc w:val="left"/>
      <w:lvlText w:val="%2."/>
      <w:numFmt w:val="lowerLetter"/>
      <w:start w:val="1"/>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decimal"/>
      <w:start w:val="5"/>
    </w:lvl>
  </w:abstractNum>
  <w:abstractNum w:abstractNumId="7">
    <w:nsid w:val="7545E146"/>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13" Type="http://schemas.openxmlformats.org/officeDocument/2006/relationships/hyperlink" Target="https://www.sec.gov/Archives/edgar/data/1174922/000117492223000036/ex41-wrf2023seniornotesi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2024-02-23T15:48:42Z</dcterms:created>
  <dcterms:modified xsi:type="dcterms:W3CDTF">2024-02-23T15:48:42Z</dcterms:modified>
</cp:coreProperties>
</file>