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13" w:lineRule="exact"/>
        <w:rPr>
          <w:sz w:val="24"/>
          <w:szCs w:val="24"/>
          <w:color w:val="auto"/>
        </w:rPr>
      </w:pPr>
    </w:p>
    <w:p>
      <w:pPr>
        <w:ind w:left="4720"/>
        <w:spacing w:after="0"/>
        <w:rPr>
          <w:sz w:val="20"/>
          <w:szCs w:val="20"/>
          <w:color w:val="auto"/>
        </w:rPr>
      </w:pPr>
      <w:r>
        <w:rPr>
          <w:rFonts w:ascii="Arial" w:cs="Arial" w:eastAsia="Arial" w:hAnsi="Arial"/>
          <w:sz w:val="20"/>
          <w:szCs w:val="20"/>
          <w:b w:val="1"/>
          <w:bCs w:val="1"/>
          <w:color w:val="auto"/>
        </w:rPr>
        <w:t>____________________</w:t>
      </w:r>
    </w:p>
    <w:p>
      <w:pPr>
        <w:spacing w:after="0" w:line="270"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FORM 8-K</w:t>
      </w:r>
    </w:p>
    <w:p>
      <w:pPr>
        <w:spacing w:after="0" w:line="28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w:t>
      </w:r>
    </w:p>
    <w:p>
      <w:pPr>
        <w:spacing w:after="0" w:line="26" w:lineRule="exact"/>
        <w:rPr>
          <w:sz w:val="24"/>
          <w:szCs w:val="24"/>
          <w:color w:val="auto"/>
        </w:rPr>
      </w:pPr>
    </w:p>
    <w:p>
      <w:pPr>
        <w:ind w:left="4680"/>
        <w:spacing w:after="0"/>
        <w:rPr>
          <w:sz w:val="20"/>
          <w:szCs w:val="20"/>
          <w:color w:val="auto"/>
        </w:rPr>
      </w:pPr>
      <w:r>
        <w:rPr>
          <w:rFonts w:ascii="Arial" w:cs="Arial" w:eastAsia="Arial" w:hAnsi="Arial"/>
          <w:sz w:val="20"/>
          <w:szCs w:val="20"/>
          <w:b w:val="1"/>
          <w:bCs w:val="1"/>
          <w:color w:val="auto"/>
        </w:rPr>
        <w:t>_____________________</w:t>
      </w:r>
    </w:p>
    <w:p>
      <w:pPr>
        <w:spacing w:after="0" w:line="27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PURSUANT TO SECTION 13 OR 15(d) OF THE</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EXCHANGE ACT OF 1934</w:t>
      </w:r>
    </w:p>
    <w:p>
      <w:pPr>
        <w:spacing w:after="0" w:line="27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Date of Report (Date of earliest event reported): December 7, 2009</w:t>
      </w:r>
    </w:p>
    <w:p>
      <w:pPr>
        <w:spacing w:after="0" w:line="32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WYNN RESORTS, LIMITED</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(Exact name of registrant as specified in its charter)</w:t>
      </w:r>
    </w:p>
    <w:p>
      <w:pPr>
        <w:sectPr>
          <w:pgSz w:w="11900" w:h="16838" w:orient="portrait"/>
          <w:cols w:equalWidth="0" w:num="1">
            <w:col w:w="11420"/>
          </w:cols>
          <w:pgMar w:left="240" w:top="1211" w:right="239" w:bottom="1440" w:gutter="0" w:footer="0" w:header="0"/>
        </w:sectPr>
      </w:pPr>
    </w:p>
    <w:p>
      <w:pPr>
        <w:spacing w:after="0" w:line="200" w:lineRule="exact"/>
        <w:rPr>
          <w:sz w:val="24"/>
          <w:szCs w:val="24"/>
          <w:color w:val="auto"/>
        </w:rPr>
      </w:pPr>
    </w:p>
    <w:p>
      <w:pPr>
        <w:spacing w:after="0" w:line="313" w:lineRule="exact"/>
        <w:rPr>
          <w:sz w:val="24"/>
          <w:szCs w:val="24"/>
          <w:color w:val="auto"/>
        </w:rPr>
      </w:pPr>
    </w:p>
    <w:p>
      <w:pPr>
        <w:jc w:val="center"/>
        <w:ind w:right="100"/>
        <w:spacing w:after="0"/>
        <w:rPr>
          <w:sz w:val="20"/>
          <w:szCs w:val="20"/>
          <w:color w:val="auto"/>
        </w:rPr>
      </w:pPr>
      <w:r>
        <w:rPr>
          <w:rFonts w:ascii="Arial" w:cs="Arial" w:eastAsia="Arial" w:hAnsi="Arial"/>
          <w:sz w:val="20"/>
          <w:szCs w:val="20"/>
          <w:b w:val="1"/>
          <w:bCs w:val="1"/>
          <w:color w:val="auto"/>
        </w:rPr>
        <w:t>Nevada</w:t>
      </w:r>
    </w:p>
    <w:p>
      <w:pPr>
        <w:spacing w:after="0" w:line="26"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jc w:val="center"/>
        <w:ind w:right="560"/>
        <w:spacing w:after="0"/>
        <w:rPr>
          <w:sz w:val="20"/>
          <w:szCs w:val="20"/>
          <w:color w:val="auto"/>
        </w:rPr>
      </w:pPr>
      <w:r>
        <w:rPr>
          <w:rFonts w:ascii="Arial" w:cs="Arial" w:eastAsia="Arial" w:hAnsi="Arial"/>
          <w:sz w:val="20"/>
          <w:szCs w:val="20"/>
          <w:b w:val="1"/>
          <w:bCs w:val="1"/>
          <w:color w:val="auto"/>
        </w:rPr>
        <w:t>000-50028</w:t>
      </w:r>
    </w:p>
    <w:p>
      <w:pPr>
        <w:spacing w:after="0" w:line="26" w:lineRule="exact"/>
        <w:rPr>
          <w:sz w:val="24"/>
          <w:szCs w:val="24"/>
          <w:color w:val="auto"/>
        </w:rPr>
      </w:pPr>
    </w:p>
    <w:p>
      <w:pPr>
        <w:jc w:val="center"/>
        <w:ind w:right="560"/>
        <w:spacing w:after="0"/>
        <w:rPr>
          <w:sz w:val="20"/>
          <w:szCs w:val="20"/>
          <w:color w:val="auto"/>
        </w:rPr>
      </w:pPr>
      <w:r>
        <w:rPr>
          <w:rFonts w:ascii="Arial" w:cs="Arial" w:eastAsia="Arial" w:hAnsi="Arial"/>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jc w:val="center"/>
        <w:ind w:right="460"/>
        <w:spacing w:after="0"/>
        <w:rPr>
          <w:sz w:val="20"/>
          <w:szCs w:val="20"/>
          <w:color w:val="auto"/>
        </w:rPr>
      </w:pPr>
      <w:r>
        <w:rPr>
          <w:rFonts w:ascii="Arial" w:cs="Arial" w:eastAsia="Arial" w:hAnsi="Arial"/>
          <w:sz w:val="20"/>
          <w:szCs w:val="20"/>
          <w:b w:val="1"/>
          <w:bCs w:val="1"/>
          <w:color w:val="auto"/>
        </w:rPr>
        <w:t>46-0484987</w:t>
      </w:r>
    </w:p>
    <w:p>
      <w:pPr>
        <w:spacing w:after="0" w:line="26" w:lineRule="exact"/>
        <w:rPr>
          <w:sz w:val="24"/>
          <w:szCs w:val="24"/>
          <w:color w:val="auto"/>
        </w:rPr>
      </w:pPr>
    </w:p>
    <w:p>
      <w:pPr>
        <w:jc w:val="center"/>
        <w:ind w:right="460"/>
        <w:spacing w:after="0"/>
        <w:rPr>
          <w:sz w:val="20"/>
          <w:szCs w:val="20"/>
          <w:color w:val="auto"/>
        </w:rPr>
      </w:pPr>
      <w:r>
        <w:rPr>
          <w:rFonts w:ascii="Arial" w:cs="Arial" w:eastAsia="Arial" w:hAnsi="Arial"/>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00" w:space="720"/>
            <w:col w:w="2740" w:space="720"/>
            <w:col w:w="3340"/>
          </w:cols>
          <w:pgMar w:left="240" w:top="1211" w:right="239" w:bottom="1440" w:gutter="0" w:footer="0" w:header="0"/>
          <w:type w:val="continuous"/>
        </w:sectPr>
      </w:pPr>
    </w:p>
    <w:p>
      <w:pPr>
        <w:spacing w:after="0" w:line="309" w:lineRule="exact"/>
        <w:rPr>
          <w:sz w:val="24"/>
          <w:szCs w:val="24"/>
          <w:color w:val="auto"/>
        </w:rPr>
      </w:pPr>
    </w:p>
    <w:p>
      <w:pPr>
        <w:jc w:val="center"/>
        <w:ind w:right="740"/>
        <w:spacing w:after="0"/>
        <w:rPr>
          <w:sz w:val="20"/>
          <w:szCs w:val="20"/>
          <w:color w:val="auto"/>
        </w:rPr>
      </w:pPr>
      <w:r>
        <w:rPr>
          <w:rFonts w:ascii="Arial" w:cs="Arial" w:eastAsia="Arial" w:hAnsi="Arial"/>
          <w:sz w:val="20"/>
          <w:szCs w:val="20"/>
          <w:b w:val="1"/>
          <w:bCs w:val="1"/>
          <w:color w:val="auto"/>
        </w:rPr>
        <w:t>3131 Las Vegas Boulevard South</w:t>
      </w:r>
    </w:p>
    <w:p>
      <w:pPr>
        <w:spacing w:after="0" w:line="26" w:lineRule="exact"/>
        <w:rPr>
          <w:sz w:val="24"/>
          <w:szCs w:val="24"/>
          <w:color w:val="auto"/>
        </w:rPr>
      </w:pPr>
    </w:p>
    <w:p>
      <w:pPr>
        <w:jc w:val="center"/>
        <w:ind w:right="740"/>
        <w:spacing w:after="0"/>
        <w:rPr>
          <w:sz w:val="20"/>
          <w:szCs w:val="20"/>
          <w:color w:val="auto"/>
        </w:rPr>
      </w:pPr>
      <w:r>
        <w:rPr>
          <w:rFonts w:ascii="Arial" w:cs="Arial" w:eastAsia="Arial" w:hAnsi="Arial"/>
          <w:sz w:val="20"/>
          <w:szCs w:val="20"/>
          <w:b w:val="1"/>
          <w:bCs w:val="1"/>
          <w:color w:val="auto"/>
        </w:rPr>
        <w:t>Las Vegas, Nevada</w:t>
      </w:r>
    </w:p>
    <w:p>
      <w:pPr>
        <w:spacing w:after="0" w:line="13" w:lineRule="exact"/>
        <w:rPr>
          <w:sz w:val="24"/>
          <w:szCs w:val="24"/>
          <w:color w:val="auto"/>
        </w:rPr>
      </w:pPr>
    </w:p>
    <w:p>
      <w:pPr>
        <w:jc w:val="center"/>
        <w:ind w:right="740"/>
        <w:spacing w:after="0"/>
        <w:rPr>
          <w:sz w:val="20"/>
          <w:szCs w:val="20"/>
          <w:color w:val="auto"/>
        </w:rPr>
      </w:pPr>
      <w:r>
        <w:rPr>
          <w:rFonts w:ascii="Arial" w:cs="Arial" w:eastAsia="Arial" w:hAnsi="Arial"/>
          <w:sz w:val="18"/>
          <w:szCs w:val="18"/>
          <w:color w:val="auto"/>
        </w:rPr>
        <w:t>(Address of principal executive offices of each registrant)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1460"/>
        <w:spacing w:after="0"/>
        <w:rPr>
          <w:sz w:val="20"/>
          <w:szCs w:val="20"/>
          <w:color w:val="auto"/>
        </w:rPr>
      </w:pPr>
      <w:r>
        <w:rPr>
          <w:rFonts w:ascii="Arial" w:cs="Arial" w:eastAsia="Arial" w:hAnsi="Arial"/>
          <w:sz w:val="20"/>
          <w:szCs w:val="20"/>
          <w:b w:val="1"/>
          <w:bCs w:val="1"/>
          <w:color w:val="auto"/>
        </w:rPr>
        <w:t>89109</w:t>
      </w:r>
    </w:p>
    <w:p>
      <w:pPr>
        <w:spacing w:after="0" w:line="26" w:lineRule="exact"/>
        <w:rPr>
          <w:sz w:val="24"/>
          <w:szCs w:val="24"/>
          <w:color w:val="auto"/>
        </w:rPr>
      </w:pPr>
    </w:p>
    <w:p>
      <w:pPr>
        <w:jc w:val="center"/>
        <w:ind w:right="1460"/>
        <w:spacing w:after="0"/>
        <w:rPr>
          <w:sz w:val="20"/>
          <w:szCs w:val="20"/>
          <w:color w:val="auto"/>
        </w:rPr>
      </w:pPr>
      <w:r>
        <w:rPr>
          <w:rFonts w:ascii="Arial" w:cs="Arial" w:eastAsia="Arial" w:hAnsi="Arial"/>
          <w:sz w:val="18"/>
          <w:szCs w:val="18"/>
          <w:color w:val="auto"/>
        </w:rPr>
        <w:t>(Zip Code)</w:t>
      </w:r>
    </w:p>
    <w:p>
      <w:pPr>
        <w:spacing w:after="0" w:line="200" w:lineRule="exact"/>
        <w:rPr>
          <w:sz w:val="24"/>
          <w:szCs w:val="24"/>
          <w:color w:val="auto"/>
        </w:rPr>
      </w:pPr>
    </w:p>
    <w:p>
      <w:pPr>
        <w:sectPr>
          <w:pgSz w:w="11900" w:h="16838" w:orient="portrait"/>
          <w:cols w:equalWidth="0" w:num="2">
            <w:col w:w="8360" w:space="720"/>
            <w:col w:w="2340"/>
          </w:cols>
          <w:pgMar w:left="240" w:top="1211" w:right="239" w:bottom="1440" w:gutter="0" w:footer="0" w:header="0"/>
          <w:type w:val="continuous"/>
        </w:sectPr>
      </w:pPr>
    </w:p>
    <w:p>
      <w:pPr>
        <w:spacing w:after="0" w:line="9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(702) 770-7555</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20"/>
          </w:cols>
          <w:pgMar w:left="240" w:top="1211" w:right="239" w:bottom="1440" w:gutter="0" w:footer="0" w:header="0"/>
          <w:type w:val="continuous"/>
        </w:sectPr>
      </w:pPr>
    </w:p>
    <w:p>
      <w:pPr>
        <w:spacing w:after="0" w:line="316"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Not Applicable</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276" w:lineRule="exact"/>
        <w:rPr>
          <w:sz w:val="24"/>
          <w:szCs w:val="24"/>
          <w:color w:val="auto"/>
        </w:rPr>
      </w:pPr>
    </w:p>
    <w:p>
      <w:pPr>
        <w:spacing w:after="0" w:line="275" w:lineRule="auto"/>
        <w:rPr>
          <w:sz w:val="20"/>
          <w:szCs w:val="20"/>
          <w:color w:val="auto"/>
        </w:rPr>
      </w:pPr>
      <w:r>
        <w:rPr>
          <w:rFonts w:ascii="Arial" w:cs="Arial" w:eastAsia="Arial" w:hAnsi="Arial"/>
          <w:sz w:val="20"/>
          <w:szCs w:val="20"/>
          <w:color w:val="auto"/>
        </w:rPr>
        <w:t>Check the appropriate box below if the Form 8-K is intended to simultaneously satisfy the filing obligation of the registrant under any of the following provisions:</w:t>
      </w:r>
    </w:p>
    <w:p>
      <w:pPr>
        <w:spacing w:after="0" w:line="227" w:lineRule="exact"/>
        <w:rPr>
          <w:sz w:val="24"/>
          <w:szCs w:val="24"/>
          <w:color w:val="auto"/>
        </w:rPr>
      </w:pPr>
    </w:p>
    <w:p>
      <w:pPr>
        <w:ind w:left="580" w:hanging="464"/>
        <w:spacing w:after="0"/>
        <w:tabs>
          <w:tab w:leader="none" w:pos="580" w:val="left"/>
        </w:tabs>
        <w:numPr>
          <w:ilvl w:val="0"/>
          <w:numId w:val="1"/>
        </w:numPr>
        <w:rPr>
          <w:rFonts w:ascii="Arial" w:cs="Arial" w:eastAsia="Arial" w:hAnsi="Arial"/>
          <w:sz w:val="22"/>
          <w:szCs w:val="22"/>
          <w:color w:val="auto"/>
        </w:rPr>
      </w:pPr>
      <w:r>
        <w:rPr>
          <w:rFonts w:ascii="Arial" w:cs="Arial" w:eastAsia="Arial" w:hAnsi="Arial"/>
          <w:sz w:val="20"/>
          <w:szCs w:val="20"/>
          <w:color w:val="auto"/>
        </w:rPr>
        <w:t>Written communication pursuant to Rule 425 under the Securities Act (17 CFR 230.425)</w:t>
      </w:r>
    </w:p>
    <w:p>
      <w:pPr>
        <w:spacing w:after="0" w:line="233" w:lineRule="exact"/>
        <w:rPr>
          <w:rFonts w:ascii="Arial" w:cs="Arial" w:eastAsia="Arial" w:hAnsi="Arial"/>
          <w:sz w:val="22"/>
          <w:szCs w:val="22"/>
          <w:color w:val="auto"/>
        </w:rPr>
      </w:pPr>
    </w:p>
    <w:p>
      <w:pPr>
        <w:ind w:left="580" w:hanging="464"/>
        <w:spacing w:after="0"/>
        <w:tabs>
          <w:tab w:leader="none" w:pos="580" w:val="left"/>
        </w:tabs>
        <w:numPr>
          <w:ilvl w:val="0"/>
          <w:numId w:val="1"/>
        </w:numPr>
        <w:rPr>
          <w:rFonts w:ascii="Arial" w:cs="Arial" w:eastAsia="Arial" w:hAnsi="Arial"/>
          <w:sz w:val="22"/>
          <w:szCs w:val="22"/>
          <w:color w:val="auto"/>
        </w:rPr>
      </w:pPr>
      <w:r>
        <w:rPr>
          <w:rFonts w:ascii="Arial" w:cs="Arial" w:eastAsia="Arial" w:hAnsi="Arial"/>
          <w:sz w:val="20"/>
          <w:szCs w:val="20"/>
          <w:color w:val="auto"/>
        </w:rPr>
        <w:t>Soliciting material pursuant to Rule 14a-12 under the Exchange Act (17 CFR 240.14a-12)</w:t>
      </w:r>
    </w:p>
    <w:p>
      <w:pPr>
        <w:spacing w:after="0" w:line="233" w:lineRule="exact"/>
        <w:rPr>
          <w:rFonts w:ascii="Arial" w:cs="Arial" w:eastAsia="Arial" w:hAnsi="Arial"/>
          <w:sz w:val="22"/>
          <w:szCs w:val="22"/>
          <w:color w:val="auto"/>
        </w:rPr>
      </w:pPr>
    </w:p>
    <w:p>
      <w:pPr>
        <w:ind w:left="580" w:hanging="464"/>
        <w:spacing w:after="0"/>
        <w:tabs>
          <w:tab w:leader="none" w:pos="580" w:val="left"/>
        </w:tabs>
        <w:numPr>
          <w:ilvl w:val="0"/>
          <w:numId w:val="1"/>
        </w:numPr>
        <w:rPr>
          <w:rFonts w:ascii="Arial" w:cs="Arial" w:eastAsia="Arial" w:hAnsi="Arial"/>
          <w:sz w:val="22"/>
          <w:szCs w:val="22"/>
          <w:color w:val="auto"/>
        </w:rPr>
      </w:pPr>
      <w:r>
        <w:rPr>
          <w:rFonts w:ascii="Arial" w:cs="Arial" w:eastAsia="Arial" w:hAnsi="Arial"/>
          <w:sz w:val="20"/>
          <w:szCs w:val="20"/>
          <w:color w:val="auto"/>
        </w:rPr>
        <w:t>Pre-commencement communications pursuant to Rule 14d-2(b) under the Exchange Act (17 CFR 240.14d-2(b))</w:t>
      </w:r>
    </w:p>
    <w:p>
      <w:pPr>
        <w:spacing w:after="0" w:line="233" w:lineRule="exact"/>
        <w:rPr>
          <w:rFonts w:ascii="Arial" w:cs="Arial" w:eastAsia="Arial" w:hAnsi="Arial"/>
          <w:sz w:val="22"/>
          <w:szCs w:val="22"/>
          <w:color w:val="auto"/>
        </w:rPr>
      </w:pPr>
    </w:p>
    <w:p>
      <w:pPr>
        <w:ind w:left="580" w:hanging="464"/>
        <w:spacing w:after="0"/>
        <w:tabs>
          <w:tab w:leader="none" w:pos="580" w:val="left"/>
        </w:tabs>
        <w:numPr>
          <w:ilvl w:val="0"/>
          <w:numId w:val="1"/>
        </w:numPr>
        <w:rPr>
          <w:rFonts w:ascii="Arial" w:cs="Arial" w:eastAsia="Arial" w:hAnsi="Arial"/>
          <w:sz w:val="22"/>
          <w:szCs w:val="22"/>
          <w:color w:val="auto"/>
        </w:rPr>
      </w:pPr>
      <w:r>
        <w:rPr>
          <w:rFonts w:ascii="Arial" w:cs="Arial" w:eastAsia="Arial" w:hAnsi="Arial"/>
          <w:sz w:val="20"/>
          <w:szCs w:val="20"/>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595630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1" w:right="239" w:bottom="1440" w:gutter="0" w:footer="0" w:header="0"/>
          <w:type w:val="continuous"/>
        </w:sectPr>
      </w:pPr>
    </w:p>
    <w:bookmarkStart w:id="1" w:name="page2"/>
    <w:bookmarkEnd w:id="1"/>
    <w:p>
      <w:pPr>
        <w:spacing w:after="0"/>
        <w:tabs>
          <w:tab w:leader="none" w:pos="1400" w:val="left"/>
        </w:tabs>
        <w:rPr>
          <w:sz w:val="20"/>
          <w:szCs w:val="20"/>
          <w:color w:val="auto"/>
        </w:rPr>
      </w:pPr>
      <w:r>
        <w:rPr>
          <w:rFonts w:ascii="Arial" w:cs="Arial" w:eastAsia="Arial" w:hAnsi="Arial"/>
          <w:sz w:val="22"/>
          <w:szCs w:val="22"/>
          <w:b w:val="1"/>
          <w:bCs w:val="1"/>
          <w:color w:val="auto"/>
        </w:rPr>
        <w:t>Item 8.01</w:t>
      </w:r>
      <w:r>
        <w:rPr>
          <w:sz w:val="20"/>
          <w:szCs w:val="20"/>
          <w:color w:val="auto"/>
        </w:rPr>
        <w:tab/>
      </w:r>
      <w:r>
        <w:rPr>
          <w:rFonts w:ascii="Arial" w:cs="Arial" w:eastAsia="Arial" w:hAnsi="Arial"/>
          <w:sz w:val="19"/>
          <w:szCs w:val="19"/>
          <w:b w:val="1"/>
          <w:bCs w:val="1"/>
          <w:color w:val="auto"/>
        </w:rPr>
        <w:t>Other Events.</w:t>
      </w:r>
    </w:p>
    <w:p>
      <w:pPr>
        <w:spacing w:after="0" w:line="293" w:lineRule="exact"/>
        <w:rPr>
          <w:sz w:val="20"/>
          <w:szCs w:val="20"/>
          <w:color w:val="auto"/>
        </w:rPr>
      </w:pPr>
    </w:p>
    <w:p>
      <w:pPr>
        <w:jc w:val="both"/>
        <w:spacing w:after="0" w:line="309" w:lineRule="auto"/>
        <w:rPr>
          <w:sz w:val="20"/>
          <w:szCs w:val="20"/>
          <w:color w:val="auto"/>
        </w:rPr>
      </w:pPr>
      <w:r>
        <w:rPr>
          <w:rFonts w:ascii="Arial" w:cs="Arial" w:eastAsia="Arial" w:hAnsi="Arial"/>
          <w:sz w:val="19"/>
          <w:szCs w:val="19"/>
          <w:color w:val="auto"/>
        </w:rPr>
        <w:t>On December 7, 2009, Marc D. Schorr, Chief Operating Officer of Wynn Resorts, Limited (the “Company”), through his family trust, entered into a Rule 10b5-1 trading plan (the “Trading Plan”) to sell up to 9,200 shares of the Company’s common stock concurrent with the vesting of 25,000 shares of the Company’s common stock which Mr. Schorr’s family trust received pursuant to a Restricted Stock Agreement dated as of February 3, 2005 by and between the Company and Mr. Schorr. Mr. Schorr has advised the Company that the proceeds from the sale of the shares will be used primarily to pay federal tax withholding obligations resulting from the vesting of the 25,000 shares of common stock, and brokerage commissions associated with the sale.</w:t>
      </w:r>
    </w:p>
    <w:p>
      <w:pPr>
        <w:spacing w:after="0" w:line="203"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The Trading Plan is intended to comply with Rule 10b5-1 of the Securities Exchange Act of 1934, as amended, and the Company’s insider trading policy. Rule 10b5-1 allows corporate insiders to establish prearranged written plans to buy or sell a specified number of shares of a company stock over a set period of time.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8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SIGNATURES</w:t>
      </w:r>
    </w:p>
    <w:p>
      <w:pPr>
        <w:spacing w:after="0" w:line="298" w:lineRule="exact"/>
        <w:rPr>
          <w:sz w:val="20"/>
          <w:szCs w:val="20"/>
          <w:color w:val="auto"/>
        </w:rPr>
      </w:pPr>
    </w:p>
    <w:p>
      <w:pPr>
        <w:ind w:firstLine="720"/>
        <w:spacing w:after="0" w:line="275"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29"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color w:val="auto"/>
        </w:rPr>
        <w:t>Date:</w:t>
        <w:tab/>
        <w:t>December 11, 2009</w:t>
      </w:r>
    </w:p>
    <w:p>
      <w:pPr>
        <w:spacing w:after="0" w:line="265"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WYNN RESORTS, LIMITED</w:t>
      </w:r>
    </w:p>
    <w:p>
      <w:pPr>
        <w:spacing w:after="0" w:line="200" w:lineRule="exact"/>
        <w:rPr>
          <w:sz w:val="20"/>
          <w:szCs w:val="20"/>
          <w:color w:val="auto"/>
        </w:rPr>
      </w:pPr>
    </w:p>
    <w:p>
      <w:pPr>
        <w:spacing w:after="0" w:line="222" w:lineRule="exact"/>
        <w:rPr>
          <w:sz w:val="20"/>
          <w:szCs w:val="20"/>
          <w:color w:val="auto"/>
        </w:rPr>
      </w:pPr>
    </w:p>
    <w:tbl>
      <w:tblPr>
        <w:tblLayout w:type="fixed"/>
        <w:tblInd w:w="5640" w:type="dxa"/>
        <w:tblCellMar>
          <w:top w:w="0" w:type="dxa"/>
          <w:left w:w="0" w:type="dxa"/>
          <w:bottom w:w="0" w:type="dxa"/>
          <w:right w:w="0" w:type="dxa"/>
        </w:tblCellMar>
      </w:tblPr>
      <w:tr>
        <w:trPr>
          <w:trHeight w:val="26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31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Kim Sinatra</w:t>
            </w:r>
          </w:p>
        </w:tc>
      </w:tr>
      <w:tr>
        <w:trPr>
          <w:trHeight w:val="215"/>
        </w:trPr>
        <w:tc>
          <w:tcPr>
            <w:tcW w:w="68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3180" w:type="dxa"/>
            <w:vAlign w:val="bottom"/>
          </w:tcPr>
          <w:p>
            <w:pPr>
              <w:spacing w:after="0" w:line="216" w:lineRule="exact"/>
              <w:rPr>
                <w:sz w:val="20"/>
                <w:szCs w:val="20"/>
                <w:color w:val="auto"/>
              </w:rPr>
            </w:pPr>
            <w:r>
              <w:rPr>
                <w:rFonts w:ascii="Arial" w:cs="Arial" w:eastAsia="Arial" w:hAnsi="Arial"/>
                <w:sz w:val="22"/>
                <w:szCs w:val="22"/>
                <w:color w:val="auto"/>
              </w:rPr>
              <w:t>Kim Sinatra</w:t>
            </w:r>
          </w:p>
        </w:tc>
      </w:tr>
      <w:tr>
        <w:trPr>
          <w:trHeight w:val="243"/>
        </w:trPr>
        <w:tc>
          <w:tcPr>
            <w:tcW w:w="68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3180" w:type="dxa"/>
            <w:vAlign w:val="bottom"/>
          </w:tcPr>
          <w:p>
            <w:pPr>
              <w:spacing w:after="0" w:line="243" w:lineRule="exact"/>
              <w:rPr>
                <w:sz w:val="20"/>
                <w:szCs w:val="20"/>
                <w:color w:val="auto"/>
              </w:rPr>
            </w:pPr>
            <w:r>
              <w:rPr>
                <w:rFonts w:ascii="Arial" w:cs="Arial" w:eastAsia="Arial" w:hAnsi="Arial"/>
                <w:sz w:val="22"/>
                <w:szCs w:val="22"/>
                <w:color w:val="auto"/>
              </w:rPr>
              <w:t>Senior Vice President,</w:t>
            </w:r>
          </w:p>
        </w:tc>
      </w:tr>
      <w:tr>
        <w:trPr>
          <w:trHeight w:val="275"/>
        </w:trPr>
        <w:tc>
          <w:tcPr>
            <w:tcW w:w="680" w:type="dxa"/>
            <w:vAlign w:val="bottom"/>
          </w:tcPr>
          <w:p>
            <w:pPr>
              <w:spacing w:after="0"/>
              <w:rPr>
                <w:sz w:val="23"/>
                <w:szCs w:val="23"/>
                <w:color w:val="auto"/>
              </w:rPr>
            </w:pPr>
          </w:p>
        </w:tc>
        <w:tc>
          <w:tcPr>
            <w:tcW w:w="3180" w:type="dxa"/>
            <w:vAlign w:val="bottom"/>
          </w:tcPr>
          <w:p>
            <w:pPr>
              <w:spacing w:after="0"/>
              <w:rPr>
                <w:sz w:val="20"/>
                <w:szCs w:val="20"/>
                <w:color w:val="auto"/>
              </w:rPr>
            </w:pPr>
            <w:r>
              <w:rPr>
                <w:rFonts w:ascii="Arial" w:cs="Arial" w:eastAsia="Arial" w:hAnsi="Arial"/>
                <w:sz w:val="22"/>
                <w:szCs w:val="22"/>
                <w:color w:val="auto"/>
              </w:rPr>
              <w:t>General Counsel and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78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2019-12-10T21:34:03Z</dcterms:created>
  <dcterms:modified xsi:type="dcterms:W3CDTF">2019-12-10T21:34:03Z</dcterms:modified>
</cp:coreProperties>
</file>