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September 10,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80" w:type="dxa"/>
            <w:vAlign w:val="bottom"/>
          </w:tcPr>
          <w:p>
            <w:pPr>
              <w:jc w:val="center"/>
              <w:ind w:right="248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08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62"/>
              <w:spacing w:after="0"/>
              <w:rPr>
                <w:sz w:val="20"/>
                <w:szCs w:val="20"/>
                <w:color w:val="auto"/>
              </w:rPr>
            </w:pPr>
            <w:r>
              <w:rPr>
                <w:rFonts w:ascii="Arial" w:cs="Arial" w:eastAsia="Arial" w:hAnsi="Arial"/>
                <w:sz w:val="14"/>
                <w:szCs w:val="14"/>
                <w:b w:val="1"/>
                <w:bCs w:val="1"/>
                <w:color w:val="auto"/>
                <w:w w:val="87"/>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080" w:type="dxa"/>
            <w:vAlign w:val="bottom"/>
          </w:tcPr>
          <w:p>
            <w:pPr>
              <w:jc w:val="center"/>
              <w:ind w:left="11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September 10, 2012, Wynn Macau, Limited (“WML”), an indirect subsidiary of Wynn Resorts, Limited (the “Registrant”) with its ordinary shares listed on The Stock Exchange of Hong Kong Limited, filed its interim report in respect of the six months ended June 30, 2012 (the “Interim Report”) with The Stock Exchange of Hong Kong Limited. The Registrant owns approximately 72.3% of WML’s ordinary shares.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6780" w:type="dxa"/>
            <w:vAlign w:val="bottom"/>
            <w:gridSpan w:val="3"/>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97"/>
        </w:trPr>
        <w:tc>
          <w:tcPr>
            <w:tcW w:w="10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62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w w:val="88"/>
              </w:rPr>
              <w:t>Interim Report of Wynn Macau, Limited in respect of the six months ended June 30, 2012</w:t>
            </w:r>
          </w:p>
        </w:tc>
      </w:tr>
    </w:tbl>
    <w:p>
      <w:pPr>
        <w:sectPr>
          <w:pgSz w:w="11900" w:h="16838" w:orient="portrait"/>
          <w:cols w:equalWidth="0" w:num="1">
            <w:col w:w="11220"/>
          </w:cols>
          <w:pgMar w:left="240" w:top="274"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7760" w:type="dxa"/>
            <w:vAlign w:val="bottom"/>
            <w:gridSpan w:val="2"/>
          </w:tcPr>
          <w:p>
            <w:pPr>
              <w:ind w:left="1820"/>
              <w:spacing w:after="0"/>
              <w:rPr>
                <w:sz w:val="20"/>
                <w:szCs w:val="20"/>
                <w:color w:val="auto"/>
              </w:rPr>
            </w:pPr>
            <w:r>
              <w:rPr>
                <w:rFonts w:ascii="Arial" w:cs="Arial" w:eastAsia="Arial" w:hAnsi="Arial"/>
                <w:sz w:val="18"/>
                <w:szCs w:val="18"/>
                <w:b w:val="1"/>
                <w:bCs w:val="1"/>
                <w:color w:val="auto"/>
              </w:rPr>
              <w:t>WYNN RESORTS, LIMITED</w:t>
            </w:r>
          </w:p>
        </w:tc>
      </w:tr>
      <w:tr>
        <w:trPr>
          <w:trHeight w:val="434"/>
        </w:trPr>
        <w:tc>
          <w:tcPr>
            <w:tcW w:w="3660" w:type="dxa"/>
            <w:vAlign w:val="bottom"/>
          </w:tcPr>
          <w:p>
            <w:pPr>
              <w:spacing w:after="0"/>
              <w:rPr>
                <w:sz w:val="20"/>
                <w:szCs w:val="20"/>
                <w:color w:val="auto"/>
              </w:rPr>
            </w:pPr>
            <w:r>
              <w:rPr>
                <w:rFonts w:ascii="Arial" w:cs="Arial" w:eastAsia="Arial" w:hAnsi="Arial"/>
                <w:sz w:val="18"/>
                <w:szCs w:val="18"/>
                <w:color w:val="auto"/>
              </w:rPr>
              <w:t>Date: September 10, 2012</w:t>
            </w:r>
          </w:p>
        </w:tc>
        <w:tc>
          <w:tcPr>
            <w:tcW w:w="240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5"/>
        </w:trPr>
        <w:tc>
          <w:tcPr>
            <w:tcW w:w="3660" w:type="dxa"/>
            <w:vAlign w:val="bottom"/>
          </w:tcPr>
          <w:p>
            <w:pPr>
              <w:spacing w:after="0"/>
              <w:rPr>
                <w:sz w:val="18"/>
                <w:szCs w:val="18"/>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3660" w:type="dxa"/>
            <w:vAlign w:val="bottom"/>
          </w:tcPr>
          <w:p>
            <w:pPr>
              <w:spacing w:after="0"/>
              <w:rPr>
                <w:sz w:val="19"/>
                <w:szCs w:val="19"/>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169545</wp:posOffset>
            </wp:positionV>
            <wp:extent cx="5248275" cy="7126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48275" cy="712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FFFFFF"/>
        </w:rPr>
        <w:t>2012 Interim Report</w:t>
      </w:r>
    </w:p>
    <w:p>
      <w:pPr>
        <w:spacing w:after="0"/>
        <w:rPr>
          <w:sz w:val="20"/>
          <w:szCs w:val="20"/>
          <w:color w:val="auto"/>
        </w:rPr>
      </w:pPr>
      <w:r>
        <w:rPr>
          <w:rFonts w:ascii="Arial" w:cs="Arial" w:eastAsia="Arial" w:hAnsi="Arial"/>
          <w:sz w:val="14"/>
          <w:szCs w:val="14"/>
          <w:color w:val="FFFFFF"/>
        </w:rPr>
        <w:t>ForWynnidentificationMacau,Limitedpurposes(incorporatedonly in the Cayman island with limited liability) Stock Code:1128</w:t>
      </w:r>
    </w:p>
    <w:p>
      <w:pPr>
        <w:sectPr>
          <w:pgSz w:w="11900" w:h="16838" w:orient="portrait"/>
          <w:cols w:equalWidth="0" w:num="1">
            <w:col w:w="11420"/>
          </w:cols>
          <w:pgMar w:left="240" w:top="125"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20"/>
                <w:szCs w:val="20"/>
                <w:color w:val="auto"/>
              </w:rPr>
            </w:pPr>
            <w:r>
              <w:rPr>
                <w:rFonts w:ascii="Arial" w:cs="Arial" w:eastAsia="Arial" w:hAnsi="Arial"/>
                <w:sz w:val="14"/>
                <w:szCs w:val="14"/>
                <w:color w:val="FFFFFF"/>
              </w:rPr>
              <w:t>2</w:t>
            </w:r>
          </w:p>
        </w:tc>
        <w:tc>
          <w:tcPr>
            <w:tcW w:w="2360" w:type="dxa"/>
            <w:vAlign w:val="bottom"/>
          </w:tcPr>
          <w:p>
            <w:pPr>
              <w:ind w:left="300"/>
              <w:spacing w:after="0"/>
              <w:rPr>
                <w:sz w:val="20"/>
                <w:szCs w:val="20"/>
                <w:color w:val="auto"/>
              </w:rPr>
            </w:pPr>
            <w:r>
              <w:rPr>
                <w:rFonts w:ascii="Arial" w:cs="Arial" w:eastAsia="Arial" w:hAnsi="Arial"/>
                <w:sz w:val="14"/>
                <w:szCs w:val="14"/>
                <w:color w:val="FFFFFF"/>
              </w:rPr>
              <w:t>Corporate Information</w:t>
            </w:r>
          </w:p>
        </w:tc>
      </w:tr>
      <w:tr>
        <w:trPr>
          <w:trHeight w:val="54"/>
        </w:trPr>
        <w:tc>
          <w:tcPr>
            <w:tcW w:w="160" w:type="dxa"/>
            <w:vAlign w:val="bottom"/>
          </w:tcPr>
          <w:p>
            <w:pPr>
              <w:spacing w:after="0" w:line="54" w:lineRule="exact"/>
              <w:rPr>
                <w:sz w:val="20"/>
                <w:szCs w:val="20"/>
                <w:color w:val="auto"/>
              </w:rPr>
            </w:pPr>
            <w:r>
              <w:rPr>
                <w:rFonts w:ascii="Arial" w:cs="Arial" w:eastAsia="Arial" w:hAnsi="Arial"/>
                <w:sz w:val="6"/>
                <w:szCs w:val="6"/>
                <w:color w:val="FFFFFF"/>
              </w:rPr>
              <w:t>4</w:t>
            </w:r>
          </w:p>
        </w:tc>
        <w:tc>
          <w:tcPr>
            <w:tcW w:w="2360" w:type="dxa"/>
            <w:vAlign w:val="bottom"/>
          </w:tcPr>
          <w:p>
            <w:pPr>
              <w:ind w:left="300"/>
              <w:spacing w:after="0" w:line="54" w:lineRule="exact"/>
              <w:rPr>
                <w:sz w:val="20"/>
                <w:szCs w:val="20"/>
                <w:color w:val="auto"/>
              </w:rPr>
            </w:pPr>
            <w:r>
              <w:rPr>
                <w:rFonts w:ascii="Arial" w:cs="Arial" w:eastAsia="Arial" w:hAnsi="Arial"/>
                <w:sz w:val="6"/>
                <w:szCs w:val="6"/>
                <w:color w:val="FFFFFF"/>
              </w:rPr>
              <w:t>Highlights</w:t>
            </w:r>
          </w:p>
        </w:tc>
      </w:tr>
      <w:tr>
        <w:trPr>
          <w:trHeight w:val="54"/>
        </w:trPr>
        <w:tc>
          <w:tcPr>
            <w:tcW w:w="160" w:type="dxa"/>
            <w:vAlign w:val="bottom"/>
          </w:tcPr>
          <w:p>
            <w:pPr>
              <w:spacing w:after="0" w:line="54" w:lineRule="exact"/>
              <w:rPr>
                <w:sz w:val="20"/>
                <w:szCs w:val="20"/>
                <w:color w:val="auto"/>
              </w:rPr>
            </w:pPr>
            <w:r>
              <w:rPr>
                <w:rFonts w:ascii="Arial" w:cs="Arial" w:eastAsia="Arial" w:hAnsi="Arial"/>
                <w:sz w:val="6"/>
                <w:szCs w:val="6"/>
                <w:color w:val="FFFFFF"/>
              </w:rPr>
              <w:t>5</w:t>
            </w:r>
          </w:p>
        </w:tc>
        <w:tc>
          <w:tcPr>
            <w:tcW w:w="2360" w:type="dxa"/>
            <w:vAlign w:val="bottom"/>
          </w:tcPr>
          <w:p>
            <w:pPr>
              <w:ind w:left="300"/>
              <w:spacing w:after="0" w:line="54" w:lineRule="exact"/>
              <w:rPr>
                <w:sz w:val="20"/>
                <w:szCs w:val="20"/>
                <w:color w:val="auto"/>
              </w:rPr>
            </w:pPr>
            <w:r>
              <w:rPr>
                <w:rFonts w:ascii="Arial" w:cs="Arial" w:eastAsia="Arial" w:hAnsi="Arial"/>
                <w:sz w:val="6"/>
                <w:szCs w:val="6"/>
                <w:color w:val="FFFFFF"/>
              </w:rPr>
              <w:t>Management Discussion and Analysis</w:t>
            </w:r>
          </w:p>
        </w:tc>
      </w:tr>
      <w:tr>
        <w:trPr>
          <w:trHeight w:val="54"/>
        </w:trPr>
        <w:tc>
          <w:tcPr>
            <w:tcW w:w="160" w:type="dxa"/>
            <w:vAlign w:val="bottom"/>
          </w:tcPr>
          <w:p>
            <w:pPr>
              <w:spacing w:after="0" w:line="54" w:lineRule="exact"/>
              <w:rPr>
                <w:sz w:val="20"/>
                <w:szCs w:val="20"/>
                <w:color w:val="auto"/>
              </w:rPr>
            </w:pPr>
            <w:r>
              <w:rPr>
                <w:rFonts w:ascii="Arial" w:cs="Arial" w:eastAsia="Arial" w:hAnsi="Arial"/>
                <w:sz w:val="6"/>
                <w:szCs w:val="6"/>
                <w:color w:val="FFFFFF"/>
              </w:rPr>
              <w:t>28</w:t>
            </w:r>
          </w:p>
        </w:tc>
        <w:tc>
          <w:tcPr>
            <w:tcW w:w="2360" w:type="dxa"/>
            <w:vAlign w:val="bottom"/>
          </w:tcPr>
          <w:p>
            <w:pPr>
              <w:ind w:left="20"/>
              <w:spacing w:after="0" w:line="54" w:lineRule="exact"/>
              <w:rPr>
                <w:sz w:val="20"/>
                <w:szCs w:val="20"/>
                <w:color w:val="auto"/>
              </w:rPr>
            </w:pPr>
            <w:r>
              <w:rPr>
                <w:rFonts w:ascii="Arial" w:cs="Arial" w:eastAsia="Arial" w:hAnsi="Arial"/>
                <w:sz w:val="6"/>
                <w:szCs w:val="6"/>
                <w:color w:val="FFFFFF"/>
              </w:rPr>
              <w:t>Directors and Senior Management</w:t>
            </w: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Contents</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37</w:t>
            </w:r>
          </w:p>
        </w:tc>
        <w:tc>
          <w:tcPr>
            <w:tcW w:w="2360" w:type="dxa"/>
            <w:vAlign w:val="bottom"/>
          </w:tcPr>
          <w:p>
            <w:pPr>
              <w:ind w:left="20"/>
              <w:spacing w:after="0"/>
              <w:rPr>
                <w:sz w:val="20"/>
                <w:szCs w:val="20"/>
                <w:color w:val="auto"/>
              </w:rPr>
            </w:pPr>
            <w:r>
              <w:rPr>
                <w:rFonts w:ascii="Arial" w:cs="Arial" w:eastAsia="Arial" w:hAnsi="Arial"/>
                <w:sz w:val="3"/>
                <w:szCs w:val="3"/>
                <w:color w:val="FFFFFF"/>
              </w:rPr>
              <w:t>Other</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47</w:t>
            </w:r>
          </w:p>
        </w:tc>
        <w:tc>
          <w:tcPr>
            <w:tcW w:w="2360" w:type="dxa"/>
            <w:vAlign w:val="bottom"/>
          </w:tcPr>
          <w:p>
            <w:pPr>
              <w:ind w:left="20"/>
              <w:spacing w:after="0"/>
              <w:rPr>
                <w:sz w:val="20"/>
                <w:szCs w:val="20"/>
                <w:color w:val="auto"/>
              </w:rPr>
            </w:pPr>
            <w:r>
              <w:rPr>
                <w:rFonts w:ascii="Arial" w:cs="Arial" w:eastAsia="Arial" w:hAnsi="Arial"/>
                <w:sz w:val="3"/>
                <w:szCs w:val="3"/>
                <w:color w:val="FFFFFF"/>
              </w:rPr>
              <w:t>ReportInformationReview of Interim</w:t>
            </w: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Financial Information</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49</w:t>
            </w:r>
          </w:p>
        </w:tc>
        <w:tc>
          <w:tcPr>
            <w:tcW w:w="2360" w:type="dxa"/>
            <w:vAlign w:val="bottom"/>
          </w:tcPr>
          <w:p>
            <w:pPr>
              <w:ind w:left="20"/>
              <w:spacing w:after="0"/>
              <w:rPr>
                <w:sz w:val="20"/>
                <w:szCs w:val="20"/>
                <w:color w:val="auto"/>
              </w:rPr>
            </w:pPr>
            <w:r>
              <w:rPr>
                <w:rFonts w:ascii="Arial" w:cs="Arial" w:eastAsia="Arial" w:hAnsi="Arial"/>
                <w:sz w:val="3"/>
                <w:szCs w:val="3"/>
                <w:color w:val="FFFFFF"/>
              </w:rPr>
              <w:t>Interim Financial Information</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79</w:t>
            </w:r>
          </w:p>
        </w:tc>
        <w:tc>
          <w:tcPr>
            <w:tcW w:w="2360" w:type="dxa"/>
            <w:vAlign w:val="bottom"/>
          </w:tcPr>
          <w:p>
            <w:pPr>
              <w:ind w:left="20"/>
              <w:spacing w:after="0"/>
              <w:rPr>
                <w:sz w:val="20"/>
                <w:szCs w:val="20"/>
                <w:color w:val="auto"/>
              </w:rPr>
            </w:pPr>
            <w:r>
              <w:rPr>
                <w:rFonts w:ascii="Arial" w:cs="Arial" w:eastAsia="Arial" w:hAnsi="Arial"/>
                <w:sz w:val="3"/>
                <w:szCs w:val="3"/>
                <w:color w:val="FFFFFF"/>
              </w:rPr>
              <w:t>Definitions</w:t>
            </w:r>
          </w:p>
        </w:tc>
      </w:tr>
      <w:tr>
        <w:trPr>
          <w:trHeight w:val="172"/>
        </w:trPr>
        <w:tc>
          <w:tcPr>
            <w:tcW w:w="160" w:type="dxa"/>
            <w:vAlign w:val="bottom"/>
          </w:tcPr>
          <w:p>
            <w:pPr>
              <w:spacing w:after="0"/>
              <w:rPr>
                <w:sz w:val="20"/>
                <w:szCs w:val="20"/>
                <w:color w:val="auto"/>
              </w:rPr>
            </w:pPr>
            <w:r>
              <w:rPr>
                <w:rFonts w:ascii="Arial" w:cs="Arial" w:eastAsia="Arial" w:hAnsi="Arial"/>
                <w:sz w:val="14"/>
                <w:szCs w:val="14"/>
                <w:color w:val="FFFFFF"/>
                <w:w w:val="89"/>
              </w:rPr>
              <w:t>85</w:t>
            </w:r>
          </w:p>
        </w:tc>
        <w:tc>
          <w:tcPr>
            <w:tcW w:w="2360" w:type="dxa"/>
            <w:vAlign w:val="bottom"/>
          </w:tcPr>
          <w:p>
            <w:pPr>
              <w:ind w:left="20"/>
              <w:spacing w:after="0"/>
              <w:rPr>
                <w:sz w:val="20"/>
                <w:szCs w:val="20"/>
                <w:color w:val="auto"/>
              </w:rPr>
            </w:pPr>
            <w:r>
              <w:rPr>
                <w:rFonts w:ascii="Arial" w:cs="Arial" w:eastAsia="Arial" w:hAnsi="Arial"/>
                <w:sz w:val="14"/>
                <w:szCs w:val="14"/>
                <w:color w:val="FFFFFF"/>
              </w:rPr>
              <w:t>Glossary</w:t>
            </w:r>
          </w:p>
        </w:tc>
      </w:tr>
    </w:tbl>
    <w:p>
      <w:pPr>
        <w:sectPr>
          <w:pgSz w:w="11900" w:h="16838" w:orient="portrait"/>
          <w:cols w:equalWidth="0" w:num="1">
            <w:col w:w="10219"/>
          </w:cols>
          <w:pgMar w:left="2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4"/>
          <w:szCs w:val="14"/>
          <w:color w:val="FFFFFF"/>
        </w:rPr>
      </w:pPr>
      <w:r>
        <w:rPr>
          <w:rFonts w:ascii="Arial" w:cs="Arial" w:eastAsia="Arial" w:hAnsi="Arial"/>
          <w:sz w:val="14"/>
          <w:szCs w:val="14"/>
          <w:color w:val="FFFFFF"/>
        </w:rPr>
        <w:t>Wynn Macau, Limited</w:t>
      </w:r>
    </w:p>
    <w:p>
      <w:pPr>
        <w:spacing w:after="0"/>
        <w:rPr>
          <w:rFonts w:ascii="Arial" w:cs="Arial" w:eastAsia="Arial" w:hAnsi="Arial"/>
          <w:sz w:val="14"/>
          <w:szCs w:val="14"/>
          <w:color w:val="FFFFFF"/>
        </w:rPr>
      </w:pPr>
      <w:r>
        <w:rPr>
          <w:rFonts w:ascii="Arial" w:cs="Arial" w:eastAsia="Arial" w:hAnsi="Arial"/>
          <w:sz w:val="3"/>
          <w:szCs w:val="3"/>
          <w:color w:val="FFFFFF"/>
        </w:rPr>
        <w:t>Corporate Information</w:t>
      </w:r>
    </w:p>
    <w:p>
      <w:pPr>
        <w:spacing w:after="0" w:line="6" w:lineRule="exact"/>
        <w:rPr>
          <w:rFonts w:ascii="Arial" w:cs="Arial" w:eastAsia="Arial" w:hAnsi="Arial"/>
          <w:sz w:val="14"/>
          <w:szCs w:val="14"/>
          <w:color w:val="FFFFFF"/>
        </w:rPr>
      </w:pPr>
    </w:p>
    <w:p>
      <w:pPr>
        <w:ind w:right="8759"/>
        <w:spacing w:after="0"/>
        <w:rPr>
          <w:rFonts w:ascii="Arial" w:cs="Arial" w:eastAsia="Arial" w:hAnsi="Arial"/>
          <w:sz w:val="14"/>
          <w:szCs w:val="14"/>
          <w:color w:val="FFFFFF"/>
        </w:rPr>
      </w:pPr>
      <w:r>
        <w:rPr>
          <w:rFonts w:ascii="Arial" w:cs="Arial" w:eastAsia="Arial" w:hAnsi="Arial"/>
          <w:sz w:val="7"/>
          <w:szCs w:val="7"/>
          <w:color w:val="FFFFFF"/>
        </w:rPr>
        <w:t>BOARD OF DIRECTORS Executive Directors</w:t>
      </w:r>
    </w:p>
    <w:p>
      <w:pPr>
        <w:spacing w:after="0" w:line="211" w:lineRule="auto"/>
        <w:rPr>
          <w:rFonts w:ascii="Arial" w:cs="Arial" w:eastAsia="Arial" w:hAnsi="Arial"/>
          <w:sz w:val="14"/>
          <w:szCs w:val="14"/>
          <w:color w:val="FFFFFF"/>
        </w:rPr>
      </w:pPr>
      <w:r>
        <w:rPr>
          <w:rFonts w:ascii="Arial" w:cs="Arial" w:eastAsia="Arial" w:hAnsi="Arial"/>
          <w:sz w:val="4"/>
          <w:szCs w:val="4"/>
          <w:color w:val="FFFFFF"/>
          <w:vertAlign w:val="subscript"/>
        </w:rPr>
        <w:t>Mrs</w:t>
      </w:r>
      <w:r>
        <w:rPr>
          <w:rFonts w:ascii="Arial" w:cs="Arial" w:eastAsia="Arial" w:hAnsi="Arial"/>
          <w:sz w:val="2"/>
          <w:szCs w:val="2"/>
          <w:color w:val="FFFFFF"/>
        </w:rPr>
        <w:t>. Stephen A. Wynn (Chairman of the Board)</w:t>
      </w:r>
    </w:p>
    <w:p>
      <w:pPr>
        <w:ind w:left="180"/>
        <w:spacing w:after="0"/>
        <w:rPr>
          <w:rFonts w:ascii="Arial" w:cs="Arial" w:eastAsia="Arial" w:hAnsi="Arial"/>
          <w:sz w:val="14"/>
          <w:szCs w:val="14"/>
          <w:color w:val="FFFFFF"/>
        </w:rPr>
      </w:pPr>
      <w:r>
        <w:rPr>
          <w:rFonts w:ascii="Arial" w:cs="Arial" w:eastAsia="Arial" w:hAnsi="Arial"/>
          <w:sz w:val="3"/>
          <w:szCs w:val="3"/>
          <w:color w:val="FFFFFF"/>
        </w:rPr>
        <w:t>. Linda Chen</w:t>
      </w:r>
    </w:p>
    <w:p>
      <w:pPr>
        <w:spacing w:after="0" w:line="6" w:lineRule="exact"/>
        <w:rPr>
          <w:rFonts w:ascii="Arial" w:cs="Arial" w:eastAsia="Arial" w:hAnsi="Arial"/>
          <w:sz w:val="14"/>
          <w:szCs w:val="14"/>
          <w:color w:val="FFFFFF"/>
        </w:rPr>
      </w:pPr>
    </w:p>
    <w:p>
      <w:pPr>
        <w:ind w:right="8779" w:firstLine="158"/>
        <w:spacing w:after="0" w:line="181" w:lineRule="auto"/>
        <w:rPr>
          <w:rFonts w:ascii="Arial" w:cs="Arial" w:eastAsia="Arial" w:hAnsi="Arial"/>
          <w:sz w:val="14"/>
          <w:szCs w:val="14"/>
          <w:color w:val="FFFFFF"/>
        </w:rPr>
      </w:pPr>
      <w:r>
        <w:rPr>
          <w:rFonts w:ascii="Arial" w:cs="Arial" w:eastAsia="Arial" w:hAnsi="Arial"/>
          <w:sz w:val="7"/>
          <w:szCs w:val="7"/>
          <w:color w:val="FFFFFF"/>
        </w:rPr>
        <w:t>. Ian Michael Coughlan Non-Executive Directors Mr. Marc D. Schorr</w:t>
      </w:r>
    </w:p>
    <w:p>
      <w:pPr>
        <w:ind w:right="8159"/>
        <w:spacing w:after="0" w:line="181" w:lineRule="auto"/>
        <w:rPr>
          <w:rFonts w:ascii="Arial" w:cs="Arial" w:eastAsia="Arial" w:hAnsi="Arial"/>
          <w:sz w:val="14"/>
          <w:szCs w:val="14"/>
          <w:color w:val="FFFFFF"/>
        </w:rPr>
      </w:pPr>
      <w:r>
        <w:rPr>
          <w:rFonts w:ascii="Arial" w:cs="Arial" w:eastAsia="Arial" w:hAnsi="Arial"/>
          <w:sz w:val="7"/>
          <w:szCs w:val="7"/>
          <w:color w:val="FFFFFF"/>
        </w:rPr>
        <w:t>Dr. Allan Zeman, GBM, GBS, JP (Vice-Chairman of the Board) Independent Non-Executive Directors</w:t>
      </w:r>
    </w:p>
    <w:p>
      <w:pPr>
        <w:spacing w:after="0"/>
        <w:rPr>
          <w:rFonts w:ascii="Arial" w:cs="Arial" w:eastAsia="Arial" w:hAnsi="Arial"/>
          <w:sz w:val="14"/>
          <w:szCs w:val="14"/>
          <w:color w:val="FFFFFF"/>
        </w:rPr>
      </w:pPr>
      <w:r>
        <w:rPr>
          <w:rFonts w:ascii="Arial" w:cs="Arial" w:eastAsia="Arial" w:hAnsi="Arial"/>
          <w:sz w:val="3"/>
          <w:szCs w:val="3"/>
          <w:color w:val="FFFFFF"/>
        </w:rPr>
        <w:t>Mr. Jeffrey Kin-fung Lam, GBS, JP Mr. Bruce Rockowitz Mr. Nicholas Sallnow-Smith</w:t>
      </w:r>
    </w:p>
    <w:p>
      <w:pPr>
        <w:spacing w:after="0" w:line="6" w:lineRule="exact"/>
        <w:rPr>
          <w:rFonts w:ascii="Arial" w:cs="Arial" w:eastAsia="Arial" w:hAnsi="Arial"/>
          <w:sz w:val="14"/>
          <w:szCs w:val="14"/>
          <w:color w:val="FFFFFF"/>
        </w:rPr>
      </w:pPr>
    </w:p>
    <w:p>
      <w:pPr>
        <w:spacing w:after="0"/>
        <w:rPr>
          <w:rFonts w:ascii="Arial" w:cs="Arial" w:eastAsia="Arial" w:hAnsi="Arial"/>
          <w:sz w:val="14"/>
          <w:szCs w:val="14"/>
          <w:color w:val="FFFFFF"/>
        </w:rPr>
      </w:pPr>
      <w:r>
        <w:rPr>
          <w:rFonts w:ascii="Arial" w:cs="Arial" w:eastAsia="Arial" w:hAnsi="Arial"/>
          <w:sz w:val="3"/>
          <w:szCs w:val="3"/>
          <w:color w:val="FFFFFF"/>
        </w:rPr>
        <w:t>AUDIT COMMITTEE</w:t>
      </w:r>
    </w:p>
    <w:p>
      <w:pPr>
        <w:spacing w:after="0" w:line="6" w:lineRule="exact"/>
        <w:rPr>
          <w:rFonts w:ascii="Arial" w:cs="Arial" w:eastAsia="Arial" w:hAnsi="Arial"/>
          <w:sz w:val="14"/>
          <w:szCs w:val="14"/>
          <w:color w:val="FFFFFF"/>
        </w:rPr>
      </w:pPr>
    </w:p>
    <w:p>
      <w:pPr>
        <w:ind w:right="4959"/>
        <w:spacing w:after="0" w:line="187" w:lineRule="auto"/>
        <w:rPr>
          <w:rFonts w:ascii="Arial" w:cs="Arial" w:eastAsia="Arial" w:hAnsi="Arial"/>
          <w:sz w:val="14"/>
          <w:szCs w:val="14"/>
          <w:color w:val="FFFFFF"/>
        </w:rPr>
      </w:pPr>
      <w:r>
        <w:rPr>
          <w:rFonts w:ascii="Arial" w:cs="Arial" w:eastAsia="Arial" w:hAnsi="Arial"/>
          <w:sz w:val="9"/>
          <w:szCs w:val="9"/>
          <w:color w:val="FFFFFF"/>
        </w:rPr>
        <w:t>Mr. Nicholas Sallnow-Smith (Chairman) Mr. Bruce Rockowitz Dr. Allan Zeman, GBM, GBS, JP REMUNERATION COMMITTEE</w:t>
      </w:r>
    </w:p>
    <w:p>
      <w:pPr>
        <w:spacing w:after="0"/>
        <w:rPr>
          <w:rFonts w:ascii="Arial" w:cs="Arial" w:eastAsia="Arial" w:hAnsi="Arial"/>
          <w:sz w:val="14"/>
          <w:szCs w:val="14"/>
          <w:color w:val="FFFFFF"/>
        </w:rPr>
      </w:pPr>
      <w:r>
        <w:rPr>
          <w:rFonts w:ascii="Arial" w:cs="Arial" w:eastAsia="Arial" w:hAnsi="Arial"/>
          <w:sz w:val="3"/>
          <w:szCs w:val="3"/>
          <w:color w:val="FFFFFF"/>
        </w:rPr>
        <w:t>Mr. Nicholas Sallnow-Smith (Chairman) Mr. Jeffrey Kin-fung Lam, GBS, JP Mr. Bruce Rockowitz Mr. Marc D. Schorr</w:t>
      </w:r>
    </w:p>
    <w:p>
      <w:pPr>
        <w:spacing w:after="0" w:line="6" w:lineRule="exact"/>
        <w:rPr>
          <w:rFonts w:ascii="Arial" w:cs="Arial" w:eastAsia="Arial" w:hAnsi="Arial"/>
          <w:sz w:val="14"/>
          <w:szCs w:val="14"/>
          <w:color w:val="FFFFFF"/>
        </w:rPr>
      </w:pPr>
    </w:p>
    <w:p>
      <w:pPr>
        <w:spacing w:after="0"/>
        <w:rPr>
          <w:rFonts w:ascii="Arial" w:cs="Arial" w:eastAsia="Arial" w:hAnsi="Arial"/>
          <w:sz w:val="14"/>
          <w:szCs w:val="14"/>
          <w:color w:val="FFFFFF"/>
        </w:rPr>
      </w:pPr>
      <w:r>
        <w:rPr>
          <w:rFonts w:ascii="Arial" w:cs="Arial" w:eastAsia="Arial" w:hAnsi="Arial"/>
          <w:sz w:val="3"/>
          <w:szCs w:val="3"/>
          <w:color w:val="FFFFFF"/>
        </w:rPr>
        <w:t>NOMINATION AND CORPORATE GOVERNANCE COMMITTEE</w:t>
      </w:r>
    </w:p>
    <w:p>
      <w:pPr>
        <w:spacing w:after="0" w:line="6" w:lineRule="exact"/>
        <w:rPr>
          <w:rFonts w:ascii="Arial" w:cs="Arial" w:eastAsia="Arial" w:hAnsi="Arial"/>
          <w:sz w:val="14"/>
          <w:szCs w:val="14"/>
          <w:color w:val="FFFFFF"/>
        </w:rPr>
      </w:pPr>
    </w:p>
    <w:p>
      <w:pPr>
        <w:ind w:right="4199"/>
        <w:spacing w:after="0" w:line="187" w:lineRule="auto"/>
        <w:rPr>
          <w:rFonts w:ascii="Arial" w:cs="Arial" w:eastAsia="Arial" w:hAnsi="Arial"/>
          <w:sz w:val="14"/>
          <w:szCs w:val="14"/>
          <w:color w:val="FFFFFF"/>
        </w:rPr>
      </w:pPr>
      <w:r>
        <w:rPr>
          <w:rFonts w:ascii="Arial" w:cs="Arial" w:eastAsia="Arial" w:hAnsi="Arial"/>
          <w:sz w:val="9"/>
          <w:szCs w:val="9"/>
          <w:color w:val="FFFFFF"/>
        </w:rPr>
        <w:t>Mr. Jeffrey Kin-fung Lam, GBS, JP (Chairman) Mr. Nicholas Sallnow-Smith Dr. Allan Zeman, GBM, GBS, JP COMPANY SECRETARY</w:t>
      </w:r>
    </w:p>
    <w:p>
      <w:pPr>
        <w:ind w:right="8099"/>
        <w:spacing w:after="0"/>
        <w:rPr>
          <w:rFonts w:ascii="Arial" w:cs="Arial" w:eastAsia="Arial" w:hAnsi="Arial"/>
          <w:sz w:val="14"/>
          <w:szCs w:val="14"/>
          <w:color w:val="FFFFFF"/>
        </w:rPr>
      </w:pPr>
      <w:r>
        <w:rPr>
          <w:rFonts w:ascii="Arial" w:cs="Arial" w:eastAsia="Arial" w:hAnsi="Arial"/>
          <w:sz w:val="6"/>
          <w:szCs w:val="6"/>
          <w:color w:val="FFFFFF"/>
        </w:rPr>
        <w:t>Ms. Kwok Yu Ching, FCIS, FCS AUTHORIZED REPRESENTATIVES</w:t>
      </w:r>
    </w:p>
    <w:p>
      <w:pPr>
        <w:spacing w:after="0" w:line="12" w:lineRule="exact"/>
        <w:rPr>
          <w:rFonts w:ascii="Arial" w:cs="Arial" w:eastAsia="Arial" w:hAnsi="Arial"/>
          <w:sz w:val="14"/>
          <w:szCs w:val="14"/>
          <w:color w:val="FFFFFF"/>
        </w:rPr>
      </w:pPr>
    </w:p>
    <w:p>
      <w:pPr>
        <w:ind w:right="6599"/>
        <w:spacing w:after="0"/>
        <w:rPr>
          <w:rFonts w:ascii="Arial" w:cs="Arial" w:eastAsia="Arial" w:hAnsi="Arial"/>
          <w:sz w:val="14"/>
          <w:szCs w:val="14"/>
          <w:color w:val="FFFFFF"/>
        </w:rPr>
      </w:pPr>
      <w:r>
        <w:rPr>
          <w:rFonts w:ascii="Arial" w:cs="Arial" w:eastAsia="Arial" w:hAnsi="Arial"/>
          <w:sz w:val="7"/>
          <w:szCs w:val="7"/>
          <w:color w:val="FFFFFF"/>
        </w:rPr>
        <w:t>Dr. Allan Zeman, GBM, GBS, JP Ms. Kwok Yu Ching, FCIS, FCS (Mrs. Seng Sze Ka Mee, Natalia as alternate)</w:t>
      </w:r>
    </w:p>
    <w:p>
      <w:pPr>
        <w:ind w:right="9399"/>
        <w:spacing w:after="0"/>
        <w:rPr>
          <w:rFonts w:ascii="Arial" w:cs="Arial" w:eastAsia="Arial" w:hAnsi="Arial"/>
          <w:sz w:val="14"/>
          <w:szCs w:val="14"/>
          <w:color w:val="FFFFFF"/>
        </w:rPr>
      </w:pPr>
      <w:r>
        <w:rPr>
          <w:rFonts w:ascii="Arial" w:cs="Arial" w:eastAsia="Arial" w:hAnsi="Arial"/>
          <w:sz w:val="6"/>
          <w:szCs w:val="6"/>
          <w:color w:val="FFFFFF"/>
        </w:rPr>
        <w:t>AUDITORS Ernst &amp; Young</w:t>
      </w:r>
    </w:p>
    <w:p>
      <w:pPr>
        <w:spacing w:after="0" w:line="12" w:lineRule="exact"/>
        <w:rPr>
          <w:rFonts w:ascii="Arial" w:cs="Arial" w:eastAsia="Arial" w:hAnsi="Arial"/>
          <w:sz w:val="14"/>
          <w:szCs w:val="14"/>
          <w:color w:val="FFFFFF"/>
        </w:rPr>
      </w:pPr>
    </w:p>
    <w:p>
      <w:pPr>
        <w:spacing w:after="0"/>
        <w:rPr>
          <w:rFonts w:ascii="Arial" w:cs="Arial" w:eastAsia="Arial" w:hAnsi="Arial"/>
          <w:sz w:val="14"/>
          <w:szCs w:val="14"/>
          <w:color w:val="FFFFFF"/>
        </w:rPr>
      </w:pPr>
      <w:r>
        <w:rPr>
          <w:rFonts w:ascii="Arial" w:cs="Arial" w:eastAsia="Arial" w:hAnsi="Arial"/>
          <w:sz w:val="3"/>
          <w:szCs w:val="3"/>
          <w:color w:val="FFFFFF"/>
        </w:rPr>
        <w:t>Certified? ed Public Accountants</w:t>
      </w:r>
    </w:p>
    <w:p>
      <w:pPr>
        <w:spacing w:after="0" w:line="6" w:lineRule="exact"/>
        <w:rPr>
          <w:rFonts w:ascii="Arial" w:cs="Arial" w:eastAsia="Arial" w:hAnsi="Arial"/>
          <w:sz w:val="14"/>
          <w:szCs w:val="14"/>
          <w:color w:val="FFFFFF"/>
        </w:rPr>
      </w:pPr>
    </w:p>
    <w:p>
      <w:pPr>
        <w:spacing w:after="0"/>
        <w:rPr>
          <w:rFonts w:ascii="Arial" w:cs="Arial" w:eastAsia="Arial" w:hAnsi="Arial"/>
          <w:sz w:val="14"/>
          <w:szCs w:val="14"/>
          <w:color w:val="FFFFFF"/>
        </w:rPr>
      </w:pPr>
      <w:r>
        <w:rPr>
          <w:rFonts w:ascii="Arial" w:cs="Arial" w:eastAsia="Arial" w:hAnsi="Arial"/>
          <w:sz w:val="3"/>
          <w:szCs w:val="3"/>
          <w:color w:val="FFFFFF"/>
        </w:rPr>
        <w:t>LEGAL ADVISORS</w:t>
      </w:r>
    </w:p>
    <w:p>
      <w:pPr>
        <w:spacing w:after="0" w:line="6" w:lineRule="exact"/>
        <w:rPr>
          <w:rFonts w:ascii="Arial" w:cs="Arial" w:eastAsia="Arial" w:hAnsi="Arial"/>
          <w:sz w:val="14"/>
          <w:szCs w:val="14"/>
          <w:color w:val="FFFFFF"/>
        </w:rPr>
      </w:pPr>
    </w:p>
    <w:p>
      <w:pPr>
        <w:ind w:right="8079"/>
        <w:spacing w:after="0" w:line="181" w:lineRule="auto"/>
        <w:rPr>
          <w:rFonts w:ascii="Arial" w:cs="Arial" w:eastAsia="Arial" w:hAnsi="Arial"/>
          <w:sz w:val="14"/>
          <w:szCs w:val="14"/>
          <w:color w:val="FFFFFF"/>
        </w:rPr>
      </w:pPr>
      <w:r>
        <w:rPr>
          <w:rFonts w:ascii="Arial" w:cs="Arial" w:eastAsia="Arial" w:hAnsi="Arial"/>
          <w:sz w:val="7"/>
          <w:szCs w:val="7"/>
          <w:color w:val="FFFFFF"/>
        </w:rPr>
        <w:t>As to Hong Kong and U.S. laws: Skadden, Arps, Slate, Meagher &amp; Flom As to Hong Kong law:</w:t>
      </w:r>
    </w:p>
    <w:p>
      <w:pPr>
        <w:ind w:right="9179"/>
        <w:spacing w:after="0"/>
        <w:rPr>
          <w:rFonts w:ascii="Arial" w:cs="Arial" w:eastAsia="Arial" w:hAnsi="Arial"/>
          <w:sz w:val="14"/>
          <w:szCs w:val="14"/>
          <w:color w:val="FFFFFF"/>
        </w:rPr>
      </w:pPr>
      <w:r>
        <w:rPr>
          <w:rFonts w:ascii="Arial" w:cs="Arial" w:eastAsia="Arial" w:hAnsi="Arial"/>
          <w:sz w:val="6"/>
          <w:szCs w:val="6"/>
          <w:color w:val="FFFFFF"/>
        </w:rPr>
        <w:t>Mayer Brown JSM As to Macau law:</w:t>
      </w:r>
    </w:p>
    <w:p>
      <w:pPr>
        <w:spacing w:after="0" w:line="12" w:lineRule="exact"/>
        <w:rPr>
          <w:rFonts w:ascii="Arial" w:cs="Arial" w:eastAsia="Arial" w:hAnsi="Arial"/>
          <w:sz w:val="14"/>
          <w:szCs w:val="14"/>
          <w:color w:val="FFFFFF"/>
        </w:rPr>
      </w:pPr>
    </w:p>
    <w:p>
      <w:pPr>
        <w:ind w:right="8539"/>
        <w:spacing w:after="0"/>
        <w:rPr>
          <w:rFonts w:ascii="Arial" w:cs="Arial" w:eastAsia="Arial" w:hAnsi="Arial"/>
          <w:sz w:val="14"/>
          <w:szCs w:val="14"/>
          <w:color w:val="FFFFFF"/>
        </w:rPr>
      </w:pPr>
      <w:r>
        <w:rPr>
          <w:rFonts w:ascii="Arial" w:cs="Arial" w:eastAsia="Arial" w:hAnsi="Arial"/>
          <w:sz w:val="9"/>
          <w:szCs w:val="9"/>
          <w:color w:val="FFFFFF"/>
        </w:rPr>
        <w:t>Dr. Alexandre Correia da Silva As to Cayman Islands law: Maples and Calder</w:t>
      </w:r>
    </w:p>
    <w:p>
      <w:pPr>
        <w:sectPr>
          <w:pgSz w:w="11900" w:h="16838" w:orient="portrait"/>
          <w:cols w:equalWidth="0" w:num="1">
            <w:col w:w="10219"/>
          </w:cols>
          <w:pgMar w:left="2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2012 3</w:t>
      </w:r>
    </w:p>
    <w:p>
      <w:pPr>
        <w:spacing w:after="0" w:line="187" w:lineRule="auto"/>
        <w:rPr>
          <w:sz w:val="20"/>
          <w:szCs w:val="20"/>
          <w:color w:val="auto"/>
        </w:rPr>
      </w:pPr>
      <w:r>
        <w:rPr>
          <w:rFonts w:ascii="Arial" w:cs="Arial" w:eastAsia="Arial" w:hAnsi="Arial"/>
          <w:sz w:val="9"/>
          <w:szCs w:val="9"/>
          <w:color w:val="FFFFFF"/>
        </w:rPr>
        <w:t>Corporate Information</w:t>
      </w:r>
    </w:p>
    <w:p>
      <w:pPr>
        <w:spacing w:after="0"/>
        <w:rPr>
          <w:sz w:val="20"/>
          <w:szCs w:val="20"/>
          <w:color w:val="auto"/>
        </w:rPr>
      </w:pPr>
      <w:r>
        <w:rPr>
          <w:rFonts w:ascii="Arial" w:cs="Arial" w:eastAsia="Arial" w:hAnsi="Arial"/>
          <w:sz w:val="7"/>
          <w:szCs w:val="7"/>
          <w:color w:val="FFFFFF"/>
        </w:rPr>
        <w:t>P.O.REGISTEREDBox309ComputershareOFFICEHONGHongKONGKongSHAREInvestorREGISTRAR</w:t>
      </w:r>
    </w:p>
    <w:p>
      <w:pPr>
        <w:spacing w:after="0" w:line="189" w:lineRule="auto"/>
        <w:rPr>
          <w:sz w:val="20"/>
          <w:szCs w:val="20"/>
          <w:color w:val="auto"/>
        </w:rPr>
      </w:pPr>
      <w:r>
        <w:rPr>
          <w:rFonts w:ascii="Arial" w:cs="Arial" w:eastAsia="Arial" w:hAnsi="Arial"/>
          <w:sz w:val="9"/>
          <w:szCs w:val="9"/>
          <w:color w:val="FFFFFF"/>
        </w:rPr>
        <w:t>GrandUglandCaymanHouseServices Limited</w:t>
      </w:r>
    </w:p>
    <w:p>
      <w:pPr>
        <w:spacing w:after="0"/>
        <w:rPr>
          <w:sz w:val="20"/>
          <w:szCs w:val="20"/>
          <w:color w:val="auto"/>
        </w:rPr>
      </w:pPr>
      <w:r>
        <w:rPr>
          <w:rFonts w:ascii="Arial" w:cs="Arial" w:eastAsia="Arial" w:hAnsi="Arial"/>
          <w:sz w:val="3"/>
          <w:szCs w:val="3"/>
          <w:color w:val="FFFFFF"/>
        </w:rPr>
        <w:t>CaymanKY1-1104IslandsSTOCK1128CODE</w:t>
      </w:r>
    </w:p>
    <w:p>
      <w:pPr>
        <w:spacing w:after="0" w:line="181" w:lineRule="auto"/>
        <w:rPr>
          <w:sz w:val="20"/>
          <w:szCs w:val="20"/>
          <w:color w:val="auto"/>
        </w:rPr>
      </w:pPr>
      <w:r>
        <w:rPr>
          <w:rFonts w:ascii="Arial" w:cs="Arial" w:eastAsia="Arial" w:hAnsi="Arial"/>
          <w:sz w:val="10"/>
          <w:szCs w:val="10"/>
          <w:color w:val="FFFFFF"/>
        </w:rPr>
        <w:t>HEADQUARTERS IN MACAU COMPANY WEBSITE</w:t>
      </w:r>
    </w:p>
    <w:p>
      <w:pPr>
        <w:spacing w:after="0" w:line="188" w:lineRule="auto"/>
        <w:rPr>
          <w:sz w:val="20"/>
          <w:szCs w:val="20"/>
          <w:color w:val="auto"/>
        </w:rPr>
      </w:pPr>
      <w:r>
        <w:rPr>
          <w:rFonts w:ascii="Arial" w:cs="Arial" w:eastAsia="Arial" w:hAnsi="Arial"/>
          <w:sz w:val="9"/>
          <w:szCs w:val="9"/>
          <w:color w:val="FFFFFF"/>
        </w:rPr>
        <w:t>NAPE,RuaCidadeMacaude SARSintra www.wynnmacaulimited.com</w:t>
      </w:r>
    </w:p>
    <w:p>
      <w:pPr>
        <w:spacing w:after="0" w:line="212" w:lineRule="auto"/>
        <w:rPr>
          <w:sz w:val="20"/>
          <w:szCs w:val="20"/>
          <w:color w:val="auto"/>
        </w:rPr>
      </w:pPr>
      <w:r>
        <w:rPr>
          <w:rFonts w:ascii="Arial" w:cs="Arial" w:eastAsia="Arial" w:hAnsi="Arial"/>
          <w:sz w:val="4"/>
          <w:szCs w:val="4"/>
          <w:color w:val="FFFFFF"/>
          <w:vertAlign w:val="subscript"/>
        </w:rPr>
        <w:t>PRINCIP</w:t>
      </w:r>
      <w:r>
        <w:rPr>
          <w:rFonts w:ascii="Arial" w:cs="Arial" w:eastAsia="Arial" w:hAnsi="Arial"/>
          <w:sz w:val="2"/>
          <w:szCs w:val="2"/>
          <w:color w:val="FFFFFF"/>
        </w:rPr>
        <w:t>HONGALKONGPLACE OF BUSINESS</w:t>
      </w:r>
    </w:p>
    <w:p>
      <w:pPr>
        <w:spacing w:after="0" w:line="197" w:lineRule="auto"/>
        <w:rPr>
          <w:sz w:val="20"/>
          <w:szCs w:val="20"/>
          <w:color w:val="auto"/>
        </w:rPr>
      </w:pPr>
      <w:r>
        <w:rPr>
          <w:rFonts w:ascii="Arial" w:cs="Arial" w:eastAsia="Arial" w:hAnsi="Arial"/>
          <w:sz w:val="10"/>
          <w:szCs w:val="10"/>
          <w:color w:val="FFFFFF"/>
        </w:rPr>
        <w:t>Level 28, Three Pacific Place</w:t>
      </w:r>
    </w:p>
    <w:p>
      <w:pPr>
        <w:spacing w:after="0" w:line="188" w:lineRule="auto"/>
        <w:rPr>
          <w:sz w:val="20"/>
          <w:szCs w:val="20"/>
          <w:color w:val="auto"/>
        </w:rPr>
      </w:pPr>
      <w:r>
        <w:rPr>
          <w:rFonts w:ascii="Arial" w:cs="Arial" w:eastAsia="Arial" w:hAnsi="Arial"/>
          <w:sz w:val="9"/>
          <w:szCs w:val="9"/>
          <w:color w:val="FFFFFF"/>
        </w:rPr>
        <w:t>Hong1 KongQueen’s Road East</w:t>
      </w:r>
    </w:p>
    <w:p>
      <w:pPr>
        <w:spacing w:after="0" w:line="212" w:lineRule="auto"/>
        <w:rPr>
          <w:sz w:val="20"/>
          <w:szCs w:val="20"/>
          <w:color w:val="auto"/>
        </w:rPr>
      </w:pPr>
      <w:r>
        <w:rPr>
          <w:rFonts w:ascii="Arial" w:cs="Arial" w:eastAsia="Arial" w:hAnsi="Arial"/>
          <w:sz w:val="2"/>
          <w:szCs w:val="2"/>
          <w:color w:val="FFFFFF"/>
        </w:rPr>
        <w:t>ApplebyPRINCIPAL</w:t>
      </w:r>
      <w:r>
        <w:rPr>
          <w:rFonts w:ascii="Arial" w:cs="Arial" w:eastAsia="Arial" w:hAnsi="Arial"/>
          <w:sz w:val="4"/>
          <w:szCs w:val="4"/>
          <w:color w:val="FFFFFF"/>
          <w:vertAlign w:val="superscript"/>
        </w:rPr>
        <w:t>ND</w:t>
      </w:r>
      <w:r>
        <w:rPr>
          <w:rFonts w:ascii="Arial" w:cs="Arial" w:eastAsia="Arial" w:hAnsi="Arial"/>
          <w:sz w:val="2"/>
          <w:szCs w:val="2"/>
          <w:color w:val="FFFFFF"/>
        </w:rPr>
        <w:t>TRANSFERSHARE</w:t>
      </w:r>
      <w:r>
        <w:rPr>
          <w:rFonts w:ascii="Arial" w:cs="Arial" w:eastAsia="Arial" w:hAnsi="Arial"/>
          <w:sz w:val="4"/>
          <w:szCs w:val="4"/>
          <w:color w:val="FFFFFF"/>
          <w:vertAlign w:val="superscript"/>
        </w:rPr>
        <w:t>OFFICE</w:t>
      </w:r>
      <w:r>
        <w:rPr>
          <w:rFonts w:ascii="Arial" w:cs="Arial" w:eastAsia="Arial" w:hAnsi="Arial"/>
          <w:sz w:val="2"/>
          <w:szCs w:val="2"/>
          <w:color w:val="FFFFFF"/>
        </w:rPr>
        <w:t>REGISTRAR</w:t>
      </w:r>
    </w:p>
    <w:p>
      <w:pPr>
        <w:ind w:left="580"/>
        <w:spacing w:after="0"/>
        <w:rPr>
          <w:sz w:val="20"/>
          <w:szCs w:val="20"/>
          <w:color w:val="auto"/>
        </w:rPr>
      </w:pPr>
      <w:r>
        <w:rPr>
          <w:rFonts w:ascii="Arial" w:cs="Arial" w:eastAsia="Arial" w:hAnsi="Arial"/>
          <w:sz w:val="14"/>
          <w:szCs w:val="14"/>
          <w:color w:val="FFFFFF"/>
        </w:rPr>
        <w:t>rust (Cayman) Limited</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FFFFFF"/>
        </w:rPr>
        <w:t>Highlights4Wynn Macau, Limited</w:t>
      </w:r>
    </w:p>
    <w:p>
      <w:pPr>
        <w:spacing w:after="0" w:line="187" w:lineRule="auto"/>
        <w:rPr>
          <w:sz w:val="20"/>
          <w:szCs w:val="20"/>
          <w:color w:val="auto"/>
        </w:rPr>
      </w:pPr>
      <w:r>
        <w:rPr>
          <w:rFonts w:ascii="Arial" w:cs="Arial" w:eastAsia="Arial" w:hAnsi="Arial"/>
          <w:sz w:val="9"/>
          <w:szCs w:val="9"/>
          <w:color w:val="FFFFFF"/>
          <w:vertAlign w:val="superscript"/>
        </w:rPr>
        <w:t>For</w:t>
      </w:r>
      <w:r>
        <w:rPr>
          <w:rFonts w:ascii="Arial" w:cs="Arial" w:eastAsia="Arial" w:hAnsi="Arial"/>
          <w:sz w:val="7"/>
          <w:szCs w:val="7"/>
          <w:color w:val="FFFFFF"/>
        </w:rPr>
        <w:t>INANCIAL HIGHLIGHTS</w:t>
      </w:r>
    </w:p>
    <w:p>
      <w:pPr>
        <w:spacing w:after="0" w:line="213" w:lineRule="auto"/>
        <w:rPr>
          <w:sz w:val="20"/>
          <w:szCs w:val="20"/>
          <w:color w:val="auto"/>
        </w:rPr>
      </w:pPr>
      <w:r>
        <w:rPr>
          <w:rFonts w:ascii="Arial" w:cs="Arial" w:eastAsia="Arial" w:hAnsi="Arial"/>
          <w:sz w:val="4"/>
          <w:szCs w:val="4"/>
          <w:color w:val="FFFFFF"/>
          <w:vertAlign w:val="subscript"/>
        </w:rPr>
        <w:t>2012</w:t>
      </w:r>
      <w:r>
        <w:rPr>
          <w:rFonts w:ascii="Arial" w:cs="Arial" w:eastAsia="Arial" w:hAnsi="Arial"/>
          <w:sz w:val="2"/>
          <w:szCs w:val="2"/>
          <w:color w:val="FFFFFF"/>
        </w:rPr>
        <w:t>30Junethe Six Months Ended</w:t>
      </w:r>
    </w:p>
    <w:p>
      <w:pPr>
        <w:ind w:left="320"/>
        <w:spacing w:after="0" w:line="188" w:lineRule="auto"/>
        <w:rPr>
          <w:sz w:val="20"/>
          <w:szCs w:val="20"/>
          <w:color w:val="auto"/>
        </w:rPr>
      </w:pPr>
      <w:r>
        <w:rPr>
          <w:rFonts w:ascii="Arial" w:cs="Arial" w:eastAsia="Arial" w:hAnsi="Arial"/>
          <w:sz w:val="9"/>
          <w:szCs w:val="9"/>
          <w:color w:val="FFFFFF"/>
        </w:rPr>
        <w:t>2011</w:t>
      </w:r>
    </w:p>
    <w:p>
      <w:pPr>
        <w:spacing w:after="0" w:line="188" w:lineRule="auto"/>
        <w:rPr>
          <w:sz w:val="20"/>
          <w:szCs w:val="20"/>
          <w:color w:val="auto"/>
        </w:rPr>
      </w:pPr>
      <w:r>
        <w:rPr>
          <w:rFonts w:ascii="Arial" w:cs="Arial" w:eastAsia="Arial" w:hAnsi="Arial"/>
          <w:sz w:val="9"/>
          <w:szCs w:val="9"/>
          <w:color w:val="FFFFFF"/>
        </w:rPr>
        <w:t>(inHKthousands,$HK$</w:t>
      </w:r>
    </w:p>
    <w:p>
      <w:pPr>
        <w:spacing w:after="0" w:line="187" w:lineRule="auto"/>
        <w:rPr>
          <w:sz w:val="20"/>
          <w:szCs w:val="20"/>
          <w:color w:val="auto"/>
        </w:rPr>
      </w:pPr>
      <w:r>
        <w:rPr>
          <w:rFonts w:ascii="Arial" w:cs="Arial" w:eastAsia="Arial" w:hAnsi="Arial"/>
          <w:sz w:val="9"/>
          <w:szCs w:val="9"/>
          <w:color w:val="FFFFFF"/>
        </w:rPr>
        <w:t>orexceptotherwisepersharestated)amounts</w:t>
      </w:r>
    </w:p>
    <w:p>
      <w:pPr>
        <w:spacing w:after="0" w:line="213" w:lineRule="auto"/>
        <w:rPr>
          <w:sz w:val="20"/>
          <w:szCs w:val="20"/>
          <w:color w:val="auto"/>
        </w:rPr>
      </w:pPr>
      <w:r>
        <w:rPr>
          <w:rFonts w:ascii="Arial" w:cs="Arial" w:eastAsia="Arial" w:hAnsi="Arial"/>
          <w:sz w:val="2"/>
          <w:szCs w:val="2"/>
          <w:color w:val="FFFFFF"/>
        </w:rPr>
        <w:t>OtherCasinorevenuesrevenues</w:t>
      </w:r>
      <w:r>
        <w:rPr>
          <w:rFonts w:ascii="Arial" w:cs="Arial" w:eastAsia="Arial" w:hAnsi="Arial"/>
          <w:sz w:val="4"/>
          <w:szCs w:val="4"/>
          <w:color w:val="FFFFFF"/>
          <w:vertAlign w:val="subscript"/>
        </w:rPr>
        <w:t>868,877</w:t>
      </w:r>
      <w:r>
        <w:rPr>
          <w:rFonts w:ascii="Arial" w:cs="Arial" w:eastAsia="Arial" w:hAnsi="Arial"/>
          <w:sz w:val="2"/>
          <w:szCs w:val="2"/>
          <w:color w:val="FFFFFF"/>
        </w:rPr>
        <w:t>13556,0</w:t>
      </w:r>
      <w:r>
        <w:rPr>
          <w:rFonts w:ascii="Arial" w:cs="Arial" w:eastAsia="Arial" w:hAnsi="Arial"/>
          <w:sz w:val="4"/>
          <w:szCs w:val="4"/>
          <w:color w:val="FFFFFF"/>
          <w:vertAlign w:val="subscript"/>
        </w:rPr>
        <w:t>827,753</w:t>
      </w:r>
      <w:r>
        <w:rPr>
          <w:rFonts w:ascii="Arial" w:cs="Arial" w:eastAsia="Arial" w:hAnsi="Arial"/>
          <w:sz w:val="2"/>
          <w:szCs w:val="2"/>
          <w:color w:val="FFFFFF"/>
        </w:rPr>
        <w:t>13,510,030</w:t>
      </w:r>
    </w:p>
    <w:p>
      <w:pPr>
        <w:spacing w:after="0" w:line="188" w:lineRule="auto"/>
        <w:rPr>
          <w:sz w:val="20"/>
          <w:szCs w:val="20"/>
          <w:color w:val="auto"/>
        </w:rPr>
      </w:pPr>
      <w:r>
        <w:rPr>
          <w:rFonts w:ascii="Arial" w:cs="Arial" w:eastAsia="Arial" w:hAnsi="Arial"/>
          <w:sz w:val="9"/>
          <w:szCs w:val="9"/>
          <w:color w:val="FFFFFF"/>
        </w:rPr>
        <w:t>EBITDA 3,932,125 3,909,496</w:t>
      </w:r>
    </w:p>
    <w:p>
      <w:pPr>
        <w:spacing w:after="0"/>
        <w:rPr>
          <w:sz w:val="20"/>
          <w:szCs w:val="20"/>
          <w:color w:val="auto"/>
        </w:rPr>
      </w:pPr>
      <w:r>
        <w:rPr>
          <w:rFonts w:ascii="Arial" w:cs="Arial" w:eastAsia="Arial" w:hAnsi="Arial"/>
          <w:sz w:val="7"/>
          <w:szCs w:val="7"/>
          <w:color w:val="FFFFFF"/>
        </w:rPr>
        <w:t>EarningsProfitattributableperShareto—ownersbasic and3,337,166diluted2,412,44764cents47 cents</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20"/>
                <w:szCs w:val="20"/>
                <w:color w:val="auto"/>
              </w:rPr>
            </w:pPr>
            <w:r>
              <w:rPr>
                <w:rFonts w:ascii="Arial" w:cs="Arial" w:eastAsia="Arial" w:hAnsi="Arial"/>
                <w:sz w:val="14"/>
                <w:szCs w:val="14"/>
                <w:color w:val="FFFFFF"/>
              </w:rPr>
              <w:t>Interim Report 2012 5</w:t>
            </w:r>
          </w:p>
        </w:tc>
        <w:tc>
          <w:tcPr>
            <w:tcW w:w="20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34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20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340" w:type="dxa"/>
            <w:vAlign w:val="bottom"/>
          </w:tcPr>
          <w:p>
            <w:pPr>
              <w:spacing w:after="0"/>
              <w:rPr>
                <w:sz w:val="20"/>
                <w:szCs w:val="20"/>
                <w:color w:val="auto"/>
              </w:rPr>
            </w:pPr>
            <w:r>
              <w:rPr>
                <w:rFonts w:ascii="Arial" w:cs="Arial" w:eastAsia="Arial" w:hAnsi="Arial"/>
                <w:sz w:val="3"/>
                <w:szCs w:val="3"/>
                <w:color w:val="FFFFFF"/>
              </w:rPr>
              <w:t>OVERVIEW</w:t>
            </w:r>
          </w:p>
        </w:tc>
        <w:tc>
          <w:tcPr>
            <w:tcW w:w="5880" w:type="dxa"/>
            <w:vAlign w:val="bottom"/>
            <w:gridSpan w:val="2"/>
            <w:vMerge w:val="restart"/>
          </w:tcPr>
          <w:p>
            <w:pPr>
              <w:ind w:left="200"/>
              <w:spacing w:after="0" w:line="81" w:lineRule="exact"/>
              <w:rPr>
                <w:sz w:val="20"/>
                <w:szCs w:val="20"/>
                <w:color w:val="auto"/>
              </w:rPr>
            </w:pPr>
            <w:r>
              <w:rPr>
                <w:rFonts w:ascii="Arial" w:cs="Arial" w:eastAsia="Arial" w:hAnsi="Arial"/>
                <w:sz w:val="9"/>
                <w:szCs w:val="9"/>
                <w:color w:val="FFFFFF"/>
              </w:rPr>
              <w:t>Macau peninsula. In December 2007 and November 2009, Wynn Macau completed expansions, adding</w:t>
            </w:r>
          </w:p>
        </w:tc>
        <w:tc>
          <w:tcPr>
            <w:tcW w:w="0" w:type="dxa"/>
            <w:vAlign w:val="bottom"/>
          </w:tcPr>
          <w:p>
            <w:pPr>
              <w:spacing w:after="0"/>
              <w:rPr>
                <w:sz w:val="1"/>
                <w:szCs w:val="1"/>
                <w:color w:val="auto"/>
              </w:rPr>
            </w:pPr>
          </w:p>
        </w:tc>
      </w:tr>
      <w:tr>
        <w:trPr>
          <w:trHeight w:val="41"/>
        </w:trPr>
        <w:tc>
          <w:tcPr>
            <w:tcW w:w="5340" w:type="dxa"/>
            <w:vAlign w:val="bottom"/>
          </w:tcPr>
          <w:p>
            <w:pPr>
              <w:spacing w:after="0"/>
              <w:rPr>
                <w:sz w:val="20"/>
                <w:szCs w:val="20"/>
                <w:color w:val="auto"/>
              </w:rPr>
            </w:pPr>
            <w:r>
              <w:rPr>
                <w:rFonts w:ascii="Arial" w:cs="Arial" w:eastAsia="Arial" w:hAnsi="Arial"/>
                <w:sz w:val="3"/>
                <w:szCs w:val="3"/>
                <w:color w:val="FFFFFF"/>
              </w:rPr>
              <w:t>Wynn Macau opened to the public on 6 September 2006 at the center of casino activities on the</w:t>
            </w:r>
          </w:p>
        </w:tc>
        <w:tc>
          <w:tcPr>
            <w:tcW w:w="58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20" w:type="dxa"/>
            <w:vAlign w:val="bottom"/>
            <w:gridSpan w:val="3"/>
          </w:tcPr>
          <w:p>
            <w:pPr>
              <w:spacing w:after="0"/>
              <w:rPr>
                <w:sz w:val="20"/>
                <w:szCs w:val="20"/>
                <w:color w:val="auto"/>
              </w:rPr>
            </w:pPr>
            <w:r>
              <w:rPr>
                <w:rFonts w:ascii="Arial" w:cs="Arial" w:eastAsia="Arial" w:hAnsi="Arial"/>
                <w:sz w:val="3"/>
                <w:szCs w:val="3"/>
                <w:color w:val="FFFFFF"/>
              </w:rPr>
              <w:t>more gaming space and additional food and beverage and retail amenities. Encore at Wynn Macau,urbanfurther expansion of Wynn Macau that added a fully integrated resort hotel, opened on 21 April 2010.</w:t>
            </w:r>
          </w:p>
        </w:tc>
        <w:tc>
          <w:tcPr>
            <w:tcW w:w="0" w:type="dxa"/>
            <w:vAlign w:val="bottom"/>
          </w:tcPr>
          <w:p>
            <w:pPr>
              <w:spacing w:after="0"/>
              <w:rPr>
                <w:sz w:val="1"/>
                <w:szCs w:val="1"/>
                <w:color w:val="auto"/>
              </w:rPr>
            </w:pPr>
          </w:p>
        </w:tc>
      </w:tr>
      <w:tr>
        <w:trPr>
          <w:trHeight w:val="41"/>
        </w:trPr>
        <w:tc>
          <w:tcPr>
            <w:tcW w:w="5340" w:type="dxa"/>
            <w:vAlign w:val="bottom"/>
          </w:tcPr>
          <w:p>
            <w:pPr>
              <w:spacing w:after="0"/>
              <w:rPr>
                <w:sz w:val="20"/>
                <w:szCs w:val="20"/>
                <w:color w:val="auto"/>
              </w:rPr>
            </w:pPr>
            <w:r>
              <w:rPr>
                <w:rFonts w:ascii="Arial" w:cs="Arial" w:eastAsia="Arial" w:hAnsi="Arial"/>
                <w:sz w:val="3"/>
                <w:szCs w:val="3"/>
                <w:color w:val="FFFFFF"/>
              </w:rPr>
              <w:t>Our Macau resort complex features:</w:t>
            </w:r>
          </w:p>
        </w:tc>
        <w:tc>
          <w:tcPr>
            <w:tcW w:w="20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20" w:type="dxa"/>
            <w:vAlign w:val="bottom"/>
            <w:gridSpan w:val="3"/>
          </w:tcPr>
          <w:p>
            <w:pPr>
              <w:spacing w:after="0"/>
              <w:rPr>
                <w:sz w:val="20"/>
                <w:szCs w:val="20"/>
                <w:color w:val="auto"/>
              </w:rPr>
            </w:pPr>
            <w:r>
              <w:rPr>
                <w:rFonts w:ascii="Arial" w:cs="Arial" w:eastAsia="Arial" w:hAnsi="Arial"/>
                <w:sz w:val="3"/>
                <w:szCs w:val="3"/>
                <w:color w:val="FFFFFF"/>
              </w:rPr>
              <w:t>Approximately 265,000 square feet of casino space, offering 24-hour gaming and a full range of games, including private gaming salons, sky casinos and a poker pit;</w:t>
            </w:r>
          </w:p>
        </w:tc>
        <w:tc>
          <w:tcPr>
            <w:tcW w:w="0" w:type="dxa"/>
            <w:vAlign w:val="bottom"/>
          </w:tcPr>
          <w:p>
            <w:pPr>
              <w:spacing w:after="0"/>
              <w:rPr>
                <w:sz w:val="1"/>
                <w:szCs w:val="1"/>
                <w:color w:val="auto"/>
              </w:rPr>
            </w:pPr>
          </w:p>
        </w:tc>
      </w:tr>
      <w:tr>
        <w:trPr>
          <w:trHeight w:val="41"/>
        </w:trPr>
        <w:tc>
          <w:tcPr>
            <w:tcW w:w="5340" w:type="dxa"/>
            <w:vAlign w:val="bottom"/>
          </w:tcPr>
          <w:p>
            <w:pPr>
              <w:spacing w:after="0"/>
              <w:rPr>
                <w:sz w:val="20"/>
                <w:szCs w:val="20"/>
                <w:color w:val="auto"/>
              </w:rPr>
            </w:pPr>
            <w:r>
              <w:rPr>
                <w:rFonts w:ascii="Arial" w:cs="Arial" w:eastAsia="Arial" w:hAnsi="Arial"/>
                <w:sz w:val="3"/>
                <w:szCs w:val="3"/>
                <w:color w:val="FFFFFF"/>
              </w:rPr>
              <w:t>Two luxury hotel towers with a total of 1,008 spacious rooms and suites;</w:t>
            </w:r>
          </w:p>
        </w:tc>
        <w:tc>
          <w:tcPr>
            <w:tcW w:w="20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340" w:type="dxa"/>
            <w:vAlign w:val="bottom"/>
          </w:tcPr>
          <w:p>
            <w:pPr>
              <w:spacing w:after="0"/>
              <w:rPr>
                <w:sz w:val="20"/>
                <w:szCs w:val="20"/>
                <w:color w:val="auto"/>
              </w:rPr>
            </w:pPr>
            <w:r>
              <w:rPr>
                <w:rFonts w:ascii="Arial" w:cs="Arial" w:eastAsia="Arial" w:hAnsi="Arial"/>
                <w:sz w:val="3"/>
                <w:szCs w:val="3"/>
                <w:color w:val="FFFFFF"/>
              </w:rPr>
              <w:t>Casual and fine dining in eight restaurants;</w:t>
            </w:r>
          </w:p>
        </w:tc>
        <w:tc>
          <w:tcPr>
            <w:tcW w:w="2020" w:type="dxa"/>
            <w:vAlign w:val="bottom"/>
          </w:tcPr>
          <w:p>
            <w:pPr>
              <w:spacing w:after="0"/>
              <w:rPr>
                <w:sz w:val="3"/>
                <w:szCs w:val="3"/>
                <w:color w:val="auto"/>
              </w:rPr>
            </w:pPr>
          </w:p>
        </w:tc>
        <w:tc>
          <w:tcPr>
            <w:tcW w:w="3860" w:type="dxa"/>
            <w:vAlign w:val="bottom"/>
            <w:vMerge w:val="restart"/>
          </w:tcPr>
          <w:p>
            <w:pPr>
              <w:ind w:left="240"/>
              <w:spacing w:after="0"/>
              <w:rPr>
                <w:sz w:val="20"/>
                <w:szCs w:val="20"/>
                <w:color w:val="auto"/>
              </w:rPr>
            </w:pPr>
            <w:r>
              <w:rPr>
                <w:rFonts w:ascii="Arial" w:cs="Arial" w:eastAsia="Arial" w:hAnsi="Arial"/>
                <w:sz w:val="3"/>
                <w:szCs w:val="3"/>
                <w:color w:val="FFFFFF"/>
              </w:rPr>
              <w:t>Dior Dunhill, Ermenegildo Zegna, Ferrari, Giorgio Armani, Graff,</w:t>
            </w:r>
          </w:p>
        </w:tc>
        <w:tc>
          <w:tcPr>
            <w:tcW w:w="0" w:type="dxa"/>
            <w:vAlign w:val="bottom"/>
          </w:tcPr>
          <w:p>
            <w:pPr>
              <w:spacing w:after="0"/>
              <w:rPr>
                <w:sz w:val="1"/>
                <w:szCs w:val="1"/>
                <w:color w:val="auto"/>
              </w:rPr>
            </w:pPr>
          </w:p>
        </w:tc>
      </w:tr>
      <w:tr>
        <w:trPr>
          <w:trHeight w:val="0"/>
        </w:trPr>
        <w:tc>
          <w:tcPr>
            <w:tcW w:w="7360" w:type="dxa"/>
            <w:vAlign w:val="bottom"/>
            <w:gridSpan w:val="2"/>
          </w:tcPr>
          <w:p>
            <w:pPr>
              <w:spacing w:after="0" w:line="80" w:lineRule="exact"/>
              <w:rPr>
                <w:sz w:val="20"/>
                <w:szCs w:val="20"/>
                <w:color w:val="auto"/>
              </w:rPr>
            </w:pPr>
            <w:r>
              <w:rPr>
                <w:rFonts w:ascii="Arial" w:cs="Arial" w:eastAsia="Arial" w:hAnsi="Arial"/>
                <w:sz w:val="9"/>
                <w:szCs w:val="9"/>
                <w:color w:val="FFFFFF"/>
              </w:rPr>
              <w:t>Approximately 54,600 square feet of high-end, brand-name retail shopping, including stores and boutiques such as Bvlgari, Cartier,</w:t>
            </w:r>
          </w:p>
        </w:tc>
        <w:tc>
          <w:tcPr>
            <w:tcW w:w="3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520"/>
        <w:spacing w:after="0"/>
        <w:rPr>
          <w:sz w:val="20"/>
          <w:szCs w:val="20"/>
          <w:color w:val="auto"/>
        </w:rPr>
      </w:pPr>
      <w:r>
        <w:rPr>
          <w:rFonts w:ascii="Arial" w:cs="Arial" w:eastAsia="Arial" w:hAnsi="Arial"/>
          <w:sz w:val="3"/>
          <w:szCs w:val="3"/>
          <w:color w:val="FFFFFF"/>
        </w:rPr>
        <w:t>Gucci, Hermes, Hugo Boss, Jaeger LeCoultre, Louis Vuitton, Miu Miu, Piaget, Prada, Rolex, Tiffany, Tudor, Vacheron Constantin, VChanel,Cleef &amp; Arpels, Versace, Vertu, and others; Recreation and leisure facilities, including two health clubs and spas, a salon, a pool; and</w:t>
      </w:r>
    </w:p>
    <w:p>
      <w:pPr>
        <w:spacing w:after="0" w:line="184" w:lineRule="auto"/>
        <w:rPr>
          <w:sz w:val="20"/>
          <w:szCs w:val="20"/>
          <w:color w:val="auto"/>
        </w:rPr>
      </w:pPr>
      <w:r>
        <w:rPr>
          <w:rFonts w:ascii="Arial" w:cs="Arial" w:eastAsia="Arial" w:hAnsi="Arial"/>
          <w:sz w:val="10"/>
          <w:szCs w:val="10"/>
          <w:color w:val="FFFFFF"/>
        </w:rPr>
        <w:t>Lounges and meeting facilities.</w:t>
      </w:r>
    </w:p>
    <w:p>
      <w:pPr>
        <w:spacing w:after="0"/>
        <w:rPr>
          <w:sz w:val="20"/>
          <w:szCs w:val="20"/>
          <w:color w:val="auto"/>
        </w:rPr>
      </w:pPr>
      <w:r>
        <w:rPr>
          <w:rFonts w:ascii="Arial" w:cs="Arial" w:eastAsia="Arial" w:hAnsi="Arial"/>
          <w:sz w:val="3"/>
          <w:szCs w:val="3"/>
          <w:color w:val="FFFFFF"/>
        </w:rPr>
        <w:t>AsTheatfollowing30June table presents the number of casino games available at our Macau Operations:</w:t>
      </w:r>
    </w:p>
    <w:p>
      <w:pPr>
        <w:spacing w:after="0" w:line="194" w:lineRule="auto"/>
        <w:rPr>
          <w:sz w:val="20"/>
          <w:szCs w:val="20"/>
          <w:color w:val="auto"/>
        </w:rPr>
      </w:pPr>
      <w:r>
        <w:rPr>
          <w:rFonts w:ascii="Arial" w:cs="Arial" w:eastAsia="Arial" w:hAnsi="Arial"/>
          <w:sz w:val="5"/>
          <w:szCs w:val="5"/>
          <w:color w:val="FFFFFF"/>
        </w:rPr>
        <w:t>2012 2011</w:t>
      </w:r>
    </w:p>
    <w:p>
      <w:pPr>
        <w:spacing w:after="0" w:line="188" w:lineRule="auto"/>
        <w:rPr>
          <w:sz w:val="20"/>
          <w:szCs w:val="20"/>
          <w:color w:val="auto"/>
        </w:rPr>
      </w:pPr>
      <w:r>
        <w:rPr>
          <w:rFonts w:ascii="Arial" w:cs="Arial" w:eastAsia="Arial" w:hAnsi="Arial"/>
          <w:sz w:val="9"/>
          <w:szCs w:val="9"/>
          <w:color w:val="FFFFFF"/>
        </w:rPr>
        <w:t>VIP table games 290 255</w:t>
      </w:r>
    </w:p>
    <w:p>
      <w:pPr>
        <w:spacing w:after="0"/>
        <w:rPr>
          <w:sz w:val="20"/>
          <w:szCs w:val="20"/>
          <w:color w:val="auto"/>
        </w:rPr>
      </w:pPr>
      <w:r>
        <w:rPr>
          <w:rFonts w:ascii="Arial" w:cs="Arial" w:eastAsia="Arial" w:hAnsi="Arial"/>
          <w:sz w:val="3"/>
          <w:szCs w:val="3"/>
          <w:color w:val="FFFFFF"/>
        </w:rPr>
        <w:t>SlotMassmachinesmarkettable939 games1,053 203 225</w:t>
      </w:r>
    </w:p>
    <w:p>
      <w:pPr>
        <w:spacing w:after="0" w:line="194" w:lineRule="auto"/>
        <w:rPr>
          <w:sz w:val="20"/>
          <w:szCs w:val="20"/>
          <w:color w:val="auto"/>
        </w:rPr>
      </w:pPr>
      <w:r>
        <w:rPr>
          <w:rFonts w:ascii="Arial" w:cs="Arial" w:eastAsia="Arial" w:hAnsi="Arial"/>
          <w:sz w:val="5"/>
          <w:szCs w:val="5"/>
          <w:color w:val="FFFFFF"/>
        </w:rPr>
        <w:t>Poker tables 11 11</w:t>
      </w:r>
    </w:p>
    <w:p>
      <w:pPr>
        <w:spacing w:after="0"/>
        <w:rPr>
          <w:sz w:val="20"/>
          <w:szCs w:val="20"/>
          <w:color w:val="auto"/>
        </w:rPr>
      </w:pPr>
      <w:r>
        <w:rPr>
          <w:rFonts w:ascii="Arial" w:cs="Arial" w:eastAsia="Arial" w:hAnsi="Arial"/>
          <w:sz w:val="14"/>
          <w:szCs w:val="14"/>
          <w:color w:val="FFFFFF"/>
        </w:rPr>
        <w:t>In response to our evaluation of our operations and the feedback from our guests, we have been, and will continue to make enhancements and refinements to our resort complex.</w:t>
      </w:r>
    </w:p>
    <w:p>
      <w:pPr>
        <w:sectPr>
          <w:pgSz w:w="11900" w:h="16838" w:orient="portrait"/>
          <w:cols w:equalWidth="0" w:num="1">
            <w:col w:w="11220"/>
          </w:cols>
          <w:pgMar w:left="240" w:top="1440" w:right="4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20"/>
                <w:szCs w:val="20"/>
                <w:color w:val="auto"/>
              </w:rPr>
            </w:pPr>
            <w:r>
              <w:rPr>
                <w:rFonts w:ascii="Arial" w:cs="Arial" w:eastAsia="Arial" w:hAnsi="Arial"/>
                <w:sz w:val="14"/>
                <w:szCs w:val="14"/>
                <w:color w:val="FFFFFF"/>
              </w:rPr>
              <w:t>6</w:t>
            </w:r>
          </w:p>
        </w:tc>
        <w:tc>
          <w:tcPr>
            <w:tcW w:w="1480" w:type="dxa"/>
            <w:vAlign w:val="bottom"/>
          </w:tcPr>
          <w:p>
            <w:pPr>
              <w:ind w:left="200"/>
              <w:spacing w:after="0"/>
              <w:rPr>
                <w:sz w:val="20"/>
                <w:szCs w:val="20"/>
                <w:color w:val="auto"/>
              </w:rPr>
            </w:pPr>
            <w:r>
              <w:rPr>
                <w:rFonts w:ascii="Arial" w:cs="Arial" w:eastAsia="Arial" w:hAnsi="Arial"/>
                <w:sz w:val="14"/>
                <w:szCs w:val="14"/>
                <w:color w:val="FFFFFF"/>
                <w:w w:val="93"/>
              </w:rPr>
              <w:t>Wynn Macau, Limited</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40" w:type="dxa"/>
            <w:vAlign w:val="bottom"/>
            <w:gridSpan w:val="3"/>
          </w:tcPr>
          <w:p>
            <w:pPr>
              <w:spacing w:after="0" w:line="54" w:lineRule="exact"/>
              <w:rPr>
                <w:sz w:val="20"/>
                <w:szCs w:val="20"/>
                <w:color w:val="auto"/>
              </w:rPr>
            </w:pPr>
            <w:r>
              <w:rPr>
                <w:rFonts w:ascii="Arial" w:cs="Arial" w:eastAsia="Arial" w:hAnsi="Arial"/>
                <w:sz w:val="6"/>
                <w:szCs w:val="6"/>
                <w:color w:val="FFFFFF"/>
              </w:rPr>
              <w:t>Management Discussion and Analysis</w:t>
            </w:r>
          </w:p>
        </w:tc>
        <w:tc>
          <w:tcPr>
            <w:tcW w:w="1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740" w:type="dxa"/>
            <w:vAlign w:val="bottom"/>
            <w:gridSpan w:val="2"/>
          </w:tcPr>
          <w:p>
            <w:pPr>
              <w:spacing w:after="0"/>
              <w:rPr>
                <w:sz w:val="20"/>
                <w:szCs w:val="20"/>
                <w:color w:val="auto"/>
              </w:rPr>
            </w:pPr>
            <w:r>
              <w:rPr>
                <w:rFonts w:ascii="Arial" w:cs="Arial" w:eastAsia="Arial" w:hAnsi="Arial"/>
                <w:sz w:val="3"/>
                <w:szCs w:val="3"/>
                <w:color w:val="FFFFFF"/>
              </w:rPr>
              <w:t>Cotai Development</w:t>
            </w:r>
          </w:p>
        </w:tc>
        <w:tc>
          <w:tcPr>
            <w:tcW w:w="1700" w:type="dxa"/>
            <w:vAlign w:val="bottom"/>
          </w:tcPr>
          <w:p>
            <w:pPr>
              <w:spacing w:after="0"/>
              <w:rPr>
                <w:sz w:val="3"/>
                <w:szCs w:val="3"/>
                <w:color w:val="auto"/>
              </w:rPr>
            </w:pPr>
          </w:p>
        </w:tc>
        <w:tc>
          <w:tcPr>
            <w:tcW w:w="1960" w:type="dxa"/>
            <w:vAlign w:val="bottom"/>
            <w:gridSpan w:val="2"/>
            <w:vMerge w:val="restart"/>
          </w:tcPr>
          <w:p>
            <w:pPr>
              <w:ind w:left="420"/>
              <w:spacing w:after="0" w:line="81" w:lineRule="exact"/>
              <w:rPr>
                <w:sz w:val="20"/>
                <w:szCs w:val="20"/>
                <w:color w:val="auto"/>
              </w:rPr>
            </w:pPr>
            <w:r>
              <w:rPr>
                <w:rFonts w:ascii="Arial" w:cs="Arial" w:eastAsia="Arial" w:hAnsi="Arial"/>
                <w:sz w:val="9"/>
                <w:szCs w:val="9"/>
                <w:color w:val="FFFFFF"/>
              </w:rPr>
              <w:t>51 acres of land in the Cotai</w:t>
            </w:r>
          </w:p>
        </w:tc>
        <w:tc>
          <w:tcPr>
            <w:tcW w:w="5860" w:type="dxa"/>
            <w:vAlign w:val="bottom"/>
            <w:gridSpan w:val="2"/>
            <w:vMerge w:val="restart"/>
          </w:tcPr>
          <w:p>
            <w:pPr>
              <w:jc w:val="right"/>
              <w:spacing w:after="0" w:line="81" w:lineRule="exact"/>
              <w:rPr>
                <w:sz w:val="20"/>
                <w:szCs w:val="20"/>
                <w:color w:val="auto"/>
              </w:rPr>
            </w:pPr>
            <w:r>
              <w:rPr>
                <w:rFonts w:ascii="Arial" w:cs="Arial" w:eastAsia="Arial" w:hAnsi="Arial"/>
                <w:sz w:val="9"/>
                <w:szCs w:val="9"/>
                <w:color w:val="FFFFFF"/>
              </w:rPr>
              <w:t>of Macau (the “Cotai Land”) was gazetted by the government of Macau evidencing the final step in the</w:t>
            </w: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On 2 May 2012, the Cotai Land concession contract for</w:t>
            </w:r>
          </w:p>
        </w:tc>
        <w:tc>
          <w:tcPr>
            <w:tcW w:w="1960" w:type="dxa"/>
            <w:vAlign w:val="bottom"/>
            <w:gridSpan w:val="2"/>
            <w:vMerge w:val="continue"/>
          </w:tcPr>
          <w:p>
            <w:pPr>
              <w:spacing w:after="0"/>
              <w:rPr>
                <w:sz w:val="3"/>
                <w:szCs w:val="3"/>
                <w:color w:val="auto"/>
              </w:rPr>
            </w:pPr>
          </w:p>
        </w:tc>
        <w:tc>
          <w:tcPr>
            <w:tcW w:w="5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40" w:type="dxa"/>
            <w:vAlign w:val="bottom"/>
            <w:gridSpan w:val="4"/>
          </w:tcPr>
          <w:p>
            <w:pPr>
              <w:spacing w:after="0"/>
              <w:rPr>
                <w:sz w:val="20"/>
                <w:szCs w:val="20"/>
                <w:color w:val="auto"/>
              </w:rPr>
            </w:pPr>
            <w:r>
              <w:rPr>
                <w:rFonts w:ascii="Arial" w:cs="Arial" w:eastAsia="Arial" w:hAnsi="Arial"/>
                <w:sz w:val="3"/>
                <w:szCs w:val="3"/>
                <w:color w:val="FFFFFF"/>
              </w:rPr>
              <w:t>granting of the Cotai Land. The Group anticipates constructingapproximatelyfullscale integrated resort</w:t>
            </w:r>
          </w:p>
        </w:tc>
        <w:tc>
          <w:tcPr>
            <w:tcW w:w="360" w:type="dxa"/>
            <w:vAlign w:val="bottom"/>
          </w:tcPr>
          <w:p>
            <w:pPr>
              <w:spacing w:after="0"/>
              <w:rPr>
                <w:sz w:val="3"/>
                <w:szCs w:val="3"/>
                <w:color w:val="auto"/>
              </w:rPr>
            </w:pPr>
          </w:p>
        </w:tc>
        <w:tc>
          <w:tcPr>
            <w:tcW w:w="5860" w:type="dxa"/>
            <w:vAlign w:val="bottom"/>
            <w:gridSpan w:val="2"/>
          </w:tcPr>
          <w:p>
            <w:pPr>
              <w:jc w:val="right"/>
              <w:spacing w:after="0"/>
              <w:rPr>
                <w:sz w:val="20"/>
                <w:szCs w:val="20"/>
                <w:color w:val="auto"/>
              </w:rPr>
            </w:pPr>
            <w:r>
              <w:rPr>
                <w:rFonts w:ascii="Arial" w:cs="Arial" w:eastAsia="Arial" w:hAnsi="Arial"/>
                <w:sz w:val="3"/>
                <w:szCs w:val="3"/>
                <w:color w:val="FFFFFF"/>
              </w:rPr>
              <w:t>area casino, approximately 2,000 rooms and suites, as well as convention, retail, entertainment and food and</w:t>
            </w:r>
          </w:p>
        </w:tc>
        <w:tc>
          <w:tcPr>
            <w:tcW w:w="0" w:type="dxa"/>
            <w:vAlign w:val="bottom"/>
          </w:tcPr>
          <w:p>
            <w:pPr>
              <w:spacing w:after="0"/>
              <w:rPr>
                <w:sz w:val="1"/>
                <w:szCs w:val="1"/>
                <w:color w:val="auto"/>
              </w:rPr>
            </w:pPr>
          </w:p>
        </w:tc>
      </w:tr>
      <w:tr>
        <w:trPr>
          <w:trHeight w:val="41"/>
        </w:trPr>
        <w:tc>
          <w:tcPr>
            <w:tcW w:w="11260" w:type="dxa"/>
            <w:vAlign w:val="bottom"/>
            <w:gridSpan w:val="7"/>
          </w:tcPr>
          <w:p>
            <w:pPr>
              <w:spacing w:after="0"/>
              <w:rPr>
                <w:sz w:val="20"/>
                <w:szCs w:val="20"/>
                <w:color w:val="auto"/>
              </w:rPr>
            </w:pPr>
            <w:r>
              <w:rPr>
                <w:rFonts w:ascii="Arial" w:cs="Arial" w:eastAsia="Arial" w:hAnsi="Arial"/>
                <w:sz w:val="3"/>
                <w:szCs w:val="3"/>
                <w:color w:val="FFFFFF"/>
              </w:rPr>
              <w:t>beverage offerings on the Cotai Land. The Group currently estimates the project budget to becontainingtherange of US$3.5 billion to US$4.0 billion (approximately HK$27.2 billion to HK$31.0 billion).</w:t>
            </w:r>
          </w:p>
        </w:tc>
        <w:tc>
          <w:tcPr>
            <w:tcW w:w="0" w:type="dxa"/>
            <w:vAlign w:val="bottom"/>
          </w:tcPr>
          <w:p>
            <w:pPr>
              <w:spacing w:after="0"/>
              <w:rPr>
                <w:sz w:val="1"/>
                <w:szCs w:val="1"/>
                <w:color w:val="auto"/>
              </w:rPr>
            </w:pPr>
          </w:p>
        </w:tc>
      </w:tr>
      <w:tr>
        <w:trPr>
          <w:trHeight w:val="41"/>
        </w:trPr>
        <w:tc>
          <w:tcPr>
            <w:tcW w:w="11260" w:type="dxa"/>
            <w:vAlign w:val="bottom"/>
            <w:gridSpan w:val="7"/>
          </w:tcPr>
          <w:p>
            <w:pPr>
              <w:spacing w:after="0"/>
              <w:rPr>
                <w:sz w:val="20"/>
                <w:szCs w:val="20"/>
                <w:color w:val="auto"/>
              </w:rPr>
            </w:pPr>
            <w:r>
              <w:rPr>
                <w:rFonts w:ascii="Arial" w:cs="Arial" w:eastAsia="Arial" w:hAnsi="Arial"/>
                <w:sz w:val="3"/>
                <w:szCs w:val="3"/>
                <w:color w:val="FFFFFF"/>
              </w:rPr>
              <w:t>In September 2011, the Group formally accepted the terms and conditions of a draft land concession contract from the Macau government for the Cotai Land. In December 2011, we paid the initial deposit of</w:t>
            </w:r>
          </w:p>
        </w:tc>
        <w:tc>
          <w:tcPr>
            <w:tcW w:w="0" w:type="dxa"/>
            <w:vAlign w:val="bottom"/>
          </w:tcPr>
          <w:p>
            <w:pPr>
              <w:spacing w:after="0"/>
              <w:rPr>
                <w:sz w:val="1"/>
                <w:szCs w:val="1"/>
                <w:color w:val="auto"/>
              </w:rPr>
            </w:pPr>
          </w:p>
        </w:tc>
      </w:tr>
      <w:tr>
        <w:trPr>
          <w:trHeight w:val="41"/>
        </w:trPr>
        <w:tc>
          <w:tcPr>
            <w:tcW w:w="11260" w:type="dxa"/>
            <w:vAlign w:val="bottom"/>
            <w:gridSpan w:val="7"/>
          </w:tcPr>
          <w:p>
            <w:pPr>
              <w:spacing w:after="0"/>
              <w:rPr>
                <w:sz w:val="20"/>
                <w:szCs w:val="20"/>
                <w:color w:val="auto"/>
              </w:rPr>
            </w:pPr>
            <w:r>
              <w:rPr>
                <w:rFonts w:ascii="Arial" w:cs="Arial" w:eastAsia="Arial" w:hAnsi="Arial"/>
                <w:sz w:val="3"/>
                <w:szCs w:val="3"/>
                <w:color w:val="FFFFFF"/>
              </w:rPr>
              <w:t>MOP500 million (approximately HK$485.4 million) to the Macau government. We will make eight additional semi-annual payments in the amount of MOP130.9 million (approximately HK$127.1 million)</w:t>
            </w:r>
          </w:p>
        </w:tc>
        <w:tc>
          <w:tcPr>
            <w:tcW w:w="0" w:type="dxa"/>
            <w:vAlign w:val="bottom"/>
          </w:tcPr>
          <w:p>
            <w:pPr>
              <w:spacing w:after="0"/>
              <w:rPr>
                <w:sz w:val="1"/>
                <w:szCs w:val="1"/>
                <w:color w:val="auto"/>
              </w:rPr>
            </w:pPr>
          </w:p>
        </w:tc>
      </w:tr>
      <w:tr>
        <w:trPr>
          <w:trHeight w:val="41"/>
        </w:trPr>
        <w:tc>
          <w:tcPr>
            <w:tcW w:w="1740" w:type="dxa"/>
            <w:vAlign w:val="bottom"/>
            <w:gridSpan w:val="2"/>
          </w:tcPr>
          <w:p>
            <w:pPr>
              <w:spacing w:after="0"/>
              <w:rPr>
                <w:sz w:val="20"/>
                <w:szCs w:val="20"/>
                <w:color w:val="auto"/>
              </w:rPr>
            </w:pPr>
            <w:r>
              <w:rPr>
                <w:rFonts w:ascii="Arial" w:cs="Arial" w:eastAsia="Arial" w:hAnsi="Arial"/>
                <w:sz w:val="3"/>
                <w:szCs w:val="3"/>
                <w:color w:val="FFFFFF"/>
              </w:rPr>
              <w:t>each, which includes 5%</w:t>
            </w:r>
          </w:p>
        </w:tc>
        <w:tc>
          <w:tcPr>
            <w:tcW w:w="9520" w:type="dxa"/>
            <w:vAlign w:val="bottom"/>
            <w:gridSpan w:val="5"/>
          </w:tcPr>
          <w:p>
            <w:pPr>
              <w:jc w:val="right"/>
              <w:ind w:right="35"/>
              <w:spacing w:after="0"/>
              <w:rPr>
                <w:sz w:val="20"/>
                <w:szCs w:val="20"/>
                <w:color w:val="auto"/>
              </w:rPr>
            </w:pPr>
            <w:r>
              <w:rPr>
                <w:rFonts w:ascii="Arial" w:cs="Arial" w:eastAsia="Arial" w:hAnsi="Arial"/>
                <w:sz w:val="3"/>
                <w:szCs w:val="3"/>
                <w:color w:val="FFFFFF"/>
              </w:rPr>
              <w:t>as required by the Macau government. The first of the eight semi-annual payments is due in November 2012, six months from 2 May 2012, the date on which the Cotai Land</w:t>
            </w:r>
          </w:p>
        </w:tc>
        <w:tc>
          <w:tcPr>
            <w:tcW w:w="0" w:type="dxa"/>
            <w:vAlign w:val="bottom"/>
          </w:tcPr>
          <w:p>
            <w:pPr>
              <w:spacing w:after="0"/>
              <w:rPr>
                <w:sz w:val="1"/>
                <w:szCs w:val="1"/>
                <w:color w:val="auto"/>
              </w:rPr>
            </w:pPr>
          </w:p>
        </w:tc>
      </w:tr>
      <w:tr>
        <w:trPr>
          <w:trHeight w:val="41"/>
        </w:trPr>
        <w:tc>
          <w:tcPr>
            <w:tcW w:w="5040" w:type="dxa"/>
            <w:vAlign w:val="bottom"/>
            <w:gridSpan w:val="4"/>
          </w:tcPr>
          <w:p>
            <w:pPr>
              <w:spacing w:after="0"/>
              <w:rPr>
                <w:sz w:val="20"/>
                <w:szCs w:val="20"/>
                <w:color w:val="auto"/>
              </w:rPr>
            </w:pPr>
            <w:r>
              <w:rPr>
                <w:rFonts w:ascii="Arial" w:cs="Arial" w:eastAsia="Arial" w:hAnsi="Arial"/>
                <w:sz w:val="3"/>
                <w:szCs w:val="3"/>
                <w:color w:val="FFFFFF"/>
              </w:rPr>
              <w:t>concession was publishedinteresttheofficial gazette of Macau. Effective from</w:t>
            </w:r>
          </w:p>
        </w:tc>
        <w:tc>
          <w:tcPr>
            <w:tcW w:w="3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3000" w:type="dxa"/>
            <w:vAlign w:val="bottom"/>
            <w:vMerge w:val="restart"/>
          </w:tcPr>
          <w:p>
            <w:pPr>
              <w:jc w:val="right"/>
              <w:ind w:right="135"/>
              <w:spacing w:after="0" w:line="81" w:lineRule="exact"/>
              <w:rPr>
                <w:sz w:val="20"/>
                <w:szCs w:val="20"/>
                <w:color w:val="auto"/>
              </w:rPr>
            </w:pPr>
            <w:r>
              <w:rPr>
                <w:rFonts w:ascii="Arial" w:cs="Arial" w:eastAsia="Arial" w:hAnsi="Arial"/>
                <w:sz w:val="9"/>
                <w:szCs w:val="9"/>
                <w:color w:val="FFFFFF"/>
              </w:rPr>
              <w:t>for additional periods, subject to applicable</w:t>
            </w:r>
          </w:p>
        </w:tc>
        <w:tc>
          <w:tcPr>
            <w:tcW w:w="0" w:type="dxa"/>
            <w:vAlign w:val="bottom"/>
          </w:tcPr>
          <w:p>
            <w:pPr>
              <w:spacing w:after="0"/>
              <w:rPr>
                <w:sz w:val="1"/>
                <w:szCs w:val="1"/>
                <w:color w:val="auto"/>
              </w:rPr>
            </w:pPr>
          </w:p>
        </w:tc>
      </w:tr>
      <w:tr>
        <w:trPr>
          <w:trHeight w:val="41"/>
        </w:trPr>
        <w:tc>
          <w:tcPr>
            <w:tcW w:w="8260" w:type="dxa"/>
            <w:vAlign w:val="bottom"/>
            <w:gridSpan w:val="6"/>
          </w:tcPr>
          <w:p>
            <w:pPr>
              <w:spacing w:after="0"/>
              <w:rPr>
                <w:sz w:val="20"/>
                <w:szCs w:val="20"/>
                <w:color w:val="auto"/>
              </w:rPr>
            </w:pPr>
            <w:r>
              <w:rPr>
                <w:rFonts w:ascii="Arial" w:cs="Arial" w:eastAsia="Arial" w:hAnsi="Arial"/>
                <w:sz w:val="3"/>
                <w:szCs w:val="3"/>
                <w:color w:val="FFFFFF"/>
              </w:rPr>
              <w:t>2 May 2012, the Group has leased the Cotai Land from the Macau government for an initial term of 25 years with the right to renew the land concession</w:t>
            </w:r>
          </w:p>
        </w:tc>
        <w:tc>
          <w:tcPr>
            <w:tcW w:w="3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60" w:type="dxa"/>
            <w:vAlign w:val="bottom"/>
          </w:tcPr>
          <w:p>
            <w:pPr>
              <w:spacing w:after="0" w:line="20" w:lineRule="exact"/>
              <w:rPr>
                <w:sz w:val="1"/>
                <w:szCs w:val="1"/>
                <w:color w:val="auto"/>
              </w:rPr>
            </w:pPr>
          </w:p>
        </w:tc>
        <w:tc>
          <w:tcPr>
            <w:tcW w:w="4780" w:type="dxa"/>
            <w:vAlign w:val="bottom"/>
            <w:gridSpan w:val="3"/>
          </w:tcPr>
          <w:p>
            <w:pPr>
              <w:ind w:left="340"/>
              <w:spacing w:after="0" w:line="80" w:lineRule="exact"/>
              <w:rPr>
                <w:sz w:val="20"/>
                <w:szCs w:val="20"/>
                <w:color w:val="auto"/>
              </w:rPr>
            </w:pPr>
            <w:r>
              <w:rPr>
                <w:rFonts w:ascii="Arial" w:cs="Arial" w:eastAsia="Arial" w:hAnsi="Arial"/>
                <w:sz w:val="9"/>
                <w:szCs w:val="9"/>
                <w:color w:val="FFFFFF"/>
              </w:rPr>
              <w:t>and termination events. The land concession contract also requires that WRM, as</w:t>
            </w:r>
          </w:p>
        </w:tc>
        <w:tc>
          <w:tcPr>
            <w:tcW w:w="3220" w:type="dxa"/>
            <w:vAlign w:val="bottom"/>
            <w:gridSpan w:val="2"/>
          </w:tcPr>
          <w:p>
            <w:pPr>
              <w:ind w:left="60"/>
              <w:spacing w:after="0" w:line="80" w:lineRule="exact"/>
              <w:rPr>
                <w:sz w:val="20"/>
                <w:szCs w:val="20"/>
                <w:color w:val="auto"/>
              </w:rPr>
            </w:pPr>
            <w:r>
              <w:rPr>
                <w:rFonts w:ascii="Arial" w:cs="Arial" w:eastAsia="Arial" w:hAnsi="Arial"/>
                <w:sz w:val="9"/>
                <w:szCs w:val="9"/>
                <w:color w:val="FFFFFF"/>
              </w:rPr>
              <w:t>gaming concessionaire, operate and manage gaming</w:t>
            </w:r>
          </w:p>
        </w:tc>
        <w:tc>
          <w:tcPr>
            <w:tcW w:w="3000" w:type="dxa"/>
            <w:vAlign w:val="bottom"/>
          </w:tcPr>
          <w:p>
            <w:pPr>
              <w:jc w:val="right"/>
              <w:ind w:right="1655"/>
              <w:spacing w:after="0" w:line="80" w:lineRule="exact"/>
              <w:rPr>
                <w:sz w:val="20"/>
                <w:szCs w:val="20"/>
                <w:color w:val="auto"/>
              </w:rPr>
            </w:pPr>
            <w:r>
              <w:rPr>
                <w:rFonts w:ascii="Arial" w:cs="Arial" w:eastAsia="Arial" w:hAnsi="Arial"/>
                <w:sz w:val="9"/>
                <w:szCs w:val="9"/>
                <w:color w:val="FFFFFF"/>
              </w:rPr>
              <w:t>contract the Cotai Land.</w:t>
            </w:r>
          </w:p>
        </w:tc>
        <w:tc>
          <w:tcPr>
            <w:tcW w:w="0" w:type="dxa"/>
            <w:vAlign w:val="bottom"/>
          </w:tcPr>
          <w:p>
            <w:pPr>
              <w:spacing w:after="0" w:line="20" w:lineRule="exact"/>
              <w:rPr>
                <w:sz w:val="1"/>
                <w:szCs w:val="1"/>
                <w:color w:val="auto"/>
              </w:rPr>
            </w:pPr>
          </w:p>
        </w:tc>
      </w:tr>
    </w:tbl>
    <w:p>
      <w:pPr>
        <w:ind w:right="80"/>
        <w:spacing w:after="0"/>
        <w:rPr>
          <w:sz w:val="20"/>
          <w:szCs w:val="20"/>
          <w:color w:val="auto"/>
        </w:rPr>
      </w:pPr>
      <w:r>
        <w:rPr>
          <w:rFonts w:ascii="Arial" w:cs="Arial" w:eastAsia="Arial" w:hAnsi="Arial"/>
          <w:sz w:val="6"/>
          <w:szCs w:val="6"/>
          <w:color w:val="FFFFFF"/>
        </w:rPr>
        <w:t>legislationAs30June 2012, the Group recorded its payment obligations under the land concession contract and related asset with HK$211.3 million includedoperationsascurrent liability and HK$700.2 million</w:t>
      </w:r>
      <w:r>
        <w:rPr>
          <w:rFonts w:ascii="Arial" w:cs="Arial" w:eastAsia="Arial" w:hAnsi="Arial"/>
          <w:sz w:val="7"/>
          <w:szCs w:val="7"/>
          <w:color w:val="FFFFFF"/>
          <w:vertAlign w:val="subscript"/>
        </w:rPr>
        <w:t>approximately</w:t>
      </w:r>
      <w:r>
        <w:rPr>
          <w:rFonts w:ascii="Arial" w:cs="Arial" w:eastAsia="Arial" w:hAnsi="Arial"/>
          <w:sz w:val="6"/>
          <w:szCs w:val="6"/>
          <w:color w:val="FFFFFF"/>
        </w:rPr>
        <w:t>includedas long-term liability. The Group will also be required to make annual lease payments of MOP6.2 million (approximately HK$6.0 million) during the development period and annual payments of</w:t>
      </w:r>
    </w:p>
    <w:p>
      <w:pPr>
        <w:spacing w:after="0" w:line="2" w:lineRule="exact"/>
        <w:rPr>
          <w:sz w:val="20"/>
          <w:szCs w:val="20"/>
          <w:color w:val="auto"/>
        </w:rPr>
      </w:pPr>
    </w:p>
    <w:p>
      <w:pPr>
        <w:spacing w:after="0"/>
        <w:rPr>
          <w:sz w:val="20"/>
          <w:szCs w:val="20"/>
          <w:color w:val="auto"/>
        </w:rPr>
      </w:pPr>
      <w:r>
        <w:rPr>
          <w:rFonts w:ascii="Arial" w:cs="Arial" w:eastAsia="Arial" w:hAnsi="Arial"/>
          <w:sz w:val="3"/>
          <w:szCs w:val="3"/>
          <w:color w:val="FFFFFF"/>
        </w:rPr>
        <w:t>CotaiMOP8.6LandmillionAgreement(approximately HK$8.4 million) once the development is completed.</w:t>
      </w:r>
    </w:p>
    <w:p>
      <w:pPr>
        <w:spacing w:after="0" w:line="6" w:lineRule="exact"/>
        <w:rPr>
          <w:sz w:val="20"/>
          <w:szCs w:val="20"/>
          <w:color w:val="auto"/>
        </w:rPr>
      </w:pPr>
    </w:p>
    <w:p>
      <w:pPr>
        <w:spacing w:after="0"/>
        <w:rPr>
          <w:sz w:val="20"/>
          <w:szCs w:val="20"/>
          <w:color w:val="auto"/>
        </w:rPr>
      </w:pPr>
      <w:r>
        <w:rPr>
          <w:rFonts w:ascii="Arial" w:cs="Arial" w:eastAsia="Arial" w:hAnsi="Arial"/>
          <w:sz w:val="9"/>
          <w:szCs w:val="9"/>
          <w:color w:val="FFFFFF"/>
        </w:rPr>
        <w:t>On 10 May 2012, the Group made a US$50 million (approximately HK$389 million) payment to an unrelated third party in consideration of that party’s relinquishment of certain rights in and to any future development on the Cotai land noted above. The Group had previously disclosed the requirement to make this payment and accrued this US$50 million (approximately HK$389 million) obligation as a current liability which is included in other accrued liabilities as of 31 December 2011, when the Group accepted the draft land concession.</w:t>
      </w:r>
    </w:p>
    <w:p>
      <w:pPr>
        <w:sectPr>
          <w:pgSz w:w="11900" w:h="16838" w:orient="portrait"/>
          <w:cols w:equalWidth="0" w:num="1">
            <w:col w:w="11260"/>
          </w:cols>
          <w:pgMar w:left="240" w:top="1440" w:right="39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2012 7</w:t>
      </w:r>
    </w:p>
    <w:p>
      <w:pPr>
        <w:spacing w:after="0" w:line="187" w:lineRule="auto"/>
        <w:rPr>
          <w:sz w:val="20"/>
          <w:szCs w:val="20"/>
          <w:color w:val="auto"/>
        </w:rPr>
      </w:pPr>
      <w:r>
        <w:rPr>
          <w:rFonts w:ascii="Arial" w:cs="Arial" w:eastAsia="Arial" w:hAnsi="Arial"/>
          <w:sz w:val="9"/>
          <w:szCs w:val="9"/>
          <w:color w:val="FFFFFF"/>
        </w:rPr>
        <w:t>Macau,nagement Discussion and Analysis</w:t>
      </w:r>
    </w:p>
    <w:p>
      <w:pPr>
        <w:ind w:right="180"/>
        <w:spacing w:after="0" w:line="181" w:lineRule="auto"/>
        <w:rPr>
          <w:sz w:val="20"/>
          <w:szCs w:val="20"/>
          <w:color w:val="auto"/>
        </w:rPr>
      </w:pPr>
      <w:r>
        <w:rPr>
          <w:rFonts w:ascii="Arial" w:cs="Arial" w:eastAsia="Arial" w:hAnsi="Arial"/>
          <w:sz w:val="7"/>
          <w:szCs w:val="7"/>
          <w:color w:val="FFFFFF"/>
        </w:rPr>
        <w:t>administrativewhich wasregionaterritoryofChinaunderandisPortugueselocatedapproximatelyadministration37formilesapproximatelysouthwestof,450islands,years,approximatelywastransferredonehourfromawayPortugueseviaferryto from,ChineseHongpoliticalKong.controlMacau,inwhichDecemberhasbeen1999.a casinoMacaudestinationisgovernedforasmoreaspecialthan 40 years, consists principally of peninsula on mainland China, and two neighboring Taipa and Coloane. We believe that Macau is located in one of the world’s largest concentrations of potential gaming</w:t>
      </w:r>
    </w:p>
    <w:p>
      <w:pPr>
        <w:ind w:right="860"/>
        <w:spacing w:after="0" w:line="181" w:lineRule="auto"/>
        <w:rPr>
          <w:sz w:val="20"/>
          <w:szCs w:val="20"/>
          <w:color w:val="auto"/>
        </w:rPr>
      </w:pPr>
      <w:r>
        <w:rPr>
          <w:rFonts w:ascii="Arial" w:cs="Arial" w:eastAsia="Arial" w:hAnsi="Arial"/>
          <w:sz w:val="7"/>
          <w:szCs w:val="7"/>
          <w:color w:val="FFFFFF"/>
        </w:rPr>
        <w:t>30customers.June2012,AccordinganincreasetoMacauofapproximatelystatsticalinformation,19.8%over casinostheapproximateinMacau HKgenerated$120.5 approximatelybilliongeneratedHKin$144.4thesixbillionmonthsin endedgaming30revenueJune2011,duringmakingthesixMacaumonthstheendedlargest gaming market in the world. Macau’s gaming market is primarily dependent on tourists. Tourist arrivals for the six months ended</w:t>
      </w:r>
    </w:p>
    <w:p>
      <w:pPr>
        <w:ind w:right="200"/>
        <w:spacing w:after="0" w:line="181" w:lineRule="auto"/>
        <w:rPr>
          <w:sz w:val="20"/>
          <w:szCs w:val="20"/>
          <w:color w:val="auto"/>
        </w:rPr>
      </w:pPr>
      <w:r>
        <w:rPr>
          <w:rFonts w:ascii="Arial" w:cs="Arial" w:eastAsia="Arial" w:hAnsi="Arial"/>
          <w:sz w:val="7"/>
          <w:szCs w:val="7"/>
          <w:color w:val="FFFFFF"/>
        </w:rPr>
        <w:t>24,11730Junehotel2012roomswere 13.6and asmillionat30 comparedJune2012,tothere13.2weremillion5,498for tablethesamegamesperiodinMacau,lastyear.comparedTheMacauto12,978markethotelhasroomsexperiencedand2,762tremendoustablegamesgrowthasatin31capacityDecemberinthe2006.last few years. As at 31 May 2012, there were FACTORS AFFECTING OUR RESULTS OF OPERATIONS AND FINANCIAL CONDITION</w:t>
      </w:r>
    </w:p>
    <w:p>
      <w:pPr>
        <w:ind w:right="320"/>
        <w:spacing w:after="0"/>
        <w:rPr>
          <w:sz w:val="20"/>
          <w:szCs w:val="20"/>
          <w:color w:val="auto"/>
        </w:rPr>
      </w:pPr>
      <w:r>
        <w:rPr>
          <w:rFonts w:ascii="Arial" w:cs="Arial" w:eastAsia="Arial" w:hAnsi="Arial"/>
          <w:sz w:val="8"/>
          <w:szCs w:val="8"/>
          <w:color w:val="FFFFFF"/>
        </w:rPr>
        <w:t>Theourismlevels of tourism and overall gaming activities in Macau are key drivers of our business. Both the Macau gaming market and visitation to Macau have grown significantly in the last few years. We have benefited from the risetravelingvisitation to Macau over the past several years.</w:t>
      </w:r>
    </w:p>
    <w:p>
      <w:pPr>
        <w:spacing w:after="0" w:line="30"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ServiceGaming MonthlycustomersBulletin of Statistics,toMacau typicallyapproximatelycome 89.0%fromnearbyofvisitorsdestinationstoMacauin forAsiatheincludingsixmonthsmainlandended 30China,JuneHong2012 Kong,werefromTaiwan,mainlandSouthChina,Korea HongandSingapore.Kong,andAccordingTaiwan. to the Macau Statistics and Census Tourism levels in Macau are affected by number of factors, all of which are beyond our control. Key factors affecting tourism levels Macau may include, among others:</w:t>
      </w:r>
    </w:p>
    <w:p>
      <w:pPr>
        <w:spacing w:after="0"/>
        <w:rPr>
          <w:sz w:val="20"/>
          <w:szCs w:val="20"/>
          <w:color w:val="auto"/>
        </w:rPr>
      </w:pPr>
      <w:r>
        <w:rPr>
          <w:rFonts w:ascii="Arial" w:cs="Arial" w:eastAsia="Arial" w:hAnsi="Arial"/>
          <w:sz w:val="14"/>
          <w:szCs w:val="14"/>
          <w:color w:val="FFFFFF"/>
        </w:rPr>
        <w:t>VariousPrevailingcountries’economicpoliciesconditionstheinissuancemainlandofChinatravelandvisasAsia;that may be in place from time to time and could affect travel to Macau;</w:t>
      </w:r>
    </w:p>
    <w:p>
      <w:pPr>
        <w:sectPr>
          <w:pgSz w:w="11900" w:h="16838" w:orient="portrait"/>
          <w:cols w:equalWidth="0" w:num="1">
            <w:col w:w="11420"/>
          </w:cols>
          <w:pgMar w:left="240" w:top="1440"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tcPr>
          <w:p>
            <w:pPr>
              <w:spacing w:after="0"/>
              <w:rPr>
                <w:sz w:val="20"/>
                <w:szCs w:val="20"/>
                <w:color w:val="auto"/>
              </w:rPr>
            </w:pPr>
            <w:r>
              <w:rPr>
                <w:rFonts w:ascii="Arial" w:cs="Arial" w:eastAsia="Arial" w:hAnsi="Arial"/>
                <w:sz w:val="14"/>
                <w:szCs w:val="14"/>
                <w:color w:val="FFFFFF"/>
              </w:rPr>
              <w:t>Wynn Macau, Limited 8</w:t>
            </w: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86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8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100" w:type="dxa"/>
            <w:vAlign w:val="bottom"/>
            <w:gridSpan w:val="4"/>
          </w:tcPr>
          <w:p>
            <w:pPr>
              <w:spacing w:after="0"/>
              <w:rPr>
                <w:sz w:val="20"/>
                <w:szCs w:val="20"/>
                <w:color w:val="auto"/>
              </w:rPr>
            </w:pPr>
            <w:r>
              <w:rPr>
                <w:rFonts w:ascii="Arial" w:cs="Arial" w:eastAsia="Arial" w:hAnsi="Arial"/>
                <w:sz w:val="3"/>
                <w:szCs w:val="3"/>
                <w:color w:val="FFFFFF"/>
              </w:rPr>
              <w:t>Competition from other destina ions which offer gaming and leisure activities;</w:t>
            </w:r>
          </w:p>
        </w:tc>
        <w:tc>
          <w:tcPr>
            <w:tcW w:w="42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360" w:type="dxa"/>
            <w:vAlign w:val="bottom"/>
            <w:gridSpan w:val="5"/>
          </w:tcPr>
          <w:p>
            <w:pPr>
              <w:spacing w:after="0"/>
              <w:rPr>
                <w:sz w:val="20"/>
                <w:szCs w:val="20"/>
                <w:color w:val="auto"/>
              </w:rPr>
            </w:pPr>
            <w:r>
              <w:rPr>
                <w:rFonts w:ascii="Arial" w:cs="Arial" w:eastAsia="Arial" w:hAnsi="Arial"/>
                <w:sz w:val="3"/>
                <w:szCs w:val="3"/>
                <w:color w:val="FFFFFF"/>
              </w:rPr>
              <w:t>Possible changes to government restrictions on currency conversion or the ability to export currency from mainland China or other countries;</w:t>
            </w: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00" w:type="dxa"/>
            <w:vAlign w:val="bottom"/>
            <w:gridSpan w:val="3"/>
          </w:tcPr>
          <w:p>
            <w:pPr>
              <w:spacing w:after="0"/>
              <w:rPr>
                <w:sz w:val="20"/>
                <w:szCs w:val="20"/>
                <w:color w:val="auto"/>
              </w:rPr>
            </w:pPr>
            <w:r>
              <w:rPr>
                <w:rFonts w:ascii="Arial" w:cs="Arial" w:eastAsia="Arial" w:hAnsi="Arial"/>
                <w:sz w:val="3"/>
                <w:szCs w:val="3"/>
                <w:color w:val="FFFFFF"/>
              </w:rPr>
              <w:t>Occurrence of natural disasters and disruption of travel; and</w:t>
            </w:r>
          </w:p>
        </w:tc>
        <w:tc>
          <w:tcPr>
            <w:tcW w:w="1400" w:type="dxa"/>
            <w:vAlign w:val="bottom"/>
          </w:tcPr>
          <w:p>
            <w:pPr>
              <w:spacing w:after="0"/>
              <w:rPr>
                <w:sz w:val="3"/>
                <w:szCs w:val="3"/>
                <w:color w:val="auto"/>
              </w:rPr>
            </w:pPr>
          </w:p>
        </w:tc>
        <w:tc>
          <w:tcPr>
            <w:tcW w:w="42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60" w:type="dxa"/>
            <w:vAlign w:val="bottom"/>
            <w:gridSpan w:val="2"/>
          </w:tcPr>
          <w:p>
            <w:pPr>
              <w:spacing w:after="0"/>
              <w:rPr>
                <w:sz w:val="20"/>
                <w:szCs w:val="20"/>
                <w:color w:val="auto"/>
              </w:rPr>
            </w:pPr>
            <w:r>
              <w:rPr>
                <w:rFonts w:ascii="Arial" w:cs="Arial" w:eastAsia="Arial" w:hAnsi="Arial"/>
                <w:sz w:val="3"/>
                <w:szCs w:val="3"/>
                <w:color w:val="FFFFFF"/>
              </w:rPr>
              <w:t>Possible outbreaks of infectious disease.</w:t>
            </w:r>
          </w:p>
        </w:tc>
        <w:tc>
          <w:tcPr>
            <w:tcW w:w="8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60" w:type="dxa"/>
            <w:vAlign w:val="bottom"/>
            <w:gridSpan w:val="2"/>
          </w:tcPr>
          <w:p>
            <w:pPr>
              <w:spacing w:after="0"/>
              <w:rPr>
                <w:sz w:val="20"/>
                <w:szCs w:val="20"/>
                <w:color w:val="auto"/>
              </w:rPr>
            </w:pPr>
            <w:r>
              <w:rPr>
                <w:rFonts w:ascii="Arial" w:cs="Arial" w:eastAsia="Arial" w:hAnsi="Arial"/>
                <w:sz w:val="3"/>
                <w:szCs w:val="3"/>
                <w:color w:val="FFFFFF"/>
              </w:rPr>
              <w:t>Economic and Operating Environment</w:t>
            </w:r>
          </w:p>
        </w:tc>
        <w:tc>
          <w:tcPr>
            <w:tcW w:w="8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Our</w:t>
            </w:r>
          </w:p>
        </w:tc>
        <w:tc>
          <w:tcPr>
            <w:tcW w:w="10640" w:type="dxa"/>
            <w:vAlign w:val="bottom"/>
            <w:gridSpan w:val="5"/>
          </w:tcPr>
          <w:p>
            <w:pPr>
              <w:ind w:left="60"/>
              <w:spacing w:after="0"/>
              <w:rPr>
                <w:sz w:val="20"/>
                <w:szCs w:val="20"/>
                <w:color w:val="auto"/>
              </w:rPr>
            </w:pPr>
            <w:r>
              <w:rPr>
                <w:rFonts w:ascii="Arial" w:cs="Arial" w:eastAsia="Arial" w:hAnsi="Arial"/>
                <w:sz w:val="3"/>
                <w:szCs w:val="3"/>
                <w:color w:val="FFFFFF"/>
              </w:rPr>
              <w:t>environment has remained stable during the six months ended 30 June 2012. However, economic conditions can have  significant impact on our business. A number of factors, including</w:t>
            </w: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slowdownoperatingthe global economy, contracting credit markets, reduced consumer spending, various countries’ policies that affect travel to Macau and any outbreak of infectious diseases can negatively impact the</w:t>
            </w:r>
          </w:p>
        </w:tc>
        <w:tc>
          <w:tcPr>
            <w:tcW w:w="0" w:type="dxa"/>
            <w:vAlign w:val="bottom"/>
          </w:tcPr>
          <w:p>
            <w:pPr>
              <w:spacing w:after="0"/>
              <w:rPr>
                <w:sz w:val="1"/>
                <w:szCs w:val="1"/>
                <w:color w:val="auto"/>
              </w:rPr>
            </w:pPr>
          </w:p>
        </w:tc>
      </w:tr>
      <w:tr>
        <w:trPr>
          <w:trHeight w:val="41"/>
        </w:trPr>
        <w:tc>
          <w:tcPr>
            <w:tcW w:w="2860" w:type="dxa"/>
            <w:vAlign w:val="bottom"/>
            <w:gridSpan w:val="2"/>
          </w:tcPr>
          <w:p>
            <w:pPr>
              <w:spacing w:after="0"/>
              <w:rPr>
                <w:sz w:val="20"/>
                <w:szCs w:val="20"/>
                <w:color w:val="auto"/>
              </w:rPr>
            </w:pPr>
            <w:r>
              <w:rPr>
                <w:rFonts w:ascii="Arial" w:cs="Arial" w:eastAsia="Arial" w:hAnsi="Arial"/>
                <w:sz w:val="3"/>
                <w:szCs w:val="3"/>
                <w:color w:val="FFFFFF"/>
              </w:rPr>
              <w:t>gaming industry in Macau and our business.</w:t>
            </w:r>
          </w:p>
        </w:tc>
        <w:tc>
          <w:tcPr>
            <w:tcW w:w="8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Competition</w:t>
            </w:r>
          </w:p>
        </w:tc>
        <w:tc>
          <w:tcPr>
            <w:tcW w:w="2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280" w:type="dxa"/>
            <w:vAlign w:val="bottom"/>
            <w:gridSpan w:val="2"/>
            <w:vMerge w:val="restart"/>
          </w:tcPr>
          <w:p>
            <w:pPr>
              <w:ind w:left="200"/>
              <w:spacing w:after="0" w:line="81" w:lineRule="exact"/>
              <w:rPr>
                <w:sz w:val="20"/>
                <w:szCs w:val="20"/>
                <w:color w:val="auto"/>
              </w:rPr>
            </w:pPr>
            <w:r>
              <w:rPr>
                <w:rFonts w:ascii="Arial" w:cs="Arial" w:eastAsia="Arial" w:hAnsi="Arial"/>
                <w:sz w:val="9"/>
                <w:szCs w:val="9"/>
                <w:color w:val="FFFFFF"/>
              </w:rPr>
              <w:t>in the number of casino properties in Macau. Currently, there are six gaming operators in Macau, including</w:t>
            </w:r>
          </w:p>
        </w:tc>
        <w:tc>
          <w:tcPr>
            <w:tcW w:w="0" w:type="dxa"/>
            <w:vAlign w:val="bottom"/>
          </w:tcPr>
          <w:p>
            <w:pPr>
              <w:spacing w:after="0"/>
              <w:rPr>
                <w:sz w:val="1"/>
                <w:szCs w:val="1"/>
                <w:color w:val="auto"/>
              </w:rPr>
            </w:pPr>
          </w:p>
        </w:tc>
      </w:tr>
      <w:tr>
        <w:trPr>
          <w:trHeight w:val="41"/>
        </w:trPr>
        <w:tc>
          <w:tcPr>
            <w:tcW w:w="5100" w:type="dxa"/>
            <w:vAlign w:val="bottom"/>
            <w:gridSpan w:val="4"/>
          </w:tcPr>
          <w:p>
            <w:pPr>
              <w:spacing w:after="0"/>
              <w:rPr>
                <w:sz w:val="20"/>
                <w:szCs w:val="20"/>
                <w:color w:val="auto"/>
              </w:rPr>
            </w:pPr>
            <w:r>
              <w:rPr>
                <w:rFonts w:ascii="Arial" w:cs="Arial" w:eastAsia="Arial" w:hAnsi="Arial"/>
                <w:sz w:val="3"/>
                <w:szCs w:val="3"/>
                <w:color w:val="FFFFFF"/>
              </w:rPr>
              <w:t>Since the liberalization of M cau’s gaming industry in 2002, there has been a significant</w:t>
            </w:r>
          </w:p>
        </w:tc>
        <w:tc>
          <w:tcPr>
            <w:tcW w:w="62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60" w:type="dxa"/>
            <w:vAlign w:val="bottom"/>
            <w:gridSpan w:val="2"/>
          </w:tcPr>
          <w:p>
            <w:pPr>
              <w:spacing w:after="0"/>
              <w:rPr>
                <w:sz w:val="20"/>
                <w:szCs w:val="20"/>
                <w:color w:val="auto"/>
              </w:rPr>
            </w:pPr>
            <w:r>
              <w:rPr>
                <w:rFonts w:ascii="Arial" w:cs="Arial" w:eastAsia="Arial" w:hAnsi="Arial"/>
                <w:sz w:val="3"/>
                <w:szCs w:val="3"/>
                <w:color w:val="FFFFFF"/>
              </w:rPr>
              <w:t>WRM. The three concessionaires are WRM, SJM,</w:t>
            </w:r>
          </w:p>
        </w:tc>
        <w:tc>
          <w:tcPr>
            <w:tcW w:w="2240" w:type="dxa"/>
            <w:vAlign w:val="bottom"/>
            <w:gridSpan w:val="2"/>
          </w:tcPr>
          <w:p>
            <w:pPr>
              <w:ind w:left="120"/>
              <w:spacing w:after="0"/>
              <w:rPr>
                <w:sz w:val="20"/>
                <w:szCs w:val="20"/>
                <w:color w:val="auto"/>
              </w:rPr>
            </w:pPr>
            <w:r>
              <w:rPr>
                <w:rFonts w:ascii="Arial" w:cs="Arial" w:eastAsia="Arial" w:hAnsi="Arial"/>
                <w:sz w:val="3"/>
                <w:szCs w:val="3"/>
                <w:color w:val="FFFFFF"/>
              </w:rPr>
              <w:t>Galaxy which opened Galaxy Macau,</w:t>
            </w:r>
          </w:p>
        </w:tc>
        <w:tc>
          <w:tcPr>
            <w:tcW w:w="6280" w:type="dxa"/>
            <w:vAlign w:val="bottom"/>
            <w:gridSpan w:val="2"/>
          </w:tcPr>
          <w:p>
            <w:pPr>
              <w:ind w:left="60"/>
              <w:spacing w:after="0"/>
              <w:rPr>
                <w:sz w:val="20"/>
                <w:szCs w:val="20"/>
                <w:color w:val="auto"/>
              </w:rPr>
            </w:pPr>
            <w:r>
              <w:rPr>
                <w:rFonts w:ascii="Arial" w:cs="Arial" w:eastAsia="Arial" w:hAnsi="Arial"/>
                <w:sz w:val="3"/>
                <w:szCs w:val="3"/>
                <w:color w:val="FFFFFF"/>
              </w:rPr>
              <w:t>major resort in the Cotai area, in May 2011. The three subconcessionaires are Melco Crown, MGM Macau, and</w:t>
            </w: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Venetian Macau which opened the first phase of Sands Cotai Central, another major resortincreasetheCotai area, in April 2012. As at 30 June 2012, there were approximately 35 casinos in Macau, including 20</w:t>
            </w:r>
          </w:p>
        </w:tc>
        <w:tc>
          <w:tcPr>
            <w:tcW w:w="0" w:type="dxa"/>
            <w:vAlign w:val="bottom"/>
          </w:tcPr>
          <w:p>
            <w:pPr>
              <w:spacing w:after="0"/>
              <w:rPr>
                <w:sz w:val="1"/>
                <w:szCs w:val="1"/>
                <w:color w:val="auto"/>
              </w:rPr>
            </w:pPr>
          </w:p>
        </w:tc>
      </w:tr>
      <w:tr>
        <w:trPr>
          <w:trHeight w:val="41"/>
        </w:trPr>
        <w:tc>
          <w:tcPr>
            <w:tcW w:w="3700" w:type="dxa"/>
            <w:vAlign w:val="bottom"/>
            <w:gridSpan w:val="3"/>
          </w:tcPr>
          <w:p>
            <w:pPr>
              <w:spacing w:after="0"/>
              <w:rPr>
                <w:sz w:val="20"/>
                <w:szCs w:val="20"/>
                <w:color w:val="auto"/>
              </w:rPr>
            </w:pPr>
            <w:r>
              <w:rPr>
                <w:rFonts w:ascii="Arial" w:cs="Arial" w:eastAsia="Arial" w:hAnsi="Arial"/>
                <w:sz w:val="3"/>
                <w:szCs w:val="3"/>
                <w:color w:val="FFFFFF"/>
              </w:rPr>
              <w:t>operated by SJM. Each of the current six gaming operators has</w:t>
            </w:r>
          </w:p>
        </w:tc>
        <w:tc>
          <w:tcPr>
            <w:tcW w:w="5660" w:type="dxa"/>
            <w:vAlign w:val="bottom"/>
            <w:gridSpan w:val="2"/>
          </w:tcPr>
          <w:p>
            <w:pPr>
              <w:ind w:left="280"/>
              <w:spacing w:after="0"/>
              <w:rPr>
                <w:sz w:val="20"/>
                <w:szCs w:val="20"/>
                <w:color w:val="auto"/>
              </w:rPr>
            </w:pPr>
            <w:r>
              <w:rPr>
                <w:rFonts w:ascii="Arial" w:cs="Arial" w:eastAsia="Arial" w:hAnsi="Arial"/>
                <w:sz w:val="3"/>
                <w:szCs w:val="3"/>
                <w:color w:val="FFFFFF"/>
              </w:rPr>
              <w:t>casinos and expansion plans announced or underway.</w:t>
            </w:r>
          </w:p>
        </w:tc>
        <w:tc>
          <w:tcPr>
            <w:tcW w:w="2020" w:type="dxa"/>
            <w:vAlign w:val="bottom"/>
            <w:vMerge w:val="restart"/>
          </w:tcPr>
          <w:p>
            <w:pPr>
              <w:ind w:left="320"/>
              <w:spacing w:after="0"/>
              <w:rPr>
                <w:sz w:val="20"/>
                <w:szCs w:val="20"/>
                <w:color w:val="auto"/>
              </w:rPr>
            </w:pPr>
            <w:r>
              <w:rPr>
                <w:rFonts w:ascii="Arial" w:cs="Arial" w:eastAsia="Arial" w:hAnsi="Arial"/>
                <w:sz w:val="3"/>
                <w:szCs w:val="3"/>
                <w:color w:val="FFFFFF"/>
              </w:rPr>
              <w:t>Resort located outside of Kuala</w:t>
            </w:r>
          </w:p>
        </w:tc>
        <w:tc>
          <w:tcPr>
            <w:tcW w:w="0" w:type="dxa"/>
            <w:vAlign w:val="bottom"/>
          </w:tcPr>
          <w:p>
            <w:pPr>
              <w:spacing w:after="0"/>
              <w:rPr>
                <w:sz w:val="1"/>
                <w:szCs w:val="1"/>
                <w:color w:val="auto"/>
              </w:rPr>
            </w:pPr>
          </w:p>
        </w:tc>
      </w:tr>
      <w:tr>
        <w:trPr>
          <w:trHeight w:val="0"/>
        </w:trPr>
        <w:tc>
          <w:tcPr>
            <w:tcW w:w="9360" w:type="dxa"/>
            <w:vAlign w:val="bottom"/>
            <w:gridSpan w:val="5"/>
          </w:tcPr>
          <w:p>
            <w:pPr>
              <w:spacing w:after="0" w:line="80" w:lineRule="exact"/>
              <w:rPr>
                <w:sz w:val="20"/>
                <w:szCs w:val="20"/>
                <w:color w:val="auto"/>
              </w:rPr>
            </w:pPr>
            <w:r>
              <w:rPr>
                <w:rFonts w:ascii="Arial" w:cs="Arial" w:eastAsia="Arial" w:hAnsi="Arial"/>
                <w:sz w:val="9"/>
                <w:szCs w:val="9"/>
                <w:color w:val="FFFFFF"/>
              </w:rPr>
              <w:t>Wynn Macau also faces competition from casinos primarily locatedoperatingother areas of Asia, such as Resorts World Sentosa and Marina Bay Sands in Singapore, Genting</w:t>
            </w:r>
          </w:p>
        </w:tc>
        <w:tc>
          <w:tcPr>
            <w:tcW w:w="2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Lumpur, Malaysia and casinos</w:t>
      </w:r>
      <w:r>
        <w:rPr>
          <w:rFonts w:ascii="Arial" w:cs="Arial" w:eastAsia="Arial" w:hAnsi="Arial"/>
          <w:sz w:val="1"/>
          <w:szCs w:val="1"/>
          <w:color w:val="FFFFFF"/>
          <w:vertAlign w:val="subscript"/>
        </w:rPr>
        <w:t>casinos</w:t>
      </w:r>
      <w:r>
        <w:rPr>
          <w:rFonts w:ascii="Arial" w:cs="Arial" w:eastAsia="Arial" w:hAnsi="Arial"/>
          <w:sz w:val="1"/>
          <w:szCs w:val="1"/>
          <w:color w:val="FFFFFF"/>
        </w:rPr>
        <w:t>the Philippines. Wynn Macau also encounters competition from other major gaming centers located around the world, including AustraliaHighlandsLas Vegas, cruise ships in Asia</w:t>
      </w:r>
    </w:p>
    <w:p>
      <w:pPr>
        <w:ind w:right="920"/>
        <w:spacing w:after="0" w:line="187" w:lineRule="auto"/>
        <w:rPr>
          <w:sz w:val="20"/>
          <w:szCs w:val="20"/>
          <w:color w:val="auto"/>
        </w:rPr>
      </w:pPr>
      <w:r>
        <w:rPr>
          <w:rFonts w:ascii="Arial" w:cs="Arial" w:eastAsia="Arial" w:hAnsi="Arial"/>
          <w:sz w:val="9"/>
          <w:szCs w:val="9"/>
          <w:color w:val="FFFFFF"/>
        </w:rPr>
        <w:t>that offer gaming, and other throughout Asia. Further, if current efforts to legalize gaming in other Asian countries are successful, Wynn Macau will face additional regional competition. Gaming Promoters</w:t>
      </w:r>
    </w:p>
    <w:p>
      <w:pPr>
        <w:spacing w:after="0"/>
        <w:rPr>
          <w:sz w:val="20"/>
          <w:szCs w:val="20"/>
          <w:color w:val="auto"/>
        </w:rPr>
      </w:pPr>
      <w:r>
        <w:rPr>
          <w:rFonts w:ascii="Arial" w:cs="Arial" w:eastAsia="Arial" w:hAnsi="Arial"/>
          <w:sz w:val="12"/>
          <w:szCs w:val="12"/>
          <w:color w:val="FFFFFF"/>
        </w:rPr>
        <w:t>A significant amount of our casino play is brought to us by gaming promoters. Gaming promoters have historically played a critical role in the Macau gaming market and are important to our casino business.</w:t>
      </w:r>
    </w:p>
    <w:p>
      <w:pPr>
        <w:sectPr>
          <w:pgSz w:w="11900" w:h="16838" w:orient="portrait"/>
          <w:cols w:equalWidth="0" w:num="1">
            <w:col w:w="11380"/>
          </w:cols>
          <w:pgMar w:left="240" w:top="1440" w:right="2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20"/>
                <w:szCs w:val="20"/>
                <w:color w:val="auto"/>
              </w:rPr>
            </w:pPr>
            <w:r>
              <w:rPr>
                <w:rFonts w:ascii="Arial" w:cs="Arial" w:eastAsia="Arial" w:hAnsi="Arial"/>
                <w:sz w:val="14"/>
                <w:szCs w:val="14"/>
                <w:color w:val="FFFFFF"/>
                <w:w w:val="90"/>
              </w:rPr>
              <w:t>Interim Report 2012 9</w:t>
            </w:r>
          </w:p>
        </w:tc>
        <w:tc>
          <w:tcPr>
            <w:tcW w:w="3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28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14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Gaming promoters introduce premium VIP players to Wynn Macau and often assist those clients with their travel and entertainment arrangements. In addition, gaming promoters often grant credit to their</w:t>
            </w: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players. In exchange for their services, Wynn Macau generally pays the gaming promoters a percentage of the gross gaming win generated by each gaming promoter. Approximately 80% of these commissions</w:t>
            </w:r>
          </w:p>
        </w:tc>
        <w:tc>
          <w:tcPr>
            <w:tcW w:w="0" w:type="dxa"/>
            <w:vAlign w:val="bottom"/>
          </w:tcPr>
          <w:p>
            <w:pPr>
              <w:spacing w:after="0"/>
              <w:rPr>
                <w:sz w:val="1"/>
                <w:szCs w:val="1"/>
                <w:color w:val="auto"/>
              </w:rPr>
            </w:pPr>
          </w:p>
        </w:tc>
      </w:tr>
      <w:tr>
        <w:trPr>
          <w:trHeight w:val="41"/>
        </w:trPr>
        <w:tc>
          <w:tcPr>
            <w:tcW w:w="7520" w:type="dxa"/>
            <w:vAlign w:val="bottom"/>
            <w:gridSpan w:val="4"/>
          </w:tcPr>
          <w:p>
            <w:pPr>
              <w:spacing w:after="0"/>
              <w:rPr>
                <w:sz w:val="20"/>
                <w:szCs w:val="20"/>
                <w:color w:val="auto"/>
              </w:rPr>
            </w:pPr>
            <w:r>
              <w:rPr>
                <w:rFonts w:ascii="Arial" w:cs="Arial" w:eastAsia="Arial" w:hAnsi="Arial"/>
                <w:sz w:val="3"/>
                <w:szCs w:val="3"/>
                <w:color w:val="FFFFFF"/>
              </w:rPr>
              <w:t>are netted against casino revenues, because such commissions approximate the amount of the commission returned to the VIP players by</w:t>
            </w:r>
          </w:p>
        </w:tc>
        <w:tc>
          <w:tcPr>
            <w:tcW w:w="3860" w:type="dxa"/>
            <w:vAlign w:val="bottom"/>
            <w:gridSpan w:val="3"/>
          </w:tcPr>
          <w:p>
            <w:pPr>
              <w:ind w:left="120"/>
              <w:spacing w:after="0"/>
              <w:rPr>
                <w:sz w:val="20"/>
                <w:szCs w:val="20"/>
                <w:color w:val="auto"/>
              </w:rPr>
            </w:pPr>
            <w:r>
              <w:rPr>
                <w:rFonts w:ascii="Arial" w:cs="Arial" w:eastAsia="Arial" w:hAnsi="Arial"/>
                <w:sz w:val="3"/>
                <w:szCs w:val="3"/>
                <w:color w:val="FFFFFF"/>
              </w:rPr>
              <w:t>gaming promoters, and approximately 20% of these commissions are</w:t>
            </w: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included in other operating expenses, which approximate the amount of the commission ultimately retained by the gaming promoters for their compensation. The total amount of commissions paid to these</w:t>
            </w: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promoters and netted against casino revenues were HK$3.80 billion and HK$3.84 billion for the six months ended 30 June 2012 and 2011, respectively. Commissions decreased 1.2% for the six months ended</w:t>
            </w:r>
          </w:p>
        </w:tc>
        <w:tc>
          <w:tcPr>
            <w:tcW w:w="0" w:type="dxa"/>
            <w:vAlign w:val="bottom"/>
          </w:tcPr>
          <w:p>
            <w:pPr>
              <w:spacing w:after="0"/>
              <w:rPr>
                <w:sz w:val="1"/>
                <w:szCs w:val="1"/>
                <w:color w:val="auto"/>
              </w:rPr>
            </w:pPr>
          </w:p>
        </w:tc>
      </w:tr>
      <w:tr>
        <w:trPr>
          <w:trHeight w:val="41"/>
        </w:trPr>
        <w:tc>
          <w:tcPr>
            <w:tcW w:w="4280" w:type="dxa"/>
            <w:vAlign w:val="bottom"/>
            <w:gridSpan w:val="2"/>
          </w:tcPr>
          <w:p>
            <w:pPr>
              <w:spacing w:after="0"/>
              <w:rPr>
                <w:sz w:val="20"/>
                <w:szCs w:val="20"/>
                <w:color w:val="auto"/>
              </w:rPr>
            </w:pPr>
            <w:r>
              <w:rPr>
                <w:rFonts w:ascii="Arial" w:cs="Arial" w:eastAsia="Arial" w:hAnsi="Arial"/>
                <w:sz w:val="3"/>
                <w:szCs w:val="3"/>
                <w:color w:val="FFFFFF"/>
              </w:rPr>
              <w:t>30 June 2012 compared to the six months ended 30 June 2011, as VIP gross</w:t>
            </w:r>
          </w:p>
        </w:tc>
        <w:tc>
          <w:tcPr>
            <w:tcW w:w="7100" w:type="dxa"/>
            <w:vAlign w:val="bottom"/>
            <w:gridSpan w:val="5"/>
          </w:tcPr>
          <w:p>
            <w:pPr>
              <w:ind w:left="160"/>
              <w:spacing w:after="0"/>
              <w:rPr>
                <w:sz w:val="20"/>
                <w:szCs w:val="20"/>
                <w:color w:val="auto"/>
              </w:rPr>
            </w:pPr>
            <w:r>
              <w:rPr>
                <w:rFonts w:ascii="Arial" w:cs="Arial" w:eastAsia="Arial" w:hAnsi="Arial"/>
                <w:sz w:val="3"/>
                <w:szCs w:val="3"/>
                <w:color w:val="FFFFFF"/>
              </w:rPr>
              <w:t>games win decreased by 1.1%. W typically advance commissions to gaming promoters at the beginning of each month to</w:t>
            </w: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facilitate their working capital requirements. These advances are provided totablegaming promoter and are offset by the commissions earned by such gaming promoter during the applicable month. The aggregate</w:t>
            </w: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amounts of exposure to our gaming promoters, which is the difference between commissions advanced to each individual gaming promoter, and the commissions payable to each such gaming promoter, were</w:t>
            </w:r>
          </w:p>
        </w:tc>
        <w:tc>
          <w:tcPr>
            <w:tcW w:w="0" w:type="dxa"/>
            <w:vAlign w:val="bottom"/>
          </w:tcPr>
          <w:p>
            <w:pPr>
              <w:spacing w:after="0"/>
              <w:rPr>
                <w:sz w:val="1"/>
                <w:szCs w:val="1"/>
                <w:color w:val="auto"/>
              </w:rPr>
            </w:pPr>
          </w:p>
        </w:tc>
      </w:tr>
      <w:tr>
        <w:trPr>
          <w:trHeight w:val="41"/>
        </w:trPr>
        <w:tc>
          <w:tcPr>
            <w:tcW w:w="1240" w:type="dxa"/>
            <w:vAlign w:val="bottom"/>
          </w:tcPr>
          <w:p>
            <w:pPr>
              <w:spacing w:after="0"/>
              <w:rPr>
                <w:sz w:val="20"/>
                <w:szCs w:val="20"/>
                <w:color w:val="auto"/>
              </w:rPr>
            </w:pPr>
            <w:r>
              <w:rPr>
                <w:rFonts w:ascii="Arial" w:cs="Arial" w:eastAsia="Arial" w:hAnsi="Arial"/>
                <w:sz w:val="3"/>
                <w:szCs w:val="3"/>
                <w:color w:val="FFFFFF"/>
              </w:rPr>
              <w:t>HK$626.7 million</w:t>
            </w:r>
          </w:p>
        </w:tc>
        <w:tc>
          <w:tcPr>
            <w:tcW w:w="10140" w:type="dxa"/>
            <w:vAlign w:val="bottom"/>
            <w:gridSpan w:val="6"/>
          </w:tcPr>
          <w:p>
            <w:pPr>
              <w:ind w:left="20"/>
              <w:spacing w:after="0"/>
              <w:rPr>
                <w:sz w:val="20"/>
                <w:szCs w:val="20"/>
                <w:color w:val="auto"/>
              </w:rPr>
            </w:pPr>
            <w:r>
              <w:rPr>
                <w:rFonts w:ascii="Arial" w:cs="Arial" w:eastAsia="Arial" w:hAnsi="Arial"/>
                <w:sz w:val="3"/>
                <w:szCs w:val="3"/>
                <w:color w:val="FFFFFF"/>
              </w:rPr>
              <w:t>HK$361.4 million as at 30 June 2012 and 2011, respectively. Any outstanding commissions are cleared no later than the fifth day of the succeeding month and prior to the advancement of</w:t>
            </w:r>
          </w:p>
        </w:tc>
        <w:tc>
          <w:tcPr>
            <w:tcW w:w="0" w:type="dxa"/>
            <w:vAlign w:val="bottom"/>
          </w:tcPr>
          <w:p>
            <w:pPr>
              <w:spacing w:after="0"/>
              <w:rPr>
                <w:sz w:val="1"/>
                <w:szCs w:val="1"/>
                <w:color w:val="auto"/>
              </w:rPr>
            </w:pPr>
          </w:p>
        </w:tc>
      </w:tr>
      <w:tr>
        <w:trPr>
          <w:trHeight w:val="41"/>
        </w:trPr>
        <w:tc>
          <w:tcPr>
            <w:tcW w:w="5680" w:type="dxa"/>
            <w:vAlign w:val="bottom"/>
            <w:gridSpan w:val="3"/>
          </w:tcPr>
          <w:p>
            <w:pPr>
              <w:spacing w:after="0"/>
              <w:rPr>
                <w:sz w:val="20"/>
                <w:szCs w:val="20"/>
                <w:color w:val="auto"/>
              </w:rPr>
            </w:pPr>
            <w:r>
              <w:rPr>
                <w:rFonts w:ascii="Arial" w:cs="Arial" w:eastAsia="Arial" w:hAnsi="Arial"/>
                <w:sz w:val="3"/>
                <w:szCs w:val="3"/>
                <w:color w:val="FFFFFF"/>
              </w:rPr>
              <w:t>any further funds toandgaming promoter. W believe we have developed strong relationships with our</w:t>
            </w:r>
          </w:p>
        </w:tc>
        <w:tc>
          <w:tcPr>
            <w:tcW w:w="5700" w:type="dxa"/>
            <w:vAlign w:val="bottom"/>
            <w:gridSpan w:val="4"/>
          </w:tcPr>
          <w:p>
            <w:pPr>
              <w:ind w:left="240"/>
              <w:spacing w:after="0"/>
              <w:rPr>
                <w:sz w:val="20"/>
                <w:szCs w:val="20"/>
                <w:color w:val="auto"/>
              </w:rPr>
            </w:pPr>
            <w:r>
              <w:rPr>
                <w:rFonts w:ascii="Arial" w:cs="Arial" w:eastAsia="Arial" w:hAnsi="Arial"/>
                <w:sz w:val="3"/>
                <w:szCs w:val="3"/>
                <w:color w:val="FFFFFF"/>
              </w:rPr>
              <w:t>promoters. Our commission percentages have remained stable throughout our operating history.</w:t>
            </w: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In addition to commissions, gaming promoters each receive a monthly complimentary allowance basedgamingonpercentage of the turnover their clients generate. The allowance is available for room, food and</w:t>
            </w:r>
          </w:p>
        </w:tc>
        <w:tc>
          <w:tcPr>
            <w:tcW w:w="0" w:type="dxa"/>
            <w:vAlign w:val="bottom"/>
          </w:tcPr>
          <w:p>
            <w:pPr>
              <w:spacing w:after="0"/>
              <w:rPr>
                <w:sz w:val="1"/>
                <w:szCs w:val="1"/>
                <w:color w:val="auto"/>
              </w:rPr>
            </w:pPr>
          </w:p>
        </w:tc>
      </w:tr>
      <w:tr>
        <w:trPr>
          <w:trHeight w:val="41"/>
        </w:trPr>
        <w:tc>
          <w:tcPr>
            <w:tcW w:w="4280" w:type="dxa"/>
            <w:vAlign w:val="bottom"/>
            <w:gridSpan w:val="2"/>
          </w:tcPr>
          <w:p>
            <w:pPr>
              <w:spacing w:after="0"/>
              <w:rPr>
                <w:sz w:val="20"/>
                <w:szCs w:val="20"/>
                <w:color w:val="auto"/>
              </w:rPr>
            </w:pPr>
            <w:r>
              <w:rPr>
                <w:rFonts w:ascii="Arial" w:cs="Arial" w:eastAsia="Arial" w:hAnsi="Arial"/>
                <w:sz w:val="3"/>
                <w:szCs w:val="3"/>
                <w:color w:val="FFFFFF"/>
              </w:rPr>
              <w:t>beverage and other products and services for discretionary use with clients.</w:t>
            </w:r>
          </w:p>
        </w:tc>
        <w:tc>
          <w:tcPr>
            <w:tcW w:w="14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40" w:type="dxa"/>
            <w:vAlign w:val="bottom"/>
          </w:tcPr>
          <w:p>
            <w:pPr>
              <w:ind w:left="540"/>
              <w:spacing w:after="0"/>
              <w:rPr>
                <w:sz w:val="20"/>
                <w:szCs w:val="20"/>
                <w:color w:val="auto"/>
              </w:rPr>
            </w:pPr>
            <w:r>
              <w:rPr>
                <w:rFonts w:ascii="Arial" w:cs="Arial" w:eastAsia="Arial" w:hAnsi="Arial"/>
                <w:sz w:val="3"/>
                <w:szCs w:val="3"/>
                <w:color w:val="FFFFFF"/>
              </w:rPr>
              <w:t>Credit Play</w:t>
            </w:r>
          </w:p>
        </w:tc>
        <w:tc>
          <w:tcPr>
            <w:tcW w:w="30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40" w:type="dxa"/>
            <w:vAlign w:val="bottom"/>
            <w:gridSpan w:val="2"/>
            <w:vMerge w:val="restart"/>
          </w:tcPr>
          <w:p>
            <w:pPr>
              <w:ind w:left="40"/>
              <w:spacing w:after="0" w:line="81" w:lineRule="exact"/>
              <w:rPr>
                <w:sz w:val="20"/>
                <w:szCs w:val="20"/>
                <w:color w:val="auto"/>
              </w:rPr>
            </w:pPr>
            <w:r>
              <w:rPr>
                <w:rFonts w:ascii="Arial" w:cs="Arial" w:eastAsia="Arial" w:hAnsi="Arial"/>
                <w:sz w:val="9"/>
                <w:szCs w:val="9"/>
                <w:color w:val="FFFFFF"/>
              </w:rPr>
              <w:t>follow a series of credit procedures and require from</w:t>
            </w:r>
          </w:p>
        </w:tc>
        <w:tc>
          <w:tcPr>
            <w:tcW w:w="0" w:type="dxa"/>
            <w:vAlign w:val="bottom"/>
          </w:tcPr>
          <w:p>
            <w:pPr>
              <w:spacing w:after="0"/>
              <w:rPr>
                <w:sz w:val="1"/>
                <w:szCs w:val="1"/>
                <w:color w:val="auto"/>
              </w:rPr>
            </w:pPr>
          </w:p>
        </w:tc>
      </w:tr>
      <w:tr>
        <w:trPr>
          <w:trHeight w:val="41"/>
        </w:trPr>
        <w:tc>
          <w:tcPr>
            <w:tcW w:w="8440" w:type="dxa"/>
            <w:vAlign w:val="bottom"/>
            <w:gridSpan w:val="5"/>
          </w:tcPr>
          <w:p>
            <w:pPr>
              <w:spacing w:after="0"/>
              <w:rPr>
                <w:sz w:val="20"/>
                <w:szCs w:val="20"/>
                <w:color w:val="auto"/>
              </w:rPr>
            </w:pPr>
            <w:r>
              <w:rPr>
                <w:rFonts w:ascii="Arial" w:cs="Arial" w:eastAsia="Arial" w:hAnsi="Arial"/>
                <w:sz w:val="3"/>
                <w:szCs w:val="3"/>
                <w:color w:val="FFFFFF"/>
              </w:rPr>
              <w:t>PremiumWselectively extend credit to players contingent upon our marketing team’s knowledge of the players, their financial background and payment history. W</w:t>
            </w:r>
          </w:p>
        </w:tc>
        <w:tc>
          <w:tcPr>
            <w:tcW w:w="2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each credit recipient various signed documents that are intended to ensure among other things that, if permitted by applicable law, the debt can be legally enforced in the jurisdiction where the player resides. In</w:t>
            </w:r>
          </w:p>
        </w:tc>
        <w:tc>
          <w:tcPr>
            <w:tcW w:w="0" w:type="dxa"/>
            <w:vAlign w:val="bottom"/>
          </w:tcPr>
          <w:p>
            <w:pPr>
              <w:spacing w:after="0"/>
              <w:rPr>
                <w:sz w:val="1"/>
                <w:szCs w:val="1"/>
                <w:color w:val="auto"/>
              </w:rPr>
            </w:pPr>
          </w:p>
        </w:tc>
      </w:tr>
      <w:tr>
        <w:trPr>
          <w:trHeight w:val="41"/>
        </w:trPr>
        <w:tc>
          <w:tcPr>
            <w:tcW w:w="8440" w:type="dxa"/>
            <w:vAlign w:val="bottom"/>
            <w:gridSpan w:val="5"/>
          </w:tcPr>
          <w:p>
            <w:pPr>
              <w:spacing w:after="0"/>
              <w:rPr>
                <w:sz w:val="20"/>
                <w:szCs w:val="20"/>
                <w:color w:val="auto"/>
              </w:rPr>
            </w:pPr>
            <w:r>
              <w:rPr>
                <w:rFonts w:ascii="Arial" w:cs="Arial" w:eastAsia="Arial" w:hAnsi="Arial"/>
                <w:sz w:val="3"/>
                <w:szCs w:val="3"/>
                <w:color w:val="FFFFFF"/>
              </w:rPr>
              <w:t>the event the player does not reside in a jurisdiction where gaming debts are legally enforceable, we often can assert jurisdiction over assets the player</w:t>
            </w:r>
          </w:p>
        </w:tc>
        <w:tc>
          <w:tcPr>
            <w:tcW w:w="280" w:type="dxa"/>
            <w:vAlign w:val="bottom"/>
          </w:tcPr>
          <w:p>
            <w:pPr>
              <w:spacing w:after="0"/>
              <w:rPr>
                <w:sz w:val="3"/>
                <w:szCs w:val="3"/>
                <w:color w:val="auto"/>
              </w:rPr>
            </w:pPr>
          </w:p>
        </w:tc>
        <w:tc>
          <w:tcPr>
            <w:tcW w:w="2660" w:type="dxa"/>
            <w:vAlign w:val="bottom"/>
          </w:tcPr>
          <w:p>
            <w:pPr>
              <w:spacing w:after="0"/>
              <w:rPr>
                <w:sz w:val="20"/>
                <w:szCs w:val="20"/>
                <w:color w:val="auto"/>
              </w:rPr>
            </w:pPr>
            <w:r>
              <w:rPr>
                <w:rFonts w:ascii="Arial" w:cs="Arial" w:eastAsia="Arial" w:hAnsi="Arial"/>
                <w:sz w:val="3"/>
                <w:szCs w:val="3"/>
                <w:color w:val="FFFFFF"/>
              </w:rPr>
              <w:t>in jurisdictions where gaming debts are</w:t>
            </w:r>
          </w:p>
        </w:tc>
        <w:tc>
          <w:tcPr>
            <w:tcW w:w="0" w:type="dxa"/>
            <w:vAlign w:val="bottom"/>
          </w:tcPr>
          <w:p>
            <w:pPr>
              <w:spacing w:after="0"/>
              <w:rPr>
                <w:sz w:val="1"/>
                <w:szCs w:val="1"/>
                <w:color w:val="auto"/>
              </w:rPr>
            </w:pPr>
          </w:p>
        </w:tc>
      </w:tr>
      <w:tr>
        <w:trPr>
          <w:trHeight w:val="213"/>
        </w:trPr>
        <w:tc>
          <w:tcPr>
            <w:tcW w:w="8720" w:type="dxa"/>
            <w:vAlign w:val="bottom"/>
            <w:gridSpan w:val="6"/>
          </w:tcPr>
          <w:p>
            <w:pPr>
              <w:spacing w:after="0"/>
              <w:rPr>
                <w:sz w:val="20"/>
                <w:szCs w:val="20"/>
                <w:color w:val="auto"/>
              </w:rPr>
            </w:pPr>
            <w:r>
              <w:rPr>
                <w:rFonts w:ascii="Arial" w:cs="Arial" w:eastAsia="Arial" w:hAnsi="Arial"/>
                <w:sz w:val="14"/>
                <w:szCs w:val="14"/>
                <w:color w:val="FFFFFF"/>
                <w:w w:val="84"/>
              </w:rPr>
              <w:t>recognized. In addition, we typically require a check in the amount of the applicable credit line from credit players, collateralizing the credit we grant tomaintainsplayer.</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40" w:right="27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60" w:type="dxa"/>
            <w:vAlign w:val="bottom"/>
            <w:gridSpan w:val="2"/>
          </w:tcPr>
          <w:p>
            <w:pPr>
              <w:spacing w:after="0"/>
              <w:rPr>
                <w:sz w:val="20"/>
                <w:szCs w:val="20"/>
                <w:color w:val="auto"/>
              </w:rPr>
            </w:pPr>
            <w:r>
              <w:rPr>
                <w:rFonts w:ascii="Arial" w:cs="Arial" w:eastAsia="Arial" w:hAnsi="Arial"/>
                <w:sz w:val="14"/>
                <w:szCs w:val="14"/>
                <w:color w:val="FFFFFF"/>
              </w:rPr>
              <w:t>10 Wynn Macau, Limited</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Number and Mix of Table Games and Slot Machines</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The mix of VIP table games, mass table games and slot machines in operation at our resort changes from time to time in response to changing market demand and industry competition. The shift in the mix of</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our games will affect casino profitability.</w:t>
            </w:r>
          </w:p>
        </w:tc>
      </w:tr>
      <w:tr>
        <w:trPr>
          <w:trHeight w:val="41"/>
        </w:trPr>
        <w:tc>
          <w:tcPr>
            <w:tcW w:w="11360" w:type="dxa"/>
            <w:vAlign w:val="bottom"/>
            <w:gridSpan w:val="2"/>
          </w:tcPr>
          <w:p>
            <w:pPr>
              <w:ind w:left="100"/>
              <w:spacing w:after="0"/>
              <w:rPr>
                <w:sz w:val="20"/>
                <w:szCs w:val="20"/>
                <w:color w:val="auto"/>
              </w:rPr>
            </w:pPr>
            <w:r>
              <w:rPr>
                <w:rFonts w:ascii="Arial" w:cs="Arial" w:eastAsia="Arial" w:hAnsi="Arial"/>
                <w:sz w:val="3"/>
                <w:szCs w:val="3"/>
                <w:color w:val="FFFFFF"/>
              </w:rPr>
              <w:t>DJUSTED EBITDA</w:t>
            </w:r>
          </w:p>
        </w:tc>
      </w:tr>
      <w:tr>
        <w:trPr>
          <w:trHeight w:val="41"/>
        </w:trPr>
        <w:tc>
          <w:tcPr>
            <w:tcW w:w="300" w:type="dxa"/>
            <w:vAlign w:val="bottom"/>
          </w:tcPr>
          <w:p>
            <w:pPr>
              <w:spacing w:after="0"/>
              <w:rPr>
                <w:sz w:val="3"/>
                <w:szCs w:val="3"/>
                <w:color w:val="auto"/>
              </w:rPr>
            </w:pPr>
          </w:p>
        </w:tc>
        <w:tc>
          <w:tcPr>
            <w:tcW w:w="11060" w:type="dxa"/>
            <w:vAlign w:val="bottom"/>
          </w:tcPr>
          <w:p>
            <w:pPr>
              <w:jc w:val="right"/>
              <w:ind w:right="407"/>
              <w:spacing w:after="0"/>
              <w:rPr>
                <w:sz w:val="20"/>
                <w:szCs w:val="20"/>
                <w:color w:val="auto"/>
              </w:rPr>
            </w:pPr>
            <w:r>
              <w:rPr>
                <w:rFonts w:ascii="Arial" w:cs="Arial" w:eastAsia="Arial" w:hAnsi="Arial"/>
                <w:sz w:val="3"/>
                <w:szCs w:val="3"/>
                <w:color w:val="FFFFFF"/>
              </w:rPr>
              <w:t>earnings before finance costs, taxes, depreciation, amortization, pre-opening costs, property charges and other, share-based payments, and other non-operating income and expenses.</w:t>
            </w:r>
          </w:p>
        </w:tc>
      </w:tr>
      <w:tr>
        <w:trPr>
          <w:trHeight w:val="41"/>
        </w:trPr>
        <w:tc>
          <w:tcPr>
            <w:tcW w:w="300" w:type="dxa"/>
            <w:vAlign w:val="bottom"/>
          </w:tcPr>
          <w:p>
            <w:pPr>
              <w:spacing w:after="0"/>
              <w:rPr>
                <w:sz w:val="3"/>
                <w:szCs w:val="3"/>
                <w:color w:val="auto"/>
              </w:rPr>
            </w:pPr>
          </w:p>
        </w:tc>
        <w:tc>
          <w:tcPr>
            <w:tcW w:w="11060" w:type="dxa"/>
            <w:vAlign w:val="bottom"/>
          </w:tcPr>
          <w:p>
            <w:pPr>
              <w:jc w:val="right"/>
              <w:ind w:right="47"/>
              <w:spacing w:after="0"/>
              <w:rPr>
                <w:sz w:val="20"/>
                <w:szCs w:val="20"/>
                <w:color w:val="auto"/>
              </w:rPr>
            </w:pPr>
            <w:r>
              <w:rPr>
                <w:rFonts w:ascii="Arial" w:cs="Arial" w:eastAsia="Arial" w:hAnsi="Arial"/>
                <w:sz w:val="3"/>
                <w:szCs w:val="3"/>
                <w:color w:val="FFFFFF"/>
              </w:rPr>
              <w:t>is presented exclusively as a supplemental disclosure because our Directors believe that  is widely used to measure the performance, and as a basis for valuation, of gaming companies. Our</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Adjusted EBITDA presented herein also differs from the Adjusted EBITDA presented by Wynn Resorts, Limited for its Macau segment in its Filings with the SEC, primarily due to the inclusion of royalty fees,</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adjustments for IFRS differences with U.S. GAAP, corporate support services and other support services in arriving at operating profit.</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The following table sets forth a quantitative reconciliation of Adjusted EBITDA to its most directly comparable IFRS measurement, operating profit, for the six months ended 30 June 2012 and 2011.</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For the Six Months Ended</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30 June</w:t>
            </w:r>
          </w:p>
        </w:tc>
      </w:tr>
      <w:tr>
        <w:trPr>
          <w:trHeight w:val="1"/>
        </w:trPr>
        <w:tc>
          <w:tcPr>
            <w:tcW w:w="300" w:type="dxa"/>
            <w:vAlign w:val="bottom"/>
          </w:tcPr>
          <w:p>
            <w:pPr>
              <w:spacing w:after="0" w:line="2" w:lineRule="exact"/>
              <w:rPr>
                <w:sz w:val="20"/>
                <w:szCs w:val="20"/>
                <w:color w:val="auto"/>
              </w:rPr>
            </w:pPr>
            <w:r>
              <w:rPr>
                <w:rFonts w:ascii="Arial" w:cs="Arial" w:eastAsia="Arial" w:hAnsi="Arial"/>
                <w:sz w:val="1"/>
                <w:szCs w:val="1"/>
                <w:color w:val="FFFFFF"/>
              </w:rPr>
              <w:t>2012</w:t>
            </w:r>
          </w:p>
        </w:tc>
        <w:tc>
          <w:tcPr>
            <w:tcW w:w="11060" w:type="dxa"/>
            <w:vAlign w:val="bottom"/>
          </w:tcPr>
          <w:p>
            <w:pPr>
              <w:jc w:val="right"/>
              <w:ind w:right="10767"/>
              <w:spacing w:after="0" w:line="2" w:lineRule="exact"/>
              <w:rPr>
                <w:sz w:val="20"/>
                <w:szCs w:val="20"/>
                <w:color w:val="auto"/>
              </w:rPr>
            </w:pPr>
            <w:r>
              <w:rPr>
                <w:rFonts w:ascii="Arial" w:cs="Arial" w:eastAsia="Arial" w:hAnsi="Arial"/>
                <w:sz w:val="1"/>
                <w:szCs w:val="1"/>
                <w:color w:val="FFFFFF"/>
              </w:rPr>
              <w:t>2011</w:t>
            </w:r>
          </w:p>
        </w:tc>
      </w:tr>
    </w:tbl>
    <w:p>
      <w:pPr>
        <w:spacing w:after="0" w:line="181" w:lineRule="auto"/>
        <w:rPr>
          <w:sz w:val="20"/>
          <w:szCs w:val="20"/>
          <w:color w:val="auto"/>
        </w:rPr>
      </w:pPr>
      <w:r>
        <w:rPr>
          <w:rFonts w:ascii="Arial" w:cs="Arial" w:eastAsia="Arial" w:hAnsi="Arial"/>
          <w:sz w:val="14"/>
          <w:szCs w:val="14"/>
          <w:color w:val="FFFFFF"/>
        </w:rPr>
        <w:t>(inHKthousands)$HK$</w:t>
      </w:r>
    </w:p>
    <w:p>
      <w:pPr>
        <w:spacing w:after="0"/>
        <w:rPr>
          <w:sz w:val="20"/>
          <w:szCs w:val="20"/>
          <w:color w:val="auto"/>
        </w:rPr>
      </w:pPr>
      <w:r>
        <w:rPr>
          <w:rFonts w:ascii="Arial" w:cs="Arial" w:eastAsia="Arial" w:hAnsi="Arial"/>
          <w:sz w:val="3"/>
          <w:szCs w:val="3"/>
          <w:color w:val="FFFFFF"/>
        </w:rPr>
        <w:t>Depreciation and amortization 447,894 540,572</w:t>
      </w:r>
    </w:p>
    <w:p>
      <w:pPr>
        <w:spacing w:after="0" w:line="194" w:lineRule="auto"/>
        <w:rPr>
          <w:sz w:val="20"/>
          <w:szCs w:val="20"/>
          <w:color w:val="auto"/>
        </w:rPr>
      </w:pPr>
      <w:r>
        <w:rPr>
          <w:rFonts w:ascii="Arial" w:cs="Arial" w:eastAsia="Arial" w:hAnsi="Arial"/>
          <w:sz w:val="5"/>
          <w:szCs w:val="5"/>
          <w:color w:val="FFFFFF"/>
        </w:rPr>
        <w:t>Property charges and other 45,135 849,311</w:t>
      </w:r>
    </w:p>
    <w:p>
      <w:pPr>
        <w:spacing w:after="0"/>
        <w:rPr>
          <w:sz w:val="20"/>
          <w:szCs w:val="20"/>
          <w:color w:val="auto"/>
        </w:rPr>
      </w:pPr>
      <w:r>
        <w:rPr>
          <w:rFonts w:ascii="Arial" w:cs="Arial" w:eastAsia="Arial" w:hAnsi="Arial"/>
          <w:sz w:val="3"/>
          <w:szCs w:val="3"/>
          <w:color w:val="FFFFFF"/>
        </w:rPr>
        <w:t>Share-based payments (1,497) 24,957</w:t>
      </w:r>
    </w:p>
    <w:p>
      <w:pPr>
        <w:spacing w:after="0" w:line="194" w:lineRule="auto"/>
        <w:rPr>
          <w:sz w:val="20"/>
          <w:szCs w:val="20"/>
          <w:color w:val="auto"/>
        </w:rPr>
      </w:pPr>
      <w:r>
        <w:rPr>
          <w:rFonts w:ascii="Arial" w:cs="Arial" w:eastAsia="Arial" w:hAnsi="Arial"/>
          <w:sz w:val="5"/>
          <w:szCs w:val="5"/>
          <w:color w:val="FFFFFF"/>
        </w:rPr>
        <w:t>Wynn Macau, Limited corporate expenses 25,866 11,374</w:t>
      </w:r>
    </w:p>
    <w:p>
      <w:pPr>
        <w:spacing w:after="0"/>
        <w:rPr>
          <w:sz w:val="20"/>
          <w:szCs w:val="20"/>
          <w:color w:val="auto"/>
        </w:rPr>
      </w:pPr>
      <w:r>
        <w:rPr>
          <w:rFonts w:ascii="Arial" w:cs="Arial" w:eastAsia="Arial" w:hAnsi="Arial"/>
          <w:sz w:val="3"/>
          <w:szCs w:val="3"/>
          <w:color w:val="FFFFFF"/>
        </w:rPr>
        <w:t>Adjusted EBITDA</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FFFFFF"/>
        </w:rPr>
        <w:t>3,909,496</w:t>
      </w:r>
      <w:r>
        <w:rPr>
          <w:rFonts w:ascii="Arial" w:cs="Arial" w:eastAsia="Arial" w:hAnsi="Arial"/>
          <w:sz w:val="27"/>
          <w:szCs w:val="27"/>
          <w:color w:val="FFFFFF"/>
          <w:vertAlign w:val="superscript"/>
        </w:rPr>
        <w:t>32125</w:t>
      </w:r>
    </w:p>
    <w:p>
      <w:pPr>
        <w:sectPr>
          <w:pgSz w:w="11900" w:h="16838" w:orient="portrait"/>
          <w:cols w:equalWidth="0" w:num="1">
            <w:col w:w="11360"/>
          </w:cols>
          <w:pgMar w:left="240" w:top="1440" w:right="29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InterimManagementReportDiscussion201211 and Analysis</w:t>
      </w:r>
    </w:p>
    <w:p>
      <w:pPr>
        <w:spacing w:after="0"/>
        <w:rPr>
          <w:sz w:val="20"/>
          <w:szCs w:val="20"/>
          <w:color w:val="auto"/>
        </w:rPr>
      </w:pPr>
      <w:r>
        <w:rPr>
          <w:rFonts w:ascii="Arial" w:cs="Arial" w:eastAsia="Arial" w:hAnsi="Arial"/>
          <w:sz w:val="3"/>
          <w:szCs w:val="3"/>
          <w:color w:val="FFFFFF"/>
        </w:rPr>
        <w:t>REVIEW OF HISTORICAL OPERATING RESULTS</w:t>
      </w:r>
    </w:p>
    <w:p>
      <w:pPr>
        <w:spacing w:after="0" w:line="181" w:lineRule="auto"/>
        <w:rPr>
          <w:sz w:val="20"/>
          <w:szCs w:val="20"/>
          <w:color w:val="auto"/>
        </w:rPr>
      </w:pPr>
      <w:r>
        <w:rPr>
          <w:rFonts w:ascii="Arial" w:cs="Arial" w:eastAsia="Arial" w:hAnsi="Arial"/>
          <w:sz w:val="10"/>
          <w:szCs w:val="10"/>
          <w:color w:val="FFFFFF"/>
        </w:rPr>
        <w:t>TheSummaryfollowingBreakdowntablepresentsTable certain selected statement of comprehensive income line items and certain other data.</w:t>
      </w:r>
    </w:p>
    <w:p>
      <w:pPr>
        <w:spacing w:after="0"/>
        <w:rPr>
          <w:sz w:val="20"/>
          <w:szCs w:val="20"/>
          <w:color w:val="auto"/>
        </w:rPr>
      </w:pPr>
      <w:r>
        <w:rPr>
          <w:rFonts w:ascii="Arial" w:cs="Arial" w:eastAsia="Arial" w:hAnsi="Arial"/>
          <w:sz w:val="3"/>
          <w:szCs w:val="3"/>
          <w:color w:val="FFFFFF"/>
        </w:rPr>
        <w:t>For the Six Months Ended</w:t>
      </w:r>
    </w:p>
    <w:p>
      <w:pPr>
        <w:spacing w:after="0" w:line="181" w:lineRule="auto"/>
        <w:rPr>
          <w:sz w:val="20"/>
          <w:szCs w:val="20"/>
          <w:color w:val="auto"/>
        </w:rPr>
      </w:pPr>
      <w:r>
        <w:rPr>
          <w:rFonts w:ascii="Arial" w:cs="Arial" w:eastAsia="Arial" w:hAnsi="Arial"/>
          <w:sz w:val="10"/>
          <w:szCs w:val="10"/>
          <w:color w:val="FFFFFF"/>
        </w:rPr>
        <w:t>302012June2011</w:t>
      </w:r>
    </w:p>
    <w:p>
      <w:pPr>
        <w:spacing w:after="0"/>
        <w:rPr>
          <w:sz w:val="20"/>
          <w:szCs w:val="20"/>
          <w:color w:val="auto"/>
        </w:rPr>
      </w:pPr>
      <w:r>
        <w:rPr>
          <w:rFonts w:ascii="Arial" w:cs="Arial" w:eastAsia="Arial" w:hAnsi="Arial"/>
          <w:sz w:val="3"/>
          <w:szCs w:val="3"/>
          <w:color w:val="FFFFFF"/>
        </w:rPr>
        <w:t>HK$ HK$</w:t>
      </w:r>
    </w:p>
    <w:p>
      <w:pPr>
        <w:spacing w:after="0" w:line="181" w:lineRule="auto"/>
        <w:rPr>
          <w:sz w:val="20"/>
          <w:szCs w:val="20"/>
          <w:color w:val="auto"/>
        </w:rPr>
      </w:pPr>
      <w:r>
        <w:rPr>
          <w:rFonts w:ascii="Arial" w:cs="Arial" w:eastAsia="Arial" w:hAnsi="Arial"/>
          <w:sz w:val="10"/>
          <w:szCs w:val="10"/>
          <w:color w:val="FFFFFF"/>
        </w:rPr>
        <w:t>except(inthousands,foraverages,</w:t>
      </w:r>
    </w:p>
    <w:p>
      <w:pPr>
        <w:spacing w:after="0"/>
        <w:rPr>
          <w:sz w:val="20"/>
          <w:szCs w:val="20"/>
          <w:color w:val="auto"/>
        </w:rPr>
      </w:pPr>
      <w:r>
        <w:rPr>
          <w:rFonts w:ascii="Arial" w:cs="Arial" w:eastAsia="Arial" w:hAnsi="Arial"/>
          <w:sz w:val="3"/>
          <w:szCs w:val="3"/>
          <w:color w:val="FFFFFF"/>
        </w:rPr>
        <w:t>daily win figures and number</w:t>
      </w:r>
    </w:p>
    <w:p>
      <w:pPr>
        <w:spacing w:after="0" w:line="181" w:lineRule="auto"/>
        <w:rPr>
          <w:sz w:val="20"/>
          <w:szCs w:val="20"/>
          <w:color w:val="auto"/>
        </w:rPr>
      </w:pPr>
      <w:r>
        <w:rPr>
          <w:rFonts w:ascii="Arial" w:cs="Arial" w:eastAsia="Arial" w:hAnsi="Arial"/>
          <w:sz w:val="10"/>
          <w:szCs w:val="10"/>
          <w:color w:val="FFFFFF"/>
        </w:rPr>
        <w:t>Totaloftablescasinoandrevenues(1)slotmachines)13,556,022 13,510,030</w:t>
      </w:r>
    </w:p>
    <w:p>
      <w:pPr>
        <w:spacing w:after="0"/>
        <w:rPr>
          <w:sz w:val="20"/>
          <w:szCs w:val="20"/>
          <w:color w:val="auto"/>
        </w:rPr>
      </w:pPr>
      <w:r>
        <w:rPr>
          <w:rFonts w:ascii="Arial" w:cs="Arial" w:eastAsia="Arial" w:hAnsi="Arial"/>
          <w:sz w:val="3"/>
          <w:szCs w:val="3"/>
          <w:color w:val="FFFFFF"/>
        </w:rPr>
        <w:t>Rooms(2) 67,315 65,865</w:t>
      </w:r>
    </w:p>
    <w:p>
      <w:pPr>
        <w:spacing w:after="0" w:line="181" w:lineRule="auto"/>
        <w:rPr>
          <w:sz w:val="20"/>
          <w:szCs w:val="20"/>
          <w:color w:val="auto"/>
        </w:rPr>
      </w:pPr>
      <w:r>
        <w:rPr>
          <w:rFonts w:ascii="Arial" w:cs="Arial" w:eastAsia="Arial" w:hAnsi="Arial"/>
          <w:sz w:val="10"/>
          <w:szCs w:val="10"/>
          <w:color w:val="FFFFFF"/>
        </w:rPr>
        <w:t>RetailFoodandandbeverage(2)other(2)707,37094,192667,69094,198</w:t>
      </w:r>
    </w:p>
    <w:p>
      <w:pPr>
        <w:spacing w:after="0"/>
        <w:rPr>
          <w:sz w:val="20"/>
          <w:szCs w:val="20"/>
          <w:color w:val="auto"/>
        </w:rPr>
      </w:pPr>
      <w:r>
        <w:rPr>
          <w:rFonts w:ascii="Arial" w:cs="Arial" w:eastAsia="Arial" w:hAnsi="Arial"/>
          <w:sz w:val="3"/>
          <w:szCs w:val="3"/>
          <w:color w:val="FFFFFF"/>
        </w:rPr>
        <w:t>Total operating revenues 14,424,899 14,337,783</w:t>
      </w:r>
    </w:p>
    <w:p>
      <w:pPr>
        <w:spacing w:after="0" w:line="181" w:lineRule="auto"/>
        <w:rPr>
          <w:sz w:val="20"/>
          <w:szCs w:val="20"/>
          <w:color w:val="auto"/>
        </w:rPr>
      </w:pPr>
      <w:r>
        <w:rPr>
          <w:rFonts w:ascii="Arial" w:cs="Arial" w:eastAsia="Arial" w:hAnsi="Arial"/>
          <w:sz w:val="10"/>
          <w:szCs w:val="10"/>
          <w:color w:val="FFFFFF"/>
        </w:rPr>
        <w:t>VIP grosstable gamestablegamesturnoverwin(1)495,914,21613,334,253482,143,69213,482,862</w:t>
      </w:r>
    </w:p>
    <w:p>
      <w:pPr>
        <w:ind w:left="740"/>
        <w:spacing w:after="0"/>
        <w:rPr>
          <w:sz w:val="20"/>
          <w:szCs w:val="20"/>
          <w:color w:val="auto"/>
        </w:rPr>
      </w:pPr>
      <w:r>
        <w:rPr>
          <w:rFonts w:ascii="Arial" w:cs="Arial" w:eastAsia="Arial" w:hAnsi="Arial"/>
          <w:sz w:val="3"/>
          <w:szCs w:val="3"/>
          <w:color w:val="FFFFFF"/>
        </w:rPr>
        <w:t>table games drop 10,705,615 10,684,063</w:t>
      </w:r>
    </w:p>
    <w:p>
      <w:pPr>
        <w:spacing w:after="0" w:line="181" w:lineRule="auto"/>
        <w:rPr>
          <w:sz w:val="20"/>
          <w:szCs w:val="20"/>
          <w:color w:val="auto"/>
        </w:rPr>
      </w:pPr>
      <w:r>
        <w:rPr>
          <w:rFonts w:ascii="Arial" w:cs="Arial" w:eastAsia="Arial" w:hAnsi="Arial"/>
          <w:sz w:val="10"/>
          <w:szCs w:val="10"/>
          <w:color w:val="FFFFFF"/>
        </w:rPr>
        <w:t>SlotMassmachinemarket grosshandletable20,392,692gameswin(1)23,096,4693,213,941 2,973,669</w:t>
      </w:r>
    </w:p>
    <w:p>
      <w:pPr>
        <w:ind w:left="760"/>
        <w:spacing w:after="0"/>
        <w:rPr>
          <w:sz w:val="20"/>
          <w:szCs w:val="20"/>
          <w:color w:val="auto"/>
        </w:rPr>
      </w:pPr>
      <w:r>
        <w:rPr>
          <w:rFonts w:ascii="Arial" w:cs="Arial" w:eastAsia="Arial" w:hAnsi="Arial"/>
          <w:sz w:val="3"/>
          <w:szCs w:val="3"/>
          <w:color w:val="FFFFFF"/>
        </w:rPr>
        <w:t>win(1) 1,062,511 1,151,661</w:t>
      </w:r>
    </w:p>
    <w:p>
      <w:pPr>
        <w:spacing w:after="0" w:line="181" w:lineRule="auto"/>
        <w:rPr>
          <w:sz w:val="20"/>
          <w:szCs w:val="20"/>
          <w:color w:val="auto"/>
        </w:rPr>
      </w:pPr>
      <w:r>
        <w:rPr>
          <w:rFonts w:ascii="Arial" w:cs="Arial" w:eastAsia="Arial" w:hAnsi="Arial"/>
          <w:sz w:val="10"/>
          <w:szCs w:val="10"/>
          <w:color w:val="FFFFFF"/>
        </w:rPr>
        <w:t>DailyAveragegrossnumberwinperof gaminggaming tables(3)table(4) 185,578490475 191,411</w:t>
      </w:r>
    </w:p>
    <w:p>
      <w:pPr>
        <w:spacing w:after="0"/>
        <w:rPr>
          <w:sz w:val="20"/>
          <w:szCs w:val="20"/>
          <w:color w:val="auto"/>
        </w:rPr>
      </w:pPr>
      <w:r>
        <w:rPr>
          <w:rFonts w:ascii="Arial" w:cs="Arial" w:eastAsia="Arial" w:hAnsi="Arial"/>
          <w:sz w:val="14"/>
          <w:szCs w:val="14"/>
          <w:color w:val="FFFFFF"/>
        </w:rPr>
        <w:t>Average dailynumberwinofperslots(3)slot(4)9276,3001,266,202</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Arial" w:cs="Arial" w:eastAsia="Arial" w:hAnsi="Arial"/>
                <w:sz w:val="14"/>
                <w:szCs w:val="14"/>
                <w:color w:val="FFFFFF"/>
                <w:w w:val="94"/>
              </w:rPr>
              <w:t>12 Wynn Macau, Limited</w:t>
            </w:r>
          </w:p>
        </w:tc>
        <w:tc>
          <w:tcPr>
            <w:tcW w:w="9940" w:type="dxa"/>
            <w:vAlign w:val="bottom"/>
          </w:tcPr>
          <w:p>
            <w:pPr>
              <w:spacing w:after="0"/>
              <w:rPr>
                <w:sz w:val="14"/>
                <w:szCs w:val="14"/>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Management Discussion and Analysis</w:t>
            </w: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Notes:</w:t>
            </w:r>
          </w:p>
        </w:tc>
        <w:tc>
          <w:tcPr>
            <w:tcW w:w="9940" w:type="dxa"/>
            <w:vAlign w:val="bottom"/>
          </w:tcPr>
          <w:p>
            <w:pPr>
              <w:spacing w:after="0"/>
              <w:rPr>
                <w:sz w:val="3"/>
                <w:szCs w:val="3"/>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(1) Total casino revenues do not equal the sum of “VIP gross table games win,” “mass market gross table games win” and “slot machine win” because gross table games win is calculated before commissions and</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discounts, and only recorded as revenues after the relevant commissions and discounts have been deducted. The following table presents a reconciliation of the sum of “VIP gross table games win,” “mass market</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gross table games win” and “slot machine win” to total casino revenues.</w:t>
            </w: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For the Six Months Ended</w:t>
            </w:r>
          </w:p>
        </w:tc>
        <w:tc>
          <w:tcPr>
            <w:tcW w:w="9940" w:type="dxa"/>
            <w:vAlign w:val="bottom"/>
          </w:tcPr>
          <w:p>
            <w:pPr>
              <w:spacing w:after="0"/>
              <w:rPr>
                <w:sz w:val="3"/>
                <w:szCs w:val="3"/>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30 June</w:t>
            </w:r>
          </w:p>
        </w:tc>
        <w:tc>
          <w:tcPr>
            <w:tcW w:w="9940" w:type="dxa"/>
            <w:vAlign w:val="bottom"/>
          </w:tcPr>
          <w:p>
            <w:pPr>
              <w:spacing w:after="0"/>
              <w:rPr>
                <w:sz w:val="3"/>
                <w:szCs w:val="3"/>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2012</w:t>
            </w:r>
          </w:p>
        </w:tc>
        <w:tc>
          <w:tcPr>
            <w:tcW w:w="1180" w:type="dxa"/>
            <w:vAlign w:val="bottom"/>
          </w:tcPr>
          <w:p>
            <w:pPr>
              <w:jc w:val="right"/>
              <w:ind w:right="883"/>
              <w:spacing w:after="0"/>
              <w:rPr>
                <w:sz w:val="20"/>
                <w:szCs w:val="20"/>
                <w:color w:val="auto"/>
              </w:rPr>
            </w:pPr>
            <w:r>
              <w:rPr>
                <w:rFonts w:ascii="Arial" w:cs="Arial" w:eastAsia="Arial" w:hAnsi="Arial"/>
                <w:sz w:val="3"/>
                <w:szCs w:val="3"/>
                <w:color w:val="FFFFFF"/>
              </w:rPr>
              <w:t>2011</w:t>
            </w:r>
          </w:p>
        </w:tc>
        <w:tc>
          <w:tcPr>
            <w:tcW w:w="9940" w:type="dxa"/>
            <w:vAlign w:val="bottom"/>
          </w:tcPr>
          <w:p>
            <w:pPr>
              <w:spacing w:after="0"/>
              <w:rPr>
                <w:sz w:val="3"/>
                <w:szCs w:val="3"/>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HK$ HK$</w:t>
            </w:r>
          </w:p>
        </w:tc>
        <w:tc>
          <w:tcPr>
            <w:tcW w:w="9940" w:type="dxa"/>
            <w:vAlign w:val="bottom"/>
          </w:tcPr>
          <w:p>
            <w:pPr>
              <w:spacing w:after="0"/>
              <w:rPr>
                <w:sz w:val="3"/>
                <w:szCs w:val="3"/>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(in thousands)</w:t>
            </w:r>
          </w:p>
        </w:tc>
        <w:tc>
          <w:tcPr>
            <w:tcW w:w="9940" w:type="dxa"/>
            <w:vAlign w:val="bottom"/>
          </w:tcPr>
          <w:p>
            <w:pPr>
              <w:spacing w:after="0"/>
              <w:rPr>
                <w:sz w:val="3"/>
                <w:szCs w:val="3"/>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VIP gross table games win 13,334,253 13,482,862</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Mass market gross table games win 3,213,941 2,973,669</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Slot machi   win 1,062,511 1,151,661</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Poker revenues 72,669 62,118</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Commissions and discounts (4,127,352) (4,160,280)</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Total casino revenues 13,556,022 13,510,030</w:t>
            </w: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(2)Pr</w:t>
            </w:r>
          </w:p>
        </w:tc>
        <w:tc>
          <w:tcPr>
            <w:tcW w:w="1180" w:type="dxa"/>
            <w:vAlign w:val="bottom"/>
          </w:tcPr>
          <w:p>
            <w:pPr>
              <w:jc w:val="right"/>
              <w:ind w:right="623"/>
              <w:spacing w:after="0"/>
              <w:rPr>
                <w:sz w:val="20"/>
                <w:szCs w:val="20"/>
                <w:color w:val="auto"/>
              </w:rPr>
            </w:pPr>
            <w:r>
              <w:rPr>
                <w:rFonts w:ascii="Arial" w:cs="Arial" w:eastAsia="Arial" w:hAnsi="Arial"/>
                <w:sz w:val="3"/>
                <w:szCs w:val="3"/>
                <w:color w:val="FFFFFF"/>
              </w:rPr>
              <w:t>motional</w:t>
            </w:r>
          </w:p>
        </w:tc>
        <w:tc>
          <w:tcPr>
            <w:tcW w:w="9940" w:type="dxa"/>
            <w:vAlign w:val="bottom"/>
          </w:tcPr>
          <w:p>
            <w:pPr>
              <w:ind w:left="20"/>
              <w:spacing w:after="0"/>
              <w:rPr>
                <w:sz w:val="20"/>
                <w:szCs w:val="20"/>
                <w:color w:val="auto"/>
              </w:rPr>
            </w:pPr>
            <w:r>
              <w:rPr>
                <w:rFonts w:ascii="Arial" w:cs="Arial" w:eastAsia="Arial" w:hAnsi="Arial"/>
                <w:sz w:val="3"/>
                <w:szCs w:val="3"/>
                <w:color w:val="FFFFFF"/>
              </w:rPr>
              <w:t>are excluded from revenues in the accompanying condensed consolidated statement of comprehensive income prepared in accordance with IFRS. Management also evaluates non-</w:t>
            </w:r>
          </w:p>
        </w:tc>
      </w:tr>
      <w:tr>
        <w:trPr>
          <w:trHeight w:val="0"/>
        </w:trPr>
        <w:tc>
          <w:tcPr>
            <w:tcW w:w="1480" w:type="dxa"/>
            <w:vAlign w:val="bottom"/>
            <w:gridSpan w:val="2"/>
          </w:tcPr>
          <w:p>
            <w:pPr>
              <w:spacing w:after="0" w:line="80" w:lineRule="exact"/>
              <w:rPr>
                <w:sz w:val="20"/>
                <w:szCs w:val="20"/>
                <w:color w:val="auto"/>
              </w:rPr>
            </w:pPr>
            <w:r>
              <w:rPr>
                <w:rFonts w:ascii="Arial" w:cs="Arial" w:eastAsia="Arial" w:hAnsi="Arial"/>
                <w:sz w:val="9"/>
                <w:szCs w:val="9"/>
                <w:color w:val="FFFFFF"/>
              </w:rPr>
              <w:t>casino revenuesallowanceson</w:t>
            </w:r>
          </w:p>
        </w:tc>
        <w:tc>
          <w:tcPr>
            <w:tcW w:w="9940" w:type="dxa"/>
            <w:vAlign w:val="bottom"/>
          </w:tcPr>
          <w:p>
            <w:pPr>
              <w:ind w:left="240"/>
              <w:spacing w:after="0" w:line="80" w:lineRule="exact"/>
              <w:rPr>
                <w:sz w:val="20"/>
                <w:szCs w:val="20"/>
                <w:color w:val="auto"/>
              </w:rPr>
            </w:pPr>
            <w:r>
              <w:rPr>
                <w:rFonts w:ascii="Arial" w:cs="Arial" w:eastAsia="Arial" w:hAnsi="Arial"/>
                <w:sz w:val="9"/>
                <w:szCs w:val="9"/>
                <w:color w:val="FFFFFF"/>
              </w:rPr>
              <w:t>basis.</w:t>
            </w:r>
          </w:p>
        </w:tc>
      </w:tr>
    </w:tbl>
    <w:p>
      <w:pPr>
        <w:ind w:right="200"/>
        <w:spacing w:after="0"/>
        <w:rPr>
          <w:sz w:val="20"/>
          <w:szCs w:val="20"/>
          <w:color w:val="auto"/>
        </w:rPr>
      </w:pPr>
      <w:r>
        <w:rPr>
          <w:rFonts w:ascii="Arial" w:cs="Arial" w:eastAsia="Arial" w:hAnsi="Arial"/>
          <w:sz w:val="3"/>
          <w:szCs w:val="3"/>
          <w:color w:val="FFFFFF"/>
        </w:rPr>
        <w:t>The following table presentsadjustedreconciliation of net non-casino revenues as reported in our condensed consolidated statement of comprehensive income to gross non-casino revenues calculated on the adjusted basis.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FFFFFF"/>
        </w:rPr>
        <w:t>The adjusted non-casino revenues as presented below are used for management reporting purposes and are not representative of revenues as determined under IAS 18.</w:t>
      </w:r>
    </w:p>
    <w:p>
      <w:pPr>
        <w:sectPr>
          <w:pgSz w:w="11900" w:h="16838" w:orient="portrait"/>
          <w:cols w:equalWidth="0" w:num="1">
            <w:col w:w="11420"/>
          </w:cols>
          <w:pgMar w:left="240" w:top="1440"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2012 13</w:t>
      </w:r>
    </w:p>
    <w:p>
      <w:pPr>
        <w:spacing w:after="0"/>
        <w:rPr>
          <w:sz w:val="20"/>
          <w:szCs w:val="20"/>
          <w:color w:val="auto"/>
        </w:rPr>
      </w:pPr>
      <w:r>
        <w:rPr>
          <w:rFonts w:ascii="Arial" w:cs="Arial" w:eastAsia="Arial" w:hAnsi="Arial"/>
          <w:sz w:val="3"/>
          <w:szCs w:val="3"/>
          <w:color w:val="FFFFFF"/>
        </w:rPr>
        <w:t>ForManagementtheSixMonthsDiscussionEndedand Analysis</w:t>
      </w:r>
    </w:p>
    <w:p>
      <w:pPr>
        <w:spacing w:after="0" w:line="194" w:lineRule="auto"/>
        <w:rPr>
          <w:sz w:val="20"/>
          <w:szCs w:val="20"/>
          <w:color w:val="auto"/>
        </w:rPr>
      </w:pPr>
      <w:r>
        <w:rPr>
          <w:rFonts w:ascii="Arial" w:cs="Arial" w:eastAsia="Arial" w:hAnsi="Arial"/>
          <w:sz w:val="5"/>
          <w:szCs w:val="5"/>
          <w:color w:val="FFFFFF"/>
          <w:vertAlign w:val="subscript"/>
        </w:rPr>
        <w:t>2012</w:t>
      </w:r>
      <w:r>
        <w:rPr>
          <w:rFonts w:ascii="Arial" w:cs="Arial" w:eastAsia="Arial" w:hAnsi="Arial"/>
          <w:sz w:val="3"/>
          <w:szCs w:val="3"/>
          <w:color w:val="FFFFFF"/>
        </w:rPr>
        <w:t>30June</w:t>
      </w:r>
    </w:p>
    <w:p>
      <w:pPr>
        <w:ind w:left="320"/>
        <w:spacing w:after="0" w:line="188" w:lineRule="auto"/>
        <w:rPr>
          <w:sz w:val="20"/>
          <w:szCs w:val="20"/>
          <w:color w:val="auto"/>
        </w:rPr>
      </w:pPr>
      <w:r>
        <w:rPr>
          <w:rFonts w:ascii="Arial" w:cs="Arial" w:eastAsia="Arial" w:hAnsi="Arial"/>
          <w:sz w:val="9"/>
          <w:szCs w:val="9"/>
          <w:color w:val="FFFFFF"/>
        </w:rPr>
        <w:t>2011 HK$ HK$ (in thousands)</w:t>
      </w:r>
    </w:p>
    <w:p>
      <w:pPr>
        <w:spacing w:after="0" w:line="187" w:lineRule="auto"/>
        <w:rPr>
          <w:sz w:val="20"/>
          <w:szCs w:val="20"/>
          <w:color w:val="auto"/>
        </w:rPr>
      </w:pPr>
      <w:r>
        <w:rPr>
          <w:rFonts w:ascii="Arial" w:cs="Arial" w:eastAsia="Arial" w:hAnsi="Arial"/>
          <w:sz w:val="9"/>
          <w:szCs w:val="9"/>
          <w:color w:val="FFFFFF"/>
        </w:rPr>
        <w:t>AdjustedRoomrevenuesroomrevenues67,31565,865456,727Promotional438,707 allowances 389,412 372,842</w:t>
      </w:r>
    </w:p>
    <w:p>
      <w:pPr>
        <w:spacing w:after="0" w:line="188" w:lineRule="auto"/>
        <w:rPr>
          <w:sz w:val="20"/>
          <w:szCs w:val="20"/>
          <w:color w:val="auto"/>
        </w:rPr>
      </w:pPr>
      <w:r>
        <w:rPr>
          <w:rFonts w:ascii="Arial" w:cs="Arial" w:eastAsia="Arial" w:hAnsi="Arial"/>
          <w:sz w:val="9"/>
          <w:szCs w:val="9"/>
          <w:color w:val="FFFFFF"/>
        </w:rPr>
        <w:t>AdjustedFoodand foodbeverageand beveragerevenues revenues94,19294,198380,020Promotional346,487 allowances 285,828 252,289</w:t>
      </w:r>
    </w:p>
    <w:p>
      <w:pPr>
        <w:spacing w:after="0"/>
        <w:rPr>
          <w:sz w:val="20"/>
          <w:szCs w:val="20"/>
          <w:color w:val="auto"/>
        </w:rPr>
      </w:pPr>
      <w:r>
        <w:rPr>
          <w:rFonts w:ascii="Arial" w:cs="Arial" w:eastAsia="Arial" w:hAnsi="Arial"/>
          <w:sz w:val="3"/>
          <w:szCs w:val="3"/>
          <w:color w:val="FFFFFF"/>
        </w:rPr>
        <w:t>AdjustedRetailandretailotherandrevenuesotherrevenues707,370 667,690738,676 Promotional684,094 allowances 31,306 16,404</w:t>
      </w:r>
    </w:p>
    <w:p>
      <w:pPr>
        <w:spacing w:after="0" w:line="6" w:lineRule="exact"/>
        <w:rPr>
          <w:sz w:val="20"/>
          <w:szCs w:val="20"/>
          <w:color w:val="auto"/>
        </w:rPr>
      </w:pPr>
    </w:p>
    <w:p>
      <w:pPr>
        <w:ind w:left="500" w:right="220" w:hanging="490"/>
        <w:spacing w:after="0"/>
        <w:rPr>
          <w:sz w:val="20"/>
          <w:szCs w:val="20"/>
          <w:color w:val="auto"/>
        </w:rPr>
      </w:pPr>
      <w:r>
        <w:rPr>
          <w:rFonts w:ascii="Arial" w:cs="Arial" w:eastAsia="Arial" w:hAnsi="Arial"/>
          <w:sz w:val="7"/>
          <w:szCs w:val="7"/>
          <w:color w:val="FFFFFF"/>
          <w:vertAlign w:val="superscript"/>
        </w:rPr>
        <w:t>(4)</w:t>
      </w:r>
      <w:r>
        <w:rPr>
          <w:rFonts w:ascii="Arial" w:cs="Arial" w:eastAsia="Arial" w:hAnsi="Arial"/>
          <w:sz w:val="6"/>
          <w:szCs w:val="6"/>
          <w:color w:val="FFFFFF"/>
        </w:rPr>
        <w:t>3</w:t>
      </w:r>
      <w:r>
        <w:rPr>
          <w:rFonts w:ascii="Arial" w:cs="Arial" w:eastAsia="Arial" w:hAnsi="Arial"/>
          <w:sz w:val="7"/>
          <w:szCs w:val="7"/>
          <w:color w:val="FFFFFF"/>
          <w:vertAlign w:val="superscript"/>
        </w:rPr>
        <w:t>Daily</w:t>
      </w:r>
      <w:r>
        <w:rPr>
          <w:rFonts w:ascii="Arial" w:cs="Arial" w:eastAsia="Arial" w:hAnsi="Arial"/>
          <w:sz w:val="6"/>
          <w:szCs w:val="6"/>
          <w:color w:val="FFFFFF"/>
        </w:rPr>
        <w:t>Forpurposes of this table, we calculate average number of gaming tables and average number of slots as the average numbers of gaming tables and slot machines in service on each day in the period. gross win per gaming table and daily win per slot are presented in this table on the basis of the average number of gaming tables and average number of slots, respectively, over the number of days</w:t>
      </w:r>
    </w:p>
    <w:p>
      <w:pPr>
        <w:spacing w:after="0" w:line="1"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Wynn Macau and Encore were open in the applicable period. In addition, the total table games win figures used herein do not correspond to casino revenues figures in our financial information, because figures in our financial information are calculated net of commissions and discounts and the total table games win herein is calculated before commissions and discounts.</w:t>
      </w:r>
    </w:p>
    <w:p>
      <w:pPr>
        <w:sectPr>
          <w:pgSz w:w="11900" w:h="16838" w:orient="portrait"/>
          <w:cols w:equalWidth="0" w:num="1">
            <w:col w:w="11300"/>
          </w:cols>
          <w:pgMar w:left="240" w:top="1440" w:right="3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20"/>
                <w:szCs w:val="20"/>
                <w:color w:val="auto"/>
              </w:rPr>
            </w:pPr>
            <w:r>
              <w:rPr>
                <w:rFonts w:ascii="Arial" w:cs="Arial" w:eastAsia="Arial" w:hAnsi="Arial"/>
                <w:sz w:val="14"/>
                <w:szCs w:val="14"/>
                <w:color w:val="FFFFFF"/>
              </w:rPr>
              <w:t>14 Wynn Macau, Limited</w:t>
            </w:r>
          </w:p>
        </w:tc>
        <w:tc>
          <w:tcPr>
            <w:tcW w:w="20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41"/>
        </w:trPr>
        <w:tc>
          <w:tcPr>
            <w:tcW w:w="232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20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41"/>
        </w:trPr>
        <w:tc>
          <w:tcPr>
            <w:tcW w:w="2320" w:type="dxa"/>
            <w:vAlign w:val="bottom"/>
          </w:tcPr>
          <w:p>
            <w:pPr>
              <w:spacing w:after="0"/>
              <w:rPr>
                <w:sz w:val="20"/>
                <w:szCs w:val="20"/>
                <w:color w:val="auto"/>
              </w:rPr>
            </w:pPr>
            <w:r>
              <w:rPr>
                <w:rFonts w:ascii="Arial" w:cs="Arial" w:eastAsia="Arial" w:hAnsi="Arial"/>
                <w:sz w:val="3"/>
                <w:szCs w:val="3"/>
                <w:color w:val="FFFFFF"/>
              </w:rPr>
              <w:t>Discussion of Results of Operations</w:t>
            </w:r>
          </w:p>
        </w:tc>
        <w:tc>
          <w:tcPr>
            <w:tcW w:w="20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41"/>
        </w:trPr>
        <w:tc>
          <w:tcPr>
            <w:tcW w:w="8780" w:type="dxa"/>
            <w:vAlign w:val="bottom"/>
            <w:gridSpan w:val="3"/>
          </w:tcPr>
          <w:p>
            <w:pPr>
              <w:spacing w:after="0"/>
              <w:rPr>
                <w:sz w:val="20"/>
                <w:szCs w:val="20"/>
                <w:color w:val="auto"/>
              </w:rPr>
            </w:pPr>
            <w:r>
              <w:rPr>
                <w:rFonts w:ascii="Arial" w:cs="Arial" w:eastAsia="Arial" w:hAnsi="Arial"/>
                <w:sz w:val="3"/>
                <w:szCs w:val="3"/>
                <w:color w:val="FFFFFF"/>
              </w:rPr>
              <w:t>Financ al results for the six months ended 30 June 2012 compared to financial results for the six months ended 30 June 2011</w:t>
            </w:r>
          </w:p>
        </w:tc>
        <w:tc>
          <w:tcPr>
            <w:tcW w:w="2620" w:type="dxa"/>
            <w:vAlign w:val="bottom"/>
          </w:tcPr>
          <w:p>
            <w:pPr>
              <w:spacing w:after="0"/>
              <w:rPr>
                <w:sz w:val="3"/>
                <w:szCs w:val="3"/>
                <w:color w:val="auto"/>
              </w:rPr>
            </w:pPr>
          </w:p>
        </w:tc>
      </w:tr>
      <w:tr>
        <w:trPr>
          <w:trHeight w:val="41"/>
        </w:trPr>
        <w:tc>
          <w:tcPr>
            <w:tcW w:w="2320" w:type="dxa"/>
            <w:vAlign w:val="bottom"/>
          </w:tcPr>
          <w:p>
            <w:pPr>
              <w:spacing w:after="0"/>
              <w:rPr>
                <w:sz w:val="20"/>
                <w:szCs w:val="20"/>
                <w:color w:val="auto"/>
              </w:rPr>
            </w:pPr>
            <w:r>
              <w:rPr>
                <w:rFonts w:ascii="Arial" w:cs="Arial" w:eastAsia="Arial" w:hAnsi="Arial"/>
                <w:sz w:val="3"/>
                <w:szCs w:val="3"/>
                <w:color w:val="FFFFFF"/>
              </w:rPr>
              <w:t>Operating Revenues</w:t>
            </w:r>
          </w:p>
        </w:tc>
        <w:tc>
          <w:tcPr>
            <w:tcW w:w="20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41"/>
        </w:trPr>
        <w:tc>
          <w:tcPr>
            <w:tcW w:w="8780" w:type="dxa"/>
            <w:vAlign w:val="bottom"/>
            <w:gridSpan w:val="3"/>
          </w:tcPr>
          <w:p>
            <w:pPr>
              <w:spacing w:after="0"/>
              <w:rPr>
                <w:sz w:val="20"/>
                <w:szCs w:val="20"/>
                <w:color w:val="auto"/>
              </w:rPr>
            </w:pPr>
            <w:r>
              <w:rPr>
                <w:rFonts w:ascii="Arial" w:cs="Arial" w:eastAsia="Arial" w:hAnsi="Arial"/>
                <w:sz w:val="3"/>
                <w:szCs w:val="3"/>
                <w:color w:val="FFFFFF"/>
              </w:rPr>
              <w:t>Total operating revenues increased slightly from HK$14.3 billion in the six months ended 30 June 2011 to HK$14.4 billion in the six months ended 30 June 2012.</w:t>
            </w:r>
          </w:p>
        </w:tc>
        <w:tc>
          <w:tcPr>
            <w:tcW w:w="2620" w:type="dxa"/>
            <w:vAlign w:val="bottom"/>
          </w:tcPr>
          <w:p>
            <w:pPr>
              <w:spacing w:after="0"/>
              <w:rPr>
                <w:sz w:val="3"/>
                <w:szCs w:val="3"/>
                <w:color w:val="auto"/>
              </w:rPr>
            </w:pPr>
          </w:p>
        </w:tc>
      </w:tr>
      <w:tr>
        <w:trPr>
          <w:trHeight w:val="41"/>
        </w:trPr>
        <w:tc>
          <w:tcPr>
            <w:tcW w:w="2320" w:type="dxa"/>
            <w:vAlign w:val="bottom"/>
          </w:tcPr>
          <w:p>
            <w:pPr>
              <w:ind w:left="420"/>
              <w:spacing w:after="0"/>
              <w:rPr>
                <w:sz w:val="20"/>
                <w:szCs w:val="20"/>
                <w:color w:val="auto"/>
              </w:rPr>
            </w:pPr>
            <w:r>
              <w:rPr>
                <w:rFonts w:ascii="Arial" w:cs="Arial" w:eastAsia="Arial" w:hAnsi="Arial"/>
                <w:sz w:val="3"/>
                <w:szCs w:val="3"/>
                <w:color w:val="FFFFFF"/>
              </w:rPr>
              <w:t>Revenues</w:t>
            </w:r>
          </w:p>
        </w:tc>
        <w:tc>
          <w:tcPr>
            <w:tcW w:w="20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Casino revenues remained basically flat from HK$13.5 billion (94.2% of total operating revenues) in the six months ended 30 June 2011 to HK$13.6 billion (94.0% of total operating revenues) in the six months</w:t>
            </w:r>
          </w:p>
        </w:tc>
      </w:tr>
      <w:tr>
        <w:trPr>
          <w:trHeight w:val="41"/>
        </w:trPr>
        <w:tc>
          <w:tcPr>
            <w:tcW w:w="4400" w:type="dxa"/>
            <w:vAlign w:val="bottom"/>
            <w:gridSpan w:val="2"/>
          </w:tcPr>
          <w:p>
            <w:pPr>
              <w:spacing w:after="0"/>
              <w:rPr>
                <w:sz w:val="20"/>
                <w:szCs w:val="20"/>
                <w:color w:val="auto"/>
              </w:rPr>
            </w:pPr>
            <w:r>
              <w:rPr>
                <w:rFonts w:ascii="Arial" w:cs="Arial" w:eastAsia="Arial" w:hAnsi="Arial"/>
                <w:sz w:val="3"/>
                <w:szCs w:val="3"/>
                <w:color w:val="FFFFFF"/>
              </w:rPr>
              <w:t>ended 30 June 2012. The components and reasons are as follows:</w:t>
            </w:r>
          </w:p>
        </w:tc>
        <w:tc>
          <w:tcPr>
            <w:tcW w:w="438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VIP casino gaming operations. VIP gross table games win decreased by 1.1%, from HK$13.5 billion in the six months ended 30 June 2011 to HK$13.3 billion in the six months ended 30 June 2012. VIP table</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games turnover increased by 2.86%, from HK$482.1 billion in the six months ended 30 June 2011 to HK$495.9 billion in the six months ended 30 June 2012. VIP gross table games win as a percentage of</w:t>
            </w:r>
          </w:p>
        </w:tc>
      </w:tr>
      <w:tr>
        <w:trPr>
          <w:trHeight w:val="41"/>
        </w:trPr>
        <w:tc>
          <w:tcPr>
            <w:tcW w:w="11400" w:type="dxa"/>
            <w:vAlign w:val="bottom"/>
            <w:gridSpan w:val="4"/>
          </w:tcPr>
          <w:p>
            <w:pPr>
              <w:ind w:left="40"/>
              <w:spacing w:after="0"/>
              <w:rPr>
                <w:sz w:val="20"/>
                <w:szCs w:val="20"/>
                <w:color w:val="auto"/>
              </w:rPr>
            </w:pPr>
            <w:r>
              <w:rPr>
                <w:rFonts w:ascii="Arial" w:cs="Arial" w:eastAsia="Arial" w:hAnsi="Arial"/>
                <w:sz w:val="3"/>
                <w:szCs w:val="3"/>
                <w:color w:val="FFFFFF"/>
              </w:rPr>
              <w:t>urnover (calculated before discounts and commissions) was 2.80% in the six months ended 30 June 2011 compared to 2.69% in the six months ended 30 June 2012, which was below our expected range of 2.7%</w:t>
            </w:r>
          </w:p>
        </w:tc>
      </w:tr>
      <w:tr>
        <w:trPr>
          <w:trHeight w:val="41"/>
        </w:trPr>
        <w:tc>
          <w:tcPr>
            <w:tcW w:w="2320" w:type="dxa"/>
            <w:vAlign w:val="bottom"/>
          </w:tcPr>
          <w:p>
            <w:pPr>
              <w:spacing w:after="0"/>
              <w:rPr>
                <w:sz w:val="20"/>
                <w:szCs w:val="20"/>
                <w:color w:val="auto"/>
              </w:rPr>
            </w:pPr>
            <w:r>
              <w:rPr>
                <w:rFonts w:ascii="Arial" w:cs="Arial" w:eastAsia="Arial" w:hAnsi="Arial"/>
                <w:sz w:val="3"/>
                <w:szCs w:val="3"/>
                <w:color w:val="FFFFFF"/>
              </w:rPr>
              <w:t>to 3.0%.</w:t>
            </w:r>
          </w:p>
        </w:tc>
        <w:tc>
          <w:tcPr>
            <w:tcW w:w="20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Mass market casino gaming operations. Mass market gross table games win increased by 8.1%, from HK$3.0 billion in the six months ended 30 June 2011 to HK$3.2 billion in the six months ended 30 June</w:t>
            </w:r>
          </w:p>
        </w:tc>
      </w:tr>
      <w:tr>
        <w:trPr>
          <w:trHeight w:val="41"/>
        </w:trPr>
        <w:tc>
          <w:tcPr>
            <w:tcW w:w="2320" w:type="dxa"/>
            <w:vAlign w:val="bottom"/>
          </w:tcPr>
          <w:p>
            <w:pPr>
              <w:spacing w:after="0"/>
              <w:rPr>
                <w:sz w:val="20"/>
                <w:szCs w:val="20"/>
                <w:color w:val="auto"/>
              </w:rPr>
            </w:pPr>
            <w:r>
              <w:rPr>
                <w:rFonts w:ascii="Arial" w:cs="Arial" w:eastAsia="Arial" w:hAnsi="Arial"/>
                <w:sz w:val="3"/>
                <w:szCs w:val="3"/>
                <w:color w:val="FFFFFF"/>
              </w:rPr>
              <w:t>2012. Mass market table games drop</w:t>
            </w:r>
          </w:p>
        </w:tc>
        <w:tc>
          <w:tcPr>
            <w:tcW w:w="9080" w:type="dxa"/>
            <w:vAlign w:val="bottom"/>
            <w:gridSpan w:val="3"/>
          </w:tcPr>
          <w:p>
            <w:pPr>
              <w:ind w:left="240"/>
              <w:spacing w:after="0"/>
              <w:rPr>
                <w:sz w:val="20"/>
                <w:szCs w:val="20"/>
                <w:color w:val="auto"/>
              </w:rPr>
            </w:pPr>
            <w:r>
              <w:rPr>
                <w:rFonts w:ascii="Arial" w:cs="Arial" w:eastAsia="Arial" w:hAnsi="Arial"/>
                <w:sz w:val="3"/>
                <w:szCs w:val="3"/>
                <w:color w:val="FFFFFF"/>
              </w:rPr>
              <w:t>basically flat, at approximately HK$10.7 billion in both the six months ended 30 June 2012 and 2011. The mass market gross table games win percentage</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(calculated before discounts) was 27.8%remainedthe six months ended 30 June 201  compared to 30.0% in the six months ended 30 June 2012, which was higher the expected win percentage range of 26% to 28%.</w:t>
            </w:r>
          </w:p>
        </w:tc>
      </w:tr>
      <w:tr>
        <w:trPr>
          <w:trHeight w:val="41"/>
        </w:trPr>
        <w:tc>
          <w:tcPr>
            <w:tcW w:w="2320" w:type="dxa"/>
            <w:vAlign w:val="bottom"/>
          </w:tcPr>
          <w:p>
            <w:pPr>
              <w:spacing w:after="0"/>
              <w:rPr>
                <w:sz w:val="20"/>
                <w:szCs w:val="20"/>
                <w:color w:val="auto"/>
              </w:rPr>
            </w:pPr>
            <w:r>
              <w:rPr>
                <w:rFonts w:ascii="Arial" w:cs="Arial" w:eastAsia="Arial" w:hAnsi="Arial"/>
                <w:sz w:val="3"/>
                <w:szCs w:val="3"/>
                <w:color w:val="FFFFFF"/>
              </w:rPr>
              <w:t>Slot machine gaming operations. Slot</w:t>
            </w:r>
          </w:p>
        </w:tc>
        <w:tc>
          <w:tcPr>
            <w:tcW w:w="2080" w:type="dxa"/>
            <w:vAlign w:val="bottom"/>
          </w:tcPr>
          <w:p>
            <w:pPr>
              <w:ind w:left="240"/>
              <w:spacing w:after="0"/>
              <w:rPr>
                <w:sz w:val="20"/>
                <w:szCs w:val="20"/>
                <w:color w:val="auto"/>
              </w:rPr>
            </w:pPr>
            <w:r>
              <w:rPr>
                <w:rFonts w:ascii="Arial" w:cs="Arial" w:eastAsia="Arial" w:hAnsi="Arial"/>
                <w:sz w:val="3"/>
                <w:szCs w:val="3"/>
                <w:color w:val="FFFFFF"/>
              </w:rPr>
              <w:t>win decreased by 7.7% from</w:t>
            </w:r>
          </w:p>
        </w:tc>
        <w:tc>
          <w:tcPr>
            <w:tcW w:w="7000" w:type="dxa"/>
            <w:vAlign w:val="bottom"/>
            <w:gridSpan w:val="2"/>
          </w:tcPr>
          <w:p>
            <w:pPr>
              <w:ind w:left="80"/>
              <w:spacing w:after="0"/>
              <w:rPr>
                <w:sz w:val="20"/>
                <w:szCs w:val="20"/>
                <w:color w:val="auto"/>
              </w:rPr>
            </w:pPr>
            <w:r>
              <w:rPr>
                <w:rFonts w:ascii="Arial" w:cs="Arial" w:eastAsia="Arial" w:hAnsi="Arial"/>
                <w:sz w:val="3"/>
                <w:szCs w:val="3"/>
                <w:color w:val="FFFFFF"/>
              </w:rPr>
              <w:t>.2 billion in the six months ended 30 June 2011 to HK$1.1 billion   the six months ended 30 June 2012. Slot machine handle</w:t>
            </w:r>
          </w:p>
        </w:tc>
      </w:tr>
      <w:tr>
        <w:trPr>
          <w:trHeight w:val="41"/>
        </w:trPr>
        <w:tc>
          <w:tcPr>
            <w:tcW w:w="8780" w:type="dxa"/>
            <w:vAlign w:val="bottom"/>
            <w:gridSpan w:val="3"/>
          </w:tcPr>
          <w:p>
            <w:pPr>
              <w:spacing w:after="0"/>
              <w:rPr>
                <w:sz w:val="20"/>
                <w:szCs w:val="20"/>
                <w:color w:val="auto"/>
              </w:rPr>
            </w:pPr>
            <w:r>
              <w:rPr>
                <w:rFonts w:ascii="Arial" w:cs="Arial" w:eastAsia="Arial" w:hAnsi="Arial"/>
                <w:sz w:val="3"/>
                <w:szCs w:val="3"/>
                <w:color w:val="FFFFFF"/>
              </w:rPr>
              <w:t>decreased by 11.7%, from HK$23.1 billionmachinethe six months ended 30 June 201HK$1to HK$20.4 billion   the six months ended 30 June 2012. Slot machine win</w:t>
            </w:r>
          </w:p>
        </w:tc>
        <w:tc>
          <w:tcPr>
            <w:tcW w:w="2620" w:type="dxa"/>
            <w:vAlign w:val="bottom"/>
          </w:tcPr>
          <w:p>
            <w:pPr>
              <w:ind w:left="20"/>
              <w:spacing w:after="0"/>
              <w:rPr>
                <w:sz w:val="20"/>
                <w:szCs w:val="20"/>
                <w:color w:val="auto"/>
              </w:rPr>
            </w:pPr>
            <w:r>
              <w:rPr>
                <w:rFonts w:ascii="Arial" w:cs="Arial" w:eastAsia="Arial" w:hAnsi="Arial"/>
                <w:sz w:val="3"/>
                <w:szCs w:val="3"/>
                <w:color w:val="FFFFFF"/>
              </w:rPr>
              <w:t>slot machine handle decreased primarily due to</w:t>
            </w:r>
          </w:p>
        </w:tc>
      </w:tr>
      <w:tr>
        <w:trPr>
          <w:trHeight w:val="0"/>
        </w:trPr>
        <w:tc>
          <w:tcPr>
            <w:tcW w:w="4400" w:type="dxa"/>
            <w:vAlign w:val="bottom"/>
            <w:gridSpan w:val="2"/>
          </w:tcPr>
          <w:p>
            <w:pPr>
              <w:spacing w:after="0" w:line="80" w:lineRule="exact"/>
              <w:rPr>
                <w:sz w:val="20"/>
                <w:szCs w:val="20"/>
                <w:color w:val="auto"/>
              </w:rPr>
            </w:pPr>
            <w:r>
              <w:rPr>
                <w:rFonts w:ascii="Arial" w:cs="Arial" w:eastAsia="Arial" w:hAnsi="Arial"/>
                <w:sz w:val="9"/>
                <w:szCs w:val="9"/>
                <w:color w:val="FFFFFF"/>
              </w:rPr>
              <w:t>increased competition in the premium slot segment. In addition, we removed 99</w:t>
            </w:r>
          </w:p>
        </w:tc>
        <w:tc>
          <w:tcPr>
            <w:tcW w:w="7000" w:type="dxa"/>
            <w:vAlign w:val="bottom"/>
            <w:gridSpan w:val="2"/>
          </w:tcPr>
          <w:p>
            <w:pPr>
              <w:ind w:left="500"/>
              <w:spacing w:after="0" w:line="80" w:lineRule="exact"/>
              <w:rPr>
                <w:sz w:val="20"/>
                <w:szCs w:val="20"/>
                <w:color w:val="auto"/>
              </w:rPr>
            </w:pPr>
            <w:r>
              <w:rPr>
                <w:rFonts w:ascii="Arial" w:cs="Arial" w:eastAsia="Arial" w:hAnsi="Arial"/>
                <w:sz w:val="9"/>
                <w:szCs w:val="9"/>
                <w:color w:val="FFFFFF"/>
              </w:rPr>
              <w:t>from the gaming floor during the six months ended 30 June 2012. Asandresult of the decrease in</w:t>
            </w:r>
          </w:p>
        </w:tc>
      </w:tr>
    </w:tbl>
    <w:p>
      <w:pPr>
        <w:spacing w:after="0" w:line="180" w:lineRule="auto"/>
        <w:rPr>
          <w:sz w:val="20"/>
          <w:szCs w:val="20"/>
          <w:color w:val="auto"/>
        </w:rPr>
      </w:pPr>
      <w:r>
        <w:rPr>
          <w:rFonts w:ascii="Arial" w:cs="Arial" w:eastAsia="Arial" w:hAnsi="Arial"/>
          <w:sz w:val="14"/>
          <w:szCs w:val="14"/>
          <w:color w:val="FFFFFF"/>
        </w:rPr>
        <w:t>slot machine count, slot machine win per unit per day increased 1.6% from HK$6,202machinesthe six months ended 30 June 2011 to HK$6,300 in the six months ended 30 June 2012.</w:t>
      </w:r>
    </w:p>
    <w:p>
      <w:pPr>
        <w:sectPr>
          <w:pgSz w:w="11900" w:h="16838" w:orient="portrait"/>
          <w:cols w:equalWidth="0" w:num="1">
            <w:col w:w="11400"/>
          </w:cols>
          <w:pgMar w:left="240" w:top="1440" w:right="2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2012 15</w:t>
      </w:r>
    </w:p>
    <w:p>
      <w:pPr>
        <w:spacing w:after="0" w:line="211" w:lineRule="auto"/>
        <w:rPr>
          <w:sz w:val="20"/>
          <w:szCs w:val="20"/>
          <w:color w:val="auto"/>
        </w:rPr>
      </w:pPr>
      <w:r>
        <w:rPr>
          <w:rFonts w:ascii="Arial" w:cs="Arial" w:eastAsia="Arial" w:hAnsi="Arial"/>
          <w:sz w:val="4"/>
          <w:szCs w:val="4"/>
          <w:color w:val="FFFFFF"/>
          <w:vertAlign w:val="superscript"/>
        </w:rPr>
        <w:t>Net</w:t>
      </w:r>
      <w:r>
        <w:rPr>
          <w:rFonts w:ascii="Arial" w:cs="Arial" w:eastAsia="Arial" w:hAnsi="Arial"/>
          <w:sz w:val="2"/>
          <w:szCs w:val="2"/>
          <w:color w:val="FFFFFF"/>
        </w:rPr>
        <w:t>Managementon-casinoRevenuesDiscussion and Analysis</w:t>
      </w:r>
    </w:p>
    <w:p>
      <w:pPr>
        <w:ind w:left="240"/>
        <w:spacing w:after="0" w:line="211" w:lineRule="auto"/>
        <w:rPr>
          <w:sz w:val="20"/>
          <w:szCs w:val="20"/>
          <w:color w:val="auto"/>
        </w:rPr>
      </w:pPr>
      <w:r>
        <w:rPr>
          <w:rFonts w:ascii="Arial" w:cs="Arial" w:eastAsia="Arial" w:hAnsi="Arial"/>
          <w:sz w:val="2"/>
          <w:szCs w:val="2"/>
          <w:color w:val="FFFFFF"/>
        </w:rPr>
        <w:t xml:space="preserve">non-casino revenues, which include rooms, food and beverage and retail and other revenues, increased by 5.0%, from HK$827.8 million (5.8% of </w:t>
      </w:r>
      <w:r>
        <w:rPr>
          <w:rFonts w:ascii="Arial" w:cs="Arial" w:eastAsia="Arial" w:hAnsi="Arial"/>
          <w:sz w:val="4"/>
          <w:szCs w:val="4"/>
          <w:color w:val="FFFFFF"/>
          <w:vertAlign w:val="subscript"/>
        </w:rPr>
        <w:t>to</w:t>
      </w:r>
      <w:r>
        <w:rPr>
          <w:rFonts w:ascii="Arial" w:cs="Arial" w:eastAsia="Arial" w:hAnsi="Arial"/>
          <w:sz w:val="2"/>
          <w:szCs w:val="2"/>
          <w:color w:val="FFFFFF"/>
        </w:rPr>
        <w:t>tal</w:t>
      </w:r>
      <w:r>
        <w:rPr>
          <w:rFonts w:ascii="Arial" w:cs="Arial" w:eastAsia="Arial" w:hAnsi="Arial"/>
          <w:sz w:val="4"/>
          <w:szCs w:val="4"/>
          <w:color w:val="FFFFFF"/>
          <w:vertAlign w:val="subscript"/>
        </w:rPr>
        <w:t>stronger</w:t>
      </w:r>
      <w:r>
        <w:rPr>
          <w:rFonts w:ascii="Arial" w:cs="Arial" w:eastAsia="Arial" w:hAnsi="Arial"/>
          <w:sz w:val="2"/>
          <w:szCs w:val="2"/>
          <w:color w:val="FFFFFF"/>
        </w:rPr>
        <w:t>perating revenues) in the six months ended</w:t>
      </w:r>
    </w:p>
    <w:p>
      <w:pPr>
        <w:spacing w:after="0" w:line="188" w:lineRule="auto"/>
        <w:tabs>
          <w:tab w:leader="none" w:pos="8760" w:val="left"/>
        </w:tabs>
        <w:rPr>
          <w:sz w:val="20"/>
          <w:szCs w:val="20"/>
          <w:color w:val="auto"/>
        </w:rPr>
      </w:pPr>
      <w:r>
        <w:rPr>
          <w:rFonts w:ascii="Arial" w:cs="Arial" w:eastAsia="Arial" w:hAnsi="Arial"/>
          <w:sz w:val="9"/>
          <w:szCs w:val="9"/>
          <w:color w:val="FFFFFF"/>
          <w:vertAlign w:val="superscript"/>
        </w:rPr>
        <w:t>30 June</w:t>
      </w:r>
      <w:r>
        <w:rPr>
          <w:rFonts w:ascii="Arial" w:cs="Arial" w:eastAsia="Arial" w:hAnsi="Arial"/>
          <w:sz w:val="7"/>
          <w:szCs w:val="7"/>
          <w:color w:val="FFFFFF"/>
        </w:rPr>
        <w:t xml:space="preserve"> </w:t>
      </w:r>
      <w:r>
        <w:rPr>
          <w:rFonts w:ascii="Arial" w:cs="Arial" w:eastAsia="Arial" w:hAnsi="Arial"/>
          <w:sz w:val="9"/>
          <w:szCs w:val="9"/>
          <w:color w:val="FFFFFF"/>
          <w:vertAlign w:val="superscript"/>
        </w:rPr>
        <w:t>2012</w:t>
      </w:r>
      <w:r>
        <w:rPr>
          <w:rFonts w:ascii="Arial" w:cs="Arial" w:eastAsia="Arial" w:hAnsi="Arial"/>
          <w:sz w:val="7"/>
          <w:szCs w:val="7"/>
          <w:color w:val="FFFFFF"/>
        </w:rPr>
        <w:t>.to HK$868.9 million (6.0% of total operating revenues) in the six months ended 30 June 2012. The increase in revenues was largely due</w:t>
      </w:r>
      <w:r>
        <w:rPr>
          <w:sz w:val="20"/>
          <w:szCs w:val="20"/>
          <w:color w:val="auto"/>
        </w:rPr>
        <w:tab/>
      </w:r>
      <w:r>
        <w:rPr>
          <w:rFonts w:ascii="Arial" w:cs="Arial" w:eastAsia="Arial" w:hAnsi="Arial"/>
          <w:sz w:val="9"/>
          <w:szCs w:val="9"/>
          <w:color w:val="FFFFFF"/>
        </w:rPr>
        <w:t>retail sales in the six months ended</w:t>
      </w:r>
    </w:p>
    <w:p>
      <w:pPr>
        <w:spacing w:after="0"/>
        <w:rPr>
          <w:sz w:val="20"/>
          <w:szCs w:val="20"/>
          <w:color w:val="auto"/>
        </w:rPr>
      </w:pPr>
      <w:r>
        <w:rPr>
          <w:rFonts w:ascii="Arial" w:cs="Arial" w:eastAsia="Arial" w:hAnsi="Arial"/>
          <w:sz w:val="6"/>
          <w:szCs w:val="6"/>
          <w:color w:val="FFFFFF"/>
        </w:rPr>
        <w:t>Room. Our room revenues, which exclude promotional allowances in our condensed consolidated statement of comprehensive income, increased by 2.2% from HK$65.9 million in the six months ended 30 June 2011 to HK$67.3 million in the six months ended 30 June 2012. The increase is due to the increase in average daily room rate and occupancy rate compared to the prior year.</w:t>
      </w:r>
    </w:p>
    <w:p>
      <w:pPr>
        <w:spacing w:after="0" w:line="12" w:lineRule="exact"/>
        <w:rPr>
          <w:sz w:val="20"/>
          <w:szCs w:val="20"/>
          <w:color w:val="auto"/>
        </w:rPr>
      </w:pPr>
    </w:p>
    <w:p>
      <w:pPr>
        <w:ind w:right="40"/>
        <w:spacing w:after="0" w:line="211" w:lineRule="auto"/>
        <w:rPr>
          <w:sz w:val="20"/>
          <w:szCs w:val="20"/>
          <w:color w:val="auto"/>
        </w:rPr>
      </w:pPr>
      <w:r>
        <w:rPr>
          <w:rFonts w:ascii="Arial" w:cs="Arial" w:eastAsia="Arial" w:hAnsi="Arial"/>
          <w:sz w:val="8"/>
          <w:szCs w:val="8"/>
          <w:color w:val="FFFFFF"/>
        </w:rPr>
        <w:t>Management also evaluates room revenues on an adjusted basis which include promotional allowances. Adjusted room revenues including promotional allowances increased by 4.1% from HK$438.7 million in the six months ended 30 June 2011 to HK$456.7 million in the six months ended</w:t>
      </w:r>
    </w:p>
    <w:p>
      <w:pPr>
        <w:spacing w:after="0" w:line="188" w:lineRule="auto"/>
        <w:rPr>
          <w:sz w:val="20"/>
          <w:szCs w:val="20"/>
          <w:color w:val="auto"/>
        </w:rPr>
      </w:pPr>
      <w:r>
        <w:rPr>
          <w:rFonts w:ascii="Arial" w:cs="Arial" w:eastAsia="Arial" w:hAnsi="Arial"/>
          <w:sz w:val="9"/>
          <w:szCs w:val="9"/>
          <w:color w:val="FFFFFF"/>
        </w:rPr>
        <w:t>30 June 2012.</w:t>
      </w:r>
    </w:p>
    <w:p>
      <w:pPr>
        <w:spacing w:after="0"/>
        <w:rPr>
          <w:sz w:val="20"/>
          <w:szCs w:val="20"/>
          <w:color w:val="auto"/>
        </w:rPr>
      </w:pPr>
      <w:r>
        <w:rPr>
          <w:rFonts w:ascii="Arial" w:cs="Arial" w:eastAsia="Arial" w:hAnsi="Arial"/>
          <w:sz w:val="3"/>
          <w:szCs w:val="3"/>
          <w:color w:val="FFFFFF"/>
        </w:rPr>
        <w:t>AdjustedThefollowingroomtablerevenuespresentsinformationadditional information about our adjusted room revenues (which include promotional allowances):</w:t>
      </w:r>
    </w:p>
    <w:p>
      <w:pPr>
        <w:spacing w:after="0" w:line="194" w:lineRule="auto"/>
        <w:rPr>
          <w:sz w:val="20"/>
          <w:szCs w:val="20"/>
          <w:color w:val="auto"/>
        </w:rPr>
      </w:pPr>
      <w:r>
        <w:rPr>
          <w:rFonts w:ascii="Arial" w:cs="Arial" w:eastAsia="Arial" w:hAnsi="Arial"/>
          <w:sz w:val="5"/>
          <w:szCs w:val="5"/>
          <w:color w:val="FFFFFF"/>
        </w:rPr>
        <w:t>For the Six Months Ended</w:t>
      </w:r>
    </w:p>
    <w:p>
      <w:pPr>
        <w:spacing w:after="0" w:line="211" w:lineRule="auto"/>
        <w:rPr>
          <w:sz w:val="20"/>
          <w:szCs w:val="20"/>
          <w:color w:val="auto"/>
        </w:rPr>
      </w:pPr>
      <w:r>
        <w:rPr>
          <w:rFonts w:ascii="Arial" w:cs="Arial" w:eastAsia="Arial" w:hAnsi="Arial"/>
          <w:sz w:val="4"/>
          <w:szCs w:val="4"/>
          <w:color w:val="FFFFFF"/>
          <w:vertAlign w:val="subscript"/>
        </w:rPr>
        <w:t>2012</w:t>
      </w:r>
      <w:r>
        <w:rPr>
          <w:rFonts w:ascii="Arial" w:cs="Arial" w:eastAsia="Arial" w:hAnsi="Arial"/>
          <w:sz w:val="2"/>
          <w:szCs w:val="2"/>
          <w:color w:val="FFFFFF"/>
        </w:rPr>
        <w:t>30June</w:t>
      </w:r>
    </w:p>
    <w:p>
      <w:pPr>
        <w:ind w:left="320"/>
        <w:spacing w:after="0" w:line="188" w:lineRule="auto"/>
        <w:rPr>
          <w:sz w:val="20"/>
          <w:szCs w:val="20"/>
          <w:color w:val="auto"/>
        </w:rPr>
      </w:pPr>
      <w:r>
        <w:rPr>
          <w:rFonts w:ascii="Arial" w:cs="Arial" w:eastAsia="Arial" w:hAnsi="Arial"/>
          <w:sz w:val="9"/>
          <w:szCs w:val="9"/>
          <w:color w:val="FFFFFF"/>
        </w:rPr>
        <w:t>2011</w:t>
      </w:r>
    </w:p>
    <w:p>
      <w:pPr>
        <w:spacing w:after="0" w:line="188" w:lineRule="auto"/>
        <w:rPr>
          <w:sz w:val="20"/>
          <w:szCs w:val="20"/>
          <w:color w:val="auto"/>
        </w:rPr>
      </w:pPr>
      <w:r>
        <w:rPr>
          <w:rFonts w:ascii="Arial" w:cs="Arial" w:eastAsia="Arial" w:hAnsi="Arial"/>
          <w:sz w:val="9"/>
          <w:szCs w:val="9"/>
          <w:color w:val="FFFFFF"/>
        </w:rPr>
        <w:t>ofAdjustedHK$2,129AverageintheDailysixmonthsRate(includesended30promotionalJune2012 andallowances</w:t>
      </w:r>
    </w:p>
    <w:p>
      <w:pPr>
        <w:spacing w:after="0" w:line="188" w:lineRule="auto"/>
        <w:rPr>
          <w:sz w:val="20"/>
          <w:szCs w:val="20"/>
          <w:color w:val="auto"/>
        </w:rPr>
      </w:pPr>
      <w:r>
        <w:rPr>
          <w:rFonts w:ascii="Arial" w:cs="Arial" w:eastAsia="Arial" w:hAnsi="Arial"/>
          <w:sz w:val="9"/>
          <w:szCs w:val="9"/>
          <w:color w:val="FFFFFF"/>
        </w:rPr>
        <w:t>OccupancyHK$2,063in90.7%thesix89.6%months ended 30 June 2011) HK$2,489 HK$2,418</w:t>
      </w:r>
    </w:p>
    <w:p>
      <w:pPr>
        <w:spacing w:after="0" w:line="211" w:lineRule="auto"/>
        <w:rPr>
          <w:sz w:val="20"/>
          <w:szCs w:val="20"/>
          <w:color w:val="auto"/>
        </w:rPr>
      </w:pPr>
      <w:r>
        <w:rPr>
          <w:rFonts w:ascii="Arial" w:cs="Arial" w:eastAsia="Arial" w:hAnsi="Arial"/>
          <w:sz w:val="2"/>
          <w:szCs w:val="2"/>
          <w:color w:val="FFFFFF"/>
        </w:rPr>
        <w:t>HKAdjusted$1,848</w:t>
      </w:r>
      <w:r>
        <w:rPr>
          <w:rFonts w:ascii="Arial" w:cs="Arial" w:eastAsia="Arial" w:hAnsi="Arial"/>
          <w:sz w:val="4"/>
          <w:szCs w:val="4"/>
          <w:color w:val="FFFFFF"/>
          <w:vertAlign w:val="superscript"/>
        </w:rPr>
        <w:t>930</w:t>
      </w:r>
      <w:r>
        <w:rPr>
          <w:rFonts w:ascii="Arial" w:cs="Arial" w:eastAsia="Arial" w:hAnsi="Arial"/>
          <w:sz w:val="2"/>
          <w:szCs w:val="2"/>
          <w:color w:val="FFFFFF"/>
        </w:rPr>
        <w:t>REVPARinthesix(includesmonthsendedpromotional30Juneallowances201</w:t>
      </w:r>
      <w:r>
        <w:rPr>
          <w:rFonts w:ascii="Arial" w:cs="Arial" w:eastAsia="Arial" w:hAnsi="Arial"/>
          <w:sz w:val="4"/>
          <w:szCs w:val="4"/>
          <w:color w:val="FFFFFF"/>
          <w:vertAlign w:val="superscript"/>
        </w:rPr>
        <w:t>2and</w:t>
      </w:r>
      <w:r>
        <w:rPr>
          <w:rFonts w:ascii="Arial" w:cs="Arial" w:eastAsia="Arial" w:hAnsi="Arial"/>
          <w:sz w:val="2"/>
          <w:szCs w:val="2"/>
          <w:color w:val="FFFFFF"/>
        </w:rPr>
        <w:t xml:space="preserve"> of</w:t>
      </w:r>
    </w:p>
    <w:p>
      <w:pPr>
        <w:ind w:left="2580"/>
        <w:spacing w:after="0"/>
        <w:rPr>
          <w:sz w:val="20"/>
          <w:szCs w:val="20"/>
          <w:color w:val="auto"/>
        </w:rPr>
      </w:pPr>
      <w:r>
        <w:rPr>
          <w:rFonts w:ascii="Arial" w:cs="Arial" w:eastAsia="Arial" w:hAnsi="Arial"/>
          <w:sz w:val="14"/>
          <w:szCs w:val="14"/>
          <w:color w:val="FFFFFF"/>
        </w:rPr>
        <w:t>1) HK$2,256 HK$2,166</w:t>
      </w:r>
    </w:p>
    <w:p>
      <w:pPr>
        <w:sectPr>
          <w:pgSz w:w="11900" w:h="16838" w:orient="portrait"/>
          <w:cols w:equalWidth="0" w:num="1">
            <w:col w:w="11360"/>
          </w:cols>
          <w:pgMar w:left="240" w:top="1440" w:right="29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20"/>
                <w:szCs w:val="20"/>
                <w:color w:val="auto"/>
              </w:rPr>
            </w:pPr>
            <w:r>
              <w:rPr>
                <w:rFonts w:ascii="Arial" w:cs="Arial" w:eastAsia="Arial" w:hAnsi="Arial"/>
                <w:sz w:val="14"/>
                <w:szCs w:val="14"/>
                <w:color w:val="FFFFFF"/>
              </w:rPr>
              <w:t>16 Wynn Macau, Limited</w:t>
            </w:r>
          </w:p>
        </w:tc>
        <w:tc>
          <w:tcPr>
            <w:tcW w:w="4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92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4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Food and beverage. Food and beverage revenues, which exclude promotional allowances in our condensed consolidated statement of comprehensive income, totaled HK$94.2 million in the six months ended</w:t>
            </w:r>
          </w:p>
        </w:tc>
        <w:tc>
          <w:tcPr>
            <w:tcW w:w="0" w:type="dxa"/>
            <w:vAlign w:val="bottom"/>
          </w:tcPr>
          <w:p>
            <w:pPr>
              <w:spacing w:after="0"/>
              <w:rPr>
                <w:sz w:val="1"/>
                <w:szCs w:val="1"/>
                <w:color w:val="auto"/>
              </w:rPr>
            </w:pPr>
          </w:p>
        </w:tc>
      </w:tr>
      <w:tr>
        <w:trPr>
          <w:trHeight w:val="41"/>
        </w:trPr>
        <w:tc>
          <w:tcPr>
            <w:tcW w:w="6920" w:type="dxa"/>
            <w:vAlign w:val="bottom"/>
          </w:tcPr>
          <w:p>
            <w:pPr>
              <w:spacing w:after="0"/>
              <w:rPr>
                <w:sz w:val="20"/>
                <w:szCs w:val="20"/>
                <w:color w:val="auto"/>
              </w:rPr>
            </w:pPr>
            <w:r>
              <w:rPr>
                <w:rFonts w:ascii="Arial" w:cs="Arial" w:eastAsia="Arial" w:hAnsi="Arial"/>
                <w:sz w:val="3"/>
                <w:szCs w:val="3"/>
                <w:color w:val="FFFFFF"/>
              </w:rPr>
              <w:t>30 June 2012, which was approximately the same as the six months ended 30 June 2011.</w:t>
            </w:r>
          </w:p>
        </w:tc>
        <w:tc>
          <w:tcPr>
            <w:tcW w:w="4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Management also evaluates food and beverage revenues on an adjusted basis including promotional allowances. Food and beverage revenues in the six months ended 30 June 2012, adjusted to include these</w:t>
            </w:r>
          </w:p>
        </w:tc>
        <w:tc>
          <w:tcPr>
            <w:tcW w:w="0" w:type="dxa"/>
            <w:vAlign w:val="bottom"/>
          </w:tcPr>
          <w:p>
            <w:pPr>
              <w:spacing w:after="0"/>
              <w:rPr>
                <w:sz w:val="1"/>
                <w:szCs w:val="1"/>
                <w:color w:val="auto"/>
              </w:rPr>
            </w:pPr>
          </w:p>
        </w:tc>
      </w:tr>
      <w:tr>
        <w:trPr>
          <w:trHeight w:val="41"/>
        </w:trPr>
        <w:tc>
          <w:tcPr>
            <w:tcW w:w="6920" w:type="dxa"/>
            <w:vAlign w:val="bottom"/>
          </w:tcPr>
          <w:p>
            <w:pPr>
              <w:spacing w:after="0"/>
              <w:rPr>
                <w:sz w:val="20"/>
                <w:szCs w:val="20"/>
                <w:color w:val="auto"/>
              </w:rPr>
            </w:pPr>
            <w:r>
              <w:rPr>
                <w:rFonts w:ascii="Arial" w:cs="Arial" w:eastAsia="Arial" w:hAnsi="Arial"/>
                <w:sz w:val="3"/>
                <w:szCs w:val="3"/>
                <w:color w:val="FFFFFF"/>
              </w:rPr>
              <w:t>promotional allowances were HK$380.0 million, a 9.7% increase from the six months ended</w:t>
            </w:r>
          </w:p>
        </w:tc>
        <w:tc>
          <w:tcPr>
            <w:tcW w:w="4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ind w:left="760"/>
              <w:spacing w:after="0"/>
              <w:rPr>
                <w:sz w:val="20"/>
                <w:szCs w:val="20"/>
                <w:color w:val="auto"/>
              </w:rPr>
            </w:pPr>
            <w:r>
              <w:rPr>
                <w:rFonts w:ascii="Arial" w:cs="Arial" w:eastAsia="Arial" w:hAnsi="Arial"/>
                <w:sz w:val="3"/>
                <w:szCs w:val="3"/>
                <w:color w:val="FFFFFF"/>
              </w:rPr>
              <w:t>adjusted revenues of HK$346.5 million. A higher portion of our food and beverage services were provided on a complimentary basis in the six months ended 30 June 2012 compared to</w:t>
            </w:r>
          </w:p>
        </w:tc>
        <w:tc>
          <w:tcPr>
            <w:tcW w:w="0" w:type="dxa"/>
            <w:vAlign w:val="bottom"/>
          </w:tcPr>
          <w:p>
            <w:pPr>
              <w:spacing w:after="0"/>
              <w:rPr>
                <w:sz w:val="1"/>
                <w:szCs w:val="1"/>
                <w:color w:val="auto"/>
              </w:rPr>
            </w:pPr>
          </w:p>
        </w:tc>
      </w:tr>
      <w:tr>
        <w:trPr>
          <w:trHeight w:val="41"/>
        </w:trPr>
        <w:tc>
          <w:tcPr>
            <w:tcW w:w="6920" w:type="dxa"/>
            <w:vAlign w:val="bottom"/>
          </w:tcPr>
          <w:p>
            <w:pPr>
              <w:spacing w:after="0"/>
              <w:rPr>
                <w:sz w:val="20"/>
                <w:szCs w:val="20"/>
                <w:color w:val="auto"/>
              </w:rPr>
            </w:pPr>
            <w:r>
              <w:rPr>
                <w:rFonts w:ascii="Arial" w:cs="Arial" w:eastAsia="Arial" w:hAnsi="Arial"/>
                <w:sz w:val="3"/>
                <w:szCs w:val="3"/>
                <w:color w:val="FFFFFF"/>
              </w:rPr>
              <w:t>30 June 2011 to meet demand from our VIP clients and high-limit mass market customers.</w:t>
            </w:r>
          </w:p>
        </w:tc>
        <w:tc>
          <w:tcPr>
            <w:tcW w:w="4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Retail and other. Our retail and other revenues, which exclude promotional allowances in our condensed consolidated statement of comprehensive income, increased by 5.9%, from HK$667.7 million in the six</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months ended 30 June 2011 to HK$707.4 million in the six months ended 30 June 2012. The increase was due primarily to strong same store sales growth and the addition of new outlets.</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Management also evaluates retail and other revenues on an adjusted basis which includes promotional allowances. Adjusted retail and other revenues including promotional allowances increased by 8.0% from</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HK$684.1 million in the six months ended 30 June 2011 to HK$738.7 million in the six months ended 30 June 2012, reflecting the strong same store sales growth and the addition of new outlets.</w:t>
            </w:r>
          </w:p>
        </w:tc>
        <w:tc>
          <w:tcPr>
            <w:tcW w:w="0" w:type="dxa"/>
            <w:vAlign w:val="bottom"/>
          </w:tcPr>
          <w:p>
            <w:pPr>
              <w:spacing w:after="0"/>
              <w:rPr>
                <w:sz w:val="1"/>
                <w:szCs w:val="1"/>
                <w:color w:val="auto"/>
              </w:rPr>
            </w:pPr>
          </w:p>
        </w:tc>
      </w:tr>
      <w:tr>
        <w:trPr>
          <w:trHeight w:val="41"/>
        </w:trPr>
        <w:tc>
          <w:tcPr>
            <w:tcW w:w="6920" w:type="dxa"/>
            <w:vAlign w:val="bottom"/>
          </w:tcPr>
          <w:p>
            <w:pPr>
              <w:spacing w:after="0"/>
              <w:rPr>
                <w:sz w:val="20"/>
                <w:szCs w:val="20"/>
                <w:color w:val="auto"/>
              </w:rPr>
            </w:pPr>
            <w:r>
              <w:rPr>
                <w:rFonts w:ascii="Arial" w:cs="Arial" w:eastAsia="Arial" w:hAnsi="Arial"/>
                <w:sz w:val="3"/>
                <w:szCs w:val="3"/>
                <w:color w:val="FFFFFF"/>
              </w:rPr>
              <w:t>Operating Costs and Expenses</w:t>
            </w:r>
          </w:p>
        </w:tc>
        <w:tc>
          <w:tcPr>
            <w:tcW w:w="4360" w:type="dxa"/>
            <w:vAlign w:val="bottom"/>
            <w:vMerge w:val="restart"/>
          </w:tcPr>
          <w:p>
            <w:pPr>
              <w:ind w:left="420"/>
              <w:spacing w:after="0"/>
              <w:rPr>
                <w:sz w:val="20"/>
                <w:szCs w:val="20"/>
                <w:color w:val="auto"/>
              </w:rPr>
            </w:pPr>
            <w:r>
              <w:rPr>
                <w:rFonts w:ascii="Arial" w:cs="Arial" w:eastAsia="Arial" w:hAnsi="Arial"/>
                <w:sz w:val="3"/>
                <w:szCs w:val="3"/>
                <w:color w:val="FFFFFF"/>
              </w:rPr>
              <w:t>the same as the six months ended 30 June 2011 as gross gaming win</w:t>
            </w:r>
          </w:p>
        </w:tc>
        <w:tc>
          <w:tcPr>
            <w:tcW w:w="0" w:type="dxa"/>
            <w:vAlign w:val="bottom"/>
          </w:tcPr>
          <w:p>
            <w:pPr>
              <w:spacing w:after="0"/>
              <w:rPr>
                <w:sz w:val="1"/>
                <w:szCs w:val="1"/>
                <w:color w:val="auto"/>
              </w:rPr>
            </w:pPr>
          </w:p>
        </w:tc>
      </w:tr>
      <w:tr>
        <w:trPr>
          <w:trHeight w:val="0"/>
        </w:trPr>
        <w:tc>
          <w:tcPr>
            <w:tcW w:w="6920" w:type="dxa"/>
            <w:vAlign w:val="bottom"/>
          </w:tcPr>
          <w:p>
            <w:pPr>
              <w:spacing w:after="0" w:line="80" w:lineRule="exact"/>
              <w:rPr>
                <w:sz w:val="20"/>
                <w:szCs w:val="20"/>
                <w:color w:val="auto"/>
              </w:rPr>
            </w:pPr>
            <w:r>
              <w:rPr>
                <w:rFonts w:ascii="Arial" w:cs="Arial" w:eastAsia="Arial" w:hAnsi="Arial"/>
                <w:sz w:val="9"/>
                <w:szCs w:val="9"/>
                <w:color w:val="FFFFFF"/>
              </w:rPr>
              <w:t>Gaming taxes and premiums. Gaming taxes and premiums of HK$7.0 billion in the six months ended 30 June 2012 was</w:t>
            </w:r>
          </w:p>
        </w:tc>
        <w:tc>
          <w:tcPr>
            <w:tcW w:w="4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remained fl at during the six months ended 30 June 2012 compared to the six months ended 30 June 2011. WRM is subjectapproximatelyto35%gaming tax on gross gaming win. In addition, WRM is required to pay 4% of its gross gaming win as contributions for public development and social facilities.</w:t>
      </w:r>
    </w:p>
    <w:p>
      <w:pPr>
        <w:spacing w:after="0" w:line="199" w:lineRule="auto"/>
        <w:rPr>
          <w:sz w:val="20"/>
          <w:szCs w:val="20"/>
          <w:color w:val="auto"/>
        </w:rPr>
      </w:pPr>
      <w:r>
        <w:rPr>
          <w:rFonts w:ascii="Arial" w:cs="Arial" w:eastAsia="Arial" w:hAnsi="Arial"/>
          <w:sz w:val="3"/>
          <w:szCs w:val="3"/>
          <w:color w:val="FFFFFF"/>
        </w:rPr>
        <w:t>Staff costs. Staff costs increased by 10.7%, from HK$1.0 billion in the six months ended 30 June 2011</w:t>
      </w:r>
      <w:r>
        <w:rPr>
          <w:rFonts w:ascii="Arial" w:cs="Arial" w:eastAsia="Arial" w:hAnsi="Arial"/>
          <w:sz w:val="5"/>
          <w:szCs w:val="5"/>
          <w:color w:val="FFFFFF"/>
          <w:vertAlign w:val="subscript"/>
        </w:rPr>
        <w:t>customers</w:t>
      </w:r>
      <w:r>
        <w:rPr>
          <w:rFonts w:ascii="Arial" w:cs="Arial" w:eastAsia="Arial" w:hAnsi="Arial"/>
          <w:sz w:val="3"/>
          <w:szCs w:val="3"/>
          <w:color w:val="FFFFFF"/>
        </w:rPr>
        <w:t>HK$1.1 billion in the six months ended 30 June 2012. This increase in staff costs is primarily due to</w:t>
      </w:r>
    </w:p>
    <w:p>
      <w:pPr>
        <w:spacing w:after="0"/>
        <w:tabs>
          <w:tab w:leader="none" w:pos="5980" w:val="left"/>
        </w:tabs>
        <w:rPr>
          <w:sz w:val="20"/>
          <w:szCs w:val="20"/>
          <w:color w:val="auto"/>
        </w:rPr>
      </w:pPr>
      <w:r>
        <w:rPr>
          <w:rFonts w:ascii="Arial" w:cs="Arial" w:eastAsia="Arial" w:hAnsi="Arial"/>
          <w:sz w:val="12"/>
          <w:szCs w:val="12"/>
          <w:color w:val="FFFFFF"/>
        </w:rPr>
        <w:t>general salary increases and an increase in the number of full-time equivalents needed to service our</w:t>
      </w:r>
      <w:r>
        <w:rPr>
          <w:sz w:val="20"/>
          <w:szCs w:val="20"/>
          <w:color w:val="auto"/>
        </w:rPr>
        <w:tab/>
      </w:r>
      <w:r>
        <w:rPr>
          <w:rFonts w:ascii="Arial" w:cs="Arial" w:eastAsia="Arial" w:hAnsi="Arial"/>
          <w:sz w:val="14"/>
          <w:szCs w:val="14"/>
          <w:color w:val="FFFFFF"/>
        </w:rPr>
        <w:t>.</w:t>
      </w:r>
    </w:p>
    <w:p>
      <w:pPr>
        <w:sectPr>
          <w:pgSz w:w="11900" w:h="16838" w:orient="portrait"/>
          <w:cols w:equalWidth="0" w:num="1">
            <w:col w:w="11360"/>
          </w:cols>
          <w:pgMar w:left="240" w:top="1440" w:right="29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Arial" w:cs="Arial" w:eastAsia="Arial" w:hAnsi="Arial"/>
                <w:sz w:val="14"/>
                <w:szCs w:val="14"/>
                <w:color w:val="FFFFFF"/>
                <w:w w:val="93"/>
              </w:rPr>
              <w:t>Interim Report 2012 17</w:t>
            </w: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Management Discussion and Analysis</w:t>
            </w:r>
          </w:p>
        </w:tc>
        <w:tc>
          <w:tcPr>
            <w:tcW w:w="680" w:type="dxa"/>
            <w:vAlign w:val="bottom"/>
          </w:tcPr>
          <w:p>
            <w:pPr>
              <w:spacing w:after="0"/>
              <w:rPr>
                <w:sz w:val="3"/>
                <w:szCs w:val="3"/>
                <w:color w:val="auto"/>
              </w:rPr>
            </w:pPr>
          </w:p>
        </w:tc>
        <w:tc>
          <w:tcPr>
            <w:tcW w:w="72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41"/>
        </w:trPr>
        <w:tc>
          <w:tcPr>
            <w:tcW w:w="600" w:type="dxa"/>
            <w:vAlign w:val="bottom"/>
          </w:tcPr>
          <w:p>
            <w:pPr>
              <w:spacing w:after="0"/>
              <w:rPr>
                <w:sz w:val="20"/>
                <w:szCs w:val="20"/>
                <w:color w:val="auto"/>
              </w:rPr>
            </w:pPr>
            <w:r>
              <w:rPr>
                <w:rFonts w:ascii="Arial" w:cs="Arial" w:eastAsia="Arial" w:hAnsi="Arial"/>
                <w:sz w:val="3"/>
                <w:szCs w:val="3"/>
                <w:color w:val="FFFFFF"/>
              </w:rPr>
              <w:t>Other</w:t>
            </w:r>
          </w:p>
        </w:tc>
        <w:tc>
          <w:tcPr>
            <w:tcW w:w="10800" w:type="dxa"/>
            <w:vAlign w:val="bottom"/>
            <w:gridSpan w:val="5"/>
          </w:tcPr>
          <w:p>
            <w:pPr>
              <w:ind w:left="300"/>
              <w:spacing w:after="0"/>
              <w:rPr>
                <w:sz w:val="20"/>
                <w:szCs w:val="20"/>
                <w:color w:val="auto"/>
              </w:rPr>
            </w:pPr>
            <w:r>
              <w:rPr>
                <w:rFonts w:ascii="Arial" w:cs="Arial" w:eastAsia="Arial" w:hAnsi="Arial"/>
                <w:sz w:val="3"/>
                <w:szCs w:val="3"/>
                <w:color w:val="FFFFFF"/>
              </w:rPr>
              <w:t>expenses. Other operating expenses decreased by 2.9% from HK$2.5 billion in the six months ended 30 June 2011 to HK$2.4 billion in the six months ended 30 June 2012, due primarily to a</w:t>
            </w:r>
          </w:p>
        </w:tc>
      </w:tr>
      <w:tr>
        <w:trPr>
          <w:trHeight w:val="41"/>
        </w:trPr>
        <w:tc>
          <w:tcPr>
            <w:tcW w:w="10240" w:type="dxa"/>
            <w:vAlign w:val="bottom"/>
            <w:gridSpan w:val="5"/>
          </w:tcPr>
          <w:p>
            <w:pPr>
              <w:spacing w:after="0"/>
              <w:rPr>
                <w:sz w:val="20"/>
                <w:szCs w:val="20"/>
                <w:color w:val="auto"/>
              </w:rPr>
            </w:pPr>
            <w:r>
              <w:rPr>
                <w:rFonts w:ascii="Arial" w:cs="Arial" w:eastAsia="Arial" w:hAnsi="Arial"/>
                <w:sz w:val="3"/>
                <w:szCs w:val="3"/>
                <w:color w:val="FFFFFF"/>
              </w:rPr>
              <w:t>changeoperatingtheestimate on doubtful accounts receivable. During the six months ended</w:t>
            </w:r>
          </w:p>
        </w:tc>
        <w:tc>
          <w:tcPr>
            <w:tcW w:w="1160" w:type="dxa"/>
            <w:vAlign w:val="bottom"/>
          </w:tcPr>
          <w:p>
            <w:pPr>
              <w:spacing w:after="0"/>
              <w:rPr>
                <w:sz w:val="3"/>
                <w:szCs w:val="3"/>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30 June 2012 the Group evaluated its reserve estimates based on the results of historical collection patterns and current collection trends. As a result, the Group revised its estimates and recorded a HK$165</w:t>
            </w:r>
          </w:p>
        </w:tc>
      </w:tr>
      <w:tr>
        <w:trPr>
          <w:trHeight w:val="41"/>
        </w:trPr>
        <w:tc>
          <w:tcPr>
            <w:tcW w:w="10240" w:type="dxa"/>
            <w:vAlign w:val="bottom"/>
            <w:gridSpan w:val="5"/>
          </w:tcPr>
          <w:p>
            <w:pPr>
              <w:spacing w:after="0"/>
              <w:rPr>
                <w:sz w:val="20"/>
                <w:szCs w:val="20"/>
                <w:color w:val="auto"/>
              </w:rPr>
            </w:pPr>
            <w:r>
              <w:rPr>
                <w:rFonts w:ascii="Arial" w:cs="Arial" w:eastAsia="Arial" w:hAnsi="Arial"/>
                <w:sz w:val="3"/>
                <w:szCs w:val="3"/>
                <w:color w:val="FFFFFF"/>
              </w:rPr>
              <w:t>million credit against its provision for doubtful accounts, which decreased the provision for doubtful accounts to a net HK$25.0 million credit.</w:t>
            </w:r>
          </w:p>
        </w:tc>
        <w:tc>
          <w:tcPr>
            <w:tcW w:w="1160" w:type="dxa"/>
            <w:vAlign w:val="bottom"/>
          </w:tcPr>
          <w:p>
            <w:pPr>
              <w:spacing w:after="0"/>
              <w:rPr>
                <w:sz w:val="3"/>
                <w:szCs w:val="3"/>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Depreciation and amortization.</w:t>
            </w:r>
          </w:p>
        </w:tc>
        <w:tc>
          <w:tcPr>
            <w:tcW w:w="9100" w:type="dxa"/>
            <w:vAlign w:val="bottom"/>
            <w:gridSpan w:val="3"/>
          </w:tcPr>
          <w:p>
            <w:pPr>
              <w:ind w:left="140"/>
              <w:spacing w:after="0"/>
              <w:rPr>
                <w:sz w:val="20"/>
                <w:szCs w:val="20"/>
                <w:color w:val="auto"/>
              </w:rPr>
            </w:pPr>
            <w:r>
              <w:rPr>
                <w:rFonts w:ascii="Arial" w:cs="Arial" w:eastAsia="Arial" w:hAnsi="Arial"/>
                <w:sz w:val="3"/>
                <w:szCs w:val="3"/>
                <w:color w:val="FFFFFF"/>
              </w:rPr>
              <w:t>and amortization decreased by 17.1% from HK$540.6 million in the six months ended 30 June 2011 to HK$447.9 million in the six months ended 30 June 2012. This</w:t>
            </w:r>
          </w:p>
        </w:tc>
      </w:tr>
      <w:tr>
        <w:trPr>
          <w:trHeight w:val="41"/>
        </w:trPr>
        <w:tc>
          <w:tcPr>
            <w:tcW w:w="10240" w:type="dxa"/>
            <w:vAlign w:val="bottom"/>
            <w:gridSpan w:val="5"/>
          </w:tcPr>
          <w:p>
            <w:pPr>
              <w:spacing w:after="0"/>
              <w:rPr>
                <w:sz w:val="20"/>
                <w:szCs w:val="20"/>
                <w:color w:val="auto"/>
              </w:rPr>
            </w:pPr>
            <w:r>
              <w:rPr>
                <w:rFonts w:ascii="Arial" w:cs="Arial" w:eastAsia="Arial" w:hAnsi="Arial"/>
                <w:sz w:val="3"/>
                <w:szCs w:val="3"/>
                <w:color w:val="FFFFFF"/>
              </w:rPr>
              <w:t>decrease is primarily due to assetsDepreciationwithfive year life being fully depreciated as of September 2011.</w:t>
            </w:r>
          </w:p>
        </w:tc>
        <w:tc>
          <w:tcPr>
            <w:tcW w:w="1160" w:type="dxa"/>
            <w:vAlign w:val="bottom"/>
          </w:tcPr>
          <w:p>
            <w:pPr>
              <w:spacing w:after="0"/>
              <w:rPr>
                <w:sz w:val="3"/>
                <w:szCs w:val="3"/>
                <w:color w:val="auto"/>
              </w:rPr>
            </w:pPr>
          </w:p>
        </w:tc>
      </w:tr>
      <w:tr>
        <w:trPr>
          <w:trHeight w:val="41"/>
        </w:trPr>
        <w:tc>
          <w:tcPr>
            <w:tcW w:w="1360" w:type="dxa"/>
            <w:vAlign w:val="bottom"/>
            <w:gridSpan w:val="2"/>
          </w:tcPr>
          <w:p>
            <w:pPr>
              <w:spacing w:after="0"/>
              <w:rPr>
                <w:sz w:val="20"/>
                <w:szCs w:val="20"/>
                <w:color w:val="auto"/>
              </w:rPr>
            </w:pPr>
            <w:r>
              <w:rPr>
                <w:rFonts w:ascii="Arial" w:cs="Arial" w:eastAsia="Arial" w:hAnsi="Arial"/>
                <w:sz w:val="3"/>
                <w:szCs w:val="3"/>
                <w:color w:val="FFFFFF"/>
              </w:rPr>
              <w:t>Property charges and</w:t>
            </w:r>
          </w:p>
        </w:tc>
        <w:tc>
          <w:tcPr>
            <w:tcW w:w="1620" w:type="dxa"/>
            <w:vAlign w:val="bottom"/>
            <w:gridSpan w:val="2"/>
          </w:tcPr>
          <w:p>
            <w:pPr>
              <w:ind w:left="80"/>
              <w:spacing w:after="0"/>
              <w:rPr>
                <w:sz w:val="20"/>
                <w:szCs w:val="20"/>
                <w:color w:val="auto"/>
              </w:rPr>
            </w:pPr>
            <w:r>
              <w:rPr>
                <w:rFonts w:ascii="Arial" w:cs="Arial" w:eastAsia="Arial" w:hAnsi="Arial"/>
                <w:sz w:val="3"/>
                <w:szCs w:val="3"/>
                <w:color w:val="FFFFFF"/>
              </w:rPr>
              <w:t>. Property charges and other</w:t>
            </w:r>
          </w:p>
        </w:tc>
        <w:tc>
          <w:tcPr>
            <w:tcW w:w="8420" w:type="dxa"/>
            <w:vAlign w:val="bottom"/>
            <w:gridSpan w:val="2"/>
          </w:tcPr>
          <w:p>
            <w:pPr>
              <w:ind w:left="580"/>
              <w:spacing w:after="0"/>
              <w:rPr>
                <w:sz w:val="20"/>
                <w:szCs w:val="20"/>
                <w:color w:val="auto"/>
              </w:rPr>
            </w:pPr>
            <w:r>
              <w:rPr>
                <w:rFonts w:ascii="Arial" w:cs="Arial" w:eastAsia="Arial" w:hAnsi="Arial"/>
                <w:sz w:val="3"/>
                <w:szCs w:val="3"/>
                <w:color w:val="FFFFFF"/>
              </w:rPr>
              <w:t>from HK$849.3 million in the six months ended 30 June 2011 to HK$45.1 million in the six months ended 30 June 2012. Included in property</w:t>
            </w:r>
          </w:p>
        </w:tc>
      </w:tr>
      <w:tr>
        <w:trPr>
          <w:trHeight w:val="41"/>
        </w:trPr>
        <w:tc>
          <w:tcPr>
            <w:tcW w:w="2980" w:type="dxa"/>
            <w:vAlign w:val="bottom"/>
            <w:gridSpan w:val="4"/>
          </w:tcPr>
          <w:p>
            <w:pPr>
              <w:spacing w:after="0"/>
              <w:rPr>
                <w:sz w:val="20"/>
                <w:szCs w:val="20"/>
                <w:color w:val="auto"/>
              </w:rPr>
            </w:pPr>
            <w:r>
              <w:rPr>
                <w:rFonts w:ascii="Arial" w:cs="Arial" w:eastAsia="Arial" w:hAnsi="Arial"/>
                <w:sz w:val="3"/>
                <w:szCs w:val="3"/>
                <w:color w:val="FFFFFF"/>
              </w:rPr>
              <w:t>charges and other for othersix months ended 30 June</w:t>
            </w:r>
          </w:p>
        </w:tc>
        <w:tc>
          <w:tcPr>
            <w:tcW w:w="8420" w:type="dxa"/>
            <w:vAlign w:val="bottom"/>
            <w:gridSpan w:val="2"/>
          </w:tcPr>
          <w:p>
            <w:pPr>
              <w:ind w:left="20"/>
              <w:spacing w:after="0"/>
              <w:rPr>
                <w:sz w:val="20"/>
                <w:szCs w:val="20"/>
                <w:color w:val="auto"/>
              </w:rPr>
            </w:pPr>
            <w:r>
              <w:rPr>
                <w:rFonts w:ascii="Arial" w:cs="Arial" w:eastAsia="Arial" w:hAnsi="Arial"/>
                <w:sz w:val="3"/>
                <w:szCs w:val="3"/>
                <w:color w:val="FFFFFF"/>
              </w:rPr>
              <w:t>decreased1ischarge of HK$831.  million reflecting the present value of a charitable contribution made by WRM to the University of Macau Development</w:t>
            </w: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Foundation. This contribution consists of</w:t>
            </w:r>
          </w:p>
        </w:tc>
        <w:tc>
          <w:tcPr>
            <w:tcW w:w="9100" w:type="dxa"/>
            <w:vAlign w:val="bottom"/>
            <w:gridSpan w:val="3"/>
          </w:tcPr>
          <w:p>
            <w:pPr>
              <w:ind w:left="60"/>
              <w:spacing w:after="0"/>
              <w:rPr>
                <w:sz w:val="20"/>
                <w:szCs w:val="20"/>
                <w:color w:val="auto"/>
              </w:rPr>
            </w:pPr>
            <w:r>
              <w:rPr>
                <w:rFonts w:ascii="Arial" w:cs="Arial" w:eastAsia="Arial" w:hAnsi="Arial"/>
                <w:sz w:val="3"/>
                <w:szCs w:val="3"/>
                <w:color w:val="FFFFFF"/>
              </w:rPr>
              <w:t>MOP200.201million (approximately HK$194.2 million) payment made in May 2011, and a commitment for additional donations of MOP80.0 million (approximately</w:t>
            </w:r>
          </w:p>
        </w:tc>
      </w:tr>
      <w:tr>
        <w:trPr>
          <w:trHeight w:val="0"/>
        </w:trPr>
        <w:tc>
          <w:tcPr>
            <w:tcW w:w="10240" w:type="dxa"/>
            <w:vAlign w:val="bottom"/>
            <w:gridSpan w:val="5"/>
          </w:tcPr>
          <w:p>
            <w:pPr>
              <w:spacing w:after="0" w:line="80" w:lineRule="exact"/>
              <w:rPr>
                <w:sz w:val="20"/>
                <w:szCs w:val="20"/>
                <w:color w:val="auto"/>
              </w:rPr>
            </w:pPr>
            <w:r>
              <w:rPr>
                <w:rFonts w:ascii="Arial" w:cs="Arial" w:eastAsia="Arial" w:hAnsi="Arial"/>
                <w:sz w:val="9"/>
                <w:szCs w:val="9"/>
                <w:color w:val="FFFFFF"/>
              </w:rPr>
              <w:t>HK$77.7 million) each year for the calendar years 2012 through 2022 inclusive, for a total of MOP1,080.0 million (approximately HK$1,048.5 million). The amount reflected in our</w:t>
            </w:r>
          </w:p>
        </w:tc>
        <w:tc>
          <w:tcPr>
            <w:tcW w:w="1160" w:type="dxa"/>
            <w:vAlign w:val="bottom"/>
          </w:tcPr>
          <w:p>
            <w:pPr>
              <w:ind w:left="420"/>
              <w:spacing w:after="0" w:line="80" w:lineRule="exact"/>
              <w:rPr>
                <w:sz w:val="20"/>
                <w:szCs w:val="20"/>
                <w:color w:val="auto"/>
              </w:rPr>
            </w:pPr>
            <w:r>
              <w:rPr>
                <w:rFonts w:ascii="Arial" w:cs="Arial" w:eastAsia="Arial" w:hAnsi="Arial"/>
                <w:sz w:val="9"/>
                <w:szCs w:val="9"/>
                <w:color w:val="FFFFFF"/>
              </w:rPr>
              <w:t>condensed</w:t>
            </w:r>
          </w:p>
        </w:tc>
      </w:tr>
    </w:tbl>
    <w:p>
      <w:pPr>
        <w:ind w:right="320"/>
        <w:spacing w:after="0"/>
        <w:rPr>
          <w:sz w:val="20"/>
          <w:szCs w:val="20"/>
          <w:color w:val="auto"/>
        </w:rPr>
      </w:pPr>
      <w:r>
        <w:rPr>
          <w:rFonts w:ascii="Arial" w:cs="Arial" w:eastAsia="Arial" w:hAnsi="Arial"/>
          <w:sz w:val="3"/>
          <w:szCs w:val="3"/>
          <w:color w:val="FFFFFF"/>
        </w:rPr>
        <w:t xml:space="preserve">consolidated statement of comprehensive income has been discounted using our current estimated borrowing rate over the time period of the remaining committed payments. Other chargesaccompanyingeachperiod represent gain/loss on the sale of equipment as well as costs related to assets retired or abandoned as a result of renovating certain assets of Wynn Macau in response to customer preferences and changes in </w:t>
      </w:r>
      <w:r>
        <w:rPr>
          <w:rFonts w:ascii="Arial" w:cs="Arial" w:eastAsia="Arial" w:hAnsi="Arial"/>
          <w:sz w:val="6"/>
          <w:szCs w:val="6"/>
          <w:color w:val="FFFFFF"/>
          <w:vertAlign w:val="subscript"/>
        </w:rPr>
        <w:t>market</w:t>
      </w:r>
      <w:r>
        <w:rPr>
          <w:rFonts w:ascii="Arial" w:cs="Arial" w:eastAsia="Arial" w:hAnsi="Arial"/>
          <w:sz w:val="3"/>
          <w:szCs w:val="3"/>
          <w:color w:val="FFFFFF"/>
        </w:rPr>
        <w:t xml:space="preserve"> demand.</w:t>
      </w:r>
    </w:p>
    <w:p>
      <w:pPr>
        <w:spacing w:after="0" w:line="13" w:lineRule="exact"/>
        <w:rPr>
          <w:sz w:val="20"/>
          <w:szCs w:val="20"/>
          <w:color w:val="auto"/>
        </w:rPr>
      </w:pPr>
    </w:p>
    <w:p>
      <w:pPr>
        <w:ind w:right="480"/>
        <w:spacing w:after="0" w:line="187" w:lineRule="auto"/>
        <w:rPr>
          <w:sz w:val="20"/>
          <w:szCs w:val="20"/>
          <w:color w:val="auto"/>
        </w:rPr>
      </w:pPr>
      <w:r>
        <w:rPr>
          <w:rFonts w:ascii="Arial" w:cs="Arial" w:eastAsia="Arial" w:hAnsi="Arial"/>
          <w:sz w:val="7"/>
          <w:szCs w:val="7"/>
          <w:color w:val="FFFFFF"/>
        </w:rPr>
        <w:t xml:space="preserve">As result of the foregoing, total operating costs and expenses decreased by 7.1%, from HK$11.9 billion in the six months ended 30 June 2011 to HK$11.0 billion in the six months ended 30 June 2012. </w:t>
      </w:r>
      <w:r>
        <w:rPr>
          <w:rFonts w:ascii="Arial" w:cs="Arial" w:eastAsia="Arial" w:hAnsi="Arial"/>
          <w:sz w:val="9"/>
          <w:szCs w:val="9"/>
          <w:color w:val="FFFFFF"/>
          <w:vertAlign w:val="subscript"/>
        </w:rPr>
        <w:t>Finance</w:t>
      </w:r>
      <w:r>
        <w:rPr>
          <w:rFonts w:ascii="Arial" w:cs="Arial" w:eastAsia="Arial" w:hAnsi="Arial"/>
          <w:sz w:val="7"/>
          <w:szCs w:val="7"/>
          <w:color w:val="FFFFFF"/>
        </w:rPr>
        <w:t xml:space="preserve"> Revenues</w:t>
      </w:r>
    </w:p>
    <w:p>
      <w:pPr>
        <w:jc w:val="both"/>
        <w:ind w:firstLine="461"/>
        <w:spacing w:after="0"/>
        <w:rPr>
          <w:sz w:val="20"/>
          <w:szCs w:val="20"/>
          <w:color w:val="auto"/>
        </w:rPr>
      </w:pPr>
      <w:r>
        <w:rPr>
          <w:rFonts w:ascii="Arial" w:cs="Arial" w:eastAsia="Arial" w:hAnsi="Arial"/>
          <w:sz w:val="10"/>
          <w:szCs w:val="10"/>
          <w:color w:val="FFFFFF"/>
        </w:rPr>
        <w:t>revenues increased from HK$9.9 million in the six months ended 30 June 2011 to HK$24.9 million in the six months ended 30 June 2012. During 2012 and 2011, our short-term investment strategy has been to preserve capital while retaining sufficient liquidity. While we have recently invested in certain corporate debt securities which contributed to the increase in interest income, the majority of our short-term investments are primarily in time deposits with a maturity of three months or less.</w:t>
      </w:r>
    </w:p>
    <w:p>
      <w:pPr>
        <w:sectPr>
          <w:pgSz w:w="11900" w:h="16838" w:orient="portrait"/>
          <w:cols w:equalWidth="0" w:num="1">
            <w:col w:w="11400"/>
          </w:cols>
          <w:pgMar w:left="240" w:top="1440" w:right="2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color w:val="FFFFFF"/>
                <w:w w:val="96"/>
              </w:rPr>
              <w:t>18 Wynn Macau, Limited</w:t>
            </w:r>
          </w:p>
        </w:tc>
        <w:tc>
          <w:tcPr>
            <w:tcW w:w="14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920" w:type="dxa"/>
            <w:vAlign w:val="bottom"/>
            <w:gridSpan w:val="3"/>
          </w:tcPr>
          <w:p>
            <w:pPr>
              <w:spacing w:after="0"/>
              <w:rPr>
                <w:sz w:val="20"/>
                <w:szCs w:val="20"/>
                <w:color w:val="auto"/>
              </w:rPr>
            </w:pPr>
            <w:r>
              <w:rPr>
                <w:rFonts w:ascii="Arial" w:cs="Arial" w:eastAsia="Arial" w:hAnsi="Arial"/>
                <w:sz w:val="3"/>
                <w:szCs w:val="3"/>
                <w:color w:val="FFFFFF"/>
              </w:rPr>
              <w:t>Management Discussion and Analysis</w:t>
            </w:r>
          </w:p>
        </w:tc>
        <w:tc>
          <w:tcPr>
            <w:tcW w:w="2180" w:type="dxa"/>
            <w:vAlign w:val="bottom"/>
          </w:tcPr>
          <w:p>
            <w:pPr>
              <w:spacing w:after="0"/>
              <w:rPr>
                <w:sz w:val="3"/>
                <w:szCs w:val="3"/>
                <w:color w:val="auto"/>
              </w:rPr>
            </w:pPr>
          </w:p>
        </w:tc>
        <w:tc>
          <w:tcPr>
            <w:tcW w:w="6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60" w:type="dxa"/>
            <w:vAlign w:val="bottom"/>
          </w:tcPr>
          <w:p>
            <w:pPr>
              <w:ind w:left="460"/>
              <w:spacing w:after="0"/>
              <w:rPr>
                <w:sz w:val="20"/>
                <w:szCs w:val="20"/>
                <w:color w:val="auto"/>
              </w:rPr>
            </w:pPr>
            <w:r>
              <w:rPr>
                <w:rFonts w:ascii="Arial" w:cs="Arial" w:eastAsia="Arial" w:hAnsi="Arial"/>
                <w:sz w:val="3"/>
                <w:szCs w:val="3"/>
                <w:color w:val="FFFFFF"/>
              </w:rPr>
              <w:t>Costs</w:t>
            </w:r>
          </w:p>
        </w:tc>
        <w:tc>
          <w:tcPr>
            <w:tcW w:w="6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6160" w:type="dxa"/>
            <w:vAlign w:val="bottom"/>
            <w:vMerge w:val="restart"/>
          </w:tcPr>
          <w:p>
            <w:pPr>
              <w:ind w:left="100"/>
              <w:spacing w:after="0" w:line="81" w:lineRule="exact"/>
              <w:rPr>
                <w:sz w:val="20"/>
                <w:szCs w:val="20"/>
                <w:color w:val="auto"/>
              </w:rPr>
            </w:pPr>
            <w:r>
              <w:rPr>
                <w:rFonts w:ascii="Arial" w:cs="Arial" w:eastAsia="Arial" w:hAnsi="Arial"/>
                <w:sz w:val="9"/>
                <w:szCs w:val="9"/>
                <w:color w:val="FFFFFF"/>
              </w:rPr>
              <w:t>1 to HK$111.2 million in the six months ended 30 June 2012. Finance costs decreased in the six months ended</w:t>
            </w:r>
          </w:p>
        </w:tc>
        <w:tc>
          <w:tcPr>
            <w:tcW w:w="0" w:type="dxa"/>
            <w:vAlign w:val="bottom"/>
          </w:tcPr>
          <w:p>
            <w:pPr>
              <w:spacing w:after="0"/>
              <w:rPr>
                <w:sz w:val="1"/>
                <w:szCs w:val="1"/>
                <w:color w:val="auto"/>
              </w:rPr>
            </w:pPr>
          </w:p>
        </w:tc>
      </w:tr>
      <w:tr>
        <w:trPr>
          <w:trHeight w:val="41"/>
        </w:trPr>
        <w:tc>
          <w:tcPr>
            <w:tcW w:w="5100" w:type="dxa"/>
            <w:vAlign w:val="bottom"/>
            <w:gridSpan w:val="4"/>
          </w:tcPr>
          <w:p>
            <w:pPr>
              <w:spacing w:after="0"/>
              <w:rPr>
                <w:sz w:val="20"/>
                <w:szCs w:val="20"/>
                <w:color w:val="auto"/>
              </w:rPr>
            </w:pPr>
            <w:r>
              <w:rPr>
                <w:rFonts w:ascii="Arial" w:cs="Arial" w:eastAsia="Arial" w:hAnsi="Arial"/>
                <w:sz w:val="3"/>
                <w:szCs w:val="3"/>
                <w:color w:val="FFFFFF"/>
              </w:rPr>
              <w:t>Finance costs decreased by 18.2%, from HK$135.9 million in the six months ended 30 June</w:t>
            </w:r>
          </w:p>
        </w:tc>
        <w:tc>
          <w:tcPr>
            <w:tcW w:w="6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60" w:type="dxa"/>
            <w:vAlign w:val="bottom"/>
            <w:gridSpan w:val="5"/>
          </w:tcPr>
          <w:p>
            <w:pPr>
              <w:spacing w:after="0"/>
              <w:rPr>
                <w:sz w:val="20"/>
                <w:szCs w:val="20"/>
                <w:color w:val="auto"/>
              </w:rPr>
            </w:pPr>
            <w:r>
              <w:rPr>
                <w:rFonts w:ascii="Arial" w:cs="Arial" w:eastAsia="Arial" w:hAnsi="Arial"/>
                <w:sz w:val="3"/>
                <w:szCs w:val="3"/>
                <w:color w:val="FFFFFF"/>
              </w:rPr>
              <w:t>30 June 2012 primarily due to the maturity of two interest rate swap agreements in August 201201 which resulted in a higher interest rate. This decrease as well as the increase in capitalized interest was partially</w:t>
            </w:r>
          </w:p>
        </w:tc>
        <w:tc>
          <w:tcPr>
            <w:tcW w:w="0" w:type="dxa"/>
            <w:vAlign w:val="bottom"/>
          </w:tcPr>
          <w:p>
            <w:pPr>
              <w:spacing w:after="0"/>
              <w:rPr>
                <w:sz w:val="1"/>
                <w:szCs w:val="1"/>
                <w:color w:val="auto"/>
              </w:rPr>
            </w:pPr>
          </w:p>
        </w:tc>
      </w:tr>
      <w:tr>
        <w:trPr>
          <w:trHeight w:val="41"/>
        </w:trPr>
        <w:tc>
          <w:tcPr>
            <w:tcW w:w="11260" w:type="dxa"/>
            <w:vAlign w:val="bottom"/>
            <w:gridSpan w:val="5"/>
          </w:tcPr>
          <w:p>
            <w:pPr>
              <w:spacing w:after="0"/>
              <w:rPr>
                <w:sz w:val="20"/>
                <w:szCs w:val="20"/>
                <w:color w:val="auto"/>
              </w:rPr>
            </w:pPr>
            <w:r>
              <w:rPr>
                <w:rFonts w:ascii="Arial" w:cs="Arial" w:eastAsia="Arial" w:hAnsi="Arial"/>
                <w:sz w:val="3"/>
                <w:szCs w:val="3"/>
                <w:color w:val="FFFFFF"/>
              </w:rPr>
              <w:t>offset by the increase in finance cost for the land concession and the charitable contribution payable to the University of Macau Development Foundation for the six months ended</w:t>
            </w:r>
          </w:p>
        </w:tc>
        <w:tc>
          <w:tcPr>
            <w:tcW w:w="0" w:type="dxa"/>
            <w:vAlign w:val="bottom"/>
          </w:tcPr>
          <w:p>
            <w:pPr>
              <w:spacing w:after="0"/>
              <w:rPr>
                <w:sz w:val="1"/>
                <w:szCs w:val="1"/>
                <w:color w:val="auto"/>
              </w:rPr>
            </w:pPr>
          </w:p>
        </w:tc>
      </w:tr>
      <w:tr>
        <w:trPr>
          <w:trHeight w:val="41"/>
        </w:trPr>
        <w:tc>
          <w:tcPr>
            <w:tcW w:w="860" w:type="dxa"/>
            <w:vAlign w:val="bottom"/>
          </w:tcPr>
          <w:p>
            <w:pPr>
              <w:spacing w:after="0"/>
              <w:rPr>
                <w:sz w:val="20"/>
                <w:szCs w:val="20"/>
                <w:color w:val="auto"/>
              </w:rPr>
            </w:pPr>
            <w:r>
              <w:rPr>
                <w:rFonts w:ascii="Arial" w:cs="Arial" w:eastAsia="Arial" w:hAnsi="Arial"/>
                <w:sz w:val="3"/>
                <w:szCs w:val="3"/>
                <w:color w:val="FFFFFF"/>
              </w:rPr>
              <w:t>30 June 2012.</w:t>
            </w:r>
          </w:p>
        </w:tc>
        <w:tc>
          <w:tcPr>
            <w:tcW w:w="6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6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00" w:type="dxa"/>
            <w:vAlign w:val="bottom"/>
            <w:gridSpan w:val="2"/>
          </w:tcPr>
          <w:p>
            <w:pPr>
              <w:spacing w:after="0"/>
              <w:rPr>
                <w:sz w:val="20"/>
                <w:szCs w:val="20"/>
                <w:color w:val="auto"/>
              </w:rPr>
            </w:pPr>
            <w:r>
              <w:rPr>
                <w:rFonts w:ascii="Arial" w:cs="Arial" w:eastAsia="Arial" w:hAnsi="Arial"/>
                <w:sz w:val="3"/>
                <w:szCs w:val="3"/>
                <w:color w:val="FFFFFF"/>
              </w:rPr>
              <w:t>Interest Rate Swaps</w:t>
            </w:r>
          </w:p>
        </w:tc>
        <w:tc>
          <w:tcPr>
            <w:tcW w:w="14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6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60" w:type="dxa"/>
            <w:vAlign w:val="bottom"/>
            <w:gridSpan w:val="5"/>
          </w:tcPr>
          <w:p>
            <w:pPr>
              <w:spacing w:after="0"/>
              <w:rPr>
                <w:sz w:val="20"/>
                <w:szCs w:val="20"/>
                <w:color w:val="auto"/>
              </w:rPr>
            </w:pPr>
            <w:r>
              <w:rPr>
                <w:rFonts w:ascii="Arial" w:cs="Arial" w:eastAsia="Arial" w:hAnsi="Arial"/>
                <w:sz w:val="3"/>
                <w:szCs w:val="3"/>
                <w:color w:val="FFFFFF"/>
              </w:rPr>
              <w:t>As required under the terms of the Wynn Macau Credit Facilities, we entered into agreements to swap a portion of the interest on our loans from floating to fixed rates. These transactions did not qualify for</w:t>
            </w:r>
          </w:p>
        </w:tc>
        <w:tc>
          <w:tcPr>
            <w:tcW w:w="0" w:type="dxa"/>
            <w:vAlign w:val="bottom"/>
          </w:tcPr>
          <w:p>
            <w:pPr>
              <w:spacing w:after="0"/>
              <w:rPr>
                <w:sz w:val="1"/>
                <w:szCs w:val="1"/>
                <w:color w:val="auto"/>
              </w:rPr>
            </w:pPr>
          </w:p>
        </w:tc>
      </w:tr>
      <w:tr>
        <w:trPr>
          <w:trHeight w:val="41"/>
        </w:trPr>
        <w:tc>
          <w:tcPr>
            <w:tcW w:w="860" w:type="dxa"/>
            <w:vAlign w:val="bottom"/>
          </w:tcPr>
          <w:p>
            <w:pPr>
              <w:spacing w:after="0"/>
              <w:rPr>
                <w:sz w:val="20"/>
                <w:szCs w:val="20"/>
                <w:color w:val="auto"/>
              </w:rPr>
            </w:pPr>
            <w:r>
              <w:rPr>
                <w:rFonts w:ascii="Arial" w:cs="Arial" w:eastAsia="Arial" w:hAnsi="Arial"/>
                <w:sz w:val="3"/>
                <w:szCs w:val="3"/>
                <w:color w:val="FFFFFF"/>
              </w:rPr>
              <w:t>hedge</w:t>
            </w:r>
          </w:p>
        </w:tc>
        <w:tc>
          <w:tcPr>
            <w:tcW w:w="640" w:type="dxa"/>
            <w:vAlign w:val="bottom"/>
          </w:tcPr>
          <w:p>
            <w:pPr>
              <w:jc w:val="right"/>
              <w:ind w:right="483"/>
              <w:spacing w:after="0"/>
              <w:rPr>
                <w:sz w:val="20"/>
                <w:szCs w:val="20"/>
                <w:color w:val="auto"/>
              </w:rPr>
            </w:pPr>
            <w:r>
              <w:rPr>
                <w:rFonts w:ascii="Arial" w:cs="Arial" w:eastAsia="Arial" w:hAnsi="Arial"/>
                <w:sz w:val="3"/>
                <w:szCs w:val="3"/>
                <w:color w:val="FFFFFF"/>
              </w:rPr>
              <w:t>.</w:t>
            </w:r>
          </w:p>
        </w:tc>
        <w:tc>
          <w:tcPr>
            <w:tcW w:w="14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6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60" w:type="dxa"/>
            <w:vAlign w:val="bottom"/>
            <w:gridSpan w:val="5"/>
          </w:tcPr>
          <w:p>
            <w:pPr>
              <w:spacing w:after="0"/>
              <w:rPr>
                <w:sz w:val="20"/>
                <w:szCs w:val="20"/>
                <w:color w:val="auto"/>
              </w:rPr>
            </w:pPr>
            <w:r>
              <w:rPr>
                <w:rFonts w:ascii="Arial" w:cs="Arial" w:eastAsia="Arial" w:hAnsi="Arial"/>
                <w:sz w:val="3"/>
                <w:szCs w:val="3"/>
                <w:color w:val="FFFFFF"/>
              </w:rPr>
              <w:t>Changesaccountingthefair value of our interest rate swaps are recorded as an increase or decrease in swap fair value during each period. W recorded  gain of HK$20.7 million for the six months ended 30 June 2012</w:t>
            </w:r>
          </w:p>
        </w:tc>
        <w:tc>
          <w:tcPr>
            <w:tcW w:w="0" w:type="dxa"/>
            <w:vAlign w:val="bottom"/>
          </w:tcPr>
          <w:p>
            <w:pPr>
              <w:spacing w:after="0"/>
              <w:rPr>
                <w:sz w:val="1"/>
                <w:szCs w:val="1"/>
                <w:color w:val="auto"/>
              </w:rPr>
            </w:pPr>
          </w:p>
        </w:tc>
      </w:tr>
      <w:tr>
        <w:trPr>
          <w:trHeight w:val="0"/>
        </w:trPr>
        <w:tc>
          <w:tcPr>
            <w:tcW w:w="1500" w:type="dxa"/>
            <w:vAlign w:val="bottom"/>
            <w:gridSpan w:val="2"/>
          </w:tcPr>
          <w:p>
            <w:pPr>
              <w:ind w:left="60"/>
              <w:spacing w:after="0" w:line="80" w:lineRule="exact"/>
              <w:rPr>
                <w:sz w:val="20"/>
                <w:szCs w:val="20"/>
                <w:color w:val="auto"/>
              </w:rPr>
            </w:pPr>
            <w:r>
              <w:rPr>
                <w:rFonts w:ascii="Arial" w:cs="Arial" w:eastAsia="Arial" w:hAnsi="Arial"/>
                <w:sz w:val="9"/>
                <w:szCs w:val="9"/>
                <w:color w:val="FFFFFF"/>
              </w:rPr>
              <w:t>esulting from the</w:t>
            </w:r>
          </w:p>
        </w:tc>
        <w:tc>
          <w:tcPr>
            <w:tcW w:w="1420" w:type="dxa"/>
            <w:vAlign w:val="bottom"/>
          </w:tcPr>
          <w:p>
            <w:pPr>
              <w:ind w:left="120"/>
              <w:spacing w:after="0" w:line="80" w:lineRule="exact"/>
              <w:rPr>
                <w:sz w:val="20"/>
                <w:szCs w:val="20"/>
                <w:color w:val="auto"/>
              </w:rPr>
            </w:pPr>
            <w:r>
              <w:rPr>
                <w:rFonts w:ascii="Arial" w:cs="Arial" w:eastAsia="Arial" w:hAnsi="Arial"/>
                <w:sz w:val="9"/>
                <w:szCs w:val="9"/>
                <w:color w:val="FFFFFF"/>
              </w:rPr>
              <w:t>the fair value of our</w:t>
            </w:r>
          </w:p>
        </w:tc>
        <w:tc>
          <w:tcPr>
            <w:tcW w:w="8340" w:type="dxa"/>
            <w:vAlign w:val="bottom"/>
            <w:gridSpan w:val="2"/>
          </w:tcPr>
          <w:p>
            <w:pPr>
              <w:ind w:left="240"/>
              <w:spacing w:after="0" w:line="80" w:lineRule="exact"/>
              <w:rPr>
                <w:sz w:val="20"/>
                <w:szCs w:val="20"/>
                <w:color w:val="auto"/>
              </w:rPr>
            </w:pPr>
            <w:r>
              <w:rPr>
                <w:rFonts w:ascii="Arial" w:cs="Arial" w:eastAsia="Arial" w:hAnsi="Arial"/>
                <w:sz w:val="9"/>
                <w:szCs w:val="9"/>
                <w:color w:val="FFFFFF"/>
              </w:rPr>
              <w:t>rate swaps in the six months ended 30 June 2012. In June 2012, our interest rate swap matured and as of 30 June 2012, we had no outstanding interest</w:t>
            </w:r>
          </w:p>
        </w:tc>
        <w:tc>
          <w:tcPr>
            <w:tcW w:w="0" w:type="dxa"/>
            <w:vAlign w:val="bottom"/>
          </w:tcPr>
          <w:p>
            <w:pPr>
              <w:spacing w:after="0" w:line="20" w:lineRule="exact"/>
              <w:rPr>
                <w:sz w:val="1"/>
                <w:szCs w:val="1"/>
                <w:color w:val="auto"/>
              </w:rPr>
            </w:pPr>
          </w:p>
        </w:tc>
      </w:tr>
    </w:tbl>
    <w:p>
      <w:pPr>
        <w:spacing w:after="0"/>
        <w:tabs>
          <w:tab w:leader="none" w:pos="980" w:val="left"/>
          <w:tab w:leader="none" w:pos="2720" w:val="left"/>
        </w:tabs>
        <w:rPr>
          <w:sz w:val="20"/>
          <w:szCs w:val="20"/>
          <w:color w:val="auto"/>
        </w:rPr>
      </w:pPr>
      <w:r>
        <w:rPr>
          <w:rFonts w:ascii="Arial" w:cs="Arial" w:eastAsia="Arial" w:hAnsi="Arial"/>
          <w:sz w:val="3"/>
          <w:szCs w:val="3"/>
          <w:color w:val="FFFFFF"/>
        </w:rPr>
        <w:t>rate</w:t>
      </w:r>
      <w:r>
        <w:rPr>
          <w:sz w:val="20"/>
          <w:szCs w:val="20"/>
          <w:color w:val="auto"/>
        </w:rPr>
        <w:tab/>
      </w:r>
      <w:r>
        <w:rPr>
          <w:rFonts w:ascii="Arial" w:cs="Arial" w:eastAsia="Arial" w:hAnsi="Arial"/>
          <w:sz w:val="3"/>
          <w:szCs w:val="3"/>
          <w:color w:val="FFFFFF"/>
        </w:rPr>
        <w:t>increase gain</w:t>
      </w:r>
      <w:r>
        <w:rPr>
          <w:sz w:val="20"/>
          <w:szCs w:val="20"/>
          <w:color w:val="auto"/>
        </w:rPr>
        <w:tab/>
      </w:r>
      <w:r>
        <w:rPr>
          <w:rFonts w:ascii="Arial" w:cs="Arial" w:eastAsia="Arial" w:hAnsi="Arial"/>
          <w:sz w:val="3"/>
          <w:szCs w:val="3"/>
          <w:color w:val="FFFFFF"/>
        </w:rPr>
        <w:t>interest</w:t>
      </w:r>
    </w:p>
    <w:p>
      <w:pPr>
        <w:ind w:left="240"/>
        <w:spacing w:after="0" w:line="187" w:lineRule="auto"/>
        <w:tabs>
          <w:tab w:leader="none" w:pos="1700" w:val="left"/>
          <w:tab w:leader="none" w:pos="2940" w:val="left"/>
        </w:tabs>
        <w:rPr>
          <w:sz w:val="20"/>
          <w:szCs w:val="20"/>
          <w:color w:val="auto"/>
        </w:rPr>
      </w:pPr>
      <w:r>
        <w:rPr>
          <w:rFonts w:ascii="Arial" w:cs="Arial" w:eastAsia="Arial" w:hAnsi="Arial"/>
          <w:sz w:val="7"/>
          <w:szCs w:val="7"/>
          <w:color w:val="FFFFFF"/>
        </w:rPr>
        <w:t>swaps. W</w:t>
      </w:r>
      <w:r>
        <w:rPr>
          <w:rFonts w:ascii="Arial" w:cs="Arial" w:eastAsia="Arial" w:hAnsi="Arial"/>
          <w:sz w:val="9"/>
          <w:szCs w:val="9"/>
          <w:color w:val="FFFFFF"/>
          <w:vertAlign w:val="subscript"/>
        </w:rPr>
        <w:t>resulting</w:t>
      </w:r>
      <w:r>
        <w:rPr>
          <w:rFonts w:ascii="Arial" w:cs="Arial" w:eastAsia="Arial" w:hAnsi="Arial"/>
          <w:sz w:val="7"/>
          <w:szCs w:val="7"/>
          <w:color w:val="FFFFFF"/>
        </w:rPr>
        <w:t>recorded</w:t>
      </w:r>
      <w:r>
        <w:rPr>
          <w:sz w:val="20"/>
          <w:szCs w:val="20"/>
          <w:color w:val="auto"/>
        </w:rPr>
        <w:tab/>
      </w:r>
      <w:r>
        <w:rPr>
          <w:rFonts w:ascii="Arial" w:cs="Arial" w:eastAsia="Arial" w:hAnsi="Arial"/>
          <w:sz w:val="9"/>
          <w:szCs w:val="9"/>
          <w:color w:val="FFFFFF"/>
        </w:rPr>
        <w:t>of HK$46.7 million</w:t>
      </w:r>
      <w:r>
        <w:rPr>
          <w:sz w:val="20"/>
          <w:szCs w:val="20"/>
          <w:color w:val="auto"/>
        </w:rPr>
        <w:tab/>
      </w:r>
      <w:r>
        <w:rPr>
          <w:rFonts w:ascii="Arial" w:cs="Arial" w:eastAsia="Arial" w:hAnsi="Arial"/>
          <w:sz w:val="9"/>
          <w:szCs w:val="9"/>
          <w:color w:val="FFFFFF"/>
        </w:rPr>
        <w:t>the six months ended</w:t>
      </w:r>
    </w:p>
    <w:p>
      <w:pPr>
        <w:spacing w:after="0"/>
        <w:tabs>
          <w:tab w:leader="none" w:pos="1240" w:val="left"/>
        </w:tabs>
        <w:rPr>
          <w:sz w:val="20"/>
          <w:szCs w:val="20"/>
          <w:color w:val="auto"/>
        </w:rPr>
      </w:pPr>
      <w:r>
        <w:rPr>
          <w:rFonts w:ascii="Arial" w:cs="Arial" w:eastAsia="Arial" w:hAnsi="Arial"/>
          <w:sz w:val="3"/>
          <w:szCs w:val="3"/>
          <w:color w:val="FFFFFF"/>
        </w:rPr>
        <w:t>Income30June Tax2011Expense</w:t>
      </w:r>
      <w:r>
        <w:rPr>
          <w:sz w:val="20"/>
          <w:szCs w:val="20"/>
          <w:color w:val="auto"/>
        </w:rPr>
        <w:tab/>
      </w:r>
      <w:r>
        <w:rPr>
          <w:rFonts w:ascii="Arial" w:cs="Arial" w:eastAsia="Arial" w:hAnsi="Arial"/>
          <w:sz w:val="3"/>
          <w:szCs w:val="3"/>
          <w:color w:val="FFFFFF"/>
        </w:rPr>
        <w:t>from the increase in the fair value of our interest rate swaps in the six months ended 30 June 2011.</w:t>
      </w:r>
    </w:p>
    <w:p>
      <w:pPr>
        <w:spacing w:after="0" w:line="6" w:lineRule="exact"/>
        <w:rPr>
          <w:sz w:val="20"/>
          <w:szCs w:val="20"/>
          <w:color w:val="auto"/>
        </w:rPr>
      </w:pPr>
    </w:p>
    <w:p>
      <w:pPr>
        <w:ind w:right="40"/>
        <w:spacing w:after="0" w:line="190" w:lineRule="auto"/>
        <w:rPr>
          <w:sz w:val="20"/>
          <w:szCs w:val="20"/>
          <w:color w:val="auto"/>
        </w:rPr>
      </w:pPr>
      <w:r>
        <w:rPr>
          <w:rFonts w:ascii="Arial" w:cs="Arial" w:eastAsia="Arial" w:hAnsi="Arial"/>
          <w:sz w:val="11"/>
          <w:szCs w:val="11"/>
          <w:color w:val="FFFFFF"/>
        </w:rPr>
        <w:t>For the six months ended 30 June 2012, our income tax expense was HK$7.5 million compared to an income tax expense of HK$3.5 million in the six months ended 30 June 2011. Our current tax expense for the six months ended 30 June 2012 and 2011 primarily relates to the current tax expense of our subsidiaries owning WRM’s shares under the WRM Shareholder Dividend Tax Agreement.</w:t>
      </w:r>
    </w:p>
    <w:p>
      <w:pPr>
        <w:sectPr>
          <w:pgSz w:w="11900" w:h="16838" w:orient="portrait"/>
          <w:cols w:equalWidth="0" w:num="1">
            <w:col w:w="11260"/>
          </w:cols>
          <w:pgMar w:left="240" w:top="1440" w:right="39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20"/>
                <w:szCs w:val="20"/>
                <w:color w:val="auto"/>
              </w:rPr>
            </w:pPr>
            <w:r>
              <w:rPr>
                <w:rFonts w:ascii="Arial" w:cs="Arial" w:eastAsia="Arial" w:hAnsi="Arial"/>
                <w:sz w:val="14"/>
                <w:szCs w:val="14"/>
                <w:color w:val="FFFFFF"/>
              </w:rPr>
              <w:t>Interim Report 2012 19</w:t>
            </w:r>
          </w:p>
        </w:tc>
        <w:tc>
          <w:tcPr>
            <w:tcW w:w="15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56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1560" w:type="dxa"/>
            <w:vAlign w:val="bottom"/>
          </w:tcPr>
          <w:p>
            <w:pPr>
              <w:spacing w:after="0"/>
              <w:rPr>
                <w:sz w:val="3"/>
                <w:szCs w:val="3"/>
                <w:color w:val="auto"/>
              </w:rPr>
            </w:pP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20" w:type="dxa"/>
            <w:vAlign w:val="bottom"/>
            <w:gridSpan w:val="2"/>
          </w:tcPr>
          <w:p>
            <w:pPr>
              <w:spacing w:after="0"/>
              <w:rPr>
                <w:sz w:val="20"/>
                <w:szCs w:val="20"/>
                <w:color w:val="auto"/>
              </w:rPr>
            </w:pPr>
            <w:r>
              <w:rPr>
                <w:rFonts w:ascii="Arial" w:cs="Arial" w:eastAsia="Arial" w:hAnsi="Arial"/>
                <w:sz w:val="3"/>
                <w:szCs w:val="3"/>
                <w:color w:val="FFFFFF"/>
              </w:rPr>
              <w:t>Net Profit Attributable to Owners   the Company</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As a result of the foregoing, net profit attributable to owners of the Company increased by 38.3%, from HK$2.4 billion in the six months ended 30 June 2011 to HK$3.3 billion in the six months ended</w:t>
            </w:r>
          </w:p>
        </w:tc>
        <w:tc>
          <w:tcPr>
            <w:tcW w:w="0" w:type="dxa"/>
            <w:vAlign w:val="bottom"/>
          </w:tcPr>
          <w:p>
            <w:pPr>
              <w:spacing w:after="0"/>
              <w:rPr>
                <w:sz w:val="1"/>
                <w:szCs w:val="1"/>
                <w:color w:val="auto"/>
              </w:rPr>
            </w:pPr>
          </w:p>
        </w:tc>
      </w:tr>
      <w:tr>
        <w:trPr>
          <w:trHeight w:val="41"/>
        </w:trPr>
        <w:tc>
          <w:tcPr>
            <w:tcW w:w="2560" w:type="dxa"/>
            <w:vAlign w:val="bottom"/>
          </w:tcPr>
          <w:p>
            <w:pPr>
              <w:spacing w:after="0"/>
              <w:rPr>
                <w:sz w:val="20"/>
                <w:szCs w:val="20"/>
                <w:color w:val="auto"/>
              </w:rPr>
            </w:pPr>
            <w:r>
              <w:rPr>
                <w:rFonts w:ascii="Arial" w:cs="Arial" w:eastAsia="Arial" w:hAnsi="Arial"/>
                <w:sz w:val="3"/>
                <w:szCs w:val="3"/>
                <w:color w:val="FFFFFF"/>
              </w:rPr>
              <w:t>30 June 2012.</w:t>
            </w:r>
          </w:p>
        </w:tc>
        <w:tc>
          <w:tcPr>
            <w:tcW w:w="1560" w:type="dxa"/>
            <w:vAlign w:val="bottom"/>
          </w:tcPr>
          <w:p>
            <w:pPr>
              <w:spacing w:after="0"/>
              <w:rPr>
                <w:sz w:val="3"/>
                <w:szCs w:val="3"/>
                <w:color w:val="auto"/>
              </w:rPr>
            </w:pP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60" w:type="dxa"/>
            <w:vAlign w:val="bottom"/>
          </w:tcPr>
          <w:p>
            <w:pPr>
              <w:spacing w:after="0"/>
              <w:rPr>
                <w:sz w:val="20"/>
                <w:szCs w:val="20"/>
                <w:color w:val="auto"/>
              </w:rPr>
            </w:pPr>
            <w:r>
              <w:rPr>
                <w:rFonts w:ascii="Arial" w:cs="Arial" w:eastAsia="Arial" w:hAnsi="Arial"/>
                <w:sz w:val="3"/>
                <w:szCs w:val="3"/>
                <w:color w:val="FFFFFF"/>
              </w:rPr>
              <w:t>LIQUIDITY AND CAPITAL RESOURCES</w:t>
            </w:r>
          </w:p>
        </w:tc>
        <w:tc>
          <w:tcPr>
            <w:tcW w:w="1560" w:type="dxa"/>
            <w:vAlign w:val="bottom"/>
          </w:tcPr>
          <w:p>
            <w:pPr>
              <w:spacing w:after="0"/>
              <w:rPr>
                <w:sz w:val="3"/>
                <w:szCs w:val="3"/>
                <w:color w:val="auto"/>
              </w:rPr>
            </w:pP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60" w:type="dxa"/>
            <w:vAlign w:val="bottom"/>
          </w:tcPr>
          <w:p>
            <w:pPr>
              <w:spacing w:after="0"/>
              <w:rPr>
                <w:sz w:val="20"/>
                <w:szCs w:val="20"/>
                <w:color w:val="auto"/>
              </w:rPr>
            </w:pPr>
            <w:r>
              <w:rPr>
                <w:rFonts w:ascii="Arial" w:cs="Arial" w:eastAsia="Arial" w:hAnsi="Arial"/>
                <w:sz w:val="3"/>
                <w:szCs w:val="3"/>
                <w:color w:val="FFFFFF"/>
              </w:rPr>
              <w:t>Capital Resources</w:t>
            </w:r>
          </w:p>
        </w:tc>
        <w:tc>
          <w:tcPr>
            <w:tcW w:w="1560" w:type="dxa"/>
            <w:vAlign w:val="bottom"/>
          </w:tcPr>
          <w:p>
            <w:pPr>
              <w:spacing w:after="0"/>
              <w:rPr>
                <w:sz w:val="3"/>
                <w:szCs w:val="3"/>
                <w:color w:val="auto"/>
              </w:rPr>
            </w:pP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Since Wynn Macau opened in 2006, we have generally funded our working capital and recurring expenses as well as capital expenditures from cash flow from operations and cash on hand.</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Our cash balances as at 30 June 2012 were HK$6.5 billion. Such cash is available for operations, new development activities, enhancements to Wynn Macau and Encore and general corporate purposes. On</w:t>
            </w:r>
          </w:p>
        </w:tc>
        <w:tc>
          <w:tcPr>
            <w:tcW w:w="0" w:type="dxa"/>
            <w:vAlign w:val="bottom"/>
          </w:tcPr>
          <w:p>
            <w:pPr>
              <w:spacing w:after="0"/>
              <w:rPr>
                <w:sz w:val="1"/>
                <w:szCs w:val="1"/>
                <w:color w:val="auto"/>
              </w:rPr>
            </w:pPr>
          </w:p>
        </w:tc>
      </w:tr>
      <w:tr>
        <w:trPr>
          <w:trHeight w:val="41"/>
        </w:trPr>
        <w:tc>
          <w:tcPr>
            <w:tcW w:w="2560" w:type="dxa"/>
            <w:vAlign w:val="bottom"/>
          </w:tcPr>
          <w:p>
            <w:pPr>
              <w:spacing w:after="0"/>
              <w:rPr>
                <w:sz w:val="20"/>
                <w:szCs w:val="20"/>
                <w:color w:val="auto"/>
              </w:rPr>
            </w:pPr>
            <w:r>
              <w:rPr>
                <w:rFonts w:ascii="Arial" w:cs="Arial" w:eastAsia="Arial" w:hAnsi="Arial"/>
                <w:sz w:val="3"/>
                <w:szCs w:val="3"/>
                <w:color w:val="FFFFFF"/>
              </w:rPr>
              <w:t>27 June 2012, the WRM revolving credit</w:t>
            </w:r>
          </w:p>
        </w:tc>
        <w:tc>
          <w:tcPr>
            <w:tcW w:w="8820" w:type="dxa"/>
            <w:vAlign w:val="bottom"/>
            <w:gridSpan w:val="2"/>
          </w:tcPr>
          <w:p>
            <w:pPr>
              <w:ind w:left="120"/>
              <w:spacing w:after="0"/>
              <w:rPr>
                <w:sz w:val="20"/>
                <w:szCs w:val="20"/>
                <w:color w:val="auto"/>
              </w:rPr>
            </w:pPr>
            <w:r>
              <w:rPr>
                <w:rFonts w:ascii="Arial" w:cs="Arial" w:eastAsia="Arial" w:hAnsi="Arial"/>
                <w:sz w:val="3"/>
                <w:szCs w:val="3"/>
                <w:color w:val="FFFFFF"/>
              </w:rPr>
              <w:t>matured with no outstanding balance. On 31 July 2012, WRM expanded its availability under the senior secured bank facility to US$2.3 billion (approximately</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HK$17.9 billion) equivalent consisting offacilityUS$750 million (approximately HK$5.8 billion) equivalent fully funded senior secured term loan facility and  US$1.55 billion (approximately HK$12.1 billion)</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equivalent senior secured revolving credit facility. WRM also has the ability to upsize the total senior secured facilities by an additional US$200 million (approximately HK$1.6 billion) pursuant to the terms and</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provisions of the Amended Wynn Macau Credit Facilities. Borrowings under the Amended Wynn Macau Credit Facilities will be used to refinance WRM’s existing indebtedness, to fund the design,</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development, construction and pre-opening expenses of Wynn Cotai and for general corporate purposes.</w:t>
            </w:r>
          </w:p>
        </w:tc>
        <w:tc>
          <w:tcPr>
            <w:tcW w:w="0" w:type="dxa"/>
            <w:vAlign w:val="bottom"/>
          </w:tcPr>
          <w:p>
            <w:pPr>
              <w:spacing w:after="0"/>
              <w:rPr>
                <w:sz w:val="1"/>
                <w:szCs w:val="1"/>
                <w:color w:val="auto"/>
              </w:rPr>
            </w:pPr>
          </w:p>
        </w:tc>
      </w:tr>
      <w:tr>
        <w:trPr>
          <w:trHeight w:val="41"/>
        </w:trPr>
        <w:tc>
          <w:tcPr>
            <w:tcW w:w="2560" w:type="dxa"/>
            <w:vAlign w:val="bottom"/>
          </w:tcPr>
          <w:p>
            <w:pPr>
              <w:spacing w:after="0"/>
              <w:rPr>
                <w:sz w:val="20"/>
                <w:szCs w:val="20"/>
                <w:color w:val="auto"/>
              </w:rPr>
            </w:pPr>
            <w:r>
              <w:rPr>
                <w:rFonts w:ascii="Arial" w:cs="Arial" w:eastAsia="Arial" w:hAnsi="Arial"/>
                <w:sz w:val="3"/>
                <w:szCs w:val="3"/>
                <w:color w:val="FFFFFF"/>
              </w:rPr>
              <w:t>Investments</w:t>
            </w:r>
          </w:p>
        </w:tc>
        <w:tc>
          <w:tcPr>
            <w:tcW w:w="1560" w:type="dxa"/>
            <w:vAlign w:val="bottom"/>
          </w:tcPr>
          <w:p>
            <w:pPr>
              <w:spacing w:after="0"/>
              <w:rPr>
                <w:sz w:val="3"/>
                <w:szCs w:val="3"/>
                <w:color w:val="auto"/>
              </w:rPr>
            </w:pPr>
          </w:p>
        </w:tc>
        <w:tc>
          <w:tcPr>
            <w:tcW w:w="7260" w:type="dxa"/>
            <w:vAlign w:val="bottom"/>
            <w:vMerge w:val="restart"/>
          </w:tcPr>
          <w:p>
            <w:pPr>
              <w:ind w:left="400"/>
              <w:spacing w:after="0"/>
              <w:rPr>
                <w:sz w:val="20"/>
                <w:szCs w:val="20"/>
                <w:color w:val="auto"/>
              </w:rPr>
            </w:pPr>
            <w:r>
              <w:rPr>
                <w:rFonts w:ascii="Arial" w:cs="Arial" w:eastAsia="Arial" w:hAnsi="Arial"/>
                <w:sz w:val="3"/>
                <w:szCs w:val="3"/>
                <w:color w:val="FFFFFF"/>
              </w:rPr>
              <w:t>debt securities with maturities of up to two years that amounted to Offshore RMB419.4 million (approximately HK$511.4</w:t>
            </w:r>
          </w:p>
        </w:tc>
        <w:tc>
          <w:tcPr>
            <w:tcW w:w="0" w:type="dxa"/>
            <w:vAlign w:val="bottom"/>
          </w:tcPr>
          <w:p>
            <w:pPr>
              <w:spacing w:after="0"/>
              <w:rPr>
                <w:sz w:val="1"/>
                <w:szCs w:val="1"/>
                <w:color w:val="auto"/>
              </w:rPr>
            </w:pPr>
          </w:p>
        </w:tc>
      </w:tr>
      <w:tr>
        <w:trPr>
          <w:trHeight w:val="0"/>
        </w:trPr>
        <w:tc>
          <w:tcPr>
            <w:tcW w:w="4120" w:type="dxa"/>
            <w:vAlign w:val="bottom"/>
            <w:gridSpan w:val="2"/>
          </w:tcPr>
          <w:p>
            <w:pPr>
              <w:spacing w:after="0" w:line="80" w:lineRule="exact"/>
              <w:rPr>
                <w:sz w:val="20"/>
                <w:szCs w:val="20"/>
                <w:color w:val="auto"/>
              </w:rPr>
            </w:pPr>
            <w:r>
              <w:rPr>
                <w:rFonts w:ascii="Arial" w:cs="Arial" w:eastAsia="Arial" w:hAnsi="Arial"/>
                <w:sz w:val="9"/>
                <w:szCs w:val="9"/>
                <w:color w:val="FFFFFF"/>
              </w:rPr>
              <w:t>As at 30 June 2012, the Group had net investments in Offshore RMB</w:t>
            </w:r>
          </w:p>
        </w:tc>
        <w:tc>
          <w:tcPr>
            <w:tcW w:w="7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million) compared to RMB415.6 million (approximately HK$508.8 million)denominatedas31 December 2011.</w:t>
      </w:r>
    </w:p>
    <w:p>
      <w:pPr>
        <w:sectPr>
          <w:pgSz w:w="11900" w:h="16838" w:orient="portrait"/>
          <w:cols w:equalWidth="0" w:num="1">
            <w:col w:w="11380"/>
          </w:cols>
          <w:pgMar w:left="240" w:top="1440" w:right="27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20 Wynn Macau, Limited</w:t>
      </w:r>
    </w:p>
    <w:p>
      <w:pPr>
        <w:spacing w:after="0"/>
        <w:rPr>
          <w:sz w:val="20"/>
          <w:szCs w:val="20"/>
          <w:color w:val="auto"/>
        </w:rPr>
      </w:pPr>
      <w:r>
        <w:rPr>
          <w:rFonts w:ascii="Arial" w:cs="Arial" w:eastAsia="Arial" w:hAnsi="Arial"/>
          <w:sz w:val="3"/>
          <w:szCs w:val="3"/>
          <w:color w:val="FFFFFF"/>
        </w:rPr>
        <w:t>Management Discussion and Analysis</w:t>
      </w:r>
    </w:p>
    <w:p>
      <w:pPr>
        <w:spacing w:after="0" w:line="194" w:lineRule="auto"/>
        <w:rPr>
          <w:sz w:val="20"/>
          <w:szCs w:val="20"/>
          <w:color w:val="auto"/>
        </w:rPr>
      </w:pPr>
      <w:r>
        <w:rPr>
          <w:rFonts w:ascii="Arial" w:cs="Arial" w:eastAsia="Arial" w:hAnsi="Arial"/>
          <w:sz w:val="5"/>
          <w:szCs w:val="5"/>
          <w:color w:val="FFFFFF"/>
        </w:rPr>
        <w:t>Gearing Ratio</w:t>
      </w:r>
    </w:p>
    <w:p>
      <w:pPr>
        <w:spacing w:after="0" w:line="187" w:lineRule="auto"/>
        <w:rPr>
          <w:sz w:val="20"/>
          <w:szCs w:val="20"/>
          <w:color w:val="auto"/>
        </w:rPr>
      </w:pPr>
      <w:r>
        <w:rPr>
          <w:rFonts w:ascii="Arial" w:cs="Arial" w:eastAsia="Arial" w:hAnsi="Arial"/>
          <w:sz w:val="9"/>
          <w:szCs w:val="9"/>
          <w:color w:val="FFFFFF"/>
        </w:rPr>
        <w:t>The gearing ratio is a key indicator of our Group’s capital structure. The gearing ratio is net debt divided by total capital plus net debt. The table below presents the calculation of our gearing ratio as at 30 June 2012 and 31 December 2011.</w:t>
      </w:r>
    </w:p>
    <w:p>
      <w:pPr>
        <w:spacing w:after="0"/>
        <w:rPr>
          <w:sz w:val="20"/>
          <w:szCs w:val="20"/>
          <w:color w:val="auto"/>
        </w:rPr>
      </w:pPr>
      <w:r>
        <w:rPr>
          <w:rFonts w:ascii="Arial" w:cs="Arial" w:eastAsia="Arial" w:hAnsi="Arial"/>
          <w:sz w:val="3"/>
          <w:szCs w:val="3"/>
          <w:color w:val="FFFFFF"/>
        </w:rPr>
        <w:t>As at</w:t>
      </w:r>
    </w:p>
    <w:p>
      <w:pPr>
        <w:spacing w:after="0" w:line="194" w:lineRule="auto"/>
        <w:rPr>
          <w:sz w:val="20"/>
          <w:szCs w:val="20"/>
          <w:color w:val="auto"/>
        </w:rPr>
      </w:pPr>
      <w:r>
        <w:rPr>
          <w:rFonts w:ascii="Arial" w:cs="Arial" w:eastAsia="Arial" w:hAnsi="Arial"/>
          <w:sz w:val="5"/>
          <w:szCs w:val="5"/>
          <w:color w:val="FFFFFF"/>
          <w:vertAlign w:val="superscript"/>
        </w:rPr>
        <w:t>2012</w:t>
      </w:r>
      <w:r>
        <w:rPr>
          <w:rFonts w:ascii="Arial" w:cs="Arial" w:eastAsia="Arial" w:hAnsi="Arial"/>
          <w:sz w:val="3"/>
          <w:szCs w:val="3"/>
          <w:color w:val="FFFFFF"/>
        </w:rPr>
        <w:t xml:space="preserve">30June </w:t>
      </w:r>
      <w:r>
        <w:rPr>
          <w:rFonts w:ascii="Arial" w:cs="Arial" w:eastAsia="Arial" w:hAnsi="Arial"/>
          <w:sz w:val="5"/>
          <w:szCs w:val="5"/>
          <w:color w:val="FFFFFF"/>
          <w:vertAlign w:val="superscript"/>
        </w:rPr>
        <w:t>31</w:t>
      </w:r>
      <w:r>
        <w:rPr>
          <w:rFonts w:ascii="Arial" w:cs="Arial" w:eastAsia="Arial" w:hAnsi="Arial"/>
          <w:sz w:val="3"/>
          <w:szCs w:val="3"/>
          <w:color w:val="FFFFFF"/>
        </w:rPr>
        <w:t xml:space="preserve"> December</w:t>
      </w:r>
    </w:p>
    <w:p>
      <w:pPr>
        <w:ind w:left="320"/>
        <w:spacing w:after="0" w:line="188" w:lineRule="auto"/>
        <w:rPr>
          <w:sz w:val="20"/>
          <w:szCs w:val="20"/>
          <w:color w:val="auto"/>
        </w:rPr>
      </w:pPr>
      <w:r>
        <w:rPr>
          <w:rFonts w:ascii="Arial" w:cs="Arial" w:eastAsia="Arial" w:hAnsi="Arial"/>
          <w:sz w:val="9"/>
          <w:szCs w:val="9"/>
          <w:color w:val="FFFFFF"/>
        </w:rPr>
        <w:t>201</w:t>
      </w:r>
    </w:p>
    <w:p>
      <w:pPr>
        <w:spacing w:after="0"/>
        <w:rPr>
          <w:sz w:val="20"/>
          <w:szCs w:val="20"/>
          <w:color w:val="auto"/>
        </w:rPr>
      </w:pPr>
      <w:r>
        <w:rPr>
          <w:rFonts w:ascii="Arial" w:cs="Arial" w:eastAsia="Arial" w:hAnsi="Arial"/>
          <w:sz w:val="3"/>
          <w:szCs w:val="3"/>
          <w:color w:val="FFFFFF"/>
        </w:rPr>
        <w:t>(inHKthousands$HK$</w:t>
      </w:r>
    </w:p>
    <w:p>
      <w:pPr>
        <w:spacing w:after="0" w:line="181" w:lineRule="auto"/>
        <w:rPr>
          <w:sz w:val="20"/>
          <w:szCs w:val="20"/>
          <w:color w:val="auto"/>
        </w:rPr>
      </w:pPr>
      <w:r>
        <w:rPr>
          <w:rFonts w:ascii="Arial" w:cs="Arial" w:eastAsia="Arial" w:hAnsi="Arial"/>
          <w:sz w:val="10"/>
          <w:szCs w:val="10"/>
          <w:color w:val="FFFFFF"/>
        </w:rPr>
        <w:t>except for percentages)</w:t>
      </w:r>
    </w:p>
    <w:p>
      <w:pPr>
        <w:spacing w:after="0"/>
        <w:rPr>
          <w:sz w:val="20"/>
          <w:szCs w:val="20"/>
          <w:color w:val="auto"/>
        </w:rPr>
      </w:pPr>
      <w:r>
        <w:rPr>
          <w:rFonts w:ascii="Arial" w:cs="Arial" w:eastAsia="Arial" w:hAnsi="Arial"/>
          <w:sz w:val="3"/>
          <w:szCs w:val="3"/>
          <w:color w:val="FFFFFF"/>
        </w:rPr>
        <w:t>AccountsInterest-bearingpayablebank967,866loans,1,050,345net3,077,656 4,803,466</w:t>
      </w:r>
    </w:p>
    <w:p>
      <w:pPr>
        <w:spacing w:after="0" w:line="194" w:lineRule="auto"/>
        <w:rPr>
          <w:sz w:val="20"/>
          <w:szCs w:val="20"/>
          <w:color w:val="auto"/>
        </w:rPr>
      </w:pPr>
      <w:r>
        <w:rPr>
          <w:rFonts w:ascii="Arial" w:cs="Arial" w:eastAsia="Arial" w:hAnsi="Arial"/>
          <w:sz w:val="5"/>
          <w:szCs w:val="5"/>
          <w:color w:val="FFFFFF"/>
        </w:rPr>
        <w:t>Land premium payable 911,433 911,433</w:t>
      </w:r>
    </w:p>
    <w:p>
      <w:pPr>
        <w:spacing w:after="0" w:line="188" w:lineRule="auto"/>
        <w:rPr>
          <w:sz w:val="20"/>
          <w:szCs w:val="20"/>
          <w:color w:val="auto"/>
        </w:rPr>
      </w:pPr>
      <w:r>
        <w:rPr>
          <w:rFonts w:ascii="Arial" w:cs="Arial" w:eastAsia="Arial" w:hAnsi="Arial"/>
          <w:sz w:val="9"/>
          <w:szCs w:val="9"/>
          <w:color w:val="FFFFFF"/>
        </w:rPr>
        <w:t>Other payables and accruals 5,963,796 6,236,877</w:t>
      </w:r>
    </w:p>
    <w:p>
      <w:pPr>
        <w:spacing w:after="0" w:line="187" w:lineRule="auto"/>
        <w:rPr>
          <w:sz w:val="20"/>
          <w:szCs w:val="20"/>
          <w:color w:val="auto"/>
        </w:rPr>
      </w:pPr>
      <w:r>
        <w:rPr>
          <w:rFonts w:ascii="Arial" w:cs="Arial" w:eastAsia="Arial" w:hAnsi="Arial"/>
          <w:sz w:val="9"/>
          <w:szCs w:val="9"/>
          <w:color w:val="FFFFFF"/>
        </w:rPr>
        <w:t>OtherAmountsliabilitiesdueto 131,516relatedcompanies135,396 158,841 158,188</w:t>
      </w:r>
    </w:p>
    <w:p>
      <w:pPr>
        <w:spacing w:after="0" w:line="213" w:lineRule="auto"/>
        <w:rPr>
          <w:sz w:val="20"/>
          <w:szCs w:val="20"/>
          <w:color w:val="auto"/>
        </w:rPr>
      </w:pPr>
      <w:r>
        <w:rPr>
          <w:rFonts w:ascii="Arial" w:cs="Arial" w:eastAsia="Arial" w:hAnsi="Arial"/>
          <w:sz w:val="2"/>
          <w:szCs w:val="2"/>
          <w:color w:val="FFFFFF"/>
        </w:rPr>
        <w:t>NetLess:debtcash</w:t>
      </w:r>
      <w:r>
        <w:rPr>
          <w:rFonts w:ascii="Arial" w:cs="Arial" w:eastAsia="Arial" w:hAnsi="Arial"/>
          <w:sz w:val="4"/>
          <w:szCs w:val="4"/>
          <w:color w:val="FFFFFF"/>
          <w:vertAlign w:val="subscript"/>
        </w:rPr>
        <w:t>7,369,876</w:t>
      </w:r>
      <w:r>
        <w:rPr>
          <w:rFonts w:ascii="Arial" w:cs="Arial" w:eastAsia="Arial" w:hAnsi="Arial"/>
          <w:sz w:val="2"/>
          <w:szCs w:val="2"/>
          <w:color w:val="FFFFFF"/>
        </w:rPr>
        <w:t>4,73and,914cash</w:t>
      </w:r>
      <w:r>
        <w:rPr>
          <w:rFonts w:ascii="Arial" w:cs="Arial" w:eastAsia="Arial" w:hAnsi="Arial"/>
          <w:sz w:val="4"/>
          <w:szCs w:val="4"/>
          <w:color w:val="FFFFFF"/>
          <w:vertAlign w:val="subscript"/>
        </w:rPr>
        <w:t>4,028,443</w:t>
      </w:r>
      <w:r>
        <w:rPr>
          <w:rFonts w:ascii="Arial" w:cs="Arial" w:eastAsia="Arial" w:hAnsi="Arial"/>
          <w:sz w:val="2"/>
          <w:szCs w:val="2"/>
          <w:color w:val="FFFFFF"/>
        </w:rPr>
        <w:t>8,138,980equivalents (6,472,194) (5,156,725)</w:t>
      </w:r>
    </w:p>
    <w:p>
      <w:pPr>
        <w:spacing w:after="0"/>
        <w:rPr>
          <w:sz w:val="20"/>
          <w:szCs w:val="20"/>
          <w:color w:val="auto"/>
        </w:rPr>
      </w:pPr>
      <w:r>
        <w:rPr>
          <w:rFonts w:ascii="Arial" w:cs="Arial" w:eastAsia="Arial" w:hAnsi="Arial"/>
          <w:sz w:val="3"/>
          <w:szCs w:val="3"/>
          <w:color w:val="FFFFFF"/>
        </w:rPr>
        <w:t>Equity</w:t>
      </w:r>
    </w:p>
    <w:p>
      <w:pPr>
        <w:spacing w:after="0" w:line="181" w:lineRule="auto"/>
        <w:rPr>
          <w:sz w:val="20"/>
          <w:szCs w:val="20"/>
          <w:color w:val="auto"/>
        </w:rPr>
      </w:pPr>
      <w:r>
        <w:rPr>
          <w:rFonts w:ascii="Arial" w:cs="Arial" w:eastAsia="Arial" w:hAnsi="Arial"/>
          <w:sz w:val="10"/>
          <w:szCs w:val="10"/>
          <w:color w:val="FFFFFF"/>
        </w:rPr>
        <w:t>Total capital 7,369,876 4,028,443</w:t>
      </w:r>
    </w:p>
    <w:p>
      <w:pPr>
        <w:spacing w:after="0"/>
        <w:rPr>
          <w:sz w:val="20"/>
          <w:szCs w:val="20"/>
          <w:color w:val="auto"/>
        </w:rPr>
      </w:pPr>
      <w:r>
        <w:rPr>
          <w:rFonts w:ascii="Arial" w:cs="Arial" w:eastAsia="Arial" w:hAnsi="Arial"/>
          <w:sz w:val="14"/>
          <w:szCs w:val="14"/>
          <w:color w:val="FFFFFF"/>
        </w:rPr>
        <w:t>GearingCapitalandrationet39.1%debt 12,108,79066.9% 12,167,423</w:t>
      </w:r>
    </w:p>
    <w:p>
      <w:pPr>
        <w:sectPr>
          <w:pgSz w:w="11900" w:h="16838" w:orient="portrait"/>
          <w:cols w:equalWidth="0" w:num="1">
            <w:col w:w="11260"/>
          </w:cols>
          <w:pgMar w:left="240" w:top="1440" w:right="39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color w:val="FFFFFF"/>
              </w:rPr>
              <w:t>Interim Report 2012 21</w:t>
            </w:r>
          </w:p>
        </w:tc>
        <w:tc>
          <w:tcPr>
            <w:tcW w:w="156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1560" w:type="dxa"/>
            <w:vAlign w:val="bottom"/>
          </w:tcPr>
          <w:p>
            <w:pPr>
              <w:spacing w:after="0"/>
              <w:rPr>
                <w:sz w:val="3"/>
                <w:szCs w:val="3"/>
                <w:color w:val="auto"/>
              </w:rPr>
            </w:pP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Cash Flows</w:t>
            </w:r>
          </w:p>
        </w:tc>
        <w:tc>
          <w:tcPr>
            <w:tcW w:w="1560" w:type="dxa"/>
            <w:vAlign w:val="bottom"/>
          </w:tcPr>
          <w:p>
            <w:pPr>
              <w:spacing w:after="0"/>
              <w:rPr>
                <w:sz w:val="3"/>
                <w:szCs w:val="3"/>
                <w:color w:val="auto"/>
              </w:rPr>
            </w:pP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The following table presents a summary of the Group’s cash flows for the six months ended 30 June 2012 and 2011.</w:t>
            </w: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For the Six Months Ended</w:t>
            </w:r>
          </w:p>
        </w:tc>
        <w:tc>
          <w:tcPr>
            <w:tcW w:w="1560" w:type="dxa"/>
            <w:vAlign w:val="bottom"/>
          </w:tcPr>
          <w:p>
            <w:pPr>
              <w:spacing w:after="0"/>
              <w:rPr>
                <w:sz w:val="3"/>
                <w:szCs w:val="3"/>
                <w:color w:val="auto"/>
              </w:rPr>
            </w:pP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30 June</w:t>
            </w:r>
          </w:p>
        </w:tc>
        <w:tc>
          <w:tcPr>
            <w:tcW w:w="1560" w:type="dxa"/>
            <w:vAlign w:val="bottom"/>
          </w:tcPr>
          <w:p>
            <w:pPr>
              <w:spacing w:after="0"/>
              <w:rPr>
                <w:sz w:val="3"/>
                <w:szCs w:val="3"/>
                <w:color w:val="auto"/>
              </w:rPr>
            </w:pP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2012</w:t>
            </w:r>
          </w:p>
        </w:tc>
        <w:tc>
          <w:tcPr>
            <w:tcW w:w="2340" w:type="dxa"/>
            <w:vAlign w:val="bottom"/>
          </w:tcPr>
          <w:p>
            <w:pPr>
              <w:jc w:val="right"/>
              <w:ind w:right="2043"/>
              <w:spacing w:after="0"/>
              <w:rPr>
                <w:sz w:val="20"/>
                <w:szCs w:val="20"/>
                <w:color w:val="auto"/>
              </w:rPr>
            </w:pPr>
            <w:r>
              <w:rPr>
                <w:rFonts w:ascii="Arial" w:cs="Arial" w:eastAsia="Arial" w:hAnsi="Arial"/>
                <w:sz w:val="3"/>
                <w:szCs w:val="3"/>
                <w:color w:val="FFFFFF"/>
              </w:rPr>
              <w:t>2011</w:t>
            </w:r>
          </w:p>
        </w:tc>
        <w:tc>
          <w:tcPr>
            <w:tcW w:w="1560" w:type="dxa"/>
            <w:vAlign w:val="bottom"/>
          </w:tcPr>
          <w:p>
            <w:pPr>
              <w:spacing w:after="0"/>
              <w:rPr>
                <w:sz w:val="3"/>
                <w:szCs w:val="3"/>
                <w:color w:val="auto"/>
              </w:rPr>
            </w:pP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HK$ HK$</w:t>
            </w:r>
          </w:p>
        </w:tc>
        <w:tc>
          <w:tcPr>
            <w:tcW w:w="1560" w:type="dxa"/>
            <w:vAlign w:val="bottom"/>
          </w:tcPr>
          <w:p>
            <w:pPr>
              <w:spacing w:after="0"/>
              <w:rPr>
                <w:sz w:val="3"/>
                <w:szCs w:val="3"/>
                <w:color w:val="auto"/>
              </w:rPr>
            </w:pP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(in millions)</w:t>
            </w:r>
          </w:p>
        </w:tc>
        <w:tc>
          <w:tcPr>
            <w:tcW w:w="1560" w:type="dxa"/>
            <w:vAlign w:val="bottom"/>
          </w:tcPr>
          <w:p>
            <w:pPr>
              <w:spacing w:after="0"/>
              <w:rPr>
                <w:sz w:val="3"/>
                <w:szCs w:val="3"/>
                <w:color w:val="auto"/>
              </w:rPr>
            </w:pP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3900" w:type="dxa"/>
            <w:vAlign w:val="bottom"/>
            <w:gridSpan w:val="2"/>
          </w:tcPr>
          <w:p>
            <w:pPr>
              <w:jc w:val="right"/>
              <w:ind w:right="889"/>
              <w:spacing w:after="0"/>
              <w:rPr>
                <w:sz w:val="20"/>
                <w:szCs w:val="20"/>
                <w:color w:val="auto"/>
              </w:rPr>
            </w:pPr>
            <w:r>
              <w:rPr>
                <w:rFonts w:ascii="Arial" w:cs="Arial" w:eastAsia="Arial" w:hAnsi="Arial"/>
                <w:sz w:val="3"/>
                <w:szCs w:val="3"/>
                <w:color w:val="FFFFFF"/>
              </w:rPr>
              <w:t>generated from operating activities 3,861.3 4,948.1</w:t>
            </w: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3900" w:type="dxa"/>
            <w:vAlign w:val="bottom"/>
            <w:gridSpan w:val="2"/>
          </w:tcPr>
          <w:p>
            <w:pPr>
              <w:jc w:val="right"/>
              <w:ind w:right="1369"/>
              <w:spacing w:after="0"/>
              <w:rPr>
                <w:sz w:val="20"/>
                <w:szCs w:val="20"/>
                <w:color w:val="auto"/>
              </w:rPr>
            </w:pPr>
            <w:r>
              <w:rPr>
                <w:rFonts w:ascii="Arial" w:cs="Arial" w:eastAsia="Arial" w:hAnsi="Arial"/>
                <w:sz w:val="3"/>
                <w:szCs w:val="3"/>
                <w:color w:val="FFFFFF"/>
              </w:rPr>
              <w:t>investing activities (691.4) (393.0)</w:t>
            </w: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2"/>
          </w:tcPr>
          <w:p>
            <w:pPr>
              <w:ind w:left="240"/>
              <w:spacing w:after="0"/>
              <w:rPr>
                <w:sz w:val="20"/>
                <w:szCs w:val="20"/>
                <w:color w:val="auto"/>
              </w:rPr>
            </w:pPr>
            <w:r>
              <w:rPr>
                <w:rFonts w:ascii="Arial" w:cs="Arial" w:eastAsia="Arial" w:hAnsi="Arial"/>
                <w:sz w:val="3"/>
                <w:szCs w:val="3"/>
                <w:color w:val="FFFFFF"/>
              </w:rPr>
              <w:t>cash used in financing activities (1,849.9)</w:t>
            </w:r>
          </w:p>
        </w:tc>
        <w:tc>
          <w:tcPr>
            <w:tcW w:w="1560" w:type="dxa"/>
            <w:vAlign w:val="bottom"/>
          </w:tcPr>
          <w:p>
            <w:pPr>
              <w:jc w:val="right"/>
              <w:ind w:right="1249"/>
              <w:spacing w:after="0"/>
              <w:rPr>
                <w:sz w:val="20"/>
                <w:szCs w:val="20"/>
                <w:color w:val="auto"/>
              </w:rPr>
            </w:pPr>
            <w:r>
              <w:rPr>
                <w:rFonts w:ascii="Arial" w:cs="Arial" w:eastAsia="Arial" w:hAnsi="Arial"/>
                <w:sz w:val="3"/>
                <w:szCs w:val="3"/>
                <w:color w:val="FFFFFF"/>
              </w:rPr>
              <w:t>.4)</w:t>
            </w: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0" w:type="dxa"/>
            <w:vAlign w:val="bottom"/>
            <w:gridSpan w:val="3"/>
          </w:tcPr>
          <w:p>
            <w:pPr>
              <w:spacing w:after="0"/>
              <w:rPr>
                <w:sz w:val="20"/>
                <w:szCs w:val="20"/>
                <w:color w:val="auto"/>
              </w:rPr>
            </w:pPr>
            <w:r>
              <w:rPr>
                <w:rFonts w:ascii="Arial" w:cs="Arial" w:eastAsia="Arial" w:hAnsi="Arial"/>
                <w:sz w:val="3"/>
                <w:szCs w:val="3"/>
                <w:color w:val="FFFFFF"/>
              </w:rPr>
              <w:t>Net increase in cash and cash equivalents 1,320.(8903,664.7</w:t>
            </w: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0" w:type="dxa"/>
            <w:vAlign w:val="bottom"/>
            <w:gridSpan w:val="3"/>
          </w:tcPr>
          <w:p>
            <w:pPr>
              <w:spacing w:after="0"/>
              <w:rPr>
                <w:sz w:val="20"/>
                <w:szCs w:val="20"/>
                <w:color w:val="auto"/>
              </w:rPr>
            </w:pPr>
            <w:r>
              <w:rPr>
                <w:rFonts w:ascii="Arial" w:cs="Arial" w:eastAsia="Arial" w:hAnsi="Arial"/>
                <w:sz w:val="3"/>
                <w:szCs w:val="3"/>
                <w:color w:val="FFFFFF"/>
              </w:rPr>
              <w:t>Cash and cash equivalents at beginning of period 5,156.7 3,819.2</w:t>
            </w: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0" w:type="dxa"/>
            <w:vAlign w:val="bottom"/>
            <w:gridSpan w:val="3"/>
          </w:tcPr>
          <w:p>
            <w:pPr>
              <w:spacing w:after="0"/>
              <w:rPr>
                <w:sz w:val="20"/>
                <w:szCs w:val="20"/>
                <w:color w:val="auto"/>
              </w:rPr>
            </w:pPr>
            <w:r>
              <w:rPr>
                <w:rFonts w:ascii="Arial" w:cs="Arial" w:eastAsia="Arial" w:hAnsi="Arial"/>
                <w:sz w:val="3"/>
                <w:szCs w:val="3"/>
                <w:color w:val="FFFFFF"/>
              </w:rPr>
              <w:t>Effect of foreign exchange rate changes, net (4.5) —</w:t>
            </w: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0" w:type="dxa"/>
            <w:vAlign w:val="bottom"/>
            <w:gridSpan w:val="3"/>
          </w:tcPr>
          <w:p>
            <w:pPr>
              <w:spacing w:after="0"/>
              <w:rPr>
                <w:sz w:val="20"/>
                <w:szCs w:val="20"/>
                <w:color w:val="auto"/>
              </w:rPr>
            </w:pPr>
            <w:r>
              <w:rPr>
                <w:rFonts w:ascii="Arial" w:cs="Arial" w:eastAsia="Arial" w:hAnsi="Arial"/>
                <w:sz w:val="3"/>
                <w:szCs w:val="3"/>
                <w:color w:val="FFFFFF"/>
              </w:rPr>
              <w:t>Cash and cash equivalents   end of period 6,472.2 7,483.9</w:t>
            </w: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Net cash generated from operating activities</w:t>
            </w:r>
          </w:p>
        </w:tc>
        <w:tc>
          <w:tcPr>
            <w:tcW w:w="1560" w:type="dxa"/>
            <w:vAlign w:val="bottom"/>
          </w:tcPr>
          <w:p>
            <w:pPr>
              <w:spacing w:after="0"/>
              <w:rPr>
                <w:sz w:val="3"/>
                <w:szCs w:val="3"/>
                <w:color w:val="auto"/>
              </w:rPr>
            </w:pPr>
          </w:p>
        </w:tc>
        <w:tc>
          <w:tcPr>
            <w:tcW w:w="7080" w:type="dxa"/>
            <w:vAlign w:val="bottom"/>
            <w:vMerge w:val="restart"/>
          </w:tcPr>
          <w:p>
            <w:pPr>
              <w:ind w:left="280"/>
              <w:spacing w:after="0" w:line="81" w:lineRule="exact"/>
              <w:rPr>
                <w:sz w:val="20"/>
                <w:szCs w:val="20"/>
                <w:color w:val="auto"/>
              </w:rPr>
            </w:pPr>
            <w:r>
              <w:rPr>
                <w:rFonts w:ascii="Arial" w:cs="Arial" w:eastAsia="Arial" w:hAnsi="Arial"/>
                <w:sz w:val="9"/>
                <w:szCs w:val="9"/>
                <w:color w:val="FFFFFF"/>
              </w:rPr>
              <w:t>profit generated by our Macau Operations and changes in our working capital. Net cash from operating activities was HK$3.9</w:t>
            </w:r>
          </w:p>
        </w:tc>
        <w:tc>
          <w:tcPr>
            <w:tcW w:w="0" w:type="dxa"/>
            <w:vAlign w:val="bottom"/>
          </w:tcPr>
          <w:p>
            <w:pPr>
              <w:spacing w:after="0"/>
              <w:rPr>
                <w:sz w:val="1"/>
                <w:szCs w:val="1"/>
                <w:color w:val="auto"/>
              </w:rPr>
            </w:pPr>
          </w:p>
        </w:tc>
      </w:tr>
      <w:tr>
        <w:trPr>
          <w:trHeight w:val="41"/>
        </w:trPr>
        <w:tc>
          <w:tcPr>
            <w:tcW w:w="4200" w:type="dxa"/>
            <w:vAlign w:val="bottom"/>
            <w:gridSpan w:val="3"/>
          </w:tcPr>
          <w:p>
            <w:pPr>
              <w:spacing w:after="0"/>
              <w:rPr>
                <w:sz w:val="20"/>
                <w:szCs w:val="20"/>
                <w:color w:val="auto"/>
              </w:rPr>
            </w:pPr>
            <w:r>
              <w:rPr>
                <w:rFonts w:ascii="Arial" w:cs="Arial" w:eastAsia="Arial" w:hAnsi="Arial"/>
                <w:sz w:val="3"/>
                <w:szCs w:val="3"/>
                <w:color w:val="FFFFFF"/>
              </w:rPr>
              <w:t>Our net cash generated from operating activities is primarily affected by</w:t>
            </w:r>
          </w:p>
        </w:tc>
        <w:tc>
          <w:tcPr>
            <w:tcW w:w="7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640" w:type="dxa"/>
            <w:vAlign w:val="bottom"/>
            <w:gridSpan w:val="2"/>
          </w:tcPr>
          <w:p>
            <w:pPr>
              <w:spacing w:after="0" w:line="80" w:lineRule="exact"/>
              <w:rPr>
                <w:sz w:val="20"/>
                <w:szCs w:val="20"/>
                <w:color w:val="auto"/>
              </w:rPr>
            </w:pPr>
            <w:r>
              <w:rPr>
                <w:rFonts w:ascii="Arial" w:cs="Arial" w:eastAsia="Arial" w:hAnsi="Arial"/>
                <w:sz w:val="9"/>
                <w:szCs w:val="9"/>
                <w:color w:val="FFFFFF"/>
              </w:rPr>
              <w:t>billion   the six months ended 30 June 2012 co</w:t>
            </w:r>
          </w:p>
        </w:tc>
        <w:tc>
          <w:tcPr>
            <w:tcW w:w="8640" w:type="dxa"/>
            <w:vAlign w:val="bottom"/>
            <w:gridSpan w:val="2"/>
          </w:tcPr>
          <w:p>
            <w:pPr>
              <w:ind w:left="60"/>
              <w:spacing w:after="0" w:line="80" w:lineRule="exact"/>
              <w:rPr>
                <w:sz w:val="20"/>
                <w:szCs w:val="20"/>
                <w:color w:val="auto"/>
              </w:rPr>
            </w:pPr>
            <w:r>
              <w:rPr>
                <w:rFonts w:ascii="Arial" w:cs="Arial" w:eastAsia="Arial" w:hAnsi="Arial"/>
                <w:sz w:val="9"/>
                <w:szCs w:val="9"/>
                <w:color w:val="FFFFFF"/>
              </w:rPr>
              <w:t>pared to HK$4.9 billionoperatingthesix months ended 30 June 2011.</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Operating profit was HK$3.4 billion for the six months ended 30 June 2012 compared to HK$2.5 billion for the six months ended 30 June 2011.</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FFFFFF"/>
        </w:rPr>
        <w:t>Net cash used in investing activities was HK$691.4 million in the six months ended 30 June 2012, compared to net cash used in investing activities of HK$393.0 million in the six months ended 30 June 2011.</w:t>
      </w:r>
    </w:p>
    <w:p>
      <w:pPr>
        <w:sectPr>
          <w:pgSz w:w="11900" w:h="16838" w:orient="portrait"/>
          <w:cols w:equalWidth="0" w:num="1">
            <w:col w:w="11280"/>
          </w:cols>
          <w:pgMar w:left="240" w:top="1440" w:right="37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Management22WynnMacau,DiscussionLimitedand Analysis</w:t>
      </w:r>
    </w:p>
    <w:p>
      <w:pPr>
        <w:spacing w:after="0" w:line="211" w:lineRule="auto"/>
        <w:rPr>
          <w:sz w:val="20"/>
          <w:szCs w:val="20"/>
          <w:color w:val="auto"/>
        </w:rPr>
      </w:pPr>
      <w:r>
        <w:rPr>
          <w:rFonts w:ascii="Arial" w:cs="Arial" w:eastAsia="Arial" w:hAnsi="Arial"/>
          <w:sz w:val="4"/>
          <w:szCs w:val="4"/>
          <w:color w:val="FFFFFF"/>
          <w:vertAlign w:val="superscript"/>
        </w:rPr>
        <w:t>Cotai</w:t>
      </w:r>
      <w:r>
        <w:rPr>
          <w:rFonts w:ascii="Arial" w:cs="Arial" w:eastAsia="Arial" w:hAnsi="Arial"/>
          <w:sz w:val="2"/>
          <w:szCs w:val="2"/>
          <w:color w:val="FFFFFF"/>
        </w:rPr>
        <w:t xml:space="preserve">apital expenditures were HK$323.1 million for the six months ended 30 June </w:t>
      </w:r>
      <w:r>
        <w:rPr>
          <w:rFonts w:ascii="Arial" w:cs="Arial" w:eastAsia="Arial" w:hAnsi="Arial"/>
          <w:sz w:val="4"/>
          <w:szCs w:val="4"/>
          <w:color w:val="FFFFFF"/>
          <w:vertAlign w:val="superscript"/>
        </w:rPr>
        <w:t>2012,</w:t>
      </w:r>
      <w:r>
        <w:rPr>
          <w:rFonts w:ascii="Arial" w:cs="Arial" w:eastAsia="Arial" w:hAnsi="Arial"/>
          <w:sz w:val="2"/>
          <w:szCs w:val="2"/>
          <w:color w:val="FFFFFF"/>
        </w:rPr>
        <w:t xml:space="preserve"> and related primarily to renovation projects to enhance and refine the Macau Operations and land improvement costs for</w:t>
      </w:r>
    </w:p>
    <w:p>
      <w:pPr>
        <w:ind w:right="20" w:firstLine="293"/>
        <w:spacing w:after="0" w:line="211" w:lineRule="auto"/>
        <w:rPr>
          <w:sz w:val="20"/>
          <w:szCs w:val="20"/>
          <w:color w:val="auto"/>
        </w:rPr>
      </w:pPr>
      <w:r>
        <w:rPr>
          <w:rFonts w:ascii="Arial" w:cs="Arial" w:eastAsia="Arial" w:hAnsi="Arial"/>
          <w:sz w:val="8"/>
          <w:szCs w:val="8"/>
          <w:color w:val="FFFFFF"/>
        </w:rPr>
        <w:t>. Capital expenditures for the six months ended 30 June 2011 were HK$141. million and related primarily to renovation projects to enhance and refine the Macau Operations. Also during the six months ended 30 June 2012, the Group made a HK$389.0 million payment to an unrelated third party in consideration of that party’s relinquishment of certain rights in and to any future development of the Cotai Land. Net cash used in financing activities was HK$1.8 billion during the six months ended 30 June 2012 compared to HK$890.4 million during the six months ended 30 June 2011.</w:t>
      </w:r>
    </w:p>
    <w:p>
      <w:pPr>
        <w:spacing w:after="0" w:line="213" w:lineRule="auto"/>
        <w:rPr>
          <w:sz w:val="20"/>
          <w:szCs w:val="20"/>
          <w:color w:val="auto"/>
        </w:rPr>
      </w:pPr>
      <w:r>
        <w:rPr>
          <w:rFonts w:ascii="Arial" w:cs="Arial" w:eastAsia="Arial" w:hAnsi="Arial"/>
          <w:sz w:val="2"/>
          <w:szCs w:val="2"/>
          <w:color w:val="FFFFFF"/>
        </w:rPr>
        <w:t>The difference between net cash flow used in the six months ended 30 June 2012 compared to the six months ended 30 June 2011 is primarily due to</w:t>
      </w:r>
      <w:r>
        <w:rPr>
          <w:rFonts w:ascii="Arial" w:cs="Arial" w:eastAsia="Arial" w:hAnsi="Arial"/>
          <w:sz w:val="4"/>
          <w:szCs w:val="4"/>
          <w:color w:val="FFFFFF"/>
          <w:vertAlign w:val="subscript"/>
        </w:rPr>
        <w:t>Macau</w:t>
      </w:r>
      <w:r>
        <w:rPr>
          <w:rFonts w:ascii="Arial" w:cs="Arial" w:eastAsia="Arial" w:hAnsi="Arial"/>
          <w:sz w:val="2"/>
          <w:szCs w:val="2"/>
          <w:color w:val="FFFFFF"/>
        </w:rPr>
        <w:t>HK$779.5 million repayment of the senior revolving credit</w:t>
      </w:r>
    </w:p>
    <w:p>
      <w:pPr>
        <w:ind w:right="40"/>
        <w:spacing w:after="0" w:line="187" w:lineRule="auto"/>
        <w:rPr>
          <w:sz w:val="20"/>
          <w:szCs w:val="20"/>
          <w:color w:val="auto"/>
        </w:rPr>
      </w:pPr>
      <w:r>
        <w:rPr>
          <w:rFonts w:ascii="Arial" w:cs="Arial" w:eastAsia="Arial" w:hAnsi="Arial"/>
          <w:sz w:val="9"/>
          <w:szCs w:val="9"/>
          <w:color w:val="FFFFFF"/>
        </w:rPr>
        <w:t>facility under the Wynn Macau Credit Facilities made in the six months ended 30 June 2011 compared to a HK$1.7 billion repayment of the Wynn Credit Facilities made in the six months ended 30 June 2012.</w:t>
      </w:r>
    </w:p>
    <w:p>
      <w:pPr>
        <w:spacing w:after="0" w:line="188" w:lineRule="auto"/>
        <w:rPr>
          <w:sz w:val="20"/>
          <w:szCs w:val="20"/>
          <w:color w:val="auto"/>
        </w:rPr>
      </w:pPr>
      <w:r>
        <w:rPr>
          <w:rFonts w:ascii="Arial" w:cs="Arial" w:eastAsia="Arial" w:hAnsi="Arial"/>
          <w:sz w:val="9"/>
          <w:szCs w:val="9"/>
          <w:color w:val="FFFFFF"/>
        </w:rPr>
        <w:t>Indebtedness</w:t>
      </w:r>
    </w:p>
    <w:p>
      <w:pPr>
        <w:spacing w:after="0"/>
        <w:rPr>
          <w:sz w:val="20"/>
          <w:szCs w:val="20"/>
          <w:color w:val="auto"/>
        </w:rPr>
      </w:pPr>
      <w:r>
        <w:rPr>
          <w:rFonts w:ascii="Arial" w:cs="Arial" w:eastAsia="Arial" w:hAnsi="Arial"/>
          <w:sz w:val="3"/>
          <w:szCs w:val="3"/>
          <w:color w:val="FFFFFF"/>
        </w:rPr>
        <w:t>IndebtednessThefollowinginformationtablepresents a summary of our indebtedness as at 30 June 2012 and 31 December 2011.</w:t>
      </w:r>
    </w:p>
    <w:p>
      <w:pPr>
        <w:spacing w:after="0" w:line="194" w:lineRule="auto"/>
        <w:rPr>
          <w:sz w:val="20"/>
          <w:szCs w:val="20"/>
          <w:color w:val="auto"/>
        </w:rPr>
      </w:pPr>
      <w:r>
        <w:rPr>
          <w:rFonts w:ascii="Arial" w:cs="Arial" w:eastAsia="Arial" w:hAnsi="Arial"/>
          <w:sz w:val="5"/>
          <w:szCs w:val="5"/>
          <w:color w:val="FFFFFF"/>
        </w:rPr>
        <w:t>As at</w:t>
      </w:r>
    </w:p>
    <w:p>
      <w:pPr>
        <w:spacing w:after="0" w:line="211" w:lineRule="auto"/>
        <w:rPr>
          <w:sz w:val="20"/>
          <w:szCs w:val="20"/>
          <w:color w:val="auto"/>
        </w:rPr>
      </w:pPr>
      <w:r>
        <w:rPr>
          <w:rFonts w:ascii="Arial" w:cs="Arial" w:eastAsia="Arial" w:hAnsi="Arial"/>
          <w:sz w:val="2"/>
          <w:szCs w:val="2"/>
          <w:color w:val="FFFFFF"/>
        </w:rPr>
        <w:t>30</w:t>
      </w:r>
      <w:r>
        <w:rPr>
          <w:rFonts w:ascii="Arial" w:cs="Arial" w:eastAsia="Arial" w:hAnsi="Arial"/>
          <w:sz w:val="4"/>
          <w:szCs w:val="4"/>
          <w:color w:val="FFFFFF"/>
          <w:vertAlign w:val="superscript"/>
        </w:rPr>
        <w:t>2012</w:t>
      </w:r>
      <w:r>
        <w:rPr>
          <w:rFonts w:ascii="Arial" w:cs="Arial" w:eastAsia="Arial" w:hAnsi="Arial"/>
          <w:sz w:val="2"/>
          <w:szCs w:val="2"/>
          <w:color w:val="FFFFFF"/>
        </w:rPr>
        <w:t xml:space="preserve">June </w:t>
      </w:r>
      <w:r>
        <w:rPr>
          <w:rFonts w:ascii="Arial" w:cs="Arial" w:eastAsia="Arial" w:hAnsi="Arial"/>
          <w:sz w:val="4"/>
          <w:szCs w:val="4"/>
          <w:color w:val="FFFFFF"/>
          <w:vertAlign w:val="superscript"/>
        </w:rPr>
        <w:t>31</w:t>
      </w:r>
      <w:r>
        <w:rPr>
          <w:rFonts w:ascii="Arial" w:cs="Arial" w:eastAsia="Arial" w:hAnsi="Arial"/>
          <w:sz w:val="2"/>
          <w:szCs w:val="2"/>
          <w:color w:val="FFFFFF"/>
        </w:rPr>
        <w:t xml:space="preserve"> December</w:t>
      </w:r>
    </w:p>
    <w:p>
      <w:pPr>
        <w:ind w:left="320"/>
        <w:spacing w:after="0" w:line="188" w:lineRule="auto"/>
        <w:rPr>
          <w:sz w:val="20"/>
          <w:szCs w:val="20"/>
          <w:color w:val="auto"/>
        </w:rPr>
      </w:pPr>
      <w:r>
        <w:rPr>
          <w:rFonts w:ascii="Arial" w:cs="Arial" w:eastAsia="Arial" w:hAnsi="Arial"/>
          <w:sz w:val="9"/>
          <w:szCs w:val="9"/>
          <w:color w:val="FFFFFF"/>
        </w:rPr>
        <w:t>201</w:t>
      </w:r>
    </w:p>
    <w:p>
      <w:pPr>
        <w:spacing w:after="0"/>
        <w:rPr>
          <w:sz w:val="20"/>
          <w:szCs w:val="20"/>
          <w:color w:val="auto"/>
        </w:rPr>
      </w:pPr>
      <w:r>
        <w:rPr>
          <w:rFonts w:ascii="Arial" w:cs="Arial" w:eastAsia="Arial" w:hAnsi="Arial"/>
          <w:sz w:val="3"/>
          <w:szCs w:val="3"/>
          <w:color w:val="FFFFFF"/>
        </w:rPr>
        <w:t>(inHKthousands)$HK$</w:t>
      </w:r>
    </w:p>
    <w:p>
      <w:pPr>
        <w:spacing w:after="0" w:line="194" w:lineRule="auto"/>
        <w:rPr>
          <w:sz w:val="20"/>
          <w:szCs w:val="20"/>
          <w:color w:val="auto"/>
        </w:rPr>
      </w:pPr>
      <w:r>
        <w:rPr>
          <w:rFonts w:ascii="Arial" w:cs="Arial" w:eastAsia="Arial" w:hAnsi="Arial"/>
          <w:sz w:val="5"/>
          <w:szCs w:val="5"/>
          <w:color w:val="FFFFFF"/>
          <w:vertAlign w:val="superscript"/>
        </w:rPr>
        <w:t>Senior</w:t>
      </w:r>
    </w:p>
    <w:p>
      <w:pPr>
        <w:ind w:left="400"/>
        <w:spacing w:after="0"/>
        <w:rPr>
          <w:sz w:val="20"/>
          <w:szCs w:val="20"/>
          <w:color w:val="auto"/>
        </w:rPr>
      </w:pPr>
      <w:r>
        <w:rPr>
          <w:rFonts w:ascii="Arial" w:cs="Arial" w:eastAsia="Arial" w:hAnsi="Arial"/>
          <w:sz w:val="3"/>
          <w:szCs w:val="3"/>
          <w:color w:val="FFFFFF"/>
        </w:rPr>
        <w:t>termrevolvingloan facilitycreditfacility3,130,546—1,168,8443,708,975</w:t>
      </w:r>
    </w:p>
    <w:p>
      <w:pPr>
        <w:spacing w:after="0" w:line="181" w:lineRule="auto"/>
        <w:rPr>
          <w:sz w:val="20"/>
          <w:szCs w:val="20"/>
          <w:color w:val="auto"/>
        </w:rPr>
      </w:pPr>
      <w:r>
        <w:rPr>
          <w:rFonts w:ascii="Arial" w:cs="Arial" w:eastAsia="Arial" w:hAnsi="Arial"/>
          <w:sz w:val="10"/>
          <w:szCs w:val="10"/>
          <w:color w:val="FFFFFF"/>
        </w:rPr>
        <w:t>Less: debt financing costs, net (52,890) (74,353)</w:t>
      </w:r>
    </w:p>
    <w:p>
      <w:pPr>
        <w:spacing w:after="0"/>
        <w:rPr>
          <w:sz w:val="20"/>
          <w:szCs w:val="20"/>
          <w:color w:val="auto"/>
        </w:rPr>
      </w:pPr>
      <w:r>
        <w:rPr>
          <w:rFonts w:ascii="Arial" w:cs="Arial" w:eastAsia="Arial" w:hAnsi="Arial"/>
          <w:sz w:val="14"/>
          <w:szCs w:val="14"/>
          <w:color w:val="FFFFFF"/>
        </w:rPr>
        <w:t>4,803,466Total</w:t>
      </w:r>
      <w:r>
        <w:rPr>
          <w:rFonts w:ascii="Arial" w:cs="Arial" w:eastAsia="Arial" w:hAnsi="Arial"/>
          <w:sz w:val="27"/>
          <w:szCs w:val="27"/>
          <w:color w:val="FFFFFF"/>
          <w:vertAlign w:val="superscript"/>
        </w:rPr>
        <w:t>077</w:t>
      </w:r>
      <w:r>
        <w:rPr>
          <w:rFonts w:ascii="Arial" w:cs="Arial" w:eastAsia="Arial" w:hAnsi="Arial"/>
          <w:sz w:val="14"/>
          <w:szCs w:val="14"/>
          <w:color w:val="FFFFFF"/>
        </w:rPr>
        <w:t>interest</w:t>
      </w:r>
      <w:r>
        <w:rPr>
          <w:rFonts w:ascii="Arial" w:cs="Arial" w:eastAsia="Arial" w:hAnsi="Arial"/>
          <w:sz w:val="27"/>
          <w:szCs w:val="27"/>
          <w:color w:val="FFFFFF"/>
          <w:vertAlign w:val="superscript"/>
        </w:rPr>
        <w:t>656</w:t>
      </w:r>
      <w:r>
        <w:rPr>
          <w:rFonts w:ascii="Arial" w:cs="Arial" w:eastAsia="Arial" w:hAnsi="Arial"/>
          <w:sz w:val="14"/>
          <w:szCs w:val="14"/>
          <w:color w:val="FFFFFF"/>
        </w:rPr>
        <w:t>-bearing bank loans, net</w:t>
      </w:r>
    </w:p>
    <w:p>
      <w:pPr>
        <w:sectPr>
          <w:pgSz w:w="11900" w:h="16838" w:orient="portrait"/>
          <w:cols w:equalWidth="0" w:num="1">
            <w:col w:w="11360"/>
          </w:cols>
          <w:pgMar w:left="240" w:top="1440" w:right="2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20" w:type="dxa"/>
            <w:vAlign w:val="bottom"/>
          </w:tcPr>
          <w:p>
            <w:pPr>
              <w:spacing w:after="0"/>
              <w:rPr>
                <w:sz w:val="20"/>
                <w:szCs w:val="20"/>
                <w:color w:val="auto"/>
              </w:rPr>
            </w:pPr>
            <w:r>
              <w:rPr>
                <w:rFonts w:ascii="Arial" w:cs="Arial" w:eastAsia="Arial" w:hAnsi="Arial"/>
                <w:sz w:val="14"/>
                <w:szCs w:val="14"/>
                <w:color w:val="FFFFFF"/>
              </w:rPr>
              <w:t>Interim Report 2012 23</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02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20" w:type="dxa"/>
            <w:vAlign w:val="bottom"/>
          </w:tcPr>
          <w:p>
            <w:pPr>
              <w:spacing w:after="0"/>
              <w:rPr>
                <w:sz w:val="20"/>
                <w:szCs w:val="20"/>
                <w:color w:val="auto"/>
              </w:rPr>
            </w:pPr>
            <w:r>
              <w:rPr>
                <w:rFonts w:ascii="Arial" w:cs="Arial" w:eastAsia="Arial" w:hAnsi="Arial"/>
                <w:sz w:val="3"/>
                <w:szCs w:val="3"/>
                <w:color w:val="FFFFFF"/>
              </w:rPr>
              <w:t>Wynn Macau Credit Facilities</w:t>
            </w: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20" w:type="dxa"/>
            <w:vAlign w:val="bottom"/>
          </w:tcPr>
          <w:p>
            <w:pPr>
              <w:spacing w:after="0"/>
              <w:rPr>
                <w:sz w:val="20"/>
                <w:szCs w:val="20"/>
                <w:color w:val="auto"/>
              </w:rPr>
            </w:pPr>
            <w:r>
              <w:rPr>
                <w:rFonts w:ascii="Arial" w:cs="Arial" w:eastAsia="Arial" w:hAnsi="Arial"/>
                <w:sz w:val="3"/>
                <w:szCs w:val="3"/>
                <w:color w:val="FFFFFF"/>
              </w:rPr>
              <w:t>Overview</w:t>
            </w:r>
          </w:p>
        </w:tc>
        <w:tc>
          <w:tcPr>
            <w:tcW w:w="380" w:type="dxa"/>
            <w:vAlign w:val="bottom"/>
            <w:vMerge w:val="restart"/>
          </w:tcPr>
          <w:p>
            <w:pPr>
              <w:ind w:left="260"/>
              <w:spacing w:after="0"/>
              <w:rPr>
                <w:sz w:val="20"/>
                <w:szCs w:val="20"/>
                <w:color w:val="auto"/>
              </w:rPr>
            </w:pPr>
            <w:r>
              <w:rPr>
                <w:rFonts w:ascii="Arial" w:cs="Arial" w:eastAsia="Arial" w:hAnsi="Arial"/>
                <w:sz w:val="3"/>
                <w:szCs w:val="3"/>
                <w:color w:val="FFFFFF"/>
              </w:rPr>
              <w:t>of</w:t>
            </w:r>
          </w:p>
        </w:tc>
        <w:tc>
          <w:tcPr>
            <w:tcW w:w="0" w:type="dxa"/>
            <w:vAlign w:val="bottom"/>
          </w:tcPr>
          <w:p>
            <w:pPr>
              <w:spacing w:after="0"/>
              <w:rPr>
                <w:sz w:val="1"/>
                <w:szCs w:val="1"/>
                <w:color w:val="auto"/>
              </w:rPr>
            </w:pPr>
          </w:p>
        </w:tc>
      </w:tr>
      <w:tr>
        <w:trPr>
          <w:trHeight w:val="0"/>
        </w:trPr>
        <w:tc>
          <w:tcPr>
            <w:tcW w:w="11020" w:type="dxa"/>
            <w:vAlign w:val="bottom"/>
          </w:tcPr>
          <w:p>
            <w:pPr>
              <w:spacing w:after="0" w:line="80" w:lineRule="exact"/>
              <w:rPr>
                <w:sz w:val="20"/>
                <w:szCs w:val="20"/>
                <w:color w:val="auto"/>
              </w:rPr>
            </w:pPr>
            <w:r>
              <w:rPr>
                <w:rFonts w:ascii="Arial" w:cs="Arial" w:eastAsia="Arial" w:hAnsi="Arial"/>
                <w:sz w:val="9"/>
                <w:szCs w:val="9"/>
                <w:color w:val="FFFFFF"/>
              </w:rPr>
              <w:t>As at 30 June 2012, WRM’s credit facility consisted of a HK$4.3 billion fully funded senior term loan in  combination of Hong Kong dollar and U.S. dollar. The facility was permitted to be used for</w:t>
            </w:r>
          </w:p>
        </w:tc>
        <w:tc>
          <w:tcPr>
            <w:tcW w:w="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purposes, including further enhancements at our resort, investments</w:t>
      </w:r>
      <w:r>
        <w:rPr>
          <w:rFonts w:ascii="Arial" w:cs="Arial" w:eastAsia="Arial" w:hAnsi="Arial"/>
          <w:sz w:val="1"/>
          <w:szCs w:val="1"/>
          <w:color w:val="FFFFFF"/>
          <w:vertAlign w:val="subscript"/>
        </w:rPr>
        <w:t>outstanding</w:t>
      </w:r>
      <w:r>
        <w:rPr>
          <w:rFonts w:ascii="Arial" w:cs="Arial" w:eastAsia="Arial" w:hAnsi="Arial"/>
          <w:sz w:val="1"/>
          <w:szCs w:val="1"/>
          <w:color w:val="FFFFFF"/>
        </w:rPr>
        <w:t>other projects in Macau and general corporate purposes. On 27 June 2012, WRM’s HK$7.7 billion senior revolving credit facility varietyin</w:t>
      </w:r>
    </w:p>
    <w:p>
      <w:pPr>
        <w:spacing w:after="0"/>
        <w:tabs>
          <w:tab w:leader="none" w:pos="4000" w:val="left"/>
        </w:tabs>
        <w:rPr>
          <w:sz w:val="20"/>
          <w:szCs w:val="20"/>
          <w:color w:val="auto"/>
        </w:rPr>
      </w:pPr>
      <w:r>
        <w:rPr>
          <w:rFonts w:ascii="Arial" w:cs="Arial" w:eastAsia="Arial" w:hAnsi="Arial"/>
          <w:sz w:val="4"/>
          <w:szCs w:val="4"/>
          <w:color w:val="FFFFFF"/>
          <w:vertAlign w:val="subscript"/>
        </w:rPr>
        <w:t>combination</w:t>
      </w:r>
      <w:r>
        <w:rPr>
          <w:rFonts w:ascii="Arial" w:cs="Arial" w:eastAsia="Arial" w:hAnsi="Arial"/>
          <w:sz w:val="2"/>
          <w:szCs w:val="2"/>
          <w:color w:val="FFFFFF"/>
        </w:rPr>
        <w:t xml:space="preserve"> of Hong Kong and U.S. dollars matured with no</w:t>
      </w:r>
      <w:r>
        <w:rPr>
          <w:sz w:val="20"/>
          <w:szCs w:val="20"/>
          <w:color w:val="auto"/>
        </w:rPr>
        <w:tab/>
      </w:r>
      <w:r>
        <w:rPr>
          <w:rFonts w:ascii="Arial" w:cs="Arial" w:eastAsia="Arial" w:hAnsi="Arial"/>
          <w:sz w:val="3"/>
          <w:szCs w:val="3"/>
          <w:color w:val="FFFFFF"/>
        </w:rPr>
        <w:t>balance (see “Recent Developments” section below for details of the Amended Wynn Macau Credit Facilities).</w:t>
      </w:r>
    </w:p>
    <w:p>
      <w:pPr>
        <w:spacing w:after="0" w:line="211" w:lineRule="auto"/>
        <w:tabs>
          <w:tab w:leader="none" w:pos="300" w:val="left"/>
        </w:tabs>
        <w:rPr>
          <w:sz w:val="20"/>
          <w:szCs w:val="20"/>
          <w:color w:val="auto"/>
        </w:rPr>
      </w:pPr>
      <w:r>
        <w:rPr>
          <w:rFonts w:ascii="Arial" w:cs="Arial" w:eastAsia="Arial" w:hAnsi="Arial"/>
          <w:sz w:val="2"/>
          <w:szCs w:val="2"/>
          <w:color w:val="FFFFFF"/>
        </w:rPr>
        <w:t>As</w:t>
      </w:r>
      <w:r>
        <w:rPr>
          <w:sz w:val="20"/>
          <w:szCs w:val="20"/>
          <w:color w:val="auto"/>
        </w:rPr>
        <w:tab/>
      </w:r>
      <w:r>
        <w:rPr>
          <w:rFonts w:ascii="Arial" w:cs="Arial" w:eastAsia="Arial" w:hAnsi="Arial"/>
          <w:sz w:val="2"/>
          <w:szCs w:val="2"/>
          <w:color w:val="FFFFFF"/>
        </w:rPr>
        <w:t>30 June</w:t>
      </w:r>
      <w:r>
        <w:rPr>
          <w:rFonts w:ascii="Arial" w:cs="Arial" w:eastAsia="Arial" w:hAnsi="Arial"/>
          <w:sz w:val="4"/>
          <w:szCs w:val="4"/>
          <w:color w:val="FFFFFF"/>
          <w:vertAlign w:val="subscript"/>
        </w:rPr>
        <w:t>denominated</w:t>
      </w:r>
      <w:r>
        <w:rPr>
          <w:rFonts w:ascii="Arial" w:cs="Arial" w:eastAsia="Arial" w:hAnsi="Arial"/>
          <w:sz w:val="2"/>
          <w:szCs w:val="2"/>
          <w:color w:val="FFFFFF"/>
        </w:rPr>
        <w:t>2012,wehad total bank and other borrowings under the previously in place Wynn Macau Credit Facilities of HK$3.1 billion, of which HK$1.1 billion was denominated in U.S. dollars and HK$2.0</w:t>
      </w:r>
    </w:p>
    <w:p>
      <w:pPr>
        <w:spacing w:after="0"/>
        <w:tabs>
          <w:tab w:leader="none" w:pos="1340" w:val="left"/>
        </w:tabs>
        <w:rPr>
          <w:sz w:val="20"/>
          <w:szCs w:val="20"/>
          <w:color w:val="auto"/>
        </w:rPr>
      </w:pPr>
      <w:r>
        <w:rPr>
          <w:rFonts w:ascii="Arial" w:cs="Arial" w:eastAsia="Arial" w:hAnsi="Arial"/>
          <w:sz w:val="3"/>
          <w:szCs w:val="3"/>
          <w:color w:val="FFFFFF"/>
        </w:rPr>
        <w:t>billion was</w:t>
      </w:r>
      <w:r>
        <w:rPr>
          <w:sz w:val="20"/>
          <w:szCs w:val="20"/>
          <w:color w:val="auto"/>
        </w:rPr>
        <w:tab/>
      </w:r>
      <w:r>
        <w:rPr>
          <w:rFonts w:ascii="Arial" w:cs="Arial" w:eastAsia="Arial" w:hAnsi="Arial"/>
          <w:sz w:val="3"/>
          <w:szCs w:val="3"/>
          <w:color w:val="FFFFFF"/>
        </w:rPr>
        <w:t>in Hong Kong dollars.</w:t>
      </w:r>
    </w:p>
    <w:p>
      <w:pPr>
        <w:spacing w:after="0" w:line="6" w:lineRule="exact"/>
        <w:rPr>
          <w:sz w:val="20"/>
          <w:szCs w:val="20"/>
          <w:color w:val="auto"/>
        </w:rPr>
      </w:pPr>
    </w:p>
    <w:p>
      <w:pPr>
        <w:ind w:right="300"/>
        <w:spacing w:after="0" w:line="187" w:lineRule="auto"/>
        <w:rPr>
          <w:sz w:val="20"/>
          <w:szCs w:val="20"/>
          <w:color w:val="auto"/>
        </w:rPr>
      </w:pPr>
      <w:r>
        <w:rPr>
          <w:rFonts w:ascii="Arial" w:cs="Arial" w:eastAsia="Arial" w:hAnsi="Arial"/>
          <w:sz w:val="7"/>
          <w:szCs w:val="7"/>
          <w:color w:val="FFFFFF"/>
        </w:rPr>
        <w:t xml:space="preserve">The term loans under the previously in place Wynn Macau Credit Facilities were due to mature in June 2014, but were refinanced as part of the Amended Wynn Macau Credit Facilities. The revolving loans </w:t>
      </w:r>
      <w:r>
        <w:rPr>
          <w:rFonts w:ascii="Arial" w:cs="Arial" w:eastAsia="Arial" w:hAnsi="Arial"/>
          <w:sz w:val="9"/>
          <w:szCs w:val="9"/>
          <w:color w:val="FFFFFF"/>
          <w:vertAlign w:val="subscript"/>
        </w:rPr>
        <w:t>Security</w:t>
      </w:r>
      <w:r>
        <w:rPr>
          <w:rFonts w:ascii="Arial" w:cs="Arial" w:eastAsia="Arial" w:hAnsi="Arial"/>
          <w:sz w:val="7"/>
          <w:szCs w:val="7"/>
          <w:color w:val="FFFFFF"/>
        </w:rPr>
        <w:t>underthe Wynn Macau Credit Facilities matured in June 2012.</w:t>
      </w:r>
    </w:p>
    <w:p>
      <w:pPr>
        <w:ind w:left="500"/>
        <w:spacing w:after="0"/>
        <w:rPr>
          <w:sz w:val="20"/>
          <w:szCs w:val="20"/>
          <w:color w:val="auto"/>
        </w:rPr>
      </w:pPr>
      <w:r>
        <w:rPr>
          <w:rFonts w:ascii="Arial" w:cs="Arial" w:eastAsia="Arial" w:hAnsi="Arial"/>
          <w:sz w:val="3"/>
          <w:szCs w:val="3"/>
          <w:color w:val="FFFFFF"/>
        </w:rPr>
        <w:t>and Guarantees</w:t>
      </w:r>
    </w:p>
    <w:p>
      <w:pPr>
        <w:spacing w:after="0" w:line="6" w:lineRule="exact"/>
        <w:rPr>
          <w:sz w:val="20"/>
          <w:szCs w:val="20"/>
          <w:color w:val="auto"/>
        </w:rPr>
      </w:pPr>
    </w:p>
    <w:p>
      <w:pPr>
        <w:ind w:right="100"/>
        <w:spacing w:after="0" w:line="181" w:lineRule="auto"/>
        <w:rPr>
          <w:sz w:val="20"/>
          <w:szCs w:val="20"/>
          <w:color w:val="auto"/>
        </w:rPr>
      </w:pPr>
      <w:r>
        <w:rPr>
          <w:rFonts w:ascii="Arial" w:cs="Arial" w:eastAsia="Arial" w:hAnsi="Arial"/>
          <w:sz w:val="7"/>
          <w:szCs w:val="7"/>
          <w:color w:val="FFFFFF"/>
        </w:rPr>
        <w:t>Collateral for the previously in place Wynn Macau Credit Facilities consisted of substantially all of the assets of WRM. Certain of our direct and indirect subsidiaries have executed guarantees and pledged their interests in WRM in support of the obligations under the Wynn Macau Credit Facilities. With respect to the Concession Agreement, the WRM lenders had certain cure rights and consultation rights with the Macau government upon an enforcement by the lenders.</w:t>
      </w:r>
    </w:p>
    <w:p>
      <w:pPr>
        <w:spacing w:after="0"/>
        <w:rPr>
          <w:sz w:val="20"/>
          <w:szCs w:val="20"/>
          <w:color w:val="auto"/>
        </w:rPr>
      </w:pPr>
      <w:r>
        <w:rPr>
          <w:rFonts w:ascii="Arial" w:cs="Arial" w:eastAsia="Arial" w:hAnsi="Arial"/>
          <w:sz w:val="3"/>
          <w:szCs w:val="3"/>
          <w:color w:val="FFFFFF"/>
        </w:rPr>
        <w:t>Second Ranking Lender</w:t>
      </w:r>
    </w:p>
    <w:p>
      <w:pPr>
        <w:spacing w:after="0" w:line="194" w:lineRule="auto"/>
        <w:rPr>
          <w:sz w:val="20"/>
          <w:szCs w:val="20"/>
          <w:color w:val="auto"/>
        </w:rPr>
      </w:pPr>
      <w:r>
        <w:rPr>
          <w:rFonts w:ascii="Arial" w:cs="Arial" w:eastAsia="Arial" w:hAnsi="Arial"/>
          <w:sz w:val="3"/>
          <w:szCs w:val="3"/>
          <w:color w:val="FFFFFF"/>
        </w:rPr>
        <w:t xml:space="preserve">WRM is also party </w:t>
      </w:r>
      <w:r>
        <w:rPr>
          <w:rFonts w:ascii="Arial" w:cs="Arial" w:eastAsia="Arial" w:hAnsi="Arial"/>
          <w:sz w:val="5"/>
          <w:szCs w:val="5"/>
          <w:color w:val="FFFFFF"/>
          <w:vertAlign w:val="subscript"/>
        </w:rPr>
        <w:t>guarantee</w:t>
      </w:r>
      <w:r>
        <w:rPr>
          <w:rFonts w:ascii="Arial" w:cs="Arial" w:eastAsia="Arial" w:hAnsi="Arial"/>
          <w:sz w:val="3"/>
          <w:szCs w:val="3"/>
          <w:color w:val="FFFFFF"/>
        </w:rPr>
        <w:t>tobank guarantee reimbursement agreement with Banco National Ultramarino S.A. to secure a guarantee in favor of the Macau government as required under the Concession Agreement.</w:t>
      </w:r>
    </w:p>
    <w:p>
      <w:pPr>
        <w:spacing w:after="0" w:line="211" w:lineRule="auto"/>
        <w:tabs>
          <w:tab w:leader="none" w:pos="1600" w:val="left"/>
        </w:tabs>
        <w:rPr>
          <w:sz w:val="20"/>
          <w:szCs w:val="20"/>
          <w:color w:val="auto"/>
        </w:rPr>
      </w:pPr>
      <w:r>
        <w:rPr>
          <w:rFonts w:ascii="Arial" w:cs="Arial" w:eastAsia="Arial" w:hAnsi="Arial"/>
          <w:sz w:val="3"/>
          <w:szCs w:val="3"/>
          <w:color w:val="FFFFFF"/>
        </w:rPr>
        <w:t>The amount of this</w:t>
      </w:r>
      <w:r>
        <w:rPr>
          <w:sz w:val="20"/>
          <w:szCs w:val="20"/>
          <w:color w:val="auto"/>
        </w:rPr>
        <w:tab/>
      </w:r>
      <w:r>
        <w:rPr>
          <w:rFonts w:ascii="Arial" w:cs="Arial" w:eastAsia="Arial" w:hAnsi="Arial"/>
          <w:sz w:val="2"/>
          <w:szCs w:val="2"/>
          <w:color w:val="FFFFFF"/>
        </w:rPr>
        <w:t>is MOP300 million (approximately HK$291.3 million) and</w:t>
      </w:r>
      <w:r>
        <w:rPr>
          <w:rFonts w:ascii="Arial" w:cs="Arial" w:eastAsia="Arial" w:hAnsi="Arial"/>
          <w:sz w:val="4"/>
          <w:szCs w:val="4"/>
          <w:color w:val="FFFFFF"/>
          <w:vertAlign w:val="subscript"/>
        </w:rPr>
        <w:t>indemnities</w:t>
      </w:r>
      <w:r>
        <w:rPr>
          <w:rFonts w:ascii="Arial" w:cs="Arial" w:eastAsia="Arial" w:hAnsi="Arial"/>
          <w:sz w:val="2"/>
          <w:szCs w:val="2"/>
          <w:color w:val="FFFFFF"/>
        </w:rPr>
        <w:t>lastsuntil 180 days after the end of the term of the Concession Agreement. The guarantee assures WRM’s performance</w:t>
      </w:r>
    </w:p>
    <w:p>
      <w:pPr>
        <w:ind w:right="340"/>
        <w:spacing w:after="0"/>
        <w:rPr>
          <w:sz w:val="20"/>
          <w:szCs w:val="20"/>
          <w:color w:val="auto"/>
        </w:rPr>
      </w:pPr>
      <w:r>
        <w:rPr>
          <w:rFonts w:ascii="Arial" w:cs="Arial" w:eastAsia="Arial" w:hAnsi="Arial"/>
          <w:sz w:val="7"/>
          <w:szCs w:val="7"/>
          <w:color w:val="FFFFFF"/>
        </w:rPr>
        <w:t>under the Concession Agreement, including the payment of certain premiums, fines and for breach. The guarantee is secured by a second priority security interest in the same collateral package securing the Wynn Macau Credit Facilities. This bank guarantee reimbursement agreement remains in place with the Amended Wynn Macau Credit Facilities.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Other Terms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The previously in place Wynn Macau Credit Facilities contained covenants, terms, restrictions and events of default customary for casino development financings in Macau.</w:t>
      </w:r>
    </w:p>
    <w:p>
      <w:pPr>
        <w:sectPr>
          <w:pgSz w:w="11900" w:h="16838" w:orient="portrait"/>
          <w:cols w:equalWidth="0" w:num="1">
            <w:col w:w="11420"/>
          </w:cols>
          <w:pgMar w:left="240" w:top="1440" w:right="2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9320"/>
        <w:spacing w:after="0" w:line="199" w:lineRule="auto"/>
        <w:rPr>
          <w:sz w:val="20"/>
          <w:szCs w:val="20"/>
          <w:color w:val="auto"/>
        </w:rPr>
      </w:pPr>
      <w:r>
        <w:rPr>
          <w:rFonts w:ascii="Arial" w:cs="Arial" w:eastAsia="Arial" w:hAnsi="Arial"/>
          <w:sz w:val="7"/>
          <w:szCs w:val="7"/>
          <w:color w:val="FFFFFF"/>
        </w:rPr>
        <w:t>Management24WynndevelopmentsMacau,DiscusLimitedionand Analysis Recent</w:t>
      </w:r>
    </w:p>
    <w:p>
      <w:pPr>
        <w:spacing w:after="0" w:line="181" w:lineRule="auto"/>
        <w:rPr>
          <w:sz w:val="20"/>
          <w:szCs w:val="20"/>
          <w:color w:val="auto"/>
        </w:rPr>
      </w:pPr>
      <w:r>
        <w:rPr>
          <w:rFonts w:ascii="Arial" w:cs="Arial" w:eastAsia="Arial" w:hAnsi="Arial"/>
          <w:sz w:val="7"/>
          <w:szCs w:val="7"/>
          <w:color w:val="FFFFFF"/>
        </w:rPr>
        <w:t>WynnOn31 MacauJuly2012,CreditWRMFacilitiesenteredandintorelatedtheAmendedagreementsWynntookMacaueffect Crediton31 JulyFacilities2012 andand appointedexpandavailabilityBankofChinaunderLimited,WRM’s Macausenior bankBranchfacilityasfacilitiestoUS$2.3agent,billionintercreditorequivalentagent(approximatelyandsecurityHKagent.$17.9Thebillion),Amended consisting of anUS$750 million equivalent (approximately HK$5.8 billion) fully funded senior term loan facility and a US$1.55 billion equivalent (approximately HK$12.1 billion) senior revolving credit facility.</w:t>
      </w:r>
    </w:p>
    <w:p>
      <w:pPr>
        <w:ind w:right="240"/>
        <w:spacing w:after="0" w:line="181" w:lineRule="auto"/>
        <w:rPr>
          <w:sz w:val="20"/>
          <w:szCs w:val="20"/>
          <w:color w:val="auto"/>
        </w:rPr>
      </w:pPr>
      <w:r>
        <w:rPr>
          <w:rFonts w:ascii="Arial" w:cs="Arial" w:eastAsia="Arial" w:hAnsi="Arial"/>
          <w:sz w:val="7"/>
          <w:szCs w:val="7"/>
          <w:color w:val="FFFFFF"/>
        </w:rPr>
        <w:t>BorrowingsTherealsounderoptiontheAmendedtoupsize WynnthetotalMacauseniorCreditsecuredFacilities,facilitieswhichbyanconsistadditionalofbothUS$Hong200millionKongdollar(approximatelyandUnitedHKStates$1.6dollarbillion)tranches,underthewillAmendedbeused toWynnrefinanceMacauWRM’sCredit existingFacilities.indebtedness, to fund the design, development, construction and pre-opening expenses of Wynn Cotai and for general corporate purposes.</w:t>
      </w:r>
    </w:p>
    <w:p>
      <w:pPr>
        <w:spacing w:after="0"/>
        <w:tabs>
          <w:tab w:leader="none" w:pos="1800" w:val="left"/>
        </w:tabs>
        <w:rPr>
          <w:sz w:val="20"/>
          <w:szCs w:val="20"/>
          <w:color w:val="auto"/>
        </w:rPr>
      </w:pPr>
      <w:r>
        <w:rPr>
          <w:rFonts w:ascii="Arial" w:cs="Arial" w:eastAsia="Arial" w:hAnsi="Arial"/>
          <w:sz w:val="3"/>
          <w:szCs w:val="3"/>
          <w:color w:val="FFFFFF"/>
        </w:rPr>
        <w:t>The term loan facility matures</w:t>
      </w:r>
      <w:r>
        <w:rPr>
          <w:sz w:val="20"/>
          <w:szCs w:val="20"/>
          <w:color w:val="auto"/>
        </w:rPr>
        <w:tab/>
      </w:r>
      <w:r>
        <w:rPr>
          <w:rFonts w:ascii="Arial" w:cs="Arial" w:eastAsia="Arial" w:hAnsi="Arial"/>
          <w:sz w:val="3"/>
          <w:szCs w:val="3"/>
          <w:color w:val="FFFFFF"/>
        </w:rPr>
        <w:t>July 2018 with the principal amount of the term loan to be repaid in two equal installments in July 2017 and July 2018. The final maturity for the revolving credit facility is July</w:t>
      </w:r>
    </w:p>
    <w:p>
      <w:pPr>
        <w:spacing w:after="0" w:line="227" w:lineRule="auto"/>
        <w:rPr>
          <w:sz w:val="20"/>
          <w:szCs w:val="20"/>
          <w:color w:val="auto"/>
        </w:rPr>
      </w:pPr>
      <w:r>
        <w:rPr>
          <w:rFonts w:ascii="Arial" w:cs="Arial" w:eastAsia="Arial" w:hAnsi="Arial"/>
          <w:sz w:val="8"/>
          <w:szCs w:val="8"/>
          <w:color w:val="FFFFFF"/>
        </w:rPr>
        <w:t>2.50%017,byandwhichthereafterdate anywilloutstandingbesubjecttorevolvingLIBOR orloansHIBORmust plusberepaidmargin.Theofseniorbetweensecured1.75%facilitiesto2.50%willbasedbear oninterestWRM’sfor leveragethefirstsixratio.months after closing at LIBOR or HIBOR plus a margin of</w:t>
      </w:r>
    </w:p>
    <w:p>
      <w:pPr>
        <w:ind w:right="180"/>
        <w:spacing w:after="0" w:line="499" w:lineRule="auto"/>
        <w:rPr>
          <w:sz w:val="20"/>
          <w:szCs w:val="20"/>
          <w:color w:val="auto"/>
        </w:rPr>
      </w:pPr>
      <w:r>
        <w:rPr>
          <w:rFonts w:ascii="Arial" w:cs="Arial" w:eastAsia="Arial" w:hAnsi="Arial"/>
          <w:sz w:val="11"/>
          <w:szCs w:val="11"/>
          <w:color w:val="FFFFFF"/>
        </w:rPr>
        <w:t>BorrowingsCustmaryfeesunderandtheexpensesAmendedwereWynnpaidMacaubyWRMCreditinconnectionFacilitiesarewithguaranteedtheAmendedbyPaloWynnandMacaubycertainCreditsubsidiariesFacilities.of the Company that own equity interests in WRM, and are secured by substantially all of the assets of WRM, the equity interests in WRM and, subject to certain post-closing matters, substantially all of the assets of Palo.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FFFFFF"/>
        </w:rPr>
        <w:t>The Company is not a party to the credit facilities agreement and related agreements and has no rights or obligations thereunder.</w:t>
      </w:r>
    </w:p>
    <w:p>
      <w:pPr>
        <w:sectPr>
          <w:pgSz w:w="11900" w:h="16838" w:orient="portrait"/>
          <w:cols w:equalWidth="0" w:num="1">
            <w:col w:w="11400"/>
          </w:cols>
          <w:pgMar w:left="240" w:top="1440" w:right="25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spacing w:after="0"/>
              <w:rPr>
                <w:sz w:val="20"/>
                <w:szCs w:val="20"/>
                <w:color w:val="auto"/>
              </w:rPr>
            </w:pPr>
            <w:r>
              <w:rPr>
                <w:rFonts w:ascii="Arial" w:cs="Arial" w:eastAsia="Arial" w:hAnsi="Arial"/>
                <w:sz w:val="14"/>
                <w:szCs w:val="14"/>
                <w:color w:val="FFFFFF"/>
              </w:rPr>
              <w:t>Interim Report 2012 25</w:t>
            </w:r>
          </w:p>
        </w:tc>
        <w:tc>
          <w:tcPr>
            <w:tcW w:w="10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Management Discussion and</w:t>
            </w:r>
          </w:p>
        </w:tc>
        <w:tc>
          <w:tcPr>
            <w:tcW w:w="10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80" w:type="dxa"/>
            <w:vAlign w:val="bottom"/>
            <w:gridSpan w:val="4"/>
          </w:tcPr>
          <w:p>
            <w:pPr>
              <w:spacing w:after="0"/>
              <w:rPr>
                <w:sz w:val="20"/>
                <w:szCs w:val="20"/>
                <w:color w:val="auto"/>
              </w:rPr>
            </w:pPr>
            <w:r>
              <w:rPr>
                <w:rFonts w:ascii="Arial" w:cs="Arial" w:eastAsia="Arial" w:hAnsi="Arial"/>
                <w:sz w:val="3"/>
                <w:szCs w:val="3"/>
                <w:color w:val="FFFFFF"/>
              </w:rPr>
              <w:t>QUANTITATIVE AND QUALITAnalysisTIVE DISCLOSURE ABOUT MARKET RISK</w:t>
            </w:r>
          </w:p>
        </w:tc>
        <w:tc>
          <w:tcPr>
            <w:tcW w:w="2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660" w:type="dxa"/>
            <w:vAlign w:val="bottom"/>
            <w:gridSpan w:val="5"/>
          </w:tcPr>
          <w:p>
            <w:pPr>
              <w:spacing w:after="0"/>
              <w:rPr>
                <w:sz w:val="20"/>
                <w:szCs w:val="20"/>
                <w:color w:val="auto"/>
              </w:rPr>
            </w:pPr>
            <w:r>
              <w:rPr>
                <w:rFonts w:ascii="Arial" w:cs="Arial" w:eastAsia="Arial" w:hAnsi="Arial"/>
                <w:sz w:val="3"/>
                <w:szCs w:val="3"/>
                <w:color w:val="FFFFFF"/>
              </w:rPr>
              <w:t>Market risk is the risk of loss arising from adverse changes in market rates and conditions, such as inflation, interest rates, and foreign currency exchange rates.</w:t>
            </w:r>
          </w:p>
        </w:tc>
        <w:tc>
          <w:tcPr>
            <w:tcW w:w="3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Foreign Exchange Risks</w:t>
            </w:r>
          </w:p>
        </w:tc>
        <w:tc>
          <w:tcPr>
            <w:tcW w:w="10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60" w:type="dxa"/>
            <w:vAlign w:val="bottom"/>
            <w:vMerge w:val="restart"/>
          </w:tcPr>
          <w:p>
            <w:pPr>
              <w:ind w:left="520"/>
              <w:spacing w:after="0" w:line="81" w:lineRule="exact"/>
              <w:rPr>
                <w:sz w:val="20"/>
                <w:szCs w:val="20"/>
                <w:color w:val="auto"/>
              </w:rPr>
            </w:pPr>
            <w:r>
              <w:rPr>
                <w:rFonts w:ascii="Arial" w:cs="Arial" w:eastAsia="Arial" w:hAnsi="Arial"/>
                <w:sz w:val="9"/>
                <w:szCs w:val="9"/>
                <w:color w:val="FFFFFF"/>
              </w:rPr>
              <w:t>information.</w:t>
            </w:r>
          </w:p>
        </w:tc>
        <w:tc>
          <w:tcPr>
            <w:tcW w:w="0" w:type="dxa"/>
            <w:vAlign w:val="bottom"/>
          </w:tcPr>
          <w:p>
            <w:pPr>
              <w:spacing w:after="0"/>
              <w:rPr>
                <w:sz w:val="1"/>
                <w:szCs w:val="1"/>
                <w:color w:val="auto"/>
              </w:rPr>
            </w:pPr>
          </w:p>
        </w:tc>
      </w:tr>
      <w:tr>
        <w:trPr>
          <w:trHeight w:val="41"/>
        </w:trPr>
        <w:tc>
          <w:tcPr>
            <w:tcW w:w="10040" w:type="dxa"/>
            <w:vAlign w:val="bottom"/>
            <w:gridSpan w:val="6"/>
          </w:tcPr>
          <w:p>
            <w:pPr>
              <w:ind w:left="260"/>
              <w:spacing w:after="0"/>
              <w:rPr>
                <w:sz w:val="20"/>
                <w:szCs w:val="20"/>
                <w:color w:val="auto"/>
              </w:rPr>
            </w:pPr>
            <w:r>
              <w:rPr>
                <w:rFonts w:ascii="Arial" w:cs="Arial" w:eastAsia="Arial" w:hAnsi="Arial"/>
                <w:sz w:val="3"/>
                <w:szCs w:val="3"/>
                <w:color w:val="FFFFFF"/>
              </w:rPr>
              <w:t>financial statements of foreign operations are translated into Hong Kong dollars, the Group’s functional and presentation currency, for incorporation into the condensed consolidated</w:t>
            </w:r>
          </w:p>
        </w:tc>
        <w:tc>
          <w:tcPr>
            <w:tcW w:w="1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The majority of our assets and liabilities are</w:t>
            </w:r>
          </w:p>
        </w:tc>
        <w:tc>
          <w:tcPr>
            <w:tcW w:w="7240" w:type="dxa"/>
            <w:vAlign w:val="bottom"/>
            <w:gridSpan w:val="3"/>
          </w:tcPr>
          <w:p>
            <w:pPr>
              <w:jc w:val="center"/>
              <w:ind w:left="794"/>
              <w:spacing w:after="0"/>
              <w:rPr>
                <w:sz w:val="20"/>
                <w:szCs w:val="20"/>
                <w:color w:val="auto"/>
              </w:rPr>
            </w:pPr>
            <w:r>
              <w:rPr>
                <w:rFonts w:ascii="Arial" w:cs="Arial" w:eastAsia="Arial" w:hAnsi="Arial"/>
                <w:sz w:val="3"/>
                <w:szCs w:val="3"/>
                <w:color w:val="FFFFFF"/>
              </w:rPr>
              <w:t>U.S. dollars, Hong Kong dollars, Macau patacas and Offshore RMB, and there are no significant assets and liabilities</w:t>
            </w:r>
          </w:p>
        </w:tc>
        <w:tc>
          <w:tcPr>
            <w:tcW w:w="380" w:type="dxa"/>
            <w:vAlign w:val="bottom"/>
          </w:tcPr>
          <w:p>
            <w:pPr>
              <w:spacing w:after="0"/>
              <w:rPr>
                <w:sz w:val="3"/>
                <w:szCs w:val="3"/>
                <w:color w:val="auto"/>
              </w:rPr>
            </w:pPr>
          </w:p>
        </w:tc>
        <w:tc>
          <w:tcPr>
            <w:tcW w:w="1360" w:type="dxa"/>
            <w:vAlign w:val="bottom"/>
          </w:tcPr>
          <w:p>
            <w:pPr>
              <w:jc w:val="center"/>
              <w:ind w:right="549"/>
              <w:spacing w:after="0"/>
              <w:rPr>
                <w:sz w:val="20"/>
                <w:szCs w:val="20"/>
                <w:color w:val="auto"/>
              </w:rPr>
            </w:pPr>
            <w:r>
              <w:rPr>
                <w:rFonts w:ascii="Arial" w:cs="Arial" w:eastAsia="Arial" w:hAnsi="Arial"/>
                <w:sz w:val="3"/>
                <w:szCs w:val="3"/>
                <w:color w:val="FFFFFF"/>
              </w:rPr>
              <w:t>financial other</w:t>
            </w: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currencies. Assets and liabilities are translateddenominatedprevailingthe</w:t>
            </w:r>
          </w:p>
        </w:tc>
        <w:tc>
          <w:tcPr>
            <w:tcW w:w="7960" w:type="dxa"/>
            <w:vAlign w:val="bottom"/>
            <w:gridSpan w:val="4"/>
          </w:tcPr>
          <w:p>
            <w:pPr>
              <w:ind w:left="20"/>
              <w:spacing w:after="0"/>
              <w:rPr>
                <w:sz w:val="20"/>
                <w:szCs w:val="20"/>
                <w:color w:val="auto"/>
              </w:rPr>
            </w:pPr>
            <w:r>
              <w:rPr>
                <w:rFonts w:ascii="Arial" w:cs="Arial" w:eastAsia="Arial" w:hAnsi="Arial"/>
                <w:sz w:val="3"/>
                <w:szCs w:val="3"/>
                <w:color w:val="FFFFFF"/>
              </w:rPr>
              <w:t>foreign exchange rates in effect at the end of the reporting period. Income, expenditures and cash flow items are measureddenominatedthe actual foreign</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exchange rates or average foreign exchange rates for the period. The Hong Kong dollar is linked to the U.S. dollar and the exchange rate between these two currencies has remained relatively stable over the past</w:t>
            </w:r>
          </w:p>
        </w:tc>
        <w:tc>
          <w:tcPr>
            <w:tcW w:w="0" w:type="dxa"/>
            <w:vAlign w:val="bottom"/>
          </w:tcPr>
          <w:p>
            <w:pPr>
              <w:spacing w:after="0"/>
              <w:rPr>
                <w:sz w:val="1"/>
                <w:szCs w:val="1"/>
                <w:color w:val="auto"/>
              </w:rPr>
            </w:pPr>
          </w:p>
        </w:tc>
      </w:tr>
      <w:tr>
        <w:trPr>
          <w:trHeight w:val="41"/>
        </w:trPr>
        <w:tc>
          <w:tcPr>
            <w:tcW w:w="6680" w:type="dxa"/>
            <w:vAlign w:val="bottom"/>
            <w:gridSpan w:val="4"/>
          </w:tcPr>
          <w:p>
            <w:pPr>
              <w:spacing w:after="0"/>
              <w:rPr>
                <w:sz w:val="20"/>
                <w:szCs w:val="20"/>
                <w:color w:val="auto"/>
              </w:rPr>
            </w:pPr>
            <w:r>
              <w:rPr>
                <w:rFonts w:ascii="Arial" w:cs="Arial" w:eastAsia="Arial" w:hAnsi="Arial"/>
                <w:sz w:val="3"/>
                <w:szCs w:val="3"/>
                <w:color w:val="FFFFFF"/>
              </w:rPr>
              <w:t>several years. The Macau pataca is pegged to the Hong Kong dollar, and in many cases the two currencies are used</w:t>
            </w:r>
          </w:p>
        </w:tc>
        <w:tc>
          <w:tcPr>
            <w:tcW w:w="4720" w:type="dxa"/>
            <w:vAlign w:val="bottom"/>
            <w:gridSpan w:val="3"/>
          </w:tcPr>
          <w:p>
            <w:pPr>
              <w:ind w:left="480"/>
              <w:spacing w:after="0"/>
              <w:rPr>
                <w:sz w:val="20"/>
                <w:szCs w:val="20"/>
                <w:color w:val="auto"/>
              </w:rPr>
            </w:pPr>
            <w:r>
              <w:rPr>
                <w:rFonts w:ascii="Arial" w:cs="Arial" w:eastAsia="Arial" w:hAnsi="Arial"/>
                <w:sz w:val="3"/>
                <w:szCs w:val="3"/>
                <w:color w:val="FFFFFF"/>
              </w:rPr>
              <w:t>in Macau. However, the exchange linkages of the Hong Kong dollar and the</w:t>
            </w:r>
          </w:p>
        </w:tc>
        <w:tc>
          <w:tcPr>
            <w:tcW w:w="0" w:type="dxa"/>
            <w:vAlign w:val="bottom"/>
          </w:tcPr>
          <w:p>
            <w:pPr>
              <w:spacing w:after="0"/>
              <w:rPr>
                <w:sz w:val="1"/>
                <w:szCs w:val="1"/>
                <w:color w:val="auto"/>
              </w:rPr>
            </w:pPr>
          </w:p>
        </w:tc>
      </w:tr>
      <w:tr>
        <w:trPr>
          <w:trHeight w:val="41"/>
        </w:trPr>
        <w:tc>
          <w:tcPr>
            <w:tcW w:w="600" w:type="dxa"/>
            <w:vAlign w:val="bottom"/>
          </w:tcPr>
          <w:p>
            <w:pPr>
              <w:spacing w:after="0"/>
              <w:rPr>
                <w:sz w:val="20"/>
                <w:szCs w:val="20"/>
                <w:color w:val="auto"/>
              </w:rPr>
            </w:pPr>
            <w:r>
              <w:rPr>
                <w:rFonts w:ascii="Arial" w:cs="Arial" w:eastAsia="Arial" w:hAnsi="Arial"/>
                <w:sz w:val="3"/>
                <w:szCs w:val="3"/>
                <w:color w:val="FFFFFF"/>
              </w:rPr>
              <w:t>Macau</w:t>
            </w:r>
          </w:p>
        </w:tc>
        <w:tc>
          <w:tcPr>
            <w:tcW w:w="10800" w:type="dxa"/>
            <w:vAlign w:val="bottom"/>
            <w:gridSpan w:val="6"/>
          </w:tcPr>
          <w:p>
            <w:pPr>
              <w:ind w:left="220"/>
              <w:spacing w:after="0"/>
              <w:rPr>
                <w:sz w:val="20"/>
                <w:szCs w:val="20"/>
                <w:color w:val="auto"/>
              </w:rPr>
            </w:pPr>
            <w:r>
              <w:rPr>
                <w:rFonts w:ascii="Arial" w:cs="Arial" w:eastAsia="Arial" w:hAnsi="Arial"/>
                <w:sz w:val="3"/>
                <w:szCs w:val="3"/>
                <w:color w:val="FFFFFF"/>
              </w:rPr>
              <w:t>and the Hong Kong dollar to the U.S. dollar, are subject to potential changes due to, among other things,interchangeablychangesgovernmental policies and international economic and political developments.</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In particularpataca,our Group is exposed to foreign exchange risk arising primarily with respect to the Offshore RMB, which does not have pegged exchange linkages to the U.S. dollar, Hong Kong dollar or Macau</w:t>
            </w: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pataca.</w:t>
            </w:r>
          </w:p>
        </w:tc>
        <w:tc>
          <w:tcPr>
            <w:tcW w:w="10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Interest Rate Risks</w:t>
            </w:r>
          </w:p>
        </w:tc>
        <w:tc>
          <w:tcPr>
            <w:tcW w:w="10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740" w:type="dxa"/>
            <w:vAlign w:val="bottom"/>
            <w:gridSpan w:val="2"/>
            <w:vMerge w:val="restart"/>
          </w:tcPr>
          <w:p>
            <w:pPr>
              <w:jc w:val="center"/>
              <w:ind w:right="149"/>
              <w:spacing w:after="0" w:line="81" w:lineRule="exact"/>
              <w:rPr>
                <w:sz w:val="20"/>
                <w:szCs w:val="20"/>
                <w:color w:val="auto"/>
              </w:rPr>
            </w:pPr>
            <w:r>
              <w:rPr>
                <w:rFonts w:ascii="Arial" w:cs="Arial" w:eastAsia="Arial" w:hAnsi="Arial"/>
                <w:sz w:val="9"/>
                <w:szCs w:val="9"/>
                <w:color w:val="FFFFFF"/>
              </w:rPr>
              <w:t>risk by managing the mix of</w:t>
            </w:r>
          </w:p>
        </w:tc>
        <w:tc>
          <w:tcPr>
            <w:tcW w:w="0" w:type="dxa"/>
            <w:vAlign w:val="bottom"/>
          </w:tcPr>
          <w:p>
            <w:pPr>
              <w:spacing w:after="0"/>
              <w:rPr>
                <w:sz w:val="1"/>
                <w:szCs w:val="1"/>
                <w:color w:val="auto"/>
              </w:rPr>
            </w:pPr>
          </w:p>
        </w:tc>
      </w:tr>
      <w:tr>
        <w:trPr>
          <w:trHeight w:val="41"/>
        </w:trPr>
        <w:tc>
          <w:tcPr>
            <w:tcW w:w="9660" w:type="dxa"/>
            <w:vAlign w:val="bottom"/>
            <w:gridSpan w:val="5"/>
          </w:tcPr>
          <w:p>
            <w:pPr>
              <w:spacing w:after="0"/>
              <w:rPr>
                <w:sz w:val="20"/>
                <w:szCs w:val="20"/>
                <w:color w:val="auto"/>
              </w:rPr>
            </w:pPr>
            <w:r>
              <w:rPr>
                <w:rFonts w:ascii="Arial" w:cs="Arial" w:eastAsia="Arial" w:hAnsi="Arial"/>
                <w:sz w:val="3"/>
                <w:szCs w:val="3"/>
                <w:color w:val="FFFFFF"/>
              </w:rPr>
              <w:t>One of our primary exposures to market risk is interest rate risk associated with our credit facilities, which bear intere t based on floating rates. We attempt to manage interest</w:t>
            </w:r>
          </w:p>
        </w:tc>
        <w:tc>
          <w:tcPr>
            <w:tcW w:w="17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long-term fixed rate borrowings and</w:t>
            </w:r>
          </w:p>
        </w:tc>
        <w:tc>
          <w:tcPr>
            <w:tcW w:w="8980" w:type="dxa"/>
            <w:vAlign w:val="bottom"/>
            <w:gridSpan w:val="5"/>
          </w:tcPr>
          <w:p>
            <w:pPr>
              <w:ind w:left="40"/>
              <w:spacing w:after="0"/>
              <w:rPr>
                <w:sz w:val="20"/>
                <w:szCs w:val="20"/>
                <w:color w:val="auto"/>
              </w:rPr>
            </w:pPr>
            <w:r>
              <w:rPr>
                <w:rFonts w:ascii="Arial" w:cs="Arial" w:eastAsia="Arial" w:hAnsi="Arial"/>
                <w:sz w:val="3"/>
                <w:szCs w:val="3"/>
                <w:color w:val="FFFFFF"/>
              </w:rPr>
              <w:t>rate borrowings supplemented by hedging activities as considered necessary. We cannot assure you that these risk management strategies will have the desired effect,</w:t>
            </w:r>
          </w:p>
        </w:tc>
        <w:tc>
          <w:tcPr>
            <w:tcW w:w="0" w:type="dxa"/>
            <w:vAlign w:val="bottom"/>
          </w:tcPr>
          <w:p>
            <w:pPr>
              <w:spacing w:after="0"/>
              <w:rPr>
                <w:sz w:val="1"/>
                <w:szCs w:val="1"/>
                <w:color w:val="auto"/>
              </w:rPr>
            </w:pPr>
          </w:p>
        </w:tc>
      </w:tr>
      <w:tr>
        <w:trPr>
          <w:trHeight w:val="41"/>
        </w:trPr>
        <w:tc>
          <w:tcPr>
            <w:tcW w:w="6680" w:type="dxa"/>
            <w:vAlign w:val="bottom"/>
            <w:gridSpan w:val="4"/>
          </w:tcPr>
          <w:p>
            <w:pPr>
              <w:spacing w:after="0"/>
              <w:rPr>
                <w:sz w:val="20"/>
                <w:szCs w:val="20"/>
                <w:color w:val="auto"/>
              </w:rPr>
            </w:pPr>
            <w:r>
              <w:rPr>
                <w:rFonts w:ascii="Arial" w:cs="Arial" w:eastAsia="Arial" w:hAnsi="Arial"/>
                <w:sz w:val="3"/>
                <w:szCs w:val="3"/>
                <w:color w:val="FFFFFF"/>
              </w:rPr>
              <w:t>and interest rate fluctuations could havevariablenegative impact on our results of operations.</w:t>
            </w:r>
          </w:p>
        </w:tc>
        <w:tc>
          <w:tcPr>
            <w:tcW w:w="2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420" w:type="dxa"/>
            <w:vAlign w:val="bottom"/>
            <w:gridSpan w:val="2"/>
          </w:tcPr>
          <w:p>
            <w:pPr>
              <w:spacing w:after="0" w:line="80" w:lineRule="exact"/>
              <w:rPr>
                <w:sz w:val="20"/>
                <w:szCs w:val="20"/>
                <w:color w:val="auto"/>
              </w:rPr>
            </w:pPr>
            <w:r>
              <w:rPr>
                <w:rFonts w:ascii="Arial" w:cs="Arial" w:eastAsia="Arial" w:hAnsi="Arial"/>
                <w:sz w:val="9"/>
                <w:szCs w:val="9"/>
                <w:color w:val="FFFFFF"/>
              </w:rPr>
              <w:t>The Group had one interest rate swap</w:t>
            </w:r>
          </w:p>
        </w:tc>
        <w:tc>
          <w:tcPr>
            <w:tcW w:w="8980" w:type="dxa"/>
            <w:vAlign w:val="bottom"/>
            <w:gridSpan w:val="5"/>
          </w:tcPr>
          <w:p>
            <w:pPr>
              <w:jc w:val="center"/>
              <w:ind w:right="909"/>
              <w:spacing w:after="0" w:line="80" w:lineRule="exact"/>
              <w:rPr>
                <w:sz w:val="20"/>
                <w:szCs w:val="20"/>
                <w:color w:val="auto"/>
              </w:rPr>
            </w:pPr>
            <w:r>
              <w:rPr>
                <w:rFonts w:ascii="Arial" w:cs="Arial" w:eastAsia="Arial" w:hAnsi="Arial"/>
                <w:sz w:val="9"/>
                <w:szCs w:val="9"/>
                <w:color w:val="FFFFFF"/>
              </w:rPr>
              <w:t>to manage  portion of the underlying interest rate risk on borrowings under the Wynn Macau Credit Facilities which matured in June 2012.</w:t>
            </w:r>
          </w:p>
        </w:tc>
        <w:tc>
          <w:tcPr>
            <w:tcW w:w="0" w:type="dxa"/>
            <w:vAlign w:val="bottom"/>
          </w:tcPr>
          <w:p>
            <w:pPr>
              <w:spacing w:after="0" w:line="20" w:lineRule="exact"/>
              <w:rPr>
                <w:sz w:val="1"/>
                <w:szCs w:val="1"/>
                <w:color w:val="auto"/>
              </w:rPr>
            </w:pPr>
          </w:p>
        </w:tc>
      </w:tr>
    </w:tbl>
    <w:p>
      <w:pPr>
        <w:ind w:right="120"/>
        <w:spacing w:after="0" w:line="187" w:lineRule="auto"/>
        <w:rPr>
          <w:sz w:val="20"/>
          <w:szCs w:val="20"/>
          <w:color w:val="auto"/>
        </w:rPr>
      </w:pPr>
      <w:r>
        <w:rPr>
          <w:rFonts w:ascii="Arial" w:cs="Arial" w:eastAsia="Arial" w:hAnsi="Arial"/>
          <w:sz w:val="9"/>
          <w:szCs w:val="9"/>
          <w:color w:val="FFFFFF"/>
        </w:rPr>
        <w:t>Under this swap agreement, the Groupagreementpaidfixed interest rate of 2.15% on borrowings of approximately HK$2.3 billion incurred under the Wynn Macau Credit Facilities in exchange for receipts on the same amount at a variable interest rate based on the applicable HIBOR at the time of payment. This interest rate swap agreement fixed the interest rate on such borrowings at 3.4%.</w:t>
      </w:r>
    </w:p>
    <w:p>
      <w:pPr>
        <w:sectPr>
          <w:pgSz w:w="11900" w:h="16838" w:orient="portrait"/>
          <w:cols w:equalWidth="0" w:num="1">
            <w:col w:w="11400"/>
          </w:cols>
          <w:pgMar w:left="240" w:top="1440" w:right="25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20"/>
                <w:szCs w:val="20"/>
                <w:color w:val="auto"/>
              </w:rPr>
            </w:pPr>
            <w:r>
              <w:rPr>
                <w:rFonts w:ascii="Arial" w:cs="Arial" w:eastAsia="Arial" w:hAnsi="Arial"/>
                <w:sz w:val="14"/>
                <w:szCs w:val="14"/>
                <w:color w:val="FFFFFF"/>
              </w:rPr>
              <w:t>26 Wynn Macau, Limited</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380" w:type="dxa"/>
            <w:vAlign w:val="bottom"/>
          </w:tcPr>
          <w:p>
            <w:pPr>
              <w:spacing w:after="0"/>
              <w:rPr>
                <w:sz w:val="3"/>
                <w:szCs w:val="3"/>
                <w:color w:val="auto"/>
              </w:rPr>
            </w:pPr>
          </w:p>
        </w:tc>
        <w:tc>
          <w:tcPr>
            <w:tcW w:w="5840" w:type="dxa"/>
            <w:vAlign w:val="bottom"/>
            <w:gridSpan w:val="5"/>
            <w:vMerge w:val="restart"/>
          </w:tcPr>
          <w:p>
            <w:pPr>
              <w:ind w:left="100"/>
              <w:spacing w:after="0" w:line="81" w:lineRule="exact"/>
              <w:rPr>
                <w:sz w:val="20"/>
                <w:szCs w:val="20"/>
                <w:color w:val="auto"/>
              </w:rPr>
            </w:pPr>
            <w:r>
              <w:rPr>
                <w:rFonts w:ascii="Arial" w:cs="Arial" w:eastAsia="Arial" w:hAnsi="Arial"/>
                <w:sz w:val="9"/>
                <w:szCs w:val="9"/>
                <w:color w:val="FFFFFF"/>
              </w:rPr>
              <w:t>the condensed consolidated statement of financial position approximated their fair values. The fair value</w:t>
            </w:r>
          </w:p>
        </w:tc>
        <w:tc>
          <w:tcPr>
            <w:tcW w:w="2840" w:type="dxa"/>
            <w:vAlign w:val="bottom"/>
            <w:vMerge w:val="restart"/>
          </w:tcPr>
          <w:p>
            <w:pPr>
              <w:ind w:left="700"/>
              <w:spacing w:after="0" w:line="81" w:lineRule="exact"/>
              <w:rPr>
                <w:sz w:val="20"/>
                <w:szCs w:val="20"/>
                <w:color w:val="auto"/>
              </w:rPr>
            </w:pPr>
            <w:r>
              <w:rPr>
                <w:rFonts w:ascii="Arial" w:cs="Arial" w:eastAsia="Arial" w:hAnsi="Arial"/>
                <w:sz w:val="9"/>
                <w:szCs w:val="9"/>
                <w:color w:val="FFFFFF"/>
              </w:rPr>
              <w:t>the amount the Group would pay if</w:t>
            </w:r>
          </w:p>
        </w:tc>
        <w:tc>
          <w:tcPr>
            <w:tcW w:w="0" w:type="dxa"/>
            <w:vAlign w:val="bottom"/>
          </w:tcPr>
          <w:p>
            <w:pPr>
              <w:spacing w:after="0"/>
              <w:rPr>
                <w:sz w:val="1"/>
                <w:szCs w:val="1"/>
                <w:color w:val="auto"/>
              </w:rPr>
            </w:pPr>
          </w:p>
        </w:tc>
      </w:tr>
      <w:tr>
        <w:trPr>
          <w:trHeight w:val="41"/>
        </w:trPr>
        <w:tc>
          <w:tcPr>
            <w:tcW w:w="2680" w:type="dxa"/>
            <w:vAlign w:val="bottom"/>
            <w:gridSpan w:val="2"/>
          </w:tcPr>
          <w:p>
            <w:pPr>
              <w:spacing w:after="0"/>
              <w:rPr>
                <w:sz w:val="20"/>
                <w:szCs w:val="20"/>
                <w:color w:val="auto"/>
              </w:rPr>
            </w:pPr>
            <w:r>
              <w:rPr>
                <w:rFonts w:ascii="Arial" w:cs="Arial" w:eastAsia="Arial" w:hAnsi="Arial"/>
                <w:sz w:val="3"/>
                <w:szCs w:val="3"/>
                <w:color w:val="FFFFFF"/>
              </w:rPr>
              <w:t>The carrying values of these interest rate swaps</w:t>
            </w:r>
          </w:p>
        </w:tc>
        <w:tc>
          <w:tcPr>
            <w:tcW w:w="5840" w:type="dxa"/>
            <w:vAlign w:val="bottom"/>
            <w:gridSpan w:val="5"/>
            <w:vMerge w:val="continue"/>
          </w:tcPr>
          <w:p>
            <w:pPr>
              <w:spacing w:after="0"/>
              <w:rPr>
                <w:sz w:val="3"/>
                <w:szCs w:val="3"/>
                <w:color w:val="auto"/>
              </w:rPr>
            </w:pPr>
          </w:p>
        </w:tc>
        <w:tc>
          <w:tcPr>
            <w:tcW w:w="2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20" w:type="dxa"/>
            <w:vAlign w:val="bottom"/>
            <w:gridSpan w:val="7"/>
          </w:tcPr>
          <w:p>
            <w:pPr>
              <w:spacing w:after="0"/>
              <w:rPr>
                <w:sz w:val="20"/>
                <w:szCs w:val="20"/>
                <w:color w:val="auto"/>
              </w:rPr>
            </w:pPr>
            <w:r>
              <w:rPr>
                <w:rFonts w:ascii="Arial" w:cs="Arial" w:eastAsia="Arial" w:hAnsi="Arial"/>
                <w:sz w:val="3"/>
                <w:szCs w:val="3"/>
                <w:color w:val="FFFFFF"/>
              </w:rPr>
              <w:t>these contracts were settled at the respective valuation dates. Fair value was estimated based upon current, and predictions of future interest rate levels along</w:t>
            </w:r>
          </w:p>
        </w:tc>
        <w:tc>
          <w:tcPr>
            <w:tcW w:w="2840" w:type="dxa"/>
            <w:vAlign w:val="bottom"/>
          </w:tcPr>
          <w:p>
            <w:pPr>
              <w:ind w:left="80"/>
              <w:spacing w:after="0"/>
              <w:rPr>
                <w:sz w:val="20"/>
                <w:szCs w:val="20"/>
                <w:color w:val="auto"/>
              </w:rPr>
            </w:pPr>
            <w:r>
              <w:rPr>
                <w:rFonts w:ascii="Arial" w:cs="Arial" w:eastAsia="Arial" w:hAnsi="Arial"/>
                <w:sz w:val="3"/>
                <w:szCs w:val="3"/>
                <w:color w:val="FFFFFF"/>
              </w:rPr>
              <w:t>yield curve, the remaining duration of the</w:t>
            </w:r>
          </w:p>
        </w:tc>
        <w:tc>
          <w:tcPr>
            <w:tcW w:w="0" w:type="dxa"/>
            <w:vAlign w:val="bottom"/>
          </w:tcPr>
          <w:p>
            <w:pPr>
              <w:spacing w:after="0"/>
              <w:rPr>
                <w:sz w:val="1"/>
                <w:szCs w:val="1"/>
                <w:color w:val="auto"/>
              </w:rPr>
            </w:pPr>
          </w:p>
        </w:tc>
      </w:tr>
      <w:tr>
        <w:trPr>
          <w:trHeight w:val="41"/>
        </w:trPr>
        <w:tc>
          <w:tcPr>
            <w:tcW w:w="5300" w:type="dxa"/>
            <w:vAlign w:val="bottom"/>
            <w:gridSpan w:val="5"/>
          </w:tcPr>
          <w:p>
            <w:pPr>
              <w:spacing w:after="0"/>
              <w:rPr>
                <w:sz w:val="20"/>
                <w:szCs w:val="20"/>
                <w:color w:val="auto"/>
              </w:rPr>
            </w:pPr>
            <w:r>
              <w:rPr>
                <w:rFonts w:ascii="Arial" w:cs="Arial" w:eastAsia="Arial" w:hAnsi="Arial"/>
                <w:sz w:val="3"/>
                <w:szCs w:val="3"/>
                <w:color w:val="FFFFFF"/>
              </w:rPr>
              <w:t>instruments and other market conditions and, therefore, was subject to significant estimation and</w:t>
            </w:r>
          </w:p>
        </w:tc>
        <w:tc>
          <w:tcPr>
            <w:tcW w:w="6060" w:type="dxa"/>
            <w:vAlign w:val="bottom"/>
            <w:gridSpan w:val="3"/>
          </w:tcPr>
          <w:p>
            <w:pPr>
              <w:ind w:left="60"/>
              <w:spacing w:after="0"/>
              <w:rPr>
                <w:sz w:val="20"/>
                <w:szCs w:val="20"/>
                <w:color w:val="auto"/>
              </w:rPr>
            </w:pPr>
            <w:r>
              <w:rPr>
                <w:rFonts w:ascii="Arial" w:cs="Arial" w:eastAsia="Arial" w:hAnsi="Arial"/>
                <w:sz w:val="3"/>
                <w:szCs w:val="3"/>
                <w:color w:val="FFFFFF"/>
              </w:rPr>
              <w:t>high degree of variability of fluctuation between periods. approximatedWadjustedthis amount by  pplying  non-</w:t>
            </w:r>
          </w:p>
        </w:tc>
        <w:tc>
          <w:tcPr>
            <w:tcW w:w="0" w:type="dxa"/>
            <w:vAlign w:val="bottom"/>
          </w:tcPr>
          <w:p>
            <w:pPr>
              <w:spacing w:after="0"/>
              <w:rPr>
                <w:sz w:val="1"/>
                <w:szCs w:val="1"/>
                <w:color w:val="auto"/>
              </w:rPr>
            </w:pPr>
          </w:p>
        </w:tc>
      </w:tr>
      <w:tr>
        <w:trPr>
          <w:trHeight w:val="41"/>
        </w:trPr>
        <w:tc>
          <w:tcPr>
            <w:tcW w:w="11360" w:type="dxa"/>
            <w:vAlign w:val="bottom"/>
            <w:gridSpan w:val="8"/>
          </w:tcPr>
          <w:p>
            <w:pPr>
              <w:spacing w:after="0"/>
              <w:rPr>
                <w:sz w:val="20"/>
                <w:szCs w:val="20"/>
                <w:color w:val="auto"/>
              </w:rPr>
            </w:pPr>
            <w:r>
              <w:rPr>
                <w:rFonts w:ascii="Arial" w:cs="Arial" w:eastAsia="Arial" w:hAnsi="Arial"/>
                <w:sz w:val="3"/>
                <w:szCs w:val="3"/>
                <w:color w:val="FFFFFF"/>
              </w:rPr>
              <w:t>performance valuation, considering our creditworthiness or the creditworthiness of our counterparties at each settlement date, as applicable. These transactions did not qualify for hedge accounting. Accordingly,</w:t>
            </w:r>
          </w:p>
        </w:tc>
        <w:tc>
          <w:tcPr>
            <w:tcW w:w="0" w:type="dxa"/>
            <w:vAlign w:val="bottom"/>
          </w:tcPr>
          <w:p>
            <w:pPr>
              <w:spacing w:after="0"/>
              <w:rPr>
                <w:sz w:val="1"/>
                <w:szCs w:val="1"/>
                <w:color w:val="auto"/>
              </w:rPr>
            </w:pPr>
          </w:p>
        </w:tc>
      </w:tr>
      <w:tr>
        <w:trPr>
          <w:trHeight w:val="41"/>
        </w:trPr>
        <w:tc>
          <w:tcPr>
            <w:tcW w:w="11360" w:type="dxa"/>
            <w:vAlign w:val="bottom"/>
            <w:gridSpan w:val="8"/>
          </w:tcPr>
          <w:p>
            <w:pPr>
              <w:spacing w:after="0"/>
              <w:rPr>
                <w:sz w:val="20"/>
                <w:szCs w:val="20"/>
                <w:color w:val="auto"/>
              </w:rPr>
            </w:pPr>
            <w:r>
              <w:rPr>
                <w:rFonts w:ascii="Arial" w:cs="Arial" w:eastAsia="Arial" w:hAnsi="Arial"/>
                <w:sz w:val="3"/>
                <w:szCs w:val="3"/>
                <w:color w:val="FFFFFF"/>
              </w:rPr>
              <w:t>changes in the fair values during the six months ended 30 June 2012 and 2011, were charged to the condensed consolidated statement of comprehensive income.</w:t>
            </w:r>
          </w:p>
        </w:tc>
        <w:tc>
          <w:tcPr>
            <w:tcW w:w="0" w:type="dxa"/>
            <w:vAlign w:val="bottom"/>
          </w:tcPr>
          <w:p>
            <w:pPr>
              <w:spacing w:after="0"/>
              <w:rPr>
                <w:sz w:val="1"/>
                <w:szCs w:val="1"/>
                <w:color w:val="auto"/>
              </w:rPr>
            </w:pPr>
          </w:p>
        </w:tc>
      </w:tr>
      <w:tr>
        <w:trPr>
          <w:trHeight w:val="41"/>
        </w:trPr>
        <w:tc>
          <w:tcPr>
            <w:tcW w:w="2680" w:type="dxa"/>
            <w:vAlign w:val="bottom"/>
            <w:gridSpan w:val="2"/>
          </w:tcPr>
          <w:p>
            <w:pPr>
              <w:spacing w:after="0"/>
              <w:rPr>
                <w:sz w:val="20"/>
                <w:szCs w:val="20"/>
                <w:color w:val="auto"/>
              </w:rPr>
            </w:pPr>
            <w:r>
              <w:rPr>
                <w:rFonts w:ascii="Arial" w:cs="Arial" w:eastAsia="Arial" w:hAnsi="Arial"/>
                <w:sz w:val="3"/>
                <w:szCs w:val="3"/>
                <w:color w:val="FFFFFF"/>
              </w:rPr>
              <w:t>OFF BALANCE SHEET ARRANGEMENTS</w:t>
            </w:r>
          </w:p>
        </w:tc>
        <w:tc>
          <w:tcPr>
            <w:tcW w:w="8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W have not entered into any</w:t>
            </w:r>
          </w:p>
        </w:tc>
        <w:tc>
          <w:tcPr>
            <w:tcW w:w="9060" w:type="dxa"/>
            <w:vAlign w:val="bottom"/>
            <w:gridSpan w:val="7"/>
          </w:tcPr>
          <w:p>
            <w:pPr>
              <w:spacing w:after="0"/>
              <w:rPr>
                <w:sz w:val="20"/>
                <w:szCs w:val="20"/>
                <w:color w:val="auto"/>
              </w:rPr>
            </w:pPr>
            <w:r>
              <w:rPr>
                <w:rFonts w:ascii="Arial" w:cs="Arial" w:eastAsia="Arial" w:hAnsi="Arial"/>
                <w:sz w:val="3"/>
                <w:szCs w:val="3"/>
                <w:color w:val="FFFFFF"/>
              </w:rPr>
              <w:t>with special purpose entities nor do we engage in any transactions involving derivatives except for interest rate swaps. We do not have any retained or contingent</w:t>
            </w:r>
          </w:p>
        </w:tc>
        <w:tc>
          <w:tcPr>
            <w:tcW w:w="0" w:type="dxa"/>
            <w:vAlign w:val="bottom"/>
          </w:tcPr>
          <w:p>
            <w:pPr>
              <w:spacing w:after="0"/>
              <w:rPr>
                <w:sz w:val="1"/>
                <w:szCs w:val="1"/>
                <w:color w:val="auto"/>
              </w:rPr>
            </w:pPr>
          </w:p>
        </w:tc>
      </w:tr>
      <w:tr>
        <w:trPr>
          <w:trHeight w:val="41"/>
        </w:trPr>
        <w:tc>
          <w:tcPr>
            <w:tcW w:w="3480" w:type="dxa"/>
            <w:vAlign w:val="bottom"/>
            <w:gridSpan w:val="3"/>
          </w:tcPr>
          <w:p>
            <w:pPr>
              <w:spacing w:after="0"/>
              <w:rPr>
                <w:sz w:val="20"/>
                <w:szCs w:val="20"/>
                <w:color w:val="auto"/>
              </w:rPr>
            </w:pPr>
            <w:r>
              <w:rPr>
                <w:rFonts w:ascii="Arial" w:cs="Arial" w:eastAsia="Arial" w:hAnsi="Arial"/>
                <w:sz w:val="3"/>
                <w:szCs w:val="3"/>
                <w:color w:val="FFFFFF"/>
              </w:rPr>
              <w:t>interest in assets transferred totransactionsunconsolidated entity.</w:t>
            </w:r>
          </w:p>
        </w:tc>
        <w:tc>
          <w:tcPr>
            <w:tcW w:w="1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OTHER LIQUIDITY MATTERS</w:t>
            </w: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500" w:type="dxa"/>
            <w:vAlign w:val="bottom"/>
            <w:vMerge w:val="restart"/>
          </w:tcPr>
          <w:p>
            <w:pPr>
              <w:ind w:left="380"/>
              <w:spacing w:after="0" w:line="81" w:lineRule="exact"/>
              <w:rPr>
                <w:sz w:val="20"/>
                <w:szCs w:val="20"/>
                <w:color w:val="auto"/>
              </w:rPr>
            </w:pPr>
            <w:r>
              <w:rPr>
                <w:rFonts w:ascii="Arial" w:cs="Arial" w:eastAsia="Arial" w:hAnsi="Arial"/>
                <w:sz w:val="9"/>
                <w:szCs w:val="9"/>
                <w:color w:val="FFFFFF"/>
              </w:rPr>
              <w:t>from operating</w:t>
            </w:r>
          </w:p>
        </w:tc>
        <w:tc>
          <w:tcPr>
            <w:tcW w:w="2780" w:type="dxa"/>
            <w:vAlign w:val="bottom"/>
            <w:gridSpan w:val="2"/>
            <w:vMerge w:val="restart"/>
          </w:tcPr>
          <w:p>
            <w:pPr>
              <w:spacing w:after="0" w:line="81" w:lineRule="exact"/>
              <w:rPr>
                <w:sz w:val="20"/>
                <w:szCs w:val="20"/>
                <w:color w:val="auto"/>
              </w:rPr>
            </w:pPr>
            <w:r>
              <w:rPr>
                <w:rFonts w:ascii="Arial" w:cs="Arial" w:eastAsia="Arial" w:hAnsi="Arial"/>
                <w:sz w:val="9"/>
                <w:szCs w:val="9"/>
                <w:color w:val="FFFFFF"/>
              </w:rPr>
              <w:t>flows, cash on hand and availability under the</w:t>
            </w:r>
          </w:p>
        </w:tc>
        <w:tc>
          <w:tcPr>
            <w:tcW w:w="3600" w:type="dxa"/>
            <w:vAlign w:val="bottom"/>
            <w:gridSpan w:val="2"/>
            <w:vMerge w:val="restart"/>
          </w:tcPr>
          <w:p>
            <w:pPr>
              <w:ind w:left="300"/>
              <w:spacing w:after="0" w:line="81" w:lineRule="exact"/>
              <w:rPr>
                <w:sz w:val="20"/>
                <w:szCs w:val="20"/>
                <w:color w:val="auto"/>
              </w:rPr>
            </w:pPr>
            <w:r>
              <w:rPr>
                <w:rFonts w:ascii="Arial" w:cs="Arial" w:eastAsia="Arial" w:hAnsi="Arial"/>
                <w:sz w:val="9"/>
                <w:szCs w:val="9"/>
                <w:color w:val="FFFFFF"/>
              </w:rPr>
              <w:t>Wynn Macau Credit Facilities. However, we cannot be sure</w:t>
            </w:r>
          </w:p>
        </w:tc>
        <w:tc>
          <w:tcPr>
            <w:tcW w:w="0" w:type="dxa"/>
            <w:vAlign w:val="bottom"/>
          </w:tcPr>
          <w:p>
            <w:pPr>
              <w:spacing w:after="0"/>
              <w:rPr>
                <w:sz w:val="1"/>
                <w:szCs w:val="1"/>
                <w:color w:val="auto"/>
              </w:rPr>
            </w:pPr>
          </w:p>
        </w:tc>
      </w:tr>
      <w:tr>
        <w:trPr>
          <w:trHeight w:val="41"/>
        </w:trPr>
        <w:tc>
          <w:tcPr>
            <w:tcW w:w="3480" w:type="dxa"/>
            <w:vAlign w:val="bottom"/>
            <w:gridSpan w:val="3"/>
          </w:tcPr>
          <w:p>
            <w:pPr>
              <w:spacing w:after="0"/>
              <w:rPr>
                <w:sz w:val="20"/>
                <w:szCs w:val="20"/>
                <w:color w:val="auto"/>
              </w:rPr>
            </w:pPr>
            <w:r>
              <w:rPr>
                <w:rFonts w:ascii="Arial" w:cs="Arial" w:eastAsia="Arial" w:hAnsi="Arial"/>
                <w:sz w:val="3"/>
                <w:szCs w:val="3"/>
                <w:color w:val="FFFFFF"/>
              </w:rPr>
              <w:t>We expect to fund our operations and capital expenditure</w:t>
            </w:r>
          </w:p>
        </w:tc>
        <w:tc>
          <w:tcPr>
            <w:tcW w:w="1500" w:type="dxa"/>
            <w:vAlign w:val="bottom"/>
            <w:vMerge w:val="continue"/>
          </w:tcPr>
          <w:p>
            <w:pPr>
              <w:spacing w:after="0"/>
              <w:rPr>
                <w:sz w:val="3"/>
                <w:szCs w:val="3"/>
                <w:color w:val="auto"/>
              </w:rPr>
            </w:pPr>
          </w:p>
        </w:tc>
        <w:tc>
          <w:tcPr>
            <w:tcW w:w="2780" w:type="dxa"/>
            <w:vAlign w:val="bottom"/>
            <w:gridSpan w:val="2"/>
            <w:vMerge w:val="continue"/>
          </w:tcPr>
          <w:p>
            <w:pPr>
              <w:spacing w:after="0"/>
              <w:rPr>
                <w:sz w:val="3"/>
                <w:szCs w:val="3"/>
                <w:color w:val="auto"/>
              </w:rPr>
            </w:pPr>
          </w:p>
        </w:tc>
        <w:tc>
          <w:tcPr>
            <w:tcW w:w="3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8"/>
          </w:tcPr>
          <w:p>
            <w:pPr>
              <w:spacing w:after="0"/>
              <w:rPr>
                <w:sz w:val="20"/>
                <w:szCs w:val="20"/>
                <w:color w:val="auto"/>
              </w:rPr>
            </w:pPr>
            <w:r>
              <w:rPr>
                <w:rFonts w:ascii="Arial" w:cs="Arial" w:eastAsia="Arial" w:hAnsi="Arial"/>
                <w:sz w:val="3"/>
                <w:szCs w:val="3"/>
                <w:color w:val="FFFFFF"/>
              </w:rPr>
              <w:t>that operating cash flows will be sufficient for those purposes.requirementsWmay refinance all or cashportion of our indebtedness on or before maturity.AmendedWcannot be sure that we will be able to refinance any of the</w:t>
            </w:r>
          </w:p>
        </w:tc>
        <w:tc>
          <w:tcPr>
            <w:tcW w:w="0" w:type="dxa"/>
            <w:vAlign w:val="bottom"/>
          </w:tcPr>
          <w:p>
            <w:pPr>
              <w:spacing w:after="0"/>
              <w:rPr>
                <w:sz w:val="1"/>
                <w:szCs w:val="1"/>
                <w:color w:val="auto"/>
              </w:rPr>
            </w:pP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indebtedness on acce table terms or at all.</w:t>
            </w: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8"/>
          </w:tcPr>
          <w:p>
            <w:pPr>
              <w:spacing w:after="0"/>
              <w:rPr>
                <w:sz w:val="20"/>
                <w:szCs w:val="20"/>
                <w:color w:val="auto"/>
              </w:rPr>
            </w:pPr>
            <w:r>
              <w:rPr>
                <w:rFonts w:ascii="Arial" w:cs="Arial" w:eastAsia="Arial" w:hAnsi="Arial"/>
                <w:sz w:val="3"/>
                <w:szCs w:val="3"/>
                <w:color w:val="FFFFFF"/>
              </w:rPr>
              <w:t>New business developments (including our development of Wynn Cotai) or other unforeseen events may occur, resulting in the need to raise additional funds. There can be no assurances regarding the business</w:t>
            </w:r>
          </w:p>
        </w:tc>
        <w:tc>
          <w:tcPr>
            <w:tcW w:w="0" w:type="dxa"/>
            <w:vAlign w:val="bottom"/>
          </w:tcPr>
          <w:p>
            <w:pPr>
              <w:spacing w:after="0"/>
              <w:rPr>
                <w:sz w:val="1"/>
                <w:szCs w:val="1"/>
                <w:color w:val="auto"/>
              </w:rPr>
            </w:pPr>
          </w:p>
        </w:tc>
      </w:tr>
      <w:tr>
        <w:trPr>
          <w:trHeight w:val="0"/>
        </w:trPr>
        <w:tc>
          <w:tcPr>
            <w:tcW w:w="4980" w:type="dxa"/>
            <w:vAlign w:val="bottom"/>
            <w:gridSpan w:val="4"/>
          </w:tcPr>
          <w:p>
            <w:pPr>
              <w:spacing w:after="0" w:line="80" w:lineRule="exact"/>
              <w:rPr>
                <w:sz w:val="20"/>
                <w:szCs w:val="20"/>
                <w:color w:val="auto"/>
              </w:rPr>
            </w:pPr>
            <w:r>
              <w:rPr>
                <w:rFonts w:ascii="Arial" w:cs="Arial" w:eastAsia="Arial" w:hAnsi="Arial"/>
                <w:sz w:val="9"/>
                <w:szCs w:val="9"/>
                <w:color w:val="FFFFFF"/>
              </w:rPr>
              <w:t>prospects with respect to any other opportunity. Any other development would require us to</w:t>
            </w:r>
          </w:p>
        </w:tc>
        <w:tc>
          <w:tcPr>
            <w:tcW w:w="320" w:type="dxa"/>
            <w:vAlign w:val="bottom"/>
          </w:tcPr>
          <w:p>
            <w:pPr>
              <w:spacing w:after="0" w:line="20" w:lineRule="exact"/>
              <w:rPr>
                <w:sz w:val="1"/>
                <w:szCs w:val="1"/>
                <w:color w:val="auto"/>
              </w:rPr>
            </w:pPr>
          </w:p>
        </w:tc>
        <w:tc>
          <w:tcPr>
            <w:tcW w:w="2460" w:type="dxa"/>
            <w:vAlign w:val="bottom"/>
          </w:tcPr>
          <w:p>
            <w:pPr>
              <w:ind w:left="80"/>
              <w:spacing w:after="0" w:line="80" w:lineRule="exact"/>
              <w:rPr>
                <w:sz w:val="20"/>
                <w:szCs w:val="20"/>
                <w:color w:val="auto"/>
              </w:rPr>
            </w:pPr>
            <w:r>
              <w:rPr>
                <w:rFonts w:ascii="Arial" w:cs="Arial" w:eastAsia="Arial" w:hAnsi="Arial"/>
                <w:sz w:val="9"/>
                <w:szCs w:val="9"/>
                <w:color w:val="FFFFFF"/>
              </w:rPr>
              <w:t>additional financing.</w:t>
            </w:r>
          </w:p>
        </w:tc>
        <w:tc>
          <w:tcPr>
            <w:tcW w:w="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000"/>
        <w:spacing w:after="0" w:line="25" w:lineRule="auto"/>
        <w:rPr>
          <w:sz w:val="20"/>
          <w:szCs w:val="20"/>
          <w:color w:val="auto"/>
        </w:rPr>
      </w:pPr>
      <w:r>
        <w:rPr>
          <w:rFonts w:ascii="Arial" w:cs="Arial" w:eastAsia="Arial" w:hAnsi="Arial"/>
          <w:sz w:val="1"/>
          <w:szCs w:val="1"/>
          <w:color w:val="FFFFFF"/>
        </w:rPr>
        <w:t>obtain</w:t>
      </w:r>
    </w:p>
    <w:p>
      <w:pPr>
        <w:spacing w:after="0"/>
        <w:rPr>
          <w:sz w:val="20"/>
          <w:szCs w:val="20"/>
          <w:color w:val="auto"/>
        </w:rPr>
      </w:pPr>
      <w:r>
        <w:rPr>
          <w:rFonts w:ascii="Arial" w:cs="Arial" w:eastAsia="Arial" w:hAnsi="Arial"/>
          <w:sz w:val="3"/>
          <w:szCs w:val="3"/>
          <w:color w:val="FFFFFF"/>
        </w:rPr>
        <w:t>WeInthehaveordinaryincurredcourseand willofbusiness,continueintoresponseincurcapitaltomarketexpendituresdemandsrelatedandclienttothesepreferences,enhancementsand andorderrefinements.toincrease revenues, we have made and will continue to make enhancements and refinements to our resort.</w:t>
      </w:r>
    </w:p>
    <w:p>
      <w:pPr>
        <w:spacing w:after="0" w:line="6" w:lineRule="exact"/>
        <w:rPr>
          <w:sz w:val="20"/>
          <w:szCs w:val="20"/>
          <w:color w:val="auto"/>
        </w:rPr>
      </w:pPr>
    </w:p>
    <w:p>
      <w:pPr>
        <w:jc w:val="both"/>
        <w:ind w:right="20"/>
        <w:spacing w:after="0" w:line="190" w:lineRule="auto"/>
        <w:rPr>
          <w:sz w:val="20"/>
          <w:szCs w:val="20"/>
          <w:color w:val="auto"/>
        </w:rPr>
      </w:pPr>
      <w:r>
        <w:rPr>
          <w:rFonts w:ascii="Arial" w:cs="Arial" w:eastAsia="Arial" w:hAnsi="Arial"/>
          <w:sz w:val="11"/>
          <w:szCs w:val="11"/>
          <w:color w:val="FFFFFF"/>
        </w:rPr>
        <w:t>Taking into consideration our financial resources, including our cash and cash equivalents, internally generated funds and availability under the Amended Wynn Macau Credit Facilities, we believe that we have sufficient liquid assets to meet our working capital and operating requirements for the following 12 months.</w:t>
      </w:r>
    </w:p>
    <w:p>
      <w:pPr>
        <w:sectPr>
          <w:pgSz w:w="11900" w:h="16838" w:orient="portrait"/>
          <w:cols w:equalWidth="0" w:num="1">
            <w:col w:w="11360"/>
          </w:cols>
          <w:pgMar w:left="240" w:top="1440" w:right="29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2012 27</w:t>
      </w:r>
    </w:p>
    <w:p>
      <w:pPr>
        <w:spacing w:after="0"/>
        <w:rPr>
          <w:sz w:val="20"/>
          <w:szCs w:val="20"/>
          <w:color w:val="auto"/>
        </w:rPr>
      </w:pPr>
      <w:r>
        <w:rPr>
          <w:rFonts w:ascii="Arial" w:cs="Arial" w:eastAsia="Arial" w:hAnsi="Arial"/>
          <w:sz w:val="3"/>
          <w:szCs w:val="3"/>
          <w:color w:val="FFFFFF"/>
        </w:rPr>
        <w:t>Management Discussion and Analysis</w:t>
      </w:r>
    </w:p>
    <w:p>
      <w:pPr>
        <w:spacing w:after="0" w:line="194" w:lineRule="auto"/>
        <w:rPr>
          <w:sz w:val="20"/>
          <w:szCs w:val="20"/>
          <w:color w:val="auto"/>
        </w:rPr>
      </w:pPr>
      <w:r>
        <w:rPr>
          <w:rFonts w:ascii="Arial" w:cs="Arial" w:eastAsia="Arial" w:hAnsi="Arial"/>
          <w:sz w:val="5"/>
          <w:szCs w:val="5"/>
          <w:color w:val="FFFFFF"/>
        </w:rPr>
        <w:t>RELATED PARTY TRANSACTIONS</w:t>
      </w:r>
    </w:p>
    <w:p>
      <w:pPr>
        <w:spacing w:after="0" w:line="190" w:lineRule="auto"/>
        <w:rPr>
          <w:sz w:val="20"/>
          <w:szCs w:val="20"/>
          <w:color w:val="auto"/>
        </w:rPr>
      </w:pPr>
      <w:r>
        <w:rPr>
          <w:rFonts w:ascii="Arial" w:cs="Arial" w:eastAsia="Arial" w:hAnsi="Arial"/>
          <w:sz w:val="11"/>
          <w:szCs w:val="11"/>
          <w:color w:val="FFFFFF"/>
        </w:rPr>
        <w:t>For details of the related party transactions, see note 18 to the Interim Financial Information. Our Directors confirm that all related party transactions are conducted on normal commercial terms, and that their terms are fair and reasonable.</w:t>
      </w:r>
    </w:p>
    <w:p>
      <w:pPr>
        <w:sectPr>
          <w:pgSz w:w="11900" w:h="16838" w:orient="portrait"/>
          <w:cols w:equalWidth="0" w:num="1">
            <w:col w:w="11200"/>
          </w:cols>
          <w:pgMar w:left="240" w:top="1440" w:right="45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28 Wynn Macau, Limited</w:t>
      </w:r>
    </w:p>
    <w:p>
      <w:pPr>
        <w:spacing w:after="0"/>
        <w:rPr>
          <w:sz w:val="20"/>
          <w:szCs w:val="20"/>
          <w:color w:val="auto"/>
        </w:rPr>
      </w:pPr>
      <w:r>
        <w:rPr>
          <w:rFonts w:ascii="Arial" w:cs="Arial" w:eastAsia="Arial" w:hAnsi="Arial"/>
          <w:sz w:val="3"/>
          <w:szCs w:val="3"/>
          <w:color w:val="FFFFFF"/>
        </w:rPr>
        <w:t>Directors and Senior Management</w:t>
      </w:r>
    </w:p>
    <w:p>
      <w:pPr>
        <w:spacing w:after="0" w:line="181" w:lineRule="auto"/>
        <w:rPr>
          <w:sz w:val="20"/>
          <w:szCs w:val="20"/>
          <w:color w:val="auto"/>
        </w:rPr>
      </w:pPr>
      <w:r>
        <w:rPr>
          <w:rFonts w:ascii="Arial" w:cs="Arial" w:eastAsia="Arial" w:hAnsi="Arial"/>
          <w:sz w:val="10"/>
          <w:szCs w:val="10"/>
          <w:color w:val="FFFFFF"/>
        </w:rPr>
        <w:t>TheOURfollowingDIRECTORStable presents certain information in respect of the members of our Board.</w:t>
      </w:r>
    </w:p>
    <w:p>
      <w:pPr>
        <w:ind w:left="1520"/>
        <w:spacing w:after="0" w:line="6" w:lineRule="auto"/>
        <w:rPr>
          <w:sz w:val="20"/>
          <w:szCs w:val="20"/>
          <w:color w:val="auto"/>
        </w:rPr>
      </w:pPr>
      <w:r>
        <w:rPr>
          <w:rFonts w:ascii="Arial" w:cs="Arial" w:eastAsia="Arial" w:hAnsi="Arial"/>
          <w:sz w:val="1"/>
          <w:szCs w:val="1"/>
          <w:color w:val="FFFFFF"/>
        </w:rPr>
        <w:t>NameMembers ofPositionurBoardDate of Appointment</w:t>
      </w:r>
    </w:p>
    <w:p>
      <w:pPr>
        <w:ind w:left="360"/>
        <w:spacing w:after="0" w:line="188" w:lineRule="auto"/>
        <w:rPr>
          <w:sz w:val="20"/>
          <w:szCs w:val="20"/>
          <w:color w:val="auto"/>
        </w:rPr>
      </w:pPr>
      <w:r>
        <w:rPr>
          <w:rFonts w:ascii="Arial" w:cs="Arial" w:eastAsia="Arial" w:hAnsi="Arial"/>
          <w:sz w:val="9"/>
          <w:szCs w:val="9"/>
          <w:color w:val="FFFFFF"/>
        </w:rPr>
        <w:t>Age</w:t>
      </w:r>
    </w:p>
    <w:p>
      <w:pPr>
        <w:spacing w:after="0" w:line="187" w:lineRule="auto"/>
        <w:rPr>
          <w:sz w:val="20"/>
          <w:szCs w:val="20"/>
          <w:color w:val="auto"/>
        </w:rPr>
      </w:pPr>
      <w:r>
        <w:rPr>
          <w:rFonts w:ascii="Arial" w:cs="Arial" w:eastAsia="Arial" w:hAnsi="Arial"/>
          <w:sz w:val="9"/>
          <w:szCs w:val="9"/>
          <w:color w:val="FFFFFF"/>
        </w:rPr>
        <w:t>ExecutiveStephen .Director,Wynn70 Chairman of the Board, 16 September 2009</w:t>
      </w:r>
    </w:p>
    <w:p>
      <w:pPr>
        <w:spacing w:after="0" w:line="188" w:lineRule="auto"/>
        <w:rPr>
          <w:sz w:val="20"/>
          <w:szCs w:val="20"/>
          <w:color w:val="auto"/>
        </w:rPr>
      </w:pPr>
      <w:r>
        <w:rPr>
          <w:rFonts w:ascii="Arial" w:cs="Arial" w:eastAsia="Arial" w:hAnsi="Arial"/>
          <w:sz w:val="9"/>
          <w:szCs w:val="9"/>
          <w:color w:val="FFFFFF"/>
        </w:rPr>
        <w:t>andChiefPresidentExecutive Officer</w:t>
      </w:r>
    </w:p>
    <w:p>
      <w:pPr>
        <w:spacing w:after="0"/>
        <w:rPr>
          <w:sz w:val="20"/>
          <w:szCs w:val="20"/>
          <w:color w:val="auto"/>
        </w:rPr>
      </w:pPr>
      <w:r>
        <w:rPr>
          <w:rFonts w:ascii="Arial" w:cs="Arial" w:eastAsia="Arial" w:hAnsi="Arial"/>
          <w:sz w:val="3"/>
          <w:szCs w:val="3"/>
          <w:color w:val="FFFFFF"/>
        </w:rPr>
        <w:t>ChiefLinda OperatingChen45ExecutiveOfficer Director and 16 September 2009</w:t>
      </w:r>
    </w:p>
    <w:p>
      <w:pPr>
        <w:spacing w:after="0" w:line="194" w:lineRule="auto"/>
        <w:rPr>
          <w:sz w:val="20"/>
          <w:szCs w:val="20"/>
          <w:color w:val="auto"/>
        </w:rPr>
      </w:pPr>
      <w:r>
        <w:rPr>
          <w:rFonts w:ascii="Arial" w:cs="Arial" w:eastAsia="Arial" w:hAnsi="Arial"/>
          <w:sz w:val="5"/>
          <w:szCs w:val="5"/>
          <w:color w:val="FFFFFF"/>
        </w:rPr>
        <w:t>Ian Michael Coughlan 53 Executive Director 16 September 2009</w:t>
      </w:r>
    </w:p>
    <w:p>
      <w:pPr>
        <w:spacing w:after="0" w:line="188" w:lineRule="auto"/>
        <w:rPr>
          <w:sz w:val="20"/>
          <w:szCs w:val="20"/>
          <w:color w:val="auto"/>
        </w:rPr>
      </w:pPr>
      <w:r>
        <w:rPr>
          <w:rFonts w:ascii="Arial" w:cs="Arial" w:eastAsia="Arial" w:hAnsi="Arial"/>
          <w:sz w:val="9"/>
          <w:szCs w:val="9"/>
          <w:color w:val="FFFFFF"/>
        </w:rPr>
        <w:t>Marc D. Schorr 64 Non-executive Director 16 September 2009</w:t>
      </w:r>
    </w:p>
    <w:p>
      <w:pPr>
        <w:spacing w:after="0" w:line="187" w:lineRule="auto"/>
        <w:rPr>
          <w:sz w:val="20"/>
          <w:szCs w:val="20"/>
          <w:color w:val="auto"/>
        </w:rPr>
      </w:pPr>
      <w:r>
        <w:rPr>
          <w:rFonts w:ascii="Arial" w:cs="Arial" w:eastAsia="Arial" w:hAnsi="Arial"/>
          <w:sz w:val="9"/>
          <w:szCs w:val="9"/>
          <w:color w:val="FFFFFF"/>
        </w:rPr>
        <w:t>andAllanNonZeman,-executiveGBM,DirectorGBS,JP 64 Vice-chairman of the Board 16 September 2009</w:t>
      </w:r>
    </w:p>
    <w:p>
      <w:pPr>
        <w:spacing w:after="0" w:line="188" w:lineRule="auto"/>
        <w:rPr>
          <w:sz w:val="20"/>
          <w:szCs w:val="20"/>
          <w:color w:val="auto"/>
        </w:rPr>
      </w:pPr>
      <w:r>
        <w:rPr>
          <w:rFonts w:ascii="Arial" w:cs="Arial" w:eastAsia="Arial" w:hAnsi="Arial"/>
          <w:sz w:val="9"/>
          <w:szCs w:val="9"/>
          <w:color w:val="FFFFFF"/>
        </w:rPr>
        <w:t>NonJeffrey-executiveKin-fungDirectorLam,GBS, JP 60 Independent 16 September 2009</w:t>
      </w:r>
    </w:p>
    <w:p>
      <w:pPr>
        <w:spacing w:after="0" w:line="188" w:lineRule="auto"/>
        <w:rPr>
          <w:sz w:val="20"/>
          <w:szCs w:val="20"/>
          <w:color w:val="auto"/>
        </w:rPr>
      </w:pPr>
      <w:r>
        <w:rPr>
          <w:rFonts w:ascii="Arial" w:cs="Arial" w:eastAsia="Arial" w:hAnsi="Arial"/>
          <w:sz w:val="9"/>
          <w:szCs w:val="9"/>
          <w:color w:val="FFFFFF"/>
          <w:vertAlign w:val="superscript"/>
        </w:rPr>
        <w:t>Non</w:t>
      </w:r>
      <w:r>
        <w:rPr>
          <w:rFonts w:ascii="Arial" w:cs="Arial" w:eastAsia="Arial" w:hAnsi="Arial"/>
          <w:sz w:val="7"/>
          <w:szCs w:val="7"/>
          <w:color w:val="FFFFFF"/>
        </w:rPr>
        <w:t>Bruce</w:t>
      </w:r>
      <w:r>
        <w:rPr>
          <w:rFonts w:ascii="Arial" w:cs="Arial" w:eastAsia="Arial" w:hAnsi="Arial"/>
          <w:sz w:val="9"/>
          <w:szCs w:val="9"/>
          <w:color w:val="FFFFFF"/>
          <w:vertAlign w:val="subscript"/>
        </w:rPr>
        <w:t>icholas</w:t>
      </w:r>
      <w:r>
        <w:rPr>
          <w:rFonts w:ascii="Arial" w:cs="Arial" w:eastAsia="Arial" w:hAnsi="Arial"/>
          <w:sz w:val="7"/>
          <w:szCs w:val="7"/>
          <w:color w:val="FFFFFF"/>
        </w:rPr>
        <w:t>-executiveRockowitzDirector53Independent 16 September 2009</w:t>
      </w:r>
    </w:p>
    <w:p>
      <w:pPr>
        <w:ind w:left="240"/>
        <w:spacing w:after="0" w:line="188" w:lineRule="auto"/>
        <w:rPr>
          <w:sz w:val="20"/>
          <w:szCs w:val="20"/>
          <w:color w:val="auto"/>
        </w:rPr>
      </w:pPr>
      <w:r>
        <w:rPr>
          <w:rFonts w:ascii="Arial" w:cs="Arial" w:eastAsia="Arial" w:hAnsi="Arial"/>
          <w:sz w:val="9"/>
          <w:szCs w:val="9"/>
          <w:color w:val="FFFFFF"/>
        </w:rPr>
        <w:t>-executiveSallnowDirector-Smith 62 Independent 16 September 2009</w:t>
      </w:r>
    </w:p>
    <w:p>
      <w:pPr>
        <w:spacing w:after="0" w:line="213" w:lineRule="auto"/>
        <w:rPr>
          <w:sz w:val="20"/>
          <w:szCs w:val="20"/>
          <w:color w:val="auto"/>
        </w:rPr>
      </w:pPr>
      <w:r>
        <w:rPr>
          <w:rFonts w:ascii="Arial" w:cs="Arial" w:eastAsia="Arial" w:hAnsi="Arial"/>
          <w:sz w:val="2"/>
          <w:szCs w:val="2"/>
          <w:color w:val="FFFFFF"/>
        </w:rPr>
        <w:t>The</w:t>
      </w:r>
      <w:r>
        <w:rPr>
          <w:rFonts w:ascii="Arial" w:cs="Arial" w:eastAsia="Arial" w:hAnsi="Arial"/>
          <w:sz w:val="4"/>
          <w:szCs w:val="4"/>
          <w:color w:val="FFFFFF"/>
          <w:vertAlign w:val="subscript"/>
        </w:rPr>
        <w:t>Executive</w:t>
      </w:r>
      <w:r>
        <w:rPr>
          <w:rFonts w:ascii="Arial" w:cs="Arial" w:eastAsia="Arial" w:hAnsi="Arial"/>
          <w:sz w:val="2"/>
          <w:szCs w:val="2"/>
          <w:color w:val="FFFFFF"/>
        </w:rPr>
        <w:t>biographyDirectorsofeach Director during the six months ended 30 June 2012 is set out below:</w:t>
      </w:r>
    </w:p>
    <w:p>
      <w:pPr>
        <w:spacing w:after="0"/>
        <w:rPr>
          <w:sz w:val="20"/>
          <w:szCs w:val="20"/>
          <w:color w:val="auto"/>
        </w:rPr>
      </w:pPr>
      <w:r>
        <w:rPr>
          <w:rFonts w:ascii="Arial" w:cs="Arial" w:eastAsia="Arial" w:hAnsi="Arial"/>
          <w:sz w:val="6"/>
          <w:szCs w:val="6"/>
          <w:color w:val="FFFFFF"/>
        </w:rPr>
        <w:t xml:space="preserve">Mr. Stephen A. Wynn, aged 70, has been a Director of the Company since its inception and an executive Director, the Chairman of the Board of Directors, Chief Executive officer and President of the Company since 16 September 2009. Mr. Wynn has served as Director, Chairman and Chief Executive Officer of WRM since October 2001. Mr. Wynn has also served </w:t>
      </w:r>
      <w:r>
        <w:rPr>
          <w:rFonts w:ascii="Arial" w:cs="Arial" w:eastAsia="Arial" w:hAnsi="Arial"/>
          <w:sz w:val="7"/>
          <w:szCs w:val="7"/>
          <w:color w:val="FFFFFF"/>
          <w:vertAlign w:val="superscript"/>
        </w:rPr>
        <w:t>was</w:t>
      </w:r>
      <w:r>
        <w:rPr>
          <w:rFonts w:ascii="Arial" w:cs="Arial" w:eastAsia="Arial" w:hAnsi="Arial"/>
          <w:sz w:val="6"/>
          <w:szCs w:val="6"/>
          <w:color w:val="FFFFFF"/>
        </w:rPr>
        <w:t>Chairman and Chief Executive Officer of Wynn</w:t>
      </w:r>
    </w:p>
    <w:p>
      <w:pPr>
        <w:spacing w:after="0"/>
        <w:tabs>
          <w:tab w:leader="none" w:pos="8680" w:val="left"/>
        </w:tabs>
        <w:rPr>
          <w:sz w:val="20"/>
          <w:szCs w:val="20"/>
          <w:color w:val="auto"/>
        </w:rPr>
      </w:pPr>
      <w:r>
        <w:rPr>
          <w:rFonts w:ascii="Arial" w:cs="Arial" w:eastAsia="Arial" w:hAnsi="Arial"/>
          <w:sz w:val="2"/>
          <w:szCs w:val="2"/>
          <w:color w:val="FFFFFF"/>
        </w:rPr>
        <w:t>Resorts, Limited since June 2002. Mr. Wynn has over 40 years of experience in the gaming casino industry. From April 2000</w:t>
      </w:r>
      <w:r>
        <w:rPr>
          <w:rFonts w:ascii="Arial" w:cs="Arial" w:eastAsia="Arial" w:hAnsi="Arial"/>
          <w:sz w:val="4"/>
          <w:szCs w:val="4"/>
          <w:color w:val="FFFFFF"/>
          <w:vertAlign w:val="subscript"/>
        </w:rPr>
        <w:t>director</w:t>
      </w:r>
      <w:r>
        <w:rPr>
          <w:rFonts w:ascii="Arial" w:cs="Arial" w:eastAsia="Arial" w:hAnsi="Arial"/>
          <w:sz w:val="2"/>
          <w:szCs w:val="2"/>
          <w:color w:val="FFFFFF"/>
        </w:rPr>
        <w:t>September 2002, Mr. Wynn</w:t>
      </w:r>
      <w:r>
        <w:rPr>
          <w:sz w:val="20"/>
          <w:szCs w:val="20"/>
          <w:color w:val="auto"/>
        </w:rPr>
        <w:tab/>
      </w:r>
      <w:r>
        <w:rPr>
          <w:rFonts w:ascii="Arial" w:cs="Arial" w:eastAsia="Arial" w:hAnsi="Arial"/>
          <w:sz w:val="3"/>
          <w:szCs w:val="3"/>
          <w:color w:val="FFFFFF"/>
        </w:rPr>
        <w:t>the managing member of Valvino Lamore, LLC,</w:t>
      </w:r>
    </w:p>
    <w:p>
      <w:pPr>
        <w:spacing w:after="0"/>
        <w:tabs>
          <w:tab w:leader="none" w:pos="7200" w:val="left"/>
        </w:tabs>
        <w:rPr>
          <w:sz w:val="20"/>
          <w:szCs w:val="20"/>
          <w:color w:val="auto"/>
        </w:rPr>
      </w:pPr>
      <w:r>
        <w:rPr>
          <w:rFonts w:ascii="Arial" w:cs="Arial" w:eastAsia="Arial" w:hAnsi="Arial"/>
          <w:sz w:val="14"/>
          <w:szCs w:val="14"/>
          <w:color w:val="FFFFFF"/>
        </w:rPr>
        <w:t>the predecessor and a current wholly owned subsidiary of Wynn Resorts, Limited. Mr. Wynn also serves as an officer and/or</w:t>
      </w:r>
      <w:r>
        <w:rPr>
          <w:sz w:val="20"/>
          <w:szCs w:val="20"/>
          <w:color w:val="auto"/>
        </w:rPr>
        <w:tab/>
      </w:r>
      <w:r>
        <w:rPr>
          <w:rFonts w:ascii="Arial" w:cs="Arial" w:eastAsia="Arial" w:hAnsi="Arial"/>
          <w:sz w:val="12"/>
          <w:szCs w:val="12"/>
          <w:color w:val="FFFFFF"/>
        </w:rPr>
        <w:t>of several subsidiaries</w:t>
      </w:r>
    </w:p>
    <w:p>
      <w:pPr>
        <w:sectPr>
          <w:pgSz w:w="11900" w:h="16838" w:orient="portrait"/>
          <w:cols w:equalWidth="0" w:num="1">
            <w:col w:w="11320"/>
          </w:cols>
          <w:pgMar w:left="240" w:top="1440"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color w:val="FFFFFF"/>
              </w:rPr>
              <w:t>Interim Report 2012 29</w:t>
            </w:r>
          </w:p>
        </w:tc>
        <w:tc>
          <w:tcPr>
            <w:tcW w:w="15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900" w:type="dxa"/>
            <w:vAlign w:val="bottom"/>
          </w:tcPr>
          <w:p>
            <w:pPr>
              <w:spacing w:after="0"/>
              <w:rPr>
                <w:sz w:val="20"/>
                <w:szCs w:val="20"/>
                <w:color w:val="auto"/>
              </w:rPr>
            </w:pPr>
            <w:r>
              <w:rPr>
                <w:rFonts w:ascii="Arial" w:cs="Arial" w:eastAsia="Arial" w:hAnsi="Arial"/>
                <w:sz w:val="3"/>
                <w:szCs w:val="3"/>
                <w:color w:val="FFFFFF"/>
              </w:rPr>
              <w:t>Directors and Senior Management</w:t>
            </w:r>
          </w:p>
        </w:tc>
        <w:tc>
          <w:tcPr>
            <w:tcW w:w="15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5320" w:type="dxa"/>
            <w:vAlign w:val="bottom"/>
            <w:vMerge w:val="restart"/>
          </w:tcPr>
          <w:p>
            <w:pPr>
              <w:ind w:left="240"/>
              <w:spacing w:after="0" w:line="81" w:lineRule="exact"/>
              <w:rPr>
                <w:sz w:val="20"/>
                <w:szCs w:val="20"/>
                <w:color w:val="auto"/>
              </w:rPr>
            </w:pPr>
            <w:r>
              <w:rPr>
                <w:rFonts w:ascii="Arial" w:cs="Arial" w:eastAsia="Arial" w:hAnsi="Arial"/>
                <w:sz w:val="9"/>
                <w:szCs w:val="9"/>
                <w:color w:val="FFFFFF"/>
              </w:rPr>
              <w:t>Inc. and its predecessor, Golden Nugget Inc., between 1973 and 2000. Mr. Wynn developed</w:t>
            </w:r>
          </w:p>
        </w:tc>
        <w:tc>
          <w:tcPr>
            <w:tcW w:w="0" w:type="dxa"/>
            <w:vAlign w:val="bottom"/>
          </w:tcPr>
          <w:p>
            <w:pPr>
              <w:spacing w:after="0"/>
              <w:rPr>
                <w:sz w:val="1"/>
                <w:szCs w:val="1"/>
                <w:color w:val="auto"/>
              </w:rPr>
            </w:pPr>
          </w:p>
        </w:tc>
      </w:tr>
      <w:tr>
        <w:trPr>
          <w:trHeight w:val="41"/>
        </w:trPr>
        <w:tc>
          <w:tcPr>
            <w:tcW w:w="6080" w:type="dxa"/>
            <w:vAlign w:val="bottom"/>
            <w:gridSpan w:val="3"/>
          </w:tcPr>
          <w:p>
            <w:pPr>
              <w:spacing w:after="0"/>
              <w:rPr>
                <w:sz w:val="20"/>
                <w:szCs w:val="20"/>
                <w:color w:val="auto"/>
              </w:rPr>
            </w:pPr>
            <w:r>
              <w:rPr>
                <w:rFonts w:ascii="Arial" w:cs="Arial" w:eastAsia="Arial" w:hAnsi="Arial"/>
                <w:sz w:val="3"/>
                <w:szCs w:val="3"/>
                <w:color w:val="FFFFFF"/>
              </w:rPr>
              <w:t>of Wynn Resorts, Limited. Mr. Wynn served as Chairman, President and Chief Executive Officer of Mirage</w:t>
            </w:r>
          </w:p>
        </w:tc>
        <w:tc>
          <w:tcPr>
            <w:tcW w:w="5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00" w:type="dxa"/>
            <w:vAlign w:val="bottom"/>
          </w:tcPr>
          <w:p>
            <w:pPr>
              <w:spacing w:after="0"/>
              <w:rPr>
                <w:sz w:val="20"/>
                <w:szCs w:val="20"/>
                <w:color w:val="auto"/>
              </w:rPr>
            </w:pPr>
            <w:r>
              <w:rPr>
                <w:rFonts w:ascii="Arial" w:cs="Arial" w:eastAsia="Arial" w:hAnsi="Arial"/>
                <w:sz w:val="3"/>
                <w:szCs w:val="3"/>
                <w:color w:val="FFFFFF"/>
              </w:rPr>
              <w:t>and opened The Mirage, Treasure</w:t>
            </w:r>
          </w:p>
        </w:tc>
        <w:tc>
          <w:tcPr>
            <w:tcW w:w="9500" w:type="dxa"/>
            <w:vAlign w:val="bottom"/>
            <w:gridSpan w:val="3"/>
          </w:tcPr>
          <w:p>
            <w:pPr>
              <w:ind w:left="320"/>
              <w:spacing w:after="0"/>
              <w:rPr>
                <w:sz w:val="20"/>
                <w:szCs w:val="20"/>
                <w:color w:val="auto"/>
              </w:rPr>
            </w:pPr>
            <w:r>
              <w:rPr>
                <w:rFonts w:ascii="Arial" w:cs="Arial" w:eastAsia="Arial" w:hAnsi="Arial"/>
                <w:sz w:val="3"/>
                <w:szCs w:val="3"/>
                <w:color w:val="FFFFFF"/>
              </w:rPr>
              <w:t>and Bellagio in 1989, 1993 and 1998, respectively. In 2011, Barron’Resorts,ranked Mr. Wynn as one of the world’s 30 best CEOs.</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Ms. Linda Chen, aged 45, has beenIslandexecutive Director and the Chief Operating officer of the Company since 16 September 2009 and Chief Operating Officer of WRM since June 2002. Ms. Chen is</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respons ble for the marketing and strategic development of WRM. Ms. Chen is also a director of Wynn Resorts, Limited and President of WIML. In these positions, she is responsible for the setup of</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international marketing operations of Wynn Resorts, Limited. Prior to joining the Group, Ms. Chen was Executive Vice President — International Marketing at MGM Mirage, a role she held from June 2000</w:t>
            </w:r>
          </w:p>
        </w:tc>
        <w:tc>
          <w:tcPr>
            <w:tcW w:w="0" w:type="dxa"/>
            <w:vAlign w:val="bottom"/>
          </w:tcPr>
          <w:p>
            <w:pPr>
              <w:spacing w:after="0"/>
              <w:rPr>
                <w:sz w:val="1"/>
                <w:szCs w:val="1"/>
                <w:color w:val="auto"/>
              </w:rPr>
            </w:pPr>
          </w:p>
        </w:tc>
      </w:tr>
      <w:tr>
        <w:trPr>
          <w:trHeight w:val="41"/>
        </w:trPr>
        <w:tc>
          <w:tcPr>
            <w:tcW w:w="3420" w:type="dxa"/>
            <w:vAlign w:val="bottom"/>
            <w:gridSpan w:val="2"/>
          </w:tcPr>
          <w:p>
            <w:pPr>
              <w:spacing w:after="0"/>
              <w:rPr>
                <w:sz w:val="20"/>
                <w:szCs w:val="20"/>
                <w:color w:val="auto"/>
              </w:rPr>
            </w:pPr>
            <w:r>
              <w:rPr>
                <w:rFonts w:ascii="Arial" w:cs="Arial" w:eastAsia="Arial" w:hAnsi="Arial"/>
                <w:sz w:val="3"/>
                <w:szCs w:val="3"/>
                <w:color w:val="FFFFFF"/>
              </w:rPr>
              <w:t>until May 2002, and was responsible for the international</w:t>
            </w:r>
          </w:p>
        </w:tc>
        <w:tc>
          <w:tcPr>
            <w:tcW w:w="7980" w:type="dxa"/>
            <w:vAlign w:val="bottom"/>
            <w:gridSpan w:val="2"/>
          </w:tcPr>
          <w:p>
            <w:pPr>
              <w:ind w:left="300"/>
              <w:spacing w:after="0"/>
              <w:rPr>
                <w:sz w:val="20"/>
                <w:szCs w:val="20"/>
                <w:color w:val="auto"/>
              </w:rPr>
            </w:pPr>
            <w:r>
              <w:rPr>
                <w:rFonts w:ascii="Arial" w:cs="Arial" w:eastAsia="Arial" w:hAnsi="Arial"/>
                <w:sz w:val="3"/>
                <w:szCs w:val="3"/>
                <w:color w:val="FFFFFF"/>
              </w:rPr>
              <w:t>operations for MGM Grand, Bellagio and The Mirage. Prior to this position, Ms. Chen served as the Executive Vice President of International</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Marketing for Bellagio and was involved with its openingmarketing1998.She was also involved in the opening of the MGM Grand in 1993 and The Mirage in 1989. Ms. Chen is also a member of the Nanjing</w:t>
            </w:r>
          </w:p>
        </w:tc>
        <w:tc>
          <w:tcPr>
            <w:tcW w:w="0" w:type="dxa"/>
            <w:vAlign w:val="bottom"/>
          </w:tcPr>
          <w:p>
            <w:pPr>
              <w:spacing w:after="0"/>
              <w:rPr>
                <w:sz w:val="1"/>
                <w:szCs w:val="1"/>
                <w:color w:val="auto"/>
              </w:rPr>
            </w:pPr>
          </w:p>
        </w:tc>
      </w:tr>
      <w:tr>
        <w:trPr>
          <w:trHeight w:val="41"/>
        </w:trPr>
        <w:tc>
          <w:tcPr>
            <w:tcW w:w="1900" w:type="dxa"/>
            <w:vAlign w:val="bottom"/>
          </w:tcPr>
          <w:p>
            <w:pPr>
              <w:spacing w:after="0"/>
              <w:rPr>
                <w:sz w:val="20"/>
                <w:szCs w:val="20"/>
                <w:color w:val="auto"/>
              </w:rPr>
            </w:pPr>
            <w:r>
              <w:rPr>
                <w:rFonts w:ascii="Arial" w:cs="Arial" w:eastAsia="Arial" w:hAnsi="Arial"/>
                <w:sz w:val="3"/>
                <w:szCs w:val="3"/>
                <w:color w:val="FFFFFF"/>
              </w:rPr>
              <w:t>Committee of the Chinese People’</w:t>
            </w:r>
          </w:p>
        </w:tc>
        <w:tc>
          <w:tcPr>
            <w:tcW w:w="9500" w:type="dxa"/>
            <w:vAlign w:val="bottom"/>
            <w:gridSpan w:val="3"/>
          </w:tcPr>
          <w:p>
            <w:pPr>
              <w:ind w:left="40"/>
              <w:spacing w:after="0"/>
              <w:rPr>
                <w:sz w:val="20"/>
                <w:szCs w:val="20"/>
                <w:color w:val="auto"/>
              </w:rPr>
            </w:pPr>
            <w:r>
              <w:rPr>
                <w:rFonts w:ascii="Arial" w:cs="Arial" w:eastAsia="Arial" w:hAnsi="Arial"/>
                <w:sz w:val="3"/>
                <w:szCs w:val="3"/>
                <w:color w:val="FFFFFF"/>
              </w:rPr>
              <w:t>Political Consultative Conference (Macau). Ms. Chen holds a Bachelor of Science Degree in Hotel Administration from Cornell University in 1989 and completed the</w:t>
            </w:r>
          </w:p>
        </w:tc>
        <w:tc>
          <w:tcPr>
            <w:tcW w:w="0" w:type="dxa"/>
            <w:vAlign w:val="bottom"/>
          </w:tcPr>
          <w:p>
            <w:pPr>
              <w:spacing w:after="0"/>
              <w:rPr>
                <w:sz w:val="1"/>
                <w:szCs w:val="1"/>
                <w:color w:val="auto"/>
              </w:rPr>
            </w:pPr>
          </w:p>
        </w:tc>
      </w:tr>
      <w:tr>
        <w:trPr>
          <w:trHeight w:val="0"/>
        </w:trPr>
        <w:tc>
          <w:tcPr>
            <w:tcW w:w="6080" w:type="dxa"/>
            <w:vAlign w:val="bottom"/>
            <w:gridSpan w:val="3"/>
          </w:tcPr>
          <w:p>
            <w:pPr>
              <w:spacing w:after="0"/>
              <w:rPr>
                <w:sz w:val="20"/>
                <w:szCs w:val="20"/>
                <w:color w:val="auto"/>
              </w:rPr>
            </w:pPr>
            <w:r>
              <w:rPr>
                <w:rFonts w:ascii="Arial" w:cs="Arial" w:eastAsia="Arial" w:hAnsi="Arial"/>
                <w:sz w:val="3"/>
                <w:szCs w:val="3"/>
                <w:color w:val="FFFFFF"/>
              </w:rPr>
              <w:t>Stanford Graduate School of Business Executive Development Program in 1997.</w:t>
            </w:r>
          </w:p>
        </w:tc>
        <w:tc>
          <w:tcPr>
            <w:tcW w:w="5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40"/>
        <w:spacing w:after="0" w:line="217" w:lineRule="auto"/>
        <w:rPr>
          <w:sz w:val="20"/>
          <w:szCs w:val="20"/>
          <w:color w:val="auto"/>
        </w:rPr>
      </w:pPr>
      <w:r>
        <w:rPr>
          <w:rFonts w:ascii="Arial" w:cs="Arial" w:eastAsia="Arial" w:hAnsi="Arial"/>
          <w:sz w:val="2"/>
          <w:szCs w:val="2"/>
          <w:color w:val="FFFFFF"/>
        </w:rPr>
        <w:t>Mr. Ian Michael Coughlan, aged 53, has been an executive Director of the Company since 16 September 2009. Mr. Coughlan is also the President of WRM, a position he has held since July 2007. In this role, he is responsible for the</w:t>
      </w:r>
      <w:r>
        <w:rPr>
          <w:rFonts w:ascii="Arial" w:cs="Arial" w:eastAsia="Arial" w:hAnsi="Arial"/>
          <w:sz w:val="4"/>
          <w:szCs w:val="4"/>
          <w:color w:val="FFFFFF"/>
          <w:vertAlign w:val="subscript"/>
        </w:rPr>
        <w:t>experience</w:t>
      </w:r>
      <w:r>
        <w:rPr>
          <w:rFonts w:ascii="Arial" w:cs="Arial" w:eastAsia="Arial" w:hAnsi="Arial"/>
          <w:sz w:val="2"/>
          <w:szCs w:val="2"/>
          <w:color w:val="FFFFFF"/>
        </w:rPr>
        <w:t>entireoperation and development of Wynn Macau. Prior to this role, Mr. Coughlan was Director of Hotel Operations — Worldwide for Wynn Resorts, Limited. Mr. Coughlan has over 30</w:t>
      </w:r>
    </w:p>
    <w:p>
      <w:pPr>
        <w:ind w:right="160"/>
        <w:spacing w:after="0"/>
        <w:rPr>
          <w:sz w:val="20"/>
          <w:szCs w:val="20"/>
          <w:color w:val="auto"/>
        </w:rPr>
      </w:pPr>
      <w:r>
        <w:rPr>
          <w:rFonts w:ascii="Arial" w:cs="Arial" w:eastAsia="Arial" w:hAnsi="Arial"/>
          <w:sz w:val="6"/>
          <w:szCs w:val="6"/>
          <w:color w:val="FFFFFF"/>
        </w:rPr>
        <w:t xml:space="preserve">years of hospitality with leading hotels across Asia, Europe and the United States. Before joining Wynn Resorts, Limited, he spent ten years with The Peninsula Group, including posts as General Manager of The Peninsula Hong Kong from September 2004 to January 2007, and General Manager of The Peninsula Bangkok from </w:t>
      </w:r>
      <w:r>
        <w:rPr>
          <w:rFonts w:ascii="Arial" w:cs="Arial" w:eastAsia="Arial" w:hAnsi="Arial"/>
          <w:sz w:val="7"/>
          <w:szCs w:val="7"/>
          <w:color w:val="FFFFFF"/>
          <w:vertAlign w:val="subscript"/>
        </w:rPr>
        <w:t>Diploma</w:t>
      </w:r>
      <w:r>
        <w:rPr>
          <w:rFonts w:ascii="Arial" w:cs="Arial" w:eastAsia="Arial" w:hAnsi="Arial"/>
          <w:sz w:val="6"/>
          <w:szCs w:val="6"/>
          <w:color w:val="FFFFFF"/>
        </w:rPr>
        <w:t>Setember 1999 to August 2004. His previous assignments include senior</w:t>
      </w:r>
    </w:p>
    <w:p>
      <w:pPr>
        <w:spacing w:after="0"/>
        <w:tabs>
          <w:tab w:leader="none" w:pos="7740" w:val="left"/>
        </w:tabs>
        <w:rPr>
          <w:sz w:val="20"/>
          <w:szCs w:val="20"/>
          <w:color w:val="auto"/>
        </w:rPr>
      </w:pPr>
      <w:r>
        <w:rPr>
          <w:rFonts w:ascii="Arial" w:cs="Arial" w:eastAsia="Arial" w:hAnsi="Arial"/>
          <w:sz w:val="14"/>
          <w:szCs w:val="14"/>
          <w:color w:val="FFFFFF"/>
        </w:rPr>
        <w:t>management positions at The Oriental Singapore, and a number of Ritz-Carlton properties in the United States. Mr. Coughlan holds a</w:t>
      </w:r>
      <w:r>
        <w:rPr>
          <w:sz w:val="20"/>
          <w:szCs w:val="20"/>
          <w:color w:val="auto"/>
        </w:rPr>
        <w:tab/>
      </w:r>
      <w:r>
        <w:rPr>
          <w:rFonts w:ascii="Arial" w:cs="Arial" w:eastAsia="Arial" w:hAnsi="Arial"/>
          <w:sz w:val="12"/>
          <w:szCs w:val="12"/>
          <w:color w:val="FFFFFF"/>
        </w:rPr>
        <w:t>from Shannon College of Hotel Management, Ireland.</w:t>
      </w:r>
    </w:p>
    <w:p>
      <w:pPr>
        <w:sectPr>
          <w:pgSz w:w="11900" w:h="16838" w:orient="portrait"/>
          <w:cols w:equalWidth="0" w:num="1">
            <w:col w:w="11400"/>
          </w:cols>
          <w:pgMar w:left="240" w:top="1440" w:right="25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color w:val="FFFFFF"/>
              </w:rPr>
              <w:t>30 Wynn Macau, Limited</w:t>
            </w:r>
          </w:p>
        </w:tc>
        <w:tc>
          <w:tcPr>
            <w:tcW w:w="17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0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1760" w:type="dxa"/>
            <w:vAlign w:val="bottom"/>
          </w:tcPr>
          <w:p>
            <w:pPr>
              <w:spacing w:after="0"/>
              <w:rPr>
                <w:sz w:val="3"/>
                <w:szCs w:val="3"/>
                <w:color w:val="auto"/>
              </w:rPr>
            </w:pPr>
          </w:p>
        </w:tc>
        <w:tc>
          <w:tcPr>
            <w:tcW w:w="3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2"/>
          </w:tcPr>
          <w:p>
            <w:pPr>
              <w:spacing w:after="0"/>
              <w:rPr>
                <w:sz w:val="20"/>
                <w:szCs w:val="20"/>
                <w:color w:val="auto"/>
              </w:rPr>
            </w:pPr>
            <w:r>
              <w:rPr>
                <w:rFonts w:ascii="Arial" w:cs="Arial" w:eastAsia="Arial" w:hAnsi="Arial"/>
                <w:sz w:val="3"/>
                <w:szCs w:val="3"/>
                <w:color w:val="FFFFFF"/>
              </w:rPr>
              <w:t>Non-executive Directors</w:t>
            </w:r>
          </w:p>
        </w:tc>
        <w:tc>
          <w:tcPr>
            <w:tcW w:w="1760" w:type="dxa"/>
            <w:vAlign w:val="bottom"/>
          </w:tcPr>
          <w:p>
            <w:pPr>
              <w:spacing w:after="0"/>
              <w:rPr>
                <w:sz w:val="3"/>
                <w:szCs w:val="3"/>
                <w:color w:val="auto"/>
              </w:rPr>
            </w:pPr>
          </w:p>
        </w:tc>
        <w:tc>
          <w:tcPr>
            <w:tcW w:w="3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Mr. Marc D. Sc orr, aged 64, has been  non-executive Director of the Company since 16 September 2009, and also a director of WRM. He is also the Chief Operating Officer of Wynn Resorts, Limited, a</w:t>
            </w:r>
          </w:p>
        </w:tc>
        <w:tc>
          <w:tcPr>
            <w:tcW w:w="0" w:type="dxa"/>
            <w:vAlign w:val="bottom"/>
          </w:tcPr>
          <w:p>
            <w:pPr>
              <w:spacing w:after="0"/>
              <w:rPr>
                <w:sz w:val="1"/>
                <w:szCs w:val="1"/>
                <w:color w:val="auto"/>
              </w:rPr>
            </w:pPr>
          </w:p>
        </w:tc>
      </w:tr>
      <w:tr>
        <w:trPr>
          <w:trHeight w:val="41"/>
        </w:trPr>
        <w:tc>
          <w:tcPr>
            <w:tcW w:w="2300" w:type="dxa"/>
            <w:vAlign w:val="bottom"/>
            <w:gridSpan w:val="2"/>
          </w:tcPr>
          <w:p>
            <w:pPr>
              <w:spacing w:after="0"/>
              <w:rPr>
                <w:sz w:val="20"/>
                <w:szCs w:val="20"/>
                <w:color w:val="auto"/>
              </w:rPr>
            </w:pPr>
            <w:r>
              <w:rPr>
                <w:rFonts w:ascii="Arial" w:cs="Arial" w:eastAsia="Arial" w:hAnsi="Arial"/>
                <w:sz w:val="3"/>
                <w:szCs w:val="3"/>
                <w:color w:val="FFFFFF"/>
              </w:rPr>
              <w:t>position he has held since June 2002, and</w:t>
            </w:r>
          </w:p>
        </w:tc>
        <w:tc>
          <w:tcPr>
            <w:tcW w:w="9100" w:type="dxa"/>
            <w:vAlign w:val="bottom"/>
            <w:gridSpan w:val="4"/>
          </w:tcPr>
          <w:p>
            <w:pPr>
              <w:ind w:left="80"/>
              <w:spacing w:after="0"/>
              <w:rPr>
                <w:sz w:val="20"/>
                <w:szCs w:val="20"/>
                <w:color w:val="auto"/>
              </w:rPr>
            </w:pPr>
            <w:r>
              <w:rPr>
                <w:rFonts w:ascii="Arial" w:cs="Arial" w:eastAsia="Arial" w:hAnsi="Arial"/>
                <w:sz w:val="3"/>
                <w:szCs w:val="3"/>
                <w:color w:val="FFFFFF"/>
              </w:rPr>
              <w:t>director of WRL since 29 July 2010. Mr. Schorr has over 32 years of experience in the casino gaming industry. From June 2000 through April 2001, Mr. Schorr served</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as Chief Operating Officer of Valvino Lamore, LLC. Prior to joining the Group, Mr. Schorr held various positions including President of The Mirage Casino-Hotel from January 1997 until May 2000 and Chief</w:t>
            </w:r>
          </w:p>
        </w:tc>
        <w:tc>
          <w:tcPr>
            <w:tcW w:w="0" w:type="dxa"/>
            <w:vAlign w:val="bottom"/>
          </w:tcPr>
          <w:p>
            <w:pPr>
              <w:spacing w:after="0"/>
              <w:rPr>
                <w:sz w:val="1"/>
                <w:szCs w:val="1"/>
                <w:color w:val="auto"/>
              </w:rPr>
            </w:pPr>
          </w:p>
        </w:tc>
      </w:tr>
      <w:tr>
        <w:trPr>
          <w:trHeight w:val="41"/>
        </w:trPr>
        <w:tc>
          <w:tcPr>
            <w:tcW w:w="7780" w:type="dxa"/>
            <w:vAlign w:val="bottom"/>
            <w:gridSpan w:val="4"/>
          </w:tcPr>
          <w:p>
            <w:pPr>
              <w:spacing w:after="0"/>
              <w:rPr>
                <w:sz w:val="20"/>
                <w:szCs w:val="20"/>
                <w:color w:val="auto"/>
              </w:rPr>
            </w:pPr>
            <w:r>
              <w:rPr>
                <w:rFonts w:ascii="Arial" w:cs="Arial" w:eastAsia="Arial" w:hAnsi="Arial"/>
                <w:sz w:val="3"/>
                <w:szCs w:val="3"/>
                <w:color w:val="FFFFFF"/>
              </w:rPr>
              <w:t>Execut ve Officer of Treasure Island at The Mirage from August 1992. In 1989, as President and Chief Executive Officer of the Golden Nugget</w:t>
            </w:r>
          </w:p>
        </w:tc>
        <w:tc>
          <w:tcPr>
            <w:tcW w:w="1060" w:type="dxa"/>
            <w:vAlign w:val="bottom"/>
          </w:tcPr>
          <w:p>
            <w:pPr>
              <w:ind w:left="160"/>
              <w:spacing w:after="0"/>
              <w:rPr>
                <w:sz w:val="20"/>
                <w:szCs w:val="20"/>
                <w:color w:val="auto"/>
              </w:rPr>
            </w:pPr>
            <w:r>
              <w:rPr>
                <w:rFonts w:ascii="Arial" w:cs="Arial" w:eastAsia="Arial" w:hAnsi="Arial"/>
                <w:sz w:val="3"/>
                <w:szCs w:val="3"/>
                <w:color w:val="FFFFFF"/>
              </w:rPr>
              <w:t>Laughlin,</w:t>
            </w:r>
          </w:p>
        </w:tc>
        <w:tc>
          <w:tcPr>
            <w:tcW w:w="2560" w:type="dxa"/>
            <w:vAlign w:val="bottom"/>
          </w:tcPr>
          <w:p>
            <w:pPr>
              <w:ind w:left="140"/>
              <w:spacing w:after="0"/>
              <w:rPr>
                <w:sz w:val="20"/>
                <w:szCs w:val="20"/>
                <w:color w:val="auto"/>
              </w:rPr>
            </w:pPr>
            <w:r>
              <w:rPr>
                <w:rFonts w:ascii="Arial" w:cs="Arial" w:eastAsia="Arial" w:hAnsi="Arial"/>
                <w:sz w:val="3"/>
                <w:szCs w:val="3"/>
                <w:color w:val="FFFFFF"/>
              </w:rPr>
              <w:t>he managed its multi-million dollar</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expansion program. Preceding that in 1984, as director of Casino Marketing for the Golden Nugget in Las Vegas, he established a casino marketing departmentNevada,and branch office network throughout the United</w:t>
            </w:r>
          </w:p>
        </w:tc>
        <w:tc>
          <w:tcPr>
            <w:tcW w:w="0" w:type="dxa"/>
            <w:vAlign w:val="bottom"/>
          </w:tcPr>
          <w:p>
            <w:pPr>
              <w:spacing w:after="0"/>
              <w:rPr>
                <w:sz w:val="1"/>
                <w:szCs w:val="1"/>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States.</w:t>
            </w:r>
          </w:p>
        </w:tc>
        <w:tc>
          <w:tcPr>
            <w:tcW w:w="1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7340" w:type="dxa"/>
            <w:vAlign w:val="bottom"/>
            <w:gridSpan w:val="3"/>
            <w:vMerge w:val="restart"/>
          </w:tcPr>
          <w:p>
            <w:pPr>
              <w:ind w:left="280"/>
              <w:spacing w:after="0" w:line="81" w:lineRule="exact"/>
              <w:rPr>
                <w:sz w:val="20"/>
                <w:szCs w:val="20"/>
                <w:color w:val="auto"/>
              </w:rPr>
            </w:pPr>
            <w:r>
              <w:rPr>
                <w:rFonts w:ascii="Arial" w:cs="Arial" w:eastAsia="Arial" w:hAnsi="Arial"/>
                <w:sz w:val="9"/>
                <w:szCs w:val="9"/>
                <w:color w:val="FFFFFF"/>
              </w:rPr>
              <w:t>since its inception and a non-executive Director of the Company since 16 September 2009 and is the Vice Chairman of the</w:t>
            </w:r>
          </w:p>
        </w:tc>
        <w:tc>
          <w:tcPr>
            <w:tcW w:w="0" w:type="dxa"/>
            <w:vAlign w:val="bottom"/>
          </w:tcPr>
          <w:p>
            <w:pPr>
              <w:spacing w:after="0"/>
              <w:rPr>
                <w:sz w:val="1"/>
                <w:szCs w:val="1"/>
                <w:color w:val="auto"/>
              </w:rPr>
            </w:pPr>
          </w:p>
        </w:tc>
      </w:tr>
      <w:tr>
        <w:trPr>
          <w:trHeight w:val="41"/>
        </w:trPr>
        <w:tc>
          <w:tcPr>
            <w:tcW w:w="4060" w:type="dxa"/>
            <w:vAlign w:val="bottom"/>
            <w:gridSpan w:val="3"/>
          </w:tcPr>
          <w:p>
            <w:pPr>
              <w:spacing w:after="0"/>
              <w:rPr>
                <w:sz w:val="20"/>
                <w:szCs w:val="20"/>
                <w:color w:val="auto"/>
              </w:rPr>
            </w:pPr>
            <w:r>
              <w:rPr>
                <w:rFonts w:ascii="Arial" w:cs="Arial" w:eastAsia="Arial" w:hAnsi="Arial"/>
                <w:sz w:val="3"/>
                <w:szCs w:val="3"/>
                <w:color w:val="FFFFFF"/>
              </w:rPr>
              <w:t>Dr. Allan Zeman, GBM, GBS, JP, aged 64, has been a Director of the</w:t>
            </w:r>
          </w:p>
        </w:tc>
        <w:tc>
          <w:tcPr>
            <w:tcW w:w="7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Company. He is also</w:t>
            </w:r>
          </w:p>
        </w:tc>
        <w:tc>
          <w:tcPr>
            <w:tcW w:w="10220" w:type="dxa"/>
            <w:vAlign w:val="bottom"/>
            <w:gridSpan w:val="5"/>
          </w:tcPr>
          <w:p>
            <w:pPr>
              <w:ind w:left="80"/>
              <w:spacing w:after="0"/>
              <w:rPr>
                <w:sz w:val="20"/>
                <w:szCs w:val="20"/>
                <w:color w:val="auto"/>
              </w:rPr>
            </w:pPr>
            <w:r>
              <w:rPr>
                <w:rFonts w:ascii="Arial" w:cs="Arial" w:eastAsia="Arial" w:hAnsi="Arial"/>
                <w:sz w:val="3"/>
                <w:szCs w:val="3"/>
                <w:color w:val="FFFFFF"/>
              </w:rPr>
              <w:t>non-executive director of Wynn Resorts, Limited,Companyposition he has held since October 2002. Dr. Zeman founded The Colby International Group in 1975 to source and export fashion</w:t>
            </w:r>
          </w:p>
        </w:tc>
        <w:tc>
          <w:tcPr>
            <w:tcW w:w="0" w:type="dxa"/>
            <w:vAlign w:val="bottom"/>
          </w:tcPr>
          <w:p>
            <w:pPr>
              <w:spacing w:after="0"/>
              <w:rPr>
                <w:sz w:val="1"/>
                <w:szCs w:val="1"/>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apparel to North</w:t>
            </w:r>
          </w:p>
        </w:tc>
        <w:tc>
          <w:tcPr>
            <w:tcW w:w="10220" w:type="dxa"/>
            <w:vAlign w:val="bottom"/>
            <w:gridSpan w:val="5"/>
          </w:tcPr>
          <w:p>
            <w:pPr>
              <w:ind w:left="220"/>
              <w:spacing w:after="0"/>
              <w:rPr>
                <w:sz w:val="20"/>
                <w:szCs w:val="20"/>
                <w:color w:val="auto"/>
              </w:rPr>
            </w:pPr>
            <w:r>
              <w:rPr>
                <w:rFonts w:ascii="Arial" w:cs="Arial" w:eastAsia="Arial" w:hAnsi="Arial"/>
                <w:sz w:val="3"/>
                <w:szCs w:val="3"/>
                <w:color w:val="FFFFFF"/>
              </w:rPr>
              <w:t>. In late 2000, The Colby International Group merged with Li &amp; Fung Limited. Dr. Zeman is the Chairman of Lan Kwai Fong Holdings Limited. He is also the owner of Paradise</w:t>
            </w:r>
          </w:p>
        </w:tc>
        <w:tc>
          <w:tcPr>
            <w:tcW w:w="0" w:type="dxa"/>
            <w:vAlign w:val="bottom"/>
          </w:tcPr>
          <w:p>
            <w:pPr>
              <w:spacing w:after="0"/>
              <w:rPr>
                <w:sz w:val="1"/>
                <w:szCs w:val="1"/>
                <w:color w:val="auto"/>
              </w:rPr>
            </w:pPr>
          </w:p>
        </w:tc>
      </w:tr>
      <w:tr>
        <w:trPr>
          <w:trHeight w:val="41"/>
        </w:trPr>
        <w:tc>
          <w:tcPr>
            <w:tcW w:w="4060" w:type="dxa"/>
            <w:vAlign w:val="bottom"/>
            <w:gridSpan w:val="3"/>
          </w:tcPr>
          <w:p>
            <w:pPr>
              <w:spacing w:after="0"/>
              <w:rPr>
                <w:sz w:val="20"/>
                <w:szCs w:val="20"/>
                <w:color w:val="auto"/>
              </w:rPr>
            </w:pPr>
            <w:r>
              <w:rPr>
                <w:rFonts w:ascii="Arial" w:cs="Arial" w:eastAsia="Arial" w:hAnsi="Arial"/>
                <w:sz w:val="3"/>
                <w:szCs w:val="3"/>
                <w:color w:val="FFFFFF"/>
              </w:rPr>
              <w:t>Properties Group,Americaproperty developer in Thailand. Dr. Zeman is also</w:t>
            </w:r>
          </w:p>
        </w:tc>
        <w:tc>
          <w:tcPr>
            <w:tcW w:w="3720" w:type="dxa"/>
            <w:vAlign w:val="bottom"/>
          </w:tcPr>
          <w:p>
            <w:pPr>
              <w:ind w:left="400"/>
              <w:spacing w:after="0"/>
              <w:rPr>
                <w:sz w:val="20"/>
                <w:szCs w:val="20"/>
                <w:color w:val="auto"/>
              </w:rPr>
            </w:pPr>
            <w:r>
              <w:rPr>
                <w:rFonts w:ascii="Arial" w:cs="Arial" w:eastAsia="Arial" w:hAnsi="Arial"/>
                <w:sz w:val="3"/>
                <w:szCs w:val="3"/>
                <w:color w:val="FFFFFF"/>
              </w:rPr>
              <w:t>f Ocean Park, a major theme park in Hong Kong.</w:t>
            </w:r>
          </w:p>
        </w:tc>
        <w:tc>
          <w:tcPr>
            <w:tcW w:w="1060" w:type="dxa"/>
            <w:vAlign w:val="bottom"/>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Dr. Zeman is Vice Patron of Hong Kong Community Chest and serves Chairmanasdirector of the “Star” Ferry Company, Limited. Dr. Zeman also serves as an independent non-executive director of Pacifi c Century</w:t>
            </w:r>
          </w:p>
        </w:tc>
        <w:tc>
          <w:tcPr>
            <w:tcW w:w="0" w:type="dxa"/>
            <w:vAlign w:val="bottom"/>
          </w:tcPr>
          <w:p>
            <w:pPr>
              <w:spacing w:after="0"/>
              <w:rPr>
                <w:sz w:val="1"/>
                <w:szCs w:val="1"/>
                <w:color w:val="auto"/>
              </w:rPr>
            </w:pPr>
          </w:p>
        </w:tc>
      </w:tr>
      <w:tr>
        <w:trPr>
          <w:trHeight w:val="0"/>
        </w:trPr>
        <w:tc>
          <w:tcPr>
            <w:tcW w:w="7780" w:type="dxa"/>
            <w:vAlign w:val="bottom"/>
            <w:gridSpan w:val="4"/>
          </w:tcPr>
          <w:p>
            <w:pPr>
              <w:spacing w:after="0" w:line="80" w:lineRule="exact"/>
              <w:rPr>
                <w:sz w:val="20"/>
                <w:szCs w:val="20"/>
                <w:color w:val="auto"/>
              </w:rPr>
            </w:pPr>
            <w:r>
              <w:rPr>
                <w:rFonts w:ascii="Arial" w:cs="Arial" w:eastAsia="Arial" w:hAnsi="Arial"/>
                <w:sz w:val="9"/>
                <w:szCs w:val="9"/>
                <w:color w:val="FFFFFF"/>
              </w:rPr>
              <w:t>Premium Developments Limited, Sino Land Company Limited and Tsim Sha Tsui Properties Limited, all of which are listed on the Hong</w:t>
            </w:r>
          </w:p>
        </w:tc>
        <w:tc>
          <w:tcPr>
            <w:tcW w:w="1060" w:type="dxa"/>
            <w:vAlign w:val="bottom"/>
          </w:tcPr>
          <w:p>
            <w:pPr>
              <w:ind w:left="20"/>
              <w:spacing w:after="0" w:line="80" w:lineRule="exact"/>
              <w:rPr>
                <w:sz w:val="20"/>
                <w:szCs w:val="20"/>
                <w:color w:val="auto"/>
              </w:rPr>
            </w:pPr>
            <w:r>
              <w:rPr>
                <w:rFonts w:ascii="Arial" w:cs="Arial" w:eastAsia="Arial" w:hAnsi="Arial"/>
                <w:sz w:val="9"/>
                <w:szCs w:val="9"/>
                <w:color w:val="FFFFFF"/>
              </w:rPr>
              <w:t>Stock Exchange.</w:t>
            </w: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80"/>
        <w:spacing w:after="0"/>
        <w:rPr>
          <w:sz w:val="20"/>
          <w:szCs w:val="20"/>
          <w:color w:val="auto"/>
        </w:rPr>
      </w:pPr>
      <w:r>
        <w:rPr>
          <w:rFonts w:ascii="Arial" w:cs="Arial" w:eastAsia="Arial" w:hAnsi="Arial"/>
          <w:sz w:val="3"/>
          <w:szCs w:val="3"/>
          <w:color w:val="FFFFFF"/>
        </w:rPr>
        <w:t xml:space="preserve">Dr. Zeman is a member of the Food Business Task Force for Business Facilitation Advisory Committee, the Committee on the CommissionKongStrategic Development, the West Kowloon Cultural </w:t>
      </w:r>
      <w:r>
        <w:rPr>
          <w:rFonts w:ascii="Arial" w:cs="Arial" w:eastAsia="Arial" w:hAnsi="Arial"/>
          <w:sz w:val="6"/>
          <w:szCs w:val="6"/>
          <w:color w:val="FFFFFF"/>
          <w:vertAlign w:val="subscript"/>
        </w:rPr>
        <w:t>District</w:t>
      </w:r>
      <w:r>
        <w:rPr>
          <w:rFonts w:ascii="Arial" w:cs="Arial" w:eastAsia="Arial" w:hAnsi="Arial"/>
          <w:sz w:val="3"/>
          <w:szCs w:val="3"/>
          <w:color w:val="FFFFFF"/>
        </w:rPr>
        <w:t xml:space="preserve"> Authority (“WKCDA”), the Consultation Panel of the WKCDA, WKCDA Development Committee, WKCDA Investment Committee, and WKCDA Performing Arts Committee (of which Dr. Zeman the Chairman). In 2001, Dr. Zeman</w:t>
      </w:r>
      <w:r>
        <w:rPr>
          <w:rFonts w:ascii="Arial" w:cs="Arial" w:eastAsia="Arial" w:hAnsi="Arial"/>
          <w:sz w:val="6"/>
          <w:szCs w:val="6"/>
          <w:color w:val="FFFFFF"/>
          <w:vertAlign w:val="subscript"/>
        </w:rPr>
        <w:t>appointed</w:t>
      </w:r>
      <w:r>
        <w:rPr>
          <w:rFonts w:ascii="Arial" w:cs="Arial" w:eastAsia="Arial" w:hAnsi="Arial"/>
          <w:sz w:val="3"/>
          <w:szCs w:val="3"/>
          <w:color w:val="FFFFFF"/>
        </w:rPr>
        <w:t>joined the Richard Ivey School of Business’ Asian Advisory Board.</w:t>
      </w:r>
    </w:p>
    <w:p>
      <w:pPr>
        <w:spacing w:after="0" w:line="13"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color w:val="FFFFFF"/>
        </w:rPr>
        <w:t>In 2001, Dr. Zeman was</w:t>
      </w:r>
      <w:r>
        <w:rPr>
          <w:sz w:val="20"/>
          <w:szCs w:val="20"/>
          <w:color w:val="auto"/>
        </w:rPr>
        <w:tab/>
      </w:r>
      <w:r>
        <w:rPr>
          <w:rFonts w:ascii="Arial" w:cs="Arial" w:eastAsia="Arial" w:hAnsi="Arial"/>
          <w:sz w:val="12"/>
          <w:szCs w:val="12"/>
          <w:color w:val="FFFFFF"/>
        </w:rPr>
        <w:t>a Justice of the Peace. He was awarded the Gold Bauhinia Star in 2004 and the Grand Bauhinia Medal in 2011.</w:t>
      </w:r>
    </w:p>
    <w:p>
      <w:pPr>
        <w:sectPr>
          <w:pgSz w:w="11900" w:h="16838" w:orient="portrait"/>
          <w:cols w:equalWidth="0" w:num="1">
            <w:col w:w="11400"/>
          </w:cols>
          <w:pgMar w:left="240" w:top="1440" w:right="25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tcPr>
          <w:p>
            <w:pPr>
              <w:spacing w:after="0"/>
              <w:rPr>
                <w:sz w:val="20"/>
                <w:szCs w:val="20"/>
                <w:color w:val="auto"/>
              </w:rPr>
            </w:pPr>
            <w:r>
              <w:rPr>
                <w:rFonts w:ascii="Arial" w:cs="Arial" w:eastAsia="Arial" w:hAnsi="Arial"/>
                <w:sz w:val="14"/>
                <w:szCs w:val="14"/>
                <w:color w:val="FFFFFF"/>
              </w:rPr>
              <w:t>Interim Report 2012 31</w:t>
            </w: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760" w:type="dxa"/>
            <w:vAlign w:val="bottom"/>
          </w:tcPr>
          <w:p>
            <w:pPr>
              <w:spacing w:after="0"/>
              <w:rPr>
                <w:sz w:val="14"/>
                <w:szCs w:val="14"/>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Dir ctors and Senior Management</w:t>
            </w: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Independent non-executive Directors</w:t>
            </w: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Mr. Jeffrey Kin-fung Lam, GBS, JP, aged 60, has been an independent non-executive Director of the Company since 16 September 2009. Mr. Lam is a member of the National Committee of the Chinese People’s</w:t>
            </w: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Political</w:t>
            </w:r>
          </w:p>
        </w:tc>
        <w:tc>
          <w:tcPr>
            <w:tcW w:w="6960" w:type="dxa"/>
            <w:vAlign w:val="bottom"/>
            <w:gridSpan w:val="4"/>
          </w:tcPr>
          <w:p>
            <w:pPr>
              <w:ind w:left="500"/>
              <w:spacing w:after="0"/>
              <w:rPr>
                <w:sz w:val="20"/>
                <w:szCs w:val="20"/>
                <w:color w:val="auto"/>
              </w:rPr>
            </w:pPr>
            <w:r>
              <w:rPr>
                <w:rFonts w:ascii="Arial" w:cs="Arial" w:eastAsia="Arial" w:hAnsi="Arial"/>
                <w:sz w:val="3"/>
                <w:szCs w:val="3"/>
                <w:color w:val="FFFFFF"/>
              </w:rPr>
              <w:t>Conference, a member of the Hong Kong Legislative Council, the Chairman of the Assessment Committee of Mega</w:t>
            </w:r>
          </w:p>
        </w:tc>
        <w:tc>
          <w:tcPr>
            <w:tcW w:w="3760" w:type="dxa"/>
            <w:vAlign w:val="bottom"/>
          </w:tcPr>
          <w:p>
            <w:pPr>
              <w:jc w:val="right"/>
              <w:ind w:right="203"/>
              <w:spacing w:after="0"/>
              <w:rPr>
                <w:sz w:val="20"/>
                <w:szCs w:val="20"/>
                <w:color w:val="auto"/>
              </w:rPr>
            </w:pPr>
            <w:r>
              <w:rPr>
                <w:rFonts w:ascii="Arial" w:cs="Arial" w:eastAsia="Arial" w:hAnsi="Arial"/>
                <w:sz w:val="3"/>
                <w:szCs w:val="3"/>
                <w:color w:val="FFFFFF"/>
              </w:rPr>
              <w:t>Funds, a member of the board of the West Kowloon Cultural</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District Authority,Consultativemember of the board of Hong Kong Airport Authority, a member of the Independent Commission Against Corruption’EventsAdvisory Committee on Corruption, and a member of the Fight Crime</w:t>
            </w: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Committee</w:t>
            </w:r>
          </w:p>
        </w:tc>
        <w:tc>
          <w:tcPr>
            <w:tcW w:w="10720" w:type="dxa"/>
            <w:vAlign w:val="bottom"/>
            <w:gridSpan w:val="5"/>
          </w:tcPr>
          <w:p>
            <w:pPr>
              <w:jc w:val="right"/>
              <w:ind w:right="63"/>
              <w:spacing w:after="0"/>
              <w:rPr>
                <w:sz w:val="20"/>
                <w:szCs w:val="20"/>
                <w:color w:val="auto"/>
              </w:rPr>
            </w:pPr>
            <w:r>
              <w:rPr>
                <w:rFonts w:ascii="Arial" w:cs="Arial" w:eastAsia="Arial" w:hAnsi="Arial"/>
                <w:sz w:val="3"/>
                <w:szCs w:val="3"/>
                <w:color w:val="FFFFFF"/>
              </w:rPr>
              <w:t>Hong Kong. Mr. Lam is also a General C mmittee Member of the Hong Kong General Chamber of Commerce and the Vice-Chairman of The Hong Kong Shippers’ Council. In addition, Mr. Lam</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is an independent non-executive director of CC Land Holdings Limited, Hsin Chong Construction Group Ltd., China Overseas Grand Oceans Group Limited, Sateri Holdings Limited and Chow Tai Fook</w:t>
            </w:r>
          </w:p>
        </w:tc>
      </w:tr>
      <w:tr>
        <w:trPr>
          <w:trHeight w:val="41"/>
        </w:trPr>
        <w:tc>
          <w:tcPr>
            <w:tcW w:w="4980" w:type="dxa"/>
            <w:vAlign w:val="bottom"/>
            <w:gridSpan w:val="3"/>
          </w:tcPr>
          <w:p>
            <w:pPr>
              <w:spacing w:after="0"/>
              <w:rPr>
                <w:sz w:val="20"/>
                <w:szCs w:val="20"/>
                <w:color w:val="auto"/>
              </w:rPr>
            </w:pPr>
            <w:r>
              <w:rPr>
                <w:rFonts w:ascii="Arial" w:cs="Arial" w:eastAsia="Arial" w:hAnsi="Arial"/>
                <w:sz w:val="3"/>
                <w:szCs w:val="3"/>
                <w:color w:val="FFFFFF"/>
              </w:rPr>
              <w:t>Jewellery Group Limited, all of which are listed on the Hong Kong Stock Exchange.</w:t>
            </w:r>
          </w:p>
        </w:tc>
        <w:tc>
          <w:tcPr>
            <w:tcW w:w="5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In 1996, Mr. Lam was appointed Justice of the Peace and became a member of the Most Excellent Order of the British Empire. He was awarded the honor of the Gold Bauhinia Star in July 2011 and the Silver</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Bauhinia Star in 2004. Mr. Lam was co ferred University Fellow of Tufts University in the United States and Hong Kong Polytechnic University in 1997 and in 2000, respectively.</w:t>
            </w:r>
          </w:p>
        </w:tc>
      </w:tr>
      <w:tr>
        <w:trPr>
          <w:trHeight w:val="41"/>
        </w:trPr>
        <w:tc>
          <w:tcPr>
            <w:tcW w:w="4980" w:type="dxa"/>
            <w:vAlign w:val="bottom"/>
            <w:gridSpan w:val="3"/>
          </w:tcPr>
          <w:p>
            <w:pPr>
              <w:spacing w:after="0"/>
              <w:rPr>
                <w:sz w:val="20"/>
                <w:szCs w:val="20"/>
                <w:color w:val="auto"/>
              </w:rPr>
            </w:pPr>
            <w:r>
              <w:rPr>
                <w:rFonts w:ascii="Arial" w:cs="Arial" w:eastAsia="Arial" w:hAnsi="Arial"/>
                <w:sz w:val="3"/>
                <w:szCs w:val="3"/>
                <w:color w:val="FFFFFF"/>
              </w:rPr>
              <w:t>Mr. Bruce Rockowitz, aged 53, has been an independent non-executive Director of the</w:t>
            </w:r>
          </w:p>
        </w:tc>
        <w:tc>
          <w:tcPr>
            <w:tcW w:w="6440" w:type="dxa"/>
            <w:vAlign w:val="bottom"/>
            <w:gridSpan w:val="3"/>
          </w:tcPr>
          <w:p>
            <w:pPr>
              <w:jc w:val="right"/>
              <w:ind w:right="83"/>
              <w:spacing w:after="0"/>
              <w:rPr>
                <w:sz w:val="20"/>
                <w:szCs w:val="20"/>
                <w:color w:val="auto"/>
              </w:rPr>
            </w:pPr>
            <w:r>
              <w:rPr>
                <w:rFonts w:ascii="Arial" w:cs="Arial" w:eastAsia="Arial" w:hAnsi="Arial"/>
                <w:sz w:val="3"/>
                <w:szCs w:val="3"/>
                <w:color w:val="FFFFFF"/>
              </w:rPr>
              <w:t>since 16 September 2009. Mr. Rockowitz is also the Group President and Chief Executive Officer of Li &amp; Fung</w:t>
            </w:r>
          </w:p>
        </w:tc>
      </w:tr>
      <w:tr>
        <w:trPr>
          <w:trHeight w:val="41"/>
        </w:trPr>
        <w:tc>
          <w:tcPr>
            <w:tcW w:w="5480" w:type="dxa"/>
            <w:vAlign w:val="bottom"/>
            <w:gridSpan w:val="4"/>
          </w:tcPr>
          <w:p>
            <w:pPr>
              <w:spacing w:after="0"/>
              <w:rPr>
                <w:sz w:val="20"/>
                <w:szCs w:val="20"/>
                <w:color w:val="auto"/>
              </w:rPr>
            </w:pPr>
            <w:r>
              <w:rPr>
                <w:rFonts w:ascii="Arial" w:cs="Arial" w:eastAsia="Arial" w:hAnsi="Arial"/>
                <w:sz w:val="3"/>
                <w:szCs w:val="3"/>
                <w:color w:val="FFFFFF"/>
              </w:rPr>
              <w:t>Limited,  company listed on the Hong Kong Stock Exchange. Mr. Rockowitz has beenCompanyexecutive</w:t>
            </w:r>
          </w:p>
        </w:tc>
        <w:tc>
          <w:tcPr>
            <w:tcW w:w="5940" w:type="dxa"/>
            <w:vAlign w:val="bottom"/>
            <w:gridSpan w:val="2"/>
          </w:tcPr>
          <w:p>
            <w:pPr>
              <w:jc w:val="right"/>
              <w:ind w:right="303"/>
              <w:spacing w:after="0"/>
              <w:rPr>
                <w:sz w:val="20"/>
                <w:szCs w:val="20"/>
                <w:color w:val="auto"/>
              </w:rPr>
            </w:pPr>
            <w:r>
              <w:rPr>
                <w:rFonts w:ascii="Arial" w:cs="Arial" w:eastAsia="Arial" w:hAnsi="Arial"/>
                <w:sz w:val="3"/>
                <w:szCs w:val="3"/>
                <w:color w:val="FFFFFF"/>
              </w:rPr>
              <w:t>of Li &amp; Fung Limited since 2001 and was the co-founder and Chief Executive Officer of Colby</w:t>
            </w:r>
          </w:p>
        </w:tc>
      </w:tr>
      <w:tr>
        <w:trPr>
          <w:trHeight w:val="41"/>
        </w:trPr>
        <w:tc>
          <w:tcPr>
            <w:tcW w:w="7660" w:type="dxa"/>
            <w:vAlign w:val="bottom"/>
            <w:gridSpan w:val="5"/>
          </w:tcPr>
          <w:p>
            <w:pPr>
              <w:spacing w:after="0"/>
              <w:rPr>
                <w:sz w:val="20"/>
                <w:szCs w:val="20"/>
                <w:color w:val="auto"/>
              </w:rPr>
            </w:pPr>
            <w:r>
              <w:rPr>
                <w:rFonts w:ascii="Arial" w:cs="Arial" w:eastAsia="Arial" w:hAnsi="Arial"/>
                <w:sz w:val="3"/>
                <w:szCs w:val="3"/>
                <w:color w:val="FFFFFF"/>
              </w:rPr>
              <w:t>International Limited, a large Hong Kong buying agent, prior to the sale of Colby International LimiteddirectorLi &amp; Fung Limited in 2000. He is</w:t>
            </w:r>
          </w:p>
        </w:tc>
        <w:tc>
          <w:tcPr>
            <w:tcW w:w="3760" w:type="dxa"/>
            <w:vAlign w:val="bottom"/>
          </w:tcPr>
          <w:p>
            <w:pPr>
              <w:jc w:val="right"/>
              <w:ind w:right="263"/>
              <w:spacing w:after="0"/>
              <w:rPr>
                <w:sz w:val="20"/>
                <w:szCs w:val="20"/>
                <w:color w:val="auto"/>
              </w:rPr>
            </w:pPr>
            <w:r>
              <w:rPr>
                <w:rFonts w:ascii="Arial" w:cs="Arial" w:eastAsia="Arial" w:hAnsi="Arial"/>
                <w:sz w:val="3"/>
                <w:szCs w:val="3"/>
                <w:color w:val="FFFFFF"/>
              </w:rPr>
              <w:t>member of the Advisory Board for the Wharton School’s Jay H</w:t>
            </w:r>
          </w:p>
        </w:tc>
      </w:tr>
      <w:tr>
        <w:trPr>
          <w:trHeight w:val="41"/>
        </w:trPr>
        <w:tc>
          <w:tcPr>
            <w:tcW w:w="5480" w:type="dxa"/>
            <w:vAlign w:val="bottom"/>
            <w:gridSpan w:val="4"/>
          </w:tcPr>
          <w:p>
            <w:pPr>
              <w:spacing w:after="0"/>
              <w:rPr>
                <w:sz w:val="20"/>
                <w:szCs w:val="20"/>
                <w:color w:val="auto"/>
              </w:rPr>
            </w:pPr>
            <w:r>
              <w:rPr>
                <w:rFonts w:ascii="Arial" w:cs="Arial" w:eastAsia="Arial" w:hAnsi="Arial"/>
                <w:sz w:val="3"/>
                <w:szCs w:val="3"/>
                <w:color w:val="FFFFFF"/>
              </w:rPr>
              <w:t>Baker Retailing Center, an industry research center for retail at the University of Pennsylvania. He</w:t>
            </w:r>
          </w:p>
        </w:tc>
        <w:tc>
          <w:tcPr>
            <w:tcW w:w="5940" w:type="dxa"/>
            <w:vAlign w:val="bottom"/>
            <w:gridSpan w:val="2"/>
          </w:tcPr>
          <w:p>
            <w:pPr>
              <w:jc w:val="right"/>
              <w:ind w:right="63"/>
              <w:spacing w:after="0"/>
              <w:rPr>
                <w:sz w:val="20"/>
                <w:szCs w:val="20"/>
                <w:color w:val="auto"/>
              </w:rPr>
            </w:pPr>
            <w:r>
              <w:rPr>
                <w:rFonts w:ascii="Arial" w:cs="Arial" w:eastAsia="Arial" w:hAnsi="Arial"/>
                <w:sz w:val="3"/>
                <w:szCs w:val="3"/>
                <w:color w:val="FFFFFF"/>
              </w:rPr>
              <w:t>also a board member of the Education Foundation for Fashion Industries, the private fund-raising arm of the</w:t>
            </w: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Fashion Institute of Technology, New York. In March 2012, he</w:t>
            </w:r>
          </w:p>
        </w:tc>
        <w:tc>
          <w:tcPr>
            <w:tcW w:w="7560" w:type="dxa"/>
            <w:vAlign w:val="bottom"/>
            <w:gridSpan w:val="4"/>
          </w:tcPr>
          <w:p>
            <w:pPr>
              <w:jc w:val="right"/>
              <w:ind w:right="643"/>
              <w:spacing w:after="0"/>
              <w:rPr>
                <w:sz w:val="20"/>
                <w:szCs w:val="20"/>
                <w:color w:val="auto"/>
              </w:rPr>
            </w:pPr>
            <w:r>
              <w:rPr>
                <w:rFonts w:ascii="Arial" w:cs="Arial" w:eastAsia="Arial" w:hAnsi="Arial"/>
                <w:sz w:val="3"/>
                <w:szCs w:val="3"/>
                <w:color w:val="FFFFFF"/>
              </w:rPr>
              <w:t>a member of the Global Advisory Council of the Women’s Tennis Association (WTA). In addition to his position at Li &amp; Fung,</w:t>
            </w:r>
          </w:p>
        </w:tc>
      </w:tr>
      <w:tr>
        <w:trPr>
          <w:trHeight w:val="0"/>
        </w:trPr>
        <w:tc>
          <w:tcPr>
            <w:tcW w:w="3860" w:type="dxa"/>
            <w:vAlign w:val="bottom"/>
            <w:gridSpan w:val="2"/>
          </w:tcPr>
          <w:p>
            <w:pPr>
              <w:spacing w:after="0" w:line="80" w:lineRule="exact"/>
              <w:rPr>
                <w:sz w:val="20"/>
                <w:szCs w:val="20"/>
                <w:color w:val="auto"/>
              </w:rPr>
            </w:pPr>
            <w:r>
              <w:rPr>
                <w:rFonts w:ascii="Arial" w:cs="Arial" w:eastAsia="Arial" w:hAnsi="Arial"/>
                <w:sz w:val="9"/>
                <w:szCs w:val="9"/>
                <w:color w:val="FFFFFF"/>
              </w:rPr>
              <w:t>Mr. Rockowitz is the non-executive Chairman of The Pure Group,became</w:t>
            </w:r>
          </w:p>
        </w:tc>
        <w:tc>
          <w:tcPr>
            <w:tcW w:w="7560" w:type="dxa"/>
            <w:vAlign w:val="bottom"/>
            <w:gridSpan w:val="4"/>
          </w:tcPr>
          <w:p>
            <w:pPr>
              <w:jc w:val="right"/>
              <w:ind w:right="203"/>
              <w:spacing w:after="0" w:line="80" w:lineRule="exact"/>
              <w:rPr>
                <w:sz w:val="20"/>
                <w:szCs w:val="20"/>
                <w:color w:val="auto"/>
              </w:rPr>
            </w:pPr>
            <w:r>
              <w:rPr>
                <w:rFonts w:ascii="Arial" w:cs="Arial" w:eastAsia="Arial" w:hAnsi="Arial"/>
                <w:sz w:val="9"/>
                <w:szCs w:val="9"/>
                <w:color w:val="FFFFFF"/>
              </w:rPr>
              <w:t>fi tness and yoga group operating in Hong Kong, Singapore and Taiwan and soon to be opening in mainland China. In December</w:t>
            </w:r>
          </w:p>
        </w:tc>
      </w:tr>
    </w:tbl>
    <w:p>
      <w:pPr>
        <w:spacing w:after="0" w:line="25" w:lineRule="auto"/>
        <w:tabs>
          <w:tab w:leader="none" w:pos="3700" w:val="left"/>
        </w:tabs>
        <w:rPr>
          <w:sz w:val="20"/>
          <w:szCs w:val="20"/>
          <w:color w:val="auto"/>
        </w:rPr>
      </w:pPr>
      <w:r>
        <w:rPr>
          <w:rFonts w:ascii="Arial" w:cs="Arial" w:eastAsia="Arial" w:hAnsi="Arial"/>
          <w:sz w:val="1"/>
          <w:szCs w:val="1"/>
          <w:color w:val="FFFFFF"/>
          <w:vertAlign w:val="superscript"/>
        </w:rPr>
        <w:t>201</w:t>
      </w:r>
      <w:r>
        <w:rPr>
          <w:sz w:val="20"/>
          <w:szCs w:val="20"/>
          <w:color w:val="auto"/>
        </w:rPr>
        <w:tab/>
      </w:r>
      <w:r>
        <w:rPr>
          <w:rFonts w:ascii="Arial" w:cs="Arial" w:eastAsia="Arial" w:hAnsi="Arial"/>
          <w:sz w:val="1"/>
          <w:szCs w:val="1"/>
          <w:color w:val="FFFFFF"/>
        </w:rPr>
        <w:t>lifestyle,</w:t>
      </w:r>
    </w:p>
    <w:p>
      <w:pPr>
        <w:ind w:left="140"/>
        <w:spacing w:after="0"/>
        <w:rPr>
          <w:sz w:val="20"/>
          <w:szCs w:val="20"/>
          <w:color w:val="auto"/>
        </w:rPr>
      </w:pPr>
      <w:r>
        <w:rPr>
          <w:rFonts w:ascii="Arial" w:cs="Arial" w:eastAsia="Arial" w:hAnsi="Arial"/>
          <w:sz w:val="3"/>
          <w:szCs w:val="3"/>
          <w:color w:val="FFFFFF"/>
        </w:rPr>
        <w:t>08,1, heMr.wasRockowitzpresentedwaswithrankedtheAlumnifirstbyAchievementInstitutional InvestorAwardbyfortheAsia’UniversityBestCEOsofVermont.intheconsumerIn2012, Mr.category.RockowitzInthewasyearsnamed2010 Asia’sand2011,BestheCEOwasatalsoCorporateranked asGovernanceoneofthe Asia’sworld’s 30 best CEOs by Barron’s. In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Excellence Recognition Awards, and he was also presented with an Asian Corporate Director Recognition Award by the same organization.</w:t>
      </w:r>
    </w:p>
    <w:p>
      <w:pPr>
        <w:sectPr>
          <w:pgSz w:w="11900" w:h="16838" w:orient="portrait"/>
          <w:cols w:equalWidth="0" w:num="1">
            <w:col w:w="11420"/>
          </w:cols>
          <w:pgMar w:left="240" w:top="1440" w:right="2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20"/>
                <w:szCs w:val="20"/>
                <w:color w:val="auto"/>
              </w:rPr>
            </w:pPr>
            <w:r>
              <w:rPr>
                <w:rFonts w:ascii="Arial" w:cs="Arial" w:eastAsia="Arial" w:hAnsi="Arial"/>
                <w:sz w:val="14"/>
                <w:szCs w:val="14"/>
                <w:color w:val="FFFFFF"/>
              </w:rPr>
              <w:t>32 Wynn Macau, Limited</w:t>
            </w:r>
          </w:p>
        </w:tc>
        <w:tc>
          <w:tcPr>
            <w:tcW w:w="39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Directors and Senior Management</w:t>
            </w:r>
          </w:p>
        </w:tc>
        <w:tc>
          <w:tcPr>
            <w:tcW w:w="390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Mr. Nicholas Sallnow-Smith, aged 62, has been an independent non-executive Director of the Company since 16 September 2009. Mr. Sallnow-Smith has also served as the Chairman and an indepe dent non-</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executive director of The Link Management Limited since April 2007 and is also Chairman of the Link Management Limited’s Finance and Investment, and Nominations Committees. The Link</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Limited is the manager to the Link Real Estate Investment Trust, a company listed on the Hong Kong Stock Exchange. Mr. Sallnow-Smith is also a non-executive director of Unitech Corporate ParksManagementPlc.,</w:t>
            </w:r>
          </w:p>
        </w:tc>
      </w:tr>
      <w:tr>
        <w:trPr>
          <w:trHeight w:val="41"/>
        </w:trPr>
        <w:tc>
          <w:tcPr>
            <w:tcW w:w="9360" w:type="dxa"/>
            <w:vAlign w:val="bottom"/>
            <w:gridSpan w:val="3"/>
          </w:tcPr>
          <w:p>
            <w:pPr>
              <w:spacing w:after="0"/>
              <w:rPr>
                <w:sz w:val="20"/>
                <w:szCs w:val="20"/>
                <w:color w:val="auto"/>
              </w:rPr>
            </w:pPr>
            <w:r>
              <w:rPr>
                <w:rFonts w:ascii="Arial" w:cs="Arial" w:eastAsia="Arial" w:hAnsi="Arial"/>
                <w:sz w:val="3"/>
                <w:szCs w:val="3"/>
                <w:color w:val="FFFFFF"/>
              </w:rPr>
              <w:t>company listed on the London Stock Exchange in the Alternative Investment Market (“AIM”); a non-executive director of Aviva Life Insurance Limited (Hong Kong); and</w:t>
            </w:r>
          </w:p>
        </w:tc>
        <w:tc>
          <w:tcPr>
            <w:tcW w:w="2040" w:type="dxa"/>
            <w:vAlign w:val="bottom"/>
          </w:tcPr>
          <w:p>
            <w:pPr>
              <w:jc w:val="right"/>
              <w:ind w:right="143"/>
              <w:spacing w:after="0"/>
              <w:rPr>
                <w:sz w:val="20"/>
                <w:szCs w:val="20"/>
                <w:color w:val="auto"/>
              </w:rPr>
            </w:pPr>
            <w:r>
              <w:rPr>
                <w:rFonts w:ascii="Arial" w:cs="Arial" w:eastAsia="Arial" w:hAnsi="Arial"/>
                <w:sz w:val="3"/>
                <w:szCs w:val="3"/>
                <w:color w:val="FFFFFF"/>
              </w:rPr>
              <w:t>member of the Advisory Board of</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Winnington Group. Prior to joining The Link Management Limited, Mr. Sallnow-Smith was Chief Executive of Hongkong Land Holdings Limited from February 2000 to March 2007. He has a wide ranging</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finance background in Asia and the United Kingdom for over 30 years, including his roles as Finance Director of Hongkong Land Holdings Limited from 1998 to 2000 and as Group Treasurer of Jardine</w:t>
            </w:r>
          </w:p>
        </w:tc>
      </w:tr>
      <w:tr>
        <w:trPr>
          <w:trHeight w:val="41"/>
        </w:trPr>
        <w:tc>
          <w:tcPr>
            <w:tcW w:w="2240" w:type="dxa"/>
            <w:vAlign w:val="bottom"/>
          </w:tcPr>
          <w:p>
            <w:pPr>
              <w:ind w:left="120"/>
              <w:spacing w:after="0"/>
              <w:rPr>
                <w:sz w:val="20"/>
                <w:szCs w:val="20"/>
                <w:color w:val="auto"/>
              </w:rPr>
            </w:pPr>
            <w:r>
              <w:rPr>
                <w:rFonts w:ascii="Arial" w:cs="Arial" w:eastAsia="Arial" w:hAnsi="Arial"/>
                <w:sz w:val="3"/>
                <w:szCs w:val="3"/>
                <w:color w:val="FFFFFF"/>
              </w:rPr>
              <w:t>atheson Limited from 1993 to 1998.</w:t>
            </w:r>
          </w:p>
        </w:tc>
        <w:tc>
          <w:tcPr>
            <w:tcW w:w="390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41"/>
        </w:trPr>
        <w:tc>
          <w:tcPr>
            <w:tcW w:w="11400" w:type="dxa"/>
            <w:vAlign w:val="bottom"/>
            <w:gridSpan w:val="4"/>
          </w:tcPr>
          <w:p>
            <w:pPr>
              <w:jc w:val="right"/>
              <w:spacing w:after="0"/>
              <w:rPr>
                <w:sz w:val="20"/>
                <w:szCs w:val="20"/>
                <w:color w:val="auto"/>
              </w:rPr>
            </w:pPr>
            <w:r>
              <w:rPr>
                <w:rFonts w:ascii="Arial" w:cs="Arial" w:eastAsia="Arial" w:hAnsi="Arial"/>
                <w:sz w:val="3"/>
                <w:szCs w:val="3"/>
                <w:color w:val="FFFFFF"/>
              </w:rPr>
              <w:t>. Sallnow-Smith’s early career was spent in the British Civil Service, where he worked for Her Majesty’ Treasury in Whitehall, London from 1975 to 1985. During that time, he was seconded for two years to</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Manufacturers Hanover London, working in export finance and in their merchant banking division, Manufacturers Hanover Limited. He left the Civil Service in 1985, following a period working in the</w:t>
            </w:r>
          </w:p>
        </w:tc>
      </w:tr>
      <w:tr>
        <w:trPr>
          <w:trHeight w:val="41"/>
        </w:trPr>
        <w:tc>
          <w:tcPr>
            <w:tcW w:w="9360" w:type="dxa"/>
            <w:vAlign w:val="bottom"/>
            <w:gridSpan w:val="3"/>
          </w:tcPr>
          <w:p>
            <w:pPr>
              <w:spacing w:after="0"/>
              <w:rPr>
                <w:sz w:val="20"/>
                <w:szCs w:val="20"/>
                <w:color w:val="auto"/>
              </w:rPr>
            </w:pPr>
            <w:r>
              <w:rPr>
                <w:rFonts w:ascii="Arial" w:cs="Arial" w:eastAsia="Arial" w:hAnsi="Arial"/>
                <w:sz w:val="3"/>
                <w:szCs w:val="3"/>
                <w:color w:val="FFFFFF"/>
              </w:rPr>
              <w:t>International Finance section of H. M. Treasury on Paris Club and other intern tional debt policy matters, and spent two years with Lloyds Bank before moving into the</w:t>
            </w:r>
          </w:p>
        </w:tc>
        <w:tc>
          <w:tcPr>
            <w:tcW w:w="2040" w:type="dxa"/>
            <w:vAlign w:val="bottom"/>
          </w:tcPr>
          <w:p>
            <w:pPr>
              <w:jc w:val="right"/>
              <w:ind w:right="183"/>
              <w:spacing w:after="0"/>
              <w:rPr>
                <w:sz w:val="20"/>
                <w:szCs w:val="20"/>
                <w:color w:val="auto"/>
              </w:rPr>
            </w:pPr>
            <w:r>
              <w:rPr>
                <w:rFonts w:ascii="Arial" w:cs="Arial" w:eastAsia="Arial" w:hAnsi="Arial"/>
                <w:sz w:val="3"/>
                <w:szCs w:val="3"/>
                <w:color w:val="FFFFFF"/>
              </w:rPr>
              <w:t>sector in 1987. Mr. Sallnow-</w:t>
            </w:r>
          </w:p>
        </w:tc>
      </w:tr>
      <w:tr>
        <w:trPr>
          <w:trHeight w:val="41"/>
        </w:trPr>
        <w:tc>
          <w:tcPr>
            <w:tcW w:w="11400" w:type="dxa"/>
            <w:vAlign w:val="bottom"/>
            <w:gridSpan w:val="4"/>
          </w:tcPr>
          <w:p>
            <w:pPr>
              <w:jc w:val="right"/>
              <w:spacing w:after="0"/>
              <w:rPr>
                <w:sz w:val="20"/>
                <w:szCs w:val="20"/>
                <w:color w:val="auto"/>
              </w:rPr>
            </w:pPr>
            <w:r>
              <w:rPr>
                <w:rFonts w:ascii="Arial" w:cs="Arial" w:eastAsia="Arial" w:hAnsi="Arial"/>
                <w:sz w:val="3"/>
                <w:szCs w:val="3"/>
                <w:color w:val="FFFFFF"/>
              </w:rPr>
              <w:t>mith served as the Convenor of the Hong Kong Association of Corporate Treasurers in 1996 to 2000 and as Chairman of the Matilda Child Development Centre. He is corporatedirector of the Hong Kong Philharmonic</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Society, Chairman of the Hong Kong Youth Arts Foundation, a member of the Council of the Treasury Markets Association (Hong Kong Association of Corporate Treasurers Representative). He is currently</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Chairman of the General Committee of The British Chamber of Commerce in Hong Kong and C airman of the Earth Champions, Hong Kong. He is also the Director of AFS Intercultural Exchanges Ltd. in</w:t>
            </w:r>
          </w:p>
        </w:tc>
      </w:tr>
      <w:tr>
        <w:trPr>
          <w:trHeight w:val="0"/>
        </w:trPr>
        <w:tc>
          <w:tcPr>
            <w:tcW w:w="2240" w:type="dxa"/>
            <w:vAlign w:val="bottom"/>
          </w:tcPr>
          <w:p>
            <w:pPr>
              <w:spacing w:after="0" w:line="80" w:lineRule="exact"/>
              <w:rPr>
                <w:sz w:val="20"/>
                <w:szCs w:val="20"/>
                <w:color w:val="auto"/>
              </w:rPr>
            </w:pPr>
            <w:r>
              <w:rPr>
                <w:rFonts w:ascii="Arial" w:cs="Arial" w:eastAsia="Arial" w:hAnsi="Arial"/>
                <w:sz w:val="9"/>
                <w:szCs w:val="9"/>
                <w:color w:val="FFFFFF"/>
              </w:rPr>
              <w:t>Hong Kong; a Councillor of the</w:t>
            </w:r>
          </w:p>
        </w:tc>
        <w:tc>
          <w:tcPr>
            <w:tcW w:w="3900" w:type="dxa"/>
            <w:vAlign w:val="bottom"/>
          </w:tcPr>
          <w:p>
            <w:pPr>
              <w:ind w:left="180"/>
              <w:spacing w:after="0" w:line="80" w:lineRule="exact"/>
              <w:rPr>
                <w:sz w:val="20"/>
                <w:szCs w:val="20"/>
                <w:color w:val="auto"/>
              </w:rPr>
            </w:pPr>
            <w:r>
              <w:rPr>
                <w:rFonts w:ascii="Arial" w:cs="Arial" w:eastAsia="Arial" w:hAnsi="Arial"/>
                <w:sz w:val="9"/>
                <w:szCs w:val="9"/>
                <w:color w:val="FFFFFF"/>
              </w:rPr>
              <w:t>for the Arts and Music Ltd.; and  Director of The Photographic</w:t>
            </w:r>
          </w:p>
        </w:tc>
        <w:tc>
          <w:tcPr>
            <w:tcW w:w="3220" w:type="dxa"/>
            <w:vAlign w:val="bottom"/>
          </w:tcPr>
          <w:p>
            <w:pPr>
              <w:ind w:left="280"/>
              <w:spacing w:after="0" w:line="80" w:lineRule="exact"/>
              <w:rPr>
                <w:sz w:val="20"/>
                <w:szCs w:val="20"/>
                <w:color w:val="auto"/>
              </w:rPr>
            </w:pPr>
            <w:r>
              <w:rPr>
                <w:rFonts w:ascii="Arial" w:cs="Arial" w:eastAsia="Arial" w:hAnsi="Arial"/>
                <w:sz w:val="9"/>
                <w:szCs w:val="9"/>
                <w:color w:val="FFFFFF"/>
              </w:rPr>
              <w:t>Foundation Ltd.</w:t>
            </w:r>
          </w:p>
        </w:tc>
        <w:tc>
          <w:tcPr>
            <w:tcW w:w="2040" w:type="dxa"/>
            <w:vAlign w:val="bottom"/>
          </w:tcPr>
          <w:p>
            <w:pPr>
              <w:spacing w:after="0" w:line="20" w:lineRule="exact"/>
              <w:rPr>
                <w:sz w:val="1"/>
                <w:szCs w:val="1"/>
                <w:color w:val="auto"/>
              </w:rPr>
            </w:pPr>
          </w:p>
        </w:tc>
      </w:tr>
    </w:tbl>
    <w:p>
      <w:pPr>
        <w:ind w:right="40"/>
        <w:spacing w:after="0"/>
        <w:rPr>
          <w:sz w:val="20"/>
          <w:szCs w:val="20"/>
          <w:color w:val="auto"/>
        </w:rPr>
      </w:pPr>
      <w:r>
        <w:rPr>
          <w:rFonts w:ascii="Arial" w:cs="Arial" w:eastAsia="Arial" w:hAnsi="Arial"/>
          <w:sz w:val="10"/>
          <w:szCs w:val="10"/>
          <w:color w:val="FFFFFF"/>
        </w:rPr>
        <w:t>Mr. Sallnow-Smith was educatedFoundationGonville &amp; Caius College, Cambridge, and the University of Leicester andHeritageisFellow of the Association of Corporate Treasurers. He holds M.A. (Cantab) and M.A. (Soc. of Ed.) Degrees.</w:t>
      </w:r>
    </w:p>
    <w:p>
      <w:pPr>
        <w:sectPr>
          <w:pgSz w:w="11900" w:h="16838" w:orient="portrait"/>
          <w:cols w:equalWidth="0" w:num="1">
            <w:col w:w="11400"/>
          </w:cols>
          <w:pgMar w:left="240" w:top="1440" w:right="25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InterimDirectorsReportandSenior2012 33Management</w:t>
      </w:r>
    </w:p>
    <w:p>
      <w:pPr>
        <w:spacing w:after="0"/>
        <w:rPr>
          <w:sz w:val="20"/>
          <w:szCs w:val="20"/>
          <w:color w:val="auto"/>
        </w:rPr>
      </w:pPr>
      <w:r>
        <w:rPr>
          <w:rFonts w:ascii="Arial" w:cs="Arial" w:eastAsia="Arial" w:hAnsi="Arial"/>
          <w:sz w:val="3"/>
          <w:szCs w:val="3"/>
          <w:color w:val="FFFFFF"/>
        </w:rPr>
        <w:t>OUR SENIOR MANAGEMENT</w:t>
      </w:r>
    </w:p>
    <w:p>
      <w:pPr>
        <w:spacing w:after="0" w:line="181" w:lineRule="auto"/>
        <w:rPr>
          <w:sz w:val="20"/>
          <w:szCs w:val="20"/>
          <w:color w:val="auto"/>
        </w:rPr>
      </w:pPr>
      <w:r>
        <w:rPr>
          <w:rFonts w:ascii="Arial" w:cs="Arial" w:eastAsia="Arial" w:hAnsi="Arial"/>
          <w:sz w:val="10"/>
          <w:szCs w:val="10"/>
          <w:color w:val="FFFFFF"/>
        </w:rPr>
        <w:t>SeniorThefollowingmanagementtable presents certain information concerning the senior management personnel of the Group (other than our Executive Directors).</w:t>
      </w:r>
    </w:p>
    <w:p>
      <w:pPr>
        <w:spacing w:after="0"/>
        <w:rPr>
          <w:sz w:val="20"/>
          <w:szCs w:val="20"/>
          <w:color w:val="auto"/>
        </w:rPr>
      </w:pPr>
      <w:r>
        <w:rPr>
          <w:rFonts w:ascii="Arial" w:cs="Arial" w:eastAsia="Arial" w:hAnsi="Arial"/>
          <w:sz w:val="3"/>
          <w:szCs w:val="3"/>
          <w:color w:val="FFFFFF"/>
        </w:rPr>
        <w:t>Name Age Position</w:t>
      </w:r>
    </w:p>
    <w:p>
      <w:pPr>
        <w:spacing w:after="0" w:line="181" w:lineRule="auto"/>
        <w:rPr>
          <w:sz w:val="20"/>
          <w:szCs w:val="20"/>
          <w:color w:val="auto"/>
        </w:rPr>
      </w:pPr>
      <w:r>
        <w:rPr>
          <w:rFonts w:ascii="Arial" w:cs="Arial" w:eastAsia="Arial" w:hAnsi="Arial"/>
          <w:sz w:val="10"/>
          <w:szCs w:val="10"/>
          <w:color w:val="FFFFFF"/>
        </w:rPr>
        <w:t>CharlieFrankXiaoWard4463SeniorExecutiveExecutiveVice VicePresidentPresident—Casino—PremiumOperations#Marketing#</w:t>
      </w:r>
    </w:p>
    <w:p>
      <w:pPr>
        <w:spacing w:after="0"/>
        <w:rPr>
          <w:sz w:val="20"/>
          <w:szCs w:val="20"/>
          <w:color w:val="auto"/>
        </w:rPr>
      </w:pPr>
      <w:r>
        <w:rPr>
          <w:rFonts w:ascii="Arial" w:cs="Arial" w:eastAsia="Arial" w:hAnsi="Arial"/>
          <w:sz w:val="3"/>
          <w:szCs w:val="3"/>
          <w:color w:val="FFFFFF"/>
        </w:rPr>
        <w:t>Doreen Marie Whennen 57 Executive Vice President — Hotel Operations#</w:t>
      </w:r>
    </w:p>
    <w:p>
      <w:pPr>
        <w:spacing w:after="0" w:line="181" w:lineRule="auto"/>
        <w:rPr>
          <w:sz w:val="20"/>
          <w:szCs w:val="20"/>
          <w:color w:val="auto"/>
        </w:rPr>
      </w:pPr>
      <w:r>
        <w:rPr>
          <w:rFonts w:ascii="Arial" w:cs="Arial" w:eastAsia="Arial" w:hAnsi="Arial"/>
          <w:sz w:val="10"/>
          <w:szCs w:val="10"/>
          <w:color w:val="FFFFFF"/>
        </w:rPr>
        <w:t>SeniorJayM. ViceSchallPresident39Senior—ViceLegal#President and General Counsel##,</w:t>
      </w:r>
    </w:p>
    <w:p>
      <w:pPr>
        <w:spacing w:after="0"/>
        <w:rPr>
          <w:sz w:val="20"/>
          <w:szCs w:val="20"/>
          <w:color w:val="auto"/>
        </w:rPr>
      </w:pPr>
      <w:r>
        <w:rPr>
          <w:rFonts w:ascii="Arial" w:cs="Arial" w:eastAsia="Arial" w:hAnsi="Arial"/>
          <w:sz w:val="3"/>
          <w:szCs w:val="3"/>
          <w:color w:val="FFFFFF"/>
        </w:rPr>
        <w:t>Robert Alexander Gansmo 42 Senior Vice President — Chief Financial Officer#</w:t>
      </w:r>
    </w:p>
    <w:p>
      <w:pPr>
        <w:spacing w:after="0" w:line="181" w:lineRule="auto"/>
        <w:rPr>
          <w:sz w:val="20"/>
          <w:szCs w:val="20"/>
          <w:color w:val="auto"/>
        </w:rPr>
      </w:pPr>
      <w:r>
        <w:rPr>
          <w:rFonts w:ascii="Arial" w:cs="Arial" w:eastAsia="Arial" w:hAnsi="Arial"/>
          <w:sz w:val="10"/>
          <w:szCs w:val="10"/>
          <w:color w:val="FFFFFF"/>
        </w:rPr>
        <w:t>ChiefAndreInformationMungDick Officer#Ong42Senior Vice President — Technology and</w:t>
      </w:r>
    </w:p>
    <w:p>
      <w:pPr>
        <w:spacing w:after="0"/>
        <w:rPr>
          <w:sz w:val="20"/>
          <w:szCs w:val="20"/>
          <w:color w:val="auto"/>
        </w:rPr>
      </w:pPr>
      <w:r>
        <w:rPr>
          <w:rFonts w:ascii="Arial" w:cs="Arial" w:eastAsia="Arial" w:hAnsi="Arial"/>
          <w:sz w:val="3"/>
          <w:szCs w:val="3"/>
          <w:color w:val="FFFFFF"/>
        </w:rPr>
        <w:t>Mo Yin Mok 51 Vice President — Human Resources#</w:t>
      </w:r>
    </w:p>
    <w:p>
      <w:pPr>
        <w:spacing w:after="0" w:line="181" w:lineRule="auto"/>
        <w:rPr>
          <w:sz w:val="20"/>
          <w:szCs w:val="20"/>
          <w:color w:val="auto"/>
        </w:rPr>
      </w:pPr>
      <w:r>
        <w:rPr>
          <w:rFonts w:ascii="Arial" w:cs="Arial" w:eastAsia="Arial" w:hAnsi="Arial"/>
          <w:sz w:val="10"/>
          <w:szCs w:val="10"/>
          <w:color w:val="FFFFFF"/>
        </w:rPr>
        <w:t>#Notes:#Position held in the Company.</w:t>
      </w:r>
    </w:p>
    <w:p>
      <w:pPr>
        <w:ind w:left="100"/>
        <w:spacing w:after="0"/>
        <w:rPr>
          <w:sz w:val="20"/>
          <w:szCs w:val="20"/>
          <w:color w:val="auto"/>
        </w:rPr>
      </w:pPr>
      <w:r>
        <w:rPr>
          <w:rFonts w:ascii="Arial" w:cs="Arial" w:eastAsia="Arial" w:hAnsi="Arial"/>
          <w:sz w:val="3"/>
          <w:szCs w:val="3"/>
          <w:color w:val="FFFFFF"/>
        </w:rPr>
        <w:t>Position held in WRM.</w:t>
      </w:r>
    </w:p>
    <w:p>
      <w:pPr>
        <w:spacing w:after="0" w:line="227" w:lineRule="auto"/>
        <w:rPr>
          <w:sz w:val="20"/>
          <w:szCs w:val="20"/>
          <w:color w:val="auto"/>
        </w:rPr>
      </w:pPr>
      <w:r>
        <w:rPr>
          <w:rFonts w:ascii="Arial" w:cs="Arial" w:eastAsia="Arial" w:hAnsi="Arial"/>
          <w:sz w:val="8"/>
          <w:szCs w:val="8"/>
          <w:color w:val="FFFFFF"/>
        </w:rPr>
        <w:t>Mr.The FrankbiographyXiao,ofagedeach44,memberisthe Seniorofthe seniorExecutivemanagementVicePresidentteam(other—PremiumthanourMarketingexecutiveofDirectors)WRM,a ispositionsetuthebelow:hasheld since August 2006. Mr. Xiao is responsible for providing leadership and guidance to the</w:t>
      </w:r>
    </w:p>
    <w:p>
      <w:pPr>
        <w:ind w:left="11000"/>
        <w:spacing w:after="0"/>
        <w:rPr>
          <w:sz w:val="20"/>
          <w:szCs w:val="20"/>
          <w:color w:val="auto"/>
        </w:rPr>
      </w:pPr>
      <w:r>
        <w:rPr>
          <w:rFonts w:ascii="Arial" w:cs="Arial" w:eastAsia="Arial" w:hAnsi="Arial"/>
          <w:sz w:val="1"/>
          <w:szCs w:val="1"/>
          <w:color w:val="FFFFFF"/>
        </w:rPr>
        <w:t>betweenmarketing2005teamuntiland2006.staff, PriordevelopingtojoiningbusinesstheGroup,andpromotingMr.XiaoWynnwastheMacau.SeniorPriorVicetoPresidentthisposition,ofFarMr.EastXiaoMarketingwasthe atSeniorMGMExecutiveGrandHotel.Vice DuringPresidenthis—12China MarketingattheMGMforGrandWIMLHotel,and WorldwidehewaspromotedWynn several</w:t>
      </w:r>
    </w:p>
    <w:p>
      <w:pPr>
        <w:ind w:right="100"/>
        <w:spacing w:after="0" w:line="209" w:lineRule="auto"/>
        <w:rPr>
          <w:sz w:val="20"/>
          <w:szCs w:val="20"/>
          <w:color w:val="auto"/>
        </w:rPr>
      </w:pPr>
      <w:r>
        <w:rPr>
          <w:rFonts w:ascii="Arial" w:cs="Arial" w:eastAsia="Arial" w:hAnsi="Arial"/>
          <w:sz w:val="12"/>
          <w:szCs w:val="12"/>
          <w:color w:val="FFFFFF"/>
        </w:rPr>
        <w:t>times from his fi rst position as Far East Marketing Executive in 1993. Mr. Xiao holds a Bachelor of Science Degree in Hotel Administration and a Master’yearsDegree in Hotel Administration from the University of Nevada, Las Vegas.</w:t>
      </w:r>
    </w:p>
    <w:p>
      <w:pPr>
        <w:sectPr>
          <w:pgSz w:w="11900" w:h="16838" w:orient="portrait"/>
          <w:cols w:equalWidth="0" w:num="1">
            <w:col w:w="11400"/>
          </w:cols>
          <w:pgMar w:left="240" w:top="1440" w:right="25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3"/>
          </w:tcPr>
          <w:p>
            <w:pPr>
              <w:spacing w:after="0"/>
              <w:rPr>
                <w:sz w:val="20"/>
                <w:szCs w:val="20"/>
                <w:color w:val="auto"/>
              </w:rPr>
            </w:pPr>
            <w:r>
              <w:rPr>
                <w:rFonts w:ascii="Arial" w:cs="Arial" w:eastAsia="Arial" w:hAnsi="Arial"/>
                <w:sz w:val="14"/>
                <w:szCs w:val="14"/>
                <w:color w:val="FFFFFF"/>
              </w:rPr>
              <w:t>34 Wynn Macau, Limited</w:t>
            </w:r>
          </w:p>
        </w:tc>
        <w:tc>
          <w:tcPr>
            <w:tcW w:w="560" w:type="dxa"/>
            <w:vAlign w:val="bottom"/>
          </w:tcPr>
          <w:p>
            <w:pPr>
              <w:spacing w:after="0"/>
              <w:rPr>
                <w:sz w:val="14"/>
                <w:szCs w:val="14"/>
                <w:color w:val="auto"/>
              </w:rPr>
            </w:pPr>
          </w:p>
        </w:tc>
        <w:tc>
          <w:tcPr>
            <w:tcW w:w="8740" w:type="dxa"/>
            <w:vAlign w:val="bottom"/>
          </w:tcPr>
          <w:p>
            <w:pPr>
              <w:spacing w:after="0"/>
              <w:rPr>
                <w:sz w:val="14"/>
                <w:szCs w:val="14"/>
                <w:color w:val="auto"/>
              </w:rPr>
            </w:pPr>
          </w:p>
        </w:tc>
      </w:tr>
      <w:tr>
        <w:trPr>
          <w:trHeight w:val="41"/>
        </w:trPr>
        <w:tc>
          <w:tcPr>
            <w:tcW w:w="2060" w:type="dxa"/>
            <w:vAlign w:val="bottom"/>
            <w:gridSpan w:val="3"/>
          </w:tcPr>
          <w:p>
            <w:pPr>
              <w:spacing w:after="0"/>
              <w:rPr>
                <w:sz w:val="20"/>
                <w:szCs w:val="20"/>
                <w:color w:val="auto"/>
              </w:rPr>
            </w:pPr>
            <w:r>
              <w:rPr>
                <w:rFonts w:ascii="Arial" w:cs="Arial" w:eastAsia="Arial" w:hAnsi="Arial"/>
                <w:sz w:val="3"/>
                <w:szCs w:val="3"/>
                <w:color w:val="FFFFFF"/>
              </w:rPr>
              <w:t>Directors and Senior Management</w:t>
            </w:r>
          </w:p>
        </w:tc>
        <w:tc>
          <w:tcPr>
            <w:tcW w:w="560" w:type="dxa"/>
            <w:vAlign w:val="bottom"/>
          </w:tcPr>
          <w:p>
            <w:pPr>
              <w:spacing w:after="0"/>
              <w:rPr>
                <w:sz w:val="3"/>
                <w:szCs w:val="3"/>
                <w:color w:val="auto"/>
              </w:rPr>
            </w:pPr>
          </w:p>
        </w:tc>
        <w:tc>
          <w:tcPr>
            <w:tcW w:w="8740" w:type="dxa"/>
            <w:vAlign w:val="bottom"/>
          </w:tcPr>
          <w:p>
            <w:pPr>
              <w:spacing w:after="0"/>
              <w:rPr>
                <w:sz w:val="3"/>
                <w:szCs w:val="3"/>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Mr. Charlie Ward, aged 63, is the Executive Vice President — Casino Operations of WRM, a position he has h ld since 1 March 2012. Mr. Ward is responsible for providing leadership and operational direction</w:t>
            </w:r>
          </w:p>
        </w:tc>
      </w:tr>
      <w:tr>
        <w:trPr>
          <w:trHeight w:val="41"/>
        </w:trPr>
        <w:tc>
          <w:tcPr>
            <w:tcW w:w="780" w:type="dxa"/>
            <w:vAlign w:val="bottom"/>
          </w:tcPr>
          <w:p>
            <w:pPr>
              <w:spacing w:after="0"/>
              <w:rPr>
                <w:sz w:val="20"/>
                <w:szCs w:val="20"/>
                <w:color w:val="auto"/>
              </w:rPr>
            </w:pPr>
            <w:r>
              <w:rPr>
                <w:rFonts w:ascii="Arial" w:cs="Arial" w:eastAsia="Arial" w:hAnsi="Arial"/>
                <w:sz w:val="3"/>
                <w:szCs w:val="3"/>
                <w:color w:val="FFFFFF"/>
              </w:rPr>
              <w:t>for WRM</w:t>
            </w:r>
          </w:p>
        </w:tc>
        <w:tc>
          <w:tcPr>
            <w:tcW w:w="220" w:type="dxa"/>
            <w:vAlign w:val="bottom"/>
          </w:tcPr>
          <w:p>
            <w:pPr>
              <w:spacing w:after="0"/>
              <w:rPr>
                <w:sz w:val="3"/>
                <w:szCs w:val="3"/>
                <w:color w:val="auto"/>
              </w:rPr>
            </w:pPr>
          </w:p>
        </w:tc>
        <w:tc>
          <w:tcPr>
            <w:tcW w:w="10360" w:type="dxa"/>
            <w:vAlign w:val="bottom"/>
            <w:gridSpan w:val="3"/>
          </w:tcPr>
          <w:p>
            <w:pPr>
              <w:spacing w:after="0"/>
              <w:rPr>
                <w:sz w:val="20"/>
                <w:szCs w:val="20"/>
                <w:color w:val="auto"/>
              </w:rPr>
            </w:pPr>
            <w:r>
              <w:rPr>
                <w:rFonts w:ascii="Arial" w:cs="Arial" w:eastAsia="Arial" w:hAnsi="Arial"/>
                <w:sz w:val="3"/>
                <w:szCs w:val="3"/>
                <w:color w:val="FFFFFF"/>
              </w:rPr>
              <w:t>operations. Mr. Ward has more than 40 years experience in the gaming industry, having served at gaming companies including MGM and Wynn. Over his career Mr. Ward has gained</w:t>
            </w: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experiencegamingwide range of assignments including customer/VIP relations, game protection and casino set up, opening and operations. Prior to this position, Mr. Ward held the position of Vice President of</w:t>
            </w: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Table Games at Wynn | Encore Las Vegas between 2008 and 2012. Prior to joining the Group, Mr. Ward was at MGM Grand Hotel and Casino for 14 years and in 2007 was promoted to the pre-opening team of</w:t>
            </w:r>
          </w:p>
        </w:tc>
      </w:tr>
      <w:tr>
        <w:trPr>
          <w:trHeight w:val="41"/>
        </w:trPr>
        <w:tc>
          <w:tcPr>
            <w:tcW w:w="11360" w:type="dxa"/>
            <w:vAlign w:val="bottom"/>
            <w:gridSpan w:val="5"/>
          </w:tcPr>
          <w:p>
            <w:pPr>
              <w:ind w:left="120"/>
              <w:spacing w:after="0"/>
              <w:rPr>
                <w:sz w:val="20"/>
                <w:szCs w:val="20"/>
                <w:color w:val="auto"/>
              </w:rPr>
            </w:pPr>
            <w:r>
              <w:rPr>
                <w:rFonts w:ascii="Arial" w:cs="Arial" w:eastAsia="Arial" w:hAnsi="Arial"/>
                <w:sz w:val="3"/>
                <w:szCs w:val="3"/>
                <w:color w:val="FFFFFF"/>
              </w:rPr>
              <w:t>GM Grand Macau as Vice President of VIP Gaming.</w:t>
            </w:r>
          </w:p>
        </w:tc>
      </w:tr>
      <w:tr>
        <w:trPr>
          <w:trHeight w:val="41"/>
        </w:trPr>
        <w:tc>
          <w:tcPr>
            <w:tcW w:w="1000" w:type="dxa"/>
            <w:vAlign w:val="bottom"/>
            <w:gridSpan w:val="2"/>
          </w:tcPr>
          <w:p>
            <w:pPr>
              <w:spacing w:after="0"/>
              <w:rPr>
                <w:sz w:val="20"/>
                <w:szCs w:val="20"/>
                <w:color w:val="auto"/>
              </w:rPr>
            </w:pPr>
            <w:r>
              <w:rPr>
                <w:rFonts w:ascii="Arial" w:cs="Arial" w:eastAsia="Arial" w:hAnsi="Arial"/>
                <w:sz w:val="3"/>
                <w:szCs w:val="3"/>
                <w:color w:val="FFFFFF"/>
              </w:rPr>
              <w:t>Ms. Doreen Marie</w:t>
            </w:r>
          </w:p>
        </w:tc>
        <w:tc>
          <w:tcPr>
            <w:tcW w:w="10360" w:type="dxa"/>
            <w:vAlign w:val="bottom"/>
            <w:gridSpan w:val="3"/>
          </w:tcPr>
          <w:p>
            <w:pPr>
              <w:ind w:left="620"/>
              <w:spacing w:after="0"/>
              <w:rPr>
                <w:sz w:val="20"/>
                <w:szCs w:val="20"/>
                <w:color w:val="auto"/>
              </w:rPr>
            </w:pPr>
            <w:r>
              <w:rPr>
                <w:rFonts w:ascii="Arial" w:cs="Arial" w:eastAsia="Arial" w:hAnsi="Arial"/>
                <w:sz w:val="3"/>
                <w:szCs w:val="3"/>
                <w:color w:val="FFFFFF"/>
              </w:rPr>
              <w:t>aged 57, is the Executive Vice President — Hotel Operations of WRM,  position she has held since May 2007. Ms. Whennen is responsible for overseeing the hotel operations of</w:t>
            </w: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Wynn Macau. Ms. Whennen, has over 20 years of experience in the hospitality industry. She joined Valvino Lamore, LLC in 2000 and prior to joining the Group, she held various positions at The Mirage, which</w:t>
            </w: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she joined in 1989, including Front Offi ce Manager, Director of Guest Services and Vice President of Hotel Operat ons.</w:t>
            </w:r>
          </w:p>
        </w:tc>
      </w:tr>
      <w:tr>
        <w:trPr>
          <w:trHeight w:val="41"/>
        </w:trPr>
        <w:tc>
          <w:tcPr>
            <w:tcW w:w="11360" w:type="dxa"/>
            <w:vAlign w:val="bottom"/>
            <w:gridSpan w:val="5"/>
          </w:tcPr>
          <w:p>
            <w:pPr>
              <w:ind w:left="240"/>
              <w:spacing w:after="0"/>
              <w:rPr>
                <w:sz w:val="20"/>
                <w:szCs w:val="20"/>
                <w:color w:val="auto"/>
              </w:rPr>
            </w:pPr>
            <w:r>
              <w:rPr>
                <w:rFonts w:ascii="Arial" w:cs="Arial" w:eastAsia="Arial" w:hAnsi="Arial"/>
                <w:sz w:val="3"/>
                <w:szCs w:val="3"/>
                <w:color w:val="FFFFFF"/>
              </w:rPr>
              <w:t>Jay M. Schall, aged 39, is the Senior Vice President and General Counsel of the Company and Senior Vice President — Legal of WRM. He has held senior legal positions with WRM since May 2006.</w:t>
            </w: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Mr. Schall has over twelve years of experience in the legal fi eld, including eight years in Macau and Hong Kong. Prior to joining the Group, Mr. Schall practiced United States law at a major law firm in the</w:t>
            </w: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United St tes and in H ng Kong. Mr. Schall is a member of the State Bar of Texas. Mr. Schall holds a Bachelor of Arts Degree from Colorado College, an MBA from Tulane University, Freeman School of</w:t>
            </w:r>
          </w:p>
        </w:tc>
      </w:tr>
      <w:tr>
        <w:trPr>
          <w:trHeight w:val="41"/>
        </w:trPr>
        <w:tc>
          <w:tcPr>
            <w:tcW w:w="780" w:type="dxa"/>
            <w:vAlign w:val="bottom"/>
          </w:tcPr>
          <w:p>
            <w:pPr>
              <w:spacing w:after="0"/>
              <w:rPr>
                <w:sz w:val="20"/>
                <w:szCs w:val="20"/>
                <w:color w:val="auto"/>
              </w:rPr>
            </w:pPr>
            <w:r>
              <w:rPr>
                <w:rFonts w:ascii="Arial" w:cs="Arial" w:eastAsia="Arial" w:hAnsi="Arial"/>
                <w:sz w:val="3"/>
                <w:szCs w:val="3"/>
                <w:color w:val="FFFFFF"/>
              </w:rPr>
              <w:t>Business and</w:t>
            </w:r>
          </w:p>
        </w:tc>
        <w:tc>
          <w:tcPr>
            <w:tcW w:w="10580" w:type="dxa"/>
            <w:vAlign w:val="bottom"/>
            <w:gridSpan w:val="4"/>
          </w:tcPr>
          <w:p>
            <w:pPr>
              <w:ind w:left="60"/>
              <w:spacing w:after="0"/>
              <w:rPr>
                <w:sz w:val="20"/>
                <w:szCs w:val="20"/>
                <w:color w:val="auto"/>
              </w:rPr>
            </w:pPr>
            <w:r>
              <w:rPr>
                <w:rFonts w:ascii="Arial" w:cs="Arial" w:eastAsia="Arial" w:hAnsi="Arial"/>
                <w:sz w:val="3"/>
                <w:szCs w:val="3"/>
                <w:color w:val="FFFFFF"/>
              </w:rPr>
              <w:t>Juris Doctor (magna cum laude, Order of the Coif) from Tulane University School of Law.</w:t>
            </w:r>
          </w:p>
        </w:tc>
      </w:tr>
      <w:tr>
        <w:trPr>
          <w:trHeight w:val="41"/>
        </w:trPr>
        <w:tc>
          <w:tcPr>
            <w:tcW w:w="780" w:type="dxa"/>
            <w:vAlign w:val="bottom"/>
          </w:tcPr>
          <w:p>
            <w:pPr>
              <w:spacing w:after="0"/>
              <w:rPr>
                <w:sz w:val="20"/>
                <w:szCs w:val="20"/>
                <w:color w:val="auto"/>
              </w:rPr>
            </w:pPr>
            <w:r>
              <w:rPr>
                <w:rFonts w:ascii="Arial" w:cs="Arial" w:eastAsia="Arial" w:hAnsi="Arial"/>
                <w:sz w:val="3"/>
                <w:szCs w:val="3"/>
                <w:color w:val="FFFFFF"/>
              </w:rPr>
              <w:t>Mr. Robert</w:t>
            </w:r>
          </w:p>
        </w:tc>
        <w:tc>
          <w:tcPr>
            <w:tcW w:w="220" w:type="dxa"/>
            <w:vAlign w:val="bottom"/>
          </w:tcPr>
          <w:p>
            <w:pPr>
              <w:spacing w:after="0"/>
              <w:rPr>
                <w:sz w:val="3"/>
                <w:szCs w:val="3"/>
                <w:color w:val="auto"/>
              </w:rPr>
            </w:pPr>
          </w:p>
        </w:tc>
        <w:tc>
          <w:tcPr>
            <w:tcW w:w="10360" w:type="dxa"/>
            <w:vAlign w:val="bottom"/>
            <w:gridSpan w:val="3"/>
          </w:tcPr>
          <w:p>
            <w:pPr>
              <w:ind w:left="240"/>
              <w:spacing w:after="0"/>
              <w:rPr>
                <w:sz w:val="20"/>
                <w:szCs w:val="20"/>
                <w:color w:val="auto"/>
              </w:rPr>
            </w:pPr>
            <w:r>
              <w:rPr>
                <w:rFonts w:ascii="Arial" w:cs="Arial" w:eastAsia="Arial" w:hAnsi="Arial"/>
                <w:sz w:val="3"/>
                <w:szCs w:val="3"/>
                <w:color w:val="FFFFFF"/>
              </w:rPr>
              <w:t>Gansmo, aged 42, is the Senior Vice President — Chief Financial Offi cer of WRM,  position he has held since April 2009. Prior to taking this position, Mr. Gansmo was the Director —</w:t>
            </w:r>
          </w:p>
        </w:tc>
      </w:tr>
      <w:tr>
        <w:trPr>
          <w:trHeight w:val="41"/>
        </w:trPr>
        <w:tc>
          <w:tcPr>
            <w:tcW w:w="2060" w:type="dxa"/>
            <w:vAlign w:val="bottom"/>
            <w:gridSpan w:val="3"/>
          </w:tcPr>
          <w:p>
            <w:pPr>
              <w:spacing w:after="0"/>
              <w:rPr>
                <w:sz w:val="20"/>
                <w:szCs w:val="20"/>
                <w:color w:val="auto"/>
              </w:rPr>
            </w:pPr>
            <w:r>
              <w:rPr>
                <w:rFonts w:ascii="Arial" w:cs="Arial" w:eastAsia="Arial" w:hAnsi="Arial"/>
                <w:sz w:val="3"/>
                <w:szCs w:val="3"/>
                <w:color w:val="FFFFFF"/>
              </w:rPr>
              <w:t>Finance of WRM,Alexanderposition he</w:t>
            </w:r>
          </w:p>
        </w:tc>
        <w:tc>
          <w:tcPr>
            <w:tcW w:w="9300" w:type="dxa"/>
            <w:vAlign w:val="bottom"/>
            <w:gridSpan w:val="2"/>
          </w:tcPr>
          <w:p>
            <w:pPr>
              <w:ind w:left="180"/>
              <w:spacing w:after="0"/>
              <w:rPr>
                <w:sz w:val="20"/>
                <w:szCs w:val="20"/>
                <w:color w:val="auto"/>
              </w:rPr>
            </w:pPr>
            <w:r>
              <w:rPr>
                <w:rFonts w:ascii="Arial" w:cs="Arial" w:eastAsia="Arial" w:hAnsi="Arial"/>
                <w:sz w:val="3"/>
                <w:szCs w:val="3"/>
                <w:color w:val="FFFFFF"/>
              </w:rPr>
              <w:t>in January 2007. Mr. Gansmo is responsible for the management and administration of WRM’s fi nance division. Before joining WRM, Mr. Gansmo worked at Wynn</w:t>
            </w: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Resorts, Limited, where he servedassumedthe Director of Financial Reporting from November 2002. Prior to joining the Group, Mr. Gansmo practiced as  certified public accountant with firms   Las Vegas,</w:t>
            </w:r>
          </w:p>
        </w:tc>
      </w:tr>
      <w:tr>
        <w:trPr>
          <w:trHeight w:val="0"/>
        </w:trPr>
        <w:tc>
          <w:tcPr>
            <w:tcW w:w="2620" w:type="dxa"/>
            <w:vAlign w:val="bottom"/>
            <w:gridSpan w:val="4"/>
          </w:tcPr>
          <w:p>
            <w:pPr>
              <w:spacing w:after="0"/>
              <w:rPr>
                <w:sz w:val="20"/>
                <w:szCs w:val="20"/>
                <w:color w:val="auto"/>
              </w:rPr>
            </w:pPr>
            <w:r>
              <w:rPr>
                <w:rFonts w:ascii="Arial" w:cs="Arial" w:eastAsia="Arial" w:hAnsi="Arial"/>
                <w:sz w:val="14"/>
                <w:szCs w:val="14"/>
                <w:color w:val="FFFFFF"/>
                <w:w w:val="95"/>
              </w:rPr>
              <w:t>Washington and California, including KPMG</w:t>
            </w:r>
          </w:p>
        </w:tc>
        <w:tc>
          <w:tcPr>
            <w:tcW w:w="8740" w:type="dxa"/>
            <w:vAlign w:val="bottom"/>
          </w:tcPr>
          <w:p>
            <w:pPr>
              <w:ind w:left="140"/>
              <w:spacing w:after="0"/>
              <w:rPr>
                <w:sz w:val="20"/>
                <w:szCs w:val="20"/>
                <w:color w:val="auto"/>
              </w:rPr>
            </w:pPr>
            <w:r>
              <w:rPr>
                <w:rFonts w:ascii="Arial" w:cs="Arial" w:eastAsia="Arial" w:hAnsi="Arial"/>
                <w:sz w:val="14"/>
                <w:szCs w:val="14"/>
                <w:color w:val="FFFFFF"/>
                <w:w w:val="88"/>
              </w:rPr>
              <w:t>Marwick, Arthur Andersen, and Deloitte and Touche. Mr. Gansmo graduated in 1993 from California State University, Chico, where he obtained a Bachelor of</w:t>
            </w:r>
          </w:p>
        </w:tc>
      </w:tr>
    </w:tbl>
    <w:p>
      <w:pPr>
        <w:spacing w:after="0" w:line="180" w:lineRule="auto"/>
        <w:rPr>
          <w:sz w:val="20"/>
          <w:szCs w:val="20"/>
          <w:color w:val="auto"/>
        </w:rPr>
      </w:pPr>
      <w:r>
        <w:rPr>
          <w:rFonts w:ascii="Arial" w:cs="Arial" w:eastAsia="Arial" w:hAnsi="Arial"/>
          <w:sz w:val="14"/>
          <w:szCs w:val="14"/>
          <w:color w:val="FFFFFF"/>
        </w:rPr>
        <w:t>Science Degree in Business Administration withPeat focus on accounting.</w:t>
      </w:r>
    </w:p>
    <w:p>
      <w:pPr>
        <w:sectPr>
          <w:pgSz w:w="11900" w:h="16838" w:orient="portrait"/>
          <w:cols w:equalWidth="0" w:num="1">
            <w:col w:w="11360"/>
          </w:cols>
          <w:pgMar w:left="240" w:top="1440" w:right="29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color w:val="FFFFFF"/>
                <w:w w:val="89"/>
              </w:rPr>
              <w:t>Interim Report 2012 35</w:t>
            </w: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32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980" w:type="dxa"/>
            <w:vAlign w:val="bottom"/>
          </w:tcPr>
          <w:p>
            <w:pPr>
              <w:spacing w:after="0"/>
              <w:rPr>
                <w:sz w:val="3"/>
                <w:szCs w:val="3"/>
                <w:color w:val="auto"/>
              </w:rPr>
            </w:pPr>
          </w:p>
        </w:tc>
        <w:tc>
          <w:tcPr>
            <w:tcW w:w="6060" w:type="dxa"/>
            <w:vAlign w:val="bottom"/>
            <w:gridSpan w:val="3"/>
            <w:vMerge w:val="restart"/>
          </w:tcPr>
          <w:p>
            <w:pPr>
              <w:ind w:left="340"/>
              <w:spacing w:after="0" w:line="81" w:lineRule="exact"/>
              <w:rPr>
                <w:sz w:val="20"/>
                <w:szCs w:val="20"/>
                <w:color w:val="auto"/>
              </w:rPr>
            </w:pPr>
            <w:r>
              <w:rPr>
                <w:rFonts w:ascii="Arial" w:cs="Arial" w:eastAsia="Arial" w:hAnsi="Arial"/>
                <w:sz w:val="9"/>
                <w:szCs w:val="9"/>
                <w:color w:val="FFFFFF"/>
              </w:rPr>
              <w:t>Offi cer of WRM, a position he has held since June 2012. Mr. Ong is responsible for the strategic</w:t>
            </w:r>
          </w:p>
        </w:tc>
        <w:tc>
          <w:tcPr>
            <w:tcW w:w="0" w:type="dxa"/>
            <w:vAlign w:val="bottom"/>
          </w:tcPr>
          <w:p>
            <w:pPr>
              <w:spacing w:after="0"/>
              <w:rPr>
                <w:sz w:val="1"/>
                <w:szCs w:val="1"/>
                <w:color w:val="auto"/>
              </w:rPr>
            </w:pPr>
          </w:p>
        </w:tc>
      </w:tr>
      <w:tr>
        <w:trPr>
          <w:trHeight w:val="41"/>
        </w:trPr>
        <w:tc>
          <w:tcPr>
            <w:tcW w:w="5300" w:type="dxa"/>
            <w:vAlign w:val="bottom"/>
            <w:gridSpan w:val="3"/>
          </w:tcPr>
          <w:p>
            <w:pPr>
              <w:spacing w:after="0"/>
              <w:rPr>
                <w:sz w:val="20"/>
                <w:szCs w:val="20"/>
                <w:color w:val="auto"/>
              </w:rPr>
            </w:pPr>
            <w:r>
              <w:rPr>
                <w:rFonts w:ascii="Arial" w:cs="Arial" w:eastAsia="Arial" w:hAnsi="Arial"/>
                <w:sz w:val="3"/>
                <w:szCs w:val="3"/>
                <w:color w:val="FFFFFF"/>
              </w:rPr>
              <w:t>Mr. Andre Mung Dick Ong, aged 42, is the Senior Vice President — Technology and Chief</w:t>
            </w:r>
          </w:p>
        </w:tc>
        <w:tc>
          <w:tcPr>
            <w:tcW w:w="60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planning, development and overall operation of information systems and technology servicesInformationWRM. Prior positions held by Mr. Ong include Vice President — Information Technology</w:t>
            </w: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&amp; Chief Information Officer and Executive director, Chief Information Officer between June 2003 and May 2012. Before joining the Group, Mr. Ong served at Shangri-La Hotels &amp; Resorts where, from August</w:t>
            </w: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2001 until May 2003, he was the Director of Corporate Information Technology and was responsible for the planning and deployment of information technology for the group of 40 hotels and five regional sales</w:t>
            </w:r>
          </w:p>
        </w:tc>
        <w:tc>
          <w:tcPr>
            <w:tcW w:w="0" w:type="dxa"/>
            <w:vAlign w:val="bottom"/>
          </w:tcPr>
          <w:p>
            <w:pPr>
              <w:spacing w:after="0"/>
              <w:rPr>
                <w:sz w:val="1"/>
                <w:szCs w:val="1"/>
                <w:color w:val="auto"/>
              </w:rPr>
            </w:pPr>
          </w:p>
        </w:tc>
      </w:tr>
      <w:tr>
        <w:trPr>
          <w:trHeight w:val="41"/>
        </w:trPr>
        <w:tc>
          <w:tcPr>
            <w:tcW w:w="10100" w:type="dxa"/>
            <w:vAlign w:val="bottom"/>
            <w:gridSpan w:val="5"/>
          </w:tcPr>
          <w:p>
            <w:pPr>
              <w:spacing w:after="0"/>
              <w:rPr>
                <w:sz w:val="20"/>
                <w:szCs w:val="20"/>
                <w:color w:val="auto"/>
              </w:rPr>
            </w:pPr>
            <w:r>
              <w:rPr>
                <w:rFonts w:ascii="Arial" w:cs="Arial" w:eastAsia="Arial" w:hAnsi="Arial"/>
                <w:sz w:val="3"/>
                <w:szCs w:val="3"/>
                <w:color w:val="FFFFFF"/>
              </w:rPr>
              <w:t>offices. Prior to this role, he was Director of Technology Support as well as Systems Support Manager since 1993. Mr. Ong has more than 19 years of experience in the</w:t>
            </w:r>
          </w:p>
        </w:tc>
        <w:tc>
          <w:tcPr>
            <w:tcW w:w="1260" w:type="dxa"/>
            <w:vAlign w:val="bottom"/>
          </w:tcPr>
          <w:p>
            <w:pPr>
              <w:ind w:left="40"/>
              <w:spacing w:after="0"/>
              <w:rPr>
                <w:sz w:val="20"/>
                <w:szCs w:val="20"/>
                <w:color w:val="auto"/>
              </w:rPr>
            </w:pPr>
            <w:r>
              <w:rPr>
                <w:rFonts w:ascii="Arial" w:cs="Arial" w:eastAsia="Arial" w:hAnsi="Arial"/>
                <w:sz w:val="3"/>
                <w:szCs w:val="3"/>
                <w:color w:val="FFFFFF"/>
              </w:rPr>
              <w:t>industry and extensive</w:t>
            </w: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skills in technology consultation and execution, vendor management, operation management and software development. Mr. Ong was educated in Western Australia andhospitality/gamingobtainedBachelor of Engineering</w:t>
            </w:r>
          </w:p>
        </w:tc>
        <w:tc>
          <w:tcPr>
            <w:tcW w:w="0" w:type="dxa"/>
            <w:vAlign w:val="bottom"/>
          </w:tcPr>
          <w:p>
            <w:pPr>
              <w:spacing w:after="0"/>
              <w:rPr>
                <w:sz w:val="1"/>
                <w:szCs w:val="1"/>
                <w:color w:val="auto"/>
              </w:rPr>
            </w:pPr>
          </w:p>
        </w:tc>
      </w:tr>
      <w:tr>
        <w:trPr>
          <w:trHeight w:val="41"/>
        </w:trPr>
        <w:tc>
          <w:tcPr>
            <w:tcW w:w="4320" w:type="dxa"/>
            <w:vAlign w:val="bottom"/>
            <w:gridSpan w:val="2"/>
          </w:tcPr>
          <w:p>
            <w:pPr>
              <w:spacing w:after="0"/>
              <w:rPr>
                <w:sz w:val="20"/>
                <w:szCs w:val="20"/>
                <w:color w:val="auto"/>
              </w:rPr>
            </w:pPr>
            <w:r>
              <w:rPr>
                <w:rFonts w:ascii="Arial" w:cs="Arial" w:eastAsia="Arial" w:hAnsi="Arial"/>
                <w:sz w:val="3"/>
                <w:szCs w:val="3"/>
                <w:color w:val="FFFFFF"/>
              </w:rPr>
              <w:t>Degree in Computer Systems from Curtin University of Technology in 1991.</w:t>
            </w:r>
          </w:p>
        </w:tc>
        <w:tc>
          <w:tcPr>
            <w:tcW w:w="9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Ms. Mo Yin Mok, aged 51, is the Vice President — Human Resources of WRM, a position she has held since June 2008. Ms. Mok has an extensive 20-year background in hospitality and human resources,</w:t>
            </w: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primarily in the luxury hotel sector at The Regent Four Seasons Hong Kong and The Peninsula Hong Kong. Prior to joining the Group, she led The Peninsula Group’s worldwide human resources team and, in</w:t>
            </w:r>
          </w:p>
        </w:tc>
        <w:tc>
          <w:tcPr>
            <w:tcW w:w="0" w:type="dxa"/>
            <w:vAlign w:val="bottom"/>
          </w:tcPr>
          <w:p>
            <w:pPr>
              <w:spacing w:after="0"/>
              <w:rPr>
                <w:sz w:val="1"/>
                <w:szCs w:val="1"/>
                <w:color w:val="auto"/>
              </w:rPr>
            </w:pPr>
          </w:p>
        </w:tc>
      </w:tr>
      <w:tr>
        <w:trPr>
          <w:trHeight w:val="41"/>
        </w:trPr>
        <w:tc>
          <w:tcPr>
            <w:tcW w:w="11360" w:type="dxa"/>
            <w:vAlign w:val="bottom"/>
            <w:gridSpan w:val="6"/>
          </w:tcPr>
          <w:p>
            <w:pPr>
              <w:ind w:left="80"/>
              <w:spacing w:after="0"/>
              <w:rPr>
                <w:sz w:val="20"/>
                <w:szCs w:val="20"/>
                <w:color w:val="auto"/>
              </w:rPr>
            </w:pPr>
            <w:r>
              <w:rPr>
                <w:rFonts w:ascii="Arial" w:cs="Arial" w:eastAsia="Arial" w:hAnsi="Arial"/>
                <w:sz w:val="3"/>
                <w:szCs w:val="3"/>
                <w:color w:val="FFFFFF"/>
              </w:rPr>
              <w:t>er position, supported eight Peninsula hotels with more than 5,000 staff, and orchestrated human resources activities for the opening of The Peninsula Tokyo. Ms. Mok also served at the front lines of the</w:t>
            </w: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hospitality industry as the Director of Rooms Division at The Peninsula Hong Kong with responsibility for front office, housekeeping, security and spa departments. Ms. Mok currently serves on the Future</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Students and</w:t>
            </w:r>
          </w:p>
        </w:tc>
        <w:tc>
          <w:tcPr>
            <w:tcW w:w="3020" w:type="dxa"/>
            <w:vAlign w:val="bottom"/>
          </w:tcPr>
          <w:p>
            <w:pPr>
              <w:ind w:left="20"/>
              <w:spacing w:after="0"/>
              <w:rPr>
                <w:sz w:val="20"/>
                <w:szCs w:val="20"/>
                <w:color w:val="auto"/>
              </w:rPr>
            </w:pPr>
            <w:r>
              <w:rPr>
                <w:rFonts w:ascii="Arial" w:cs="Arial" w:eastAsia="Arial" w:hAnsi="Arial"/>
                <w:sz w:val="3"/>
                <w:szCs w:val="3"/>
                <w:color w:val="FFFFFF"/>
              </w:rPr>
              <w:t>Advisory Committee of the University of Macau and is</w:t>
            </w:r>
          </w:p>
        </w:tc>
        <w:tc>
          <w:tcPr>
            <w:tcW w:w="3780" w:type="dxa"/>
            <w:vAlign w:val="bottom"/>
            <w:gridSpan w:val="2"/>
          </w:tcPr>
          <w:p>
            <w:pPr>
              <w:ind w:left="120"/>
              <w:spacing w:after="0"/>
              <w:rPr>
                <w:sz w:val="20"/>
                <w:szCs w:val="20"/>
                <w:color w:val="auto"/>
              </w:rPr>
            </w:pPr>
            <w:r>
              <w:rPr>
                <w:rFonts w:ascii="Arial" w:cs="Arial" w:eastAsia="Arial" w:hAnsi="Arial"/>
                <w:sz w:val="3"/>
                <w:szCs w:val="3"/>
                <w:color w:val="FFFFFF"/>
              </w:rPr>
              <w:t>panel member of the Hong Kong Council for Accreditation of</w:t>
            </w:r>
          </w:p>
        </w:tc>
        <w:tc>
          <w:tcPr>
            <w:tcW w:w="2000" w:type="dxa"/>
            <w:vAlign w:val="bottom"/>
          </w:tcPr>
          <w:p>
            <w:pPr>
              <w:ind w:left="300"/>
              <w:spacing w:after="0"/>
              <w:rPr>
                <w:sz w:val="20"/>
                <w:szCs w:val="20"/>
                <w:color w:val="auto"/>
              </w:rPr>
            </w:pPr>
            <w:r>
              <w:rPr>
                <w:rFonts w:ascii="Arial" w:cs="Arial" w:eastAsia="Arial" w:hAnsi="Arial"/>
                <w:sz w:val="3"/>
                <w:szCs w:val="3"/>
                <w:color w:val="FFFFFF"/>
              </w:rPr>
              <w:t>and Vocational Qualifications.</w:t>
            </w: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20" w:type="dxa"/>
            <w:vAlign w:val="bottom"/>
            <w:gridSpan w:val="2"/>
          </w:tcPr>
          <w:p>
            <w:pPr>
              <w:spacing w:after="0"/>
              <w:rPr>
                <w:sz w:val="20"/>
                <w:szCs w:val="20"/>
                <w:color w:val="auto"/>
              </w:rPr>
            </w:pPr>
            <w:r>
              <w:rPr>
                <w:rFonts w:ascii="Arial" w:cs="Arial" w:eastAsia="Arial" w:hAnsi="Arial"/>
                <w:sz w:val="3"/>
                <w:szCs w:val="3"/>
                <w:color w:val="FFFFFF"/>
              </w:rPr>
              <w:t>Ms. Mok holdsPlacementBachelor of Science Degree in Hospitality Management from</w:t>
            </w:r>
          </w:p>
        </w:tc>
        <w:tc>
          <w:tcPr>
            <w:tcW w:w="7040" w:type="dxa"/>
            <w:vAlign w:val="bottom"/>
            <w:gridSpan w:val="4"/>
          </w:tcPr>
          <w:p>
            <w:pPr>
              <w:spacing w:after="0"/>
              <w:rPr>
                <w:sz w:val="20"/>
                <w:szCs w:val="20"/>
                <w:color w:val="auto"/>
              </w:rPr>
            </w:pPr>
            <w:r>
              <w:rPr>
                <w:rFonts w:ascii="Arial" w:cs="Arial" w:eastAsia="Arial" w:hAnsi="Arial"/>
                <w:sz w:val="3"/>
                <w:szCs w:val="3"/>
                <w:color w:val="FFFFFF"/>
              </w:rPr>
              <w:t>Florida International University in the United States, where she receivedAcademicRotary International Ambassadorial Scholarship. She</w:t>
            </w:r>
          </w:p>
        </w:tc>
        <w:tc>
          <w:tcPr>
            <w:tcW w:w="0" w:type="dxa"/>
            <w:vAlign w:val="bottom"/>
          </w:tcPr>
          <w:p>
            <w:pPr>
              <w:spacing w:after="0"/>
              <w:rPr>
                <w:sz w:val="1"/>
                <w:szCs w:val="1"/>
                <w:color w:val="auto"/>
              </w:rPr>
            </w:pPr>
          </w:p>
        </w:tc>
      </w:tr>
      <w:tr>
        <w:trPr>
          <w:trHeight w:val="172"/>
        </w:trPr>
        <w:tc>
          <w:tcPr>
            <w:tcW w:w="4320" w:type="dxa"/>
            <w:vAlign w:val="bottom"/>
            <w:gridSpan w:val="2"/>
          </w:tcPr>
          <w:p>
            <w:pPr>
              <w:spacing w:after="0"/>
              <w:rPr>
                <w:sz w:val="20"/>
                <w:szCs w:val="20"/>
                <w:color w:val="auto"/>
              </w:rPr>
            </w:pPr>
            <w:r>
              <w:rPr>
                <w:rFonts w:ascii="Arial" w:cs="Arial" w:eastAsia="Arial" w:hAnsi="Arial"/>
                <w:sz w:val="14"/>
                <w:szCs w:val="14"/>
                <w:color w:val="FFFFFF"/>
              </w:rPr>
              <w:t>also obtained an MBA from the Chinese University of Hong Kong.</w:t>
            </w:r>
          </w:p>
        </w:tc>
        <w:tc>
          <w:tcPr>
            <w:tcW w:w="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440" w:right="29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Directors36Wynn Macau,andSeniorLimitedManagement</w:t>
      </w:r>
    </w:p>
    <w:p>
      <w:pPr>
        <w:spacing w:after="0"/>
        <w:rPr>
          <w:sz w:val="20"/>
          <w:szCs w:val="20"/>
          <w:color w:val="auto"/>
        </w:rPr>
      </w:pPr>
      <w:r>
        <w:rPr>
          <w:rFonts w:ascii="Arial" w:cs="Arial" w:eastAsia="Arial" w:hAnsi="Arial"/>
          <w:sz w:val="3"/>
          <w:szCs w:val="3"/>
          <w:color w:val="FFFFFF"/>
        </w:rPr>
        <w:t>OUR COMPANY SECRETARY</w:t>
      </w:r>
    </w:p>
    <w:p>
      <w:pPr>
        <w:spacing w:after="0" w:line="194" w:lineRule="auto"/>
        <w:rPr>
          <w:sz w:val="20"/>
          <w:szCs w:val="20"/>
          <w:color w:val="auto"/>
        </w:rPr>
      </w:pPr>
      <w:r>
        <w:rPr>
          <w:rFonts w:ascii="Arial" w:cs="Arial" w:eastAsia="Arial" w:hAnsi="Arial"/>
          <w:sz w:val="3"/>
          <w:szCs w:val="3"/>
          <w:color w:val="FFFFFF"/>
        </w:rPr>
        <w:t>Ms. Kwok Yu Ching, aged 47, is the company secretary of the Company. Ms. Kwok has been a company secretary of the Company since September 2009. She is</w:t>
      </w:r>
      <w:r>
        <w:rPr>
          <w:rFonts w:ascii="Arial" w:cs="Arial" w:eastAsia="Arial" w:hAnsi="Arial"/>
          <w:sz w:val="5"/>
          <w:szCs w:val="5"/>
          <w:color w:val="FFFFFF"/>
          <w:vertAlign w:val="subscript"/>
        </w:rPr>
        <w:t>Secretaries</w:t>
      </w:r>
      <w:r>
        <w:rPr>
          <w:rFonts w:ascii="Arial" w:cs="Arial" w:eastAsia="Arial" w:hAnsi="Arial"/>
          <w:sz w:val="3"/>
          <w:szCs w:val="3"/>
          <w:color w:val="FFFFFF"/>
        </w:rPr>
        <w:t>director of Corporate Services Division of</w:t>
      </w:r>
    </w:p>
    <w:p>
      <w:pPr>
        <w:spacing w:after="0"/>
        <w:tabs>
          <w:tab w:leader="none" w:pos="9260" w:val="left"/>
        </w:tabs>
        <w:rPr>
          <w:sz w:val="20"/>
          <w:szCs w:val="20"/>
          <w:color w:val="auto"/>
        </w:rPr>
      </w:pPr>
      <w:r>
        <w:rPr>
          <w:rFonts w:ascii="Arial" w:cs="Arial" w:eastAsia="Arial" w:hAnsi="Arial"/>
          <w:sz w:val="2"/>
          <w:szCs w:val="2"/>
          <w:color w:val="FFFFFF"/>
        </w:rPr>
        <w:t>Tricor Services Limited. Ms. Kwok,</w:t>
      </w:r>
      <w:r>
        <w:rPr>
          <w:rFonts w:ascii="Arial" w:cs="Arial" w:eastAsia="Arial" w:hAnsi="Arial"/>
          <w:sz w:val="4"/>
          <w:szCs w:val="4"/>
          <w:color w:val="FFFFFF"/>
          <w:vertAlign w:val="subscript"/>
        </w:rPr>
        <w:t>companies</w:t>
      </w:r>
      <w:r>
        <w:rPr>
          <w:rFonts w:ascii="Arial" w:cs="Arial" w:eastAsia="Arial" w:hAnsi="Arial"/>
          <w:sz w:val="2"/>
          <w:szCs w:val="2"/>
          <w:color w:val="FFFFFF"/>
        </w:rPr>
        <w:t>Chartered Secretary, is a Fellow of both The Hong Kong Institute of Chartered Secretaries and The Institute of Chartered</w:t>
      </w:r>
      <w:r>
        <w:rPr>
          <w:sz w:val="20"/>
          <w:szCs w:val="20"/>
          <w:color w:val="auto"/>
        </w:rPr>
        <w:tab/>
      </w:r>
      <w:r>
        <w:rPr>
          <w:rFonts w:ascii="Arial" w:cs="Arial" w:eastAsia="Arial" w:hAnsi="Arial"/>
          <w:sz w:val="3"/>
          <w:szCs w:val="3"/>
          <w:color w:val="FFFFFF"/>
        </w:rPr>
        <w:t>and Administrators. She has been</w:t>
      </w:r>
    </w:p>
    <w:p>
      <w:pPr>
        <w:ind w:right="140"/>
        <w:spacing w:after="0" w:line="190" w:lineRule="auto"/>
        <w:rPr>
          <w:sz w:val="20"/>
          <w:szCs w:val="20"/>
          <w:color w:val="auto"/>
        </w:rPr>
      </w:pPr>
      <w:r>
        <w:rPr>
          <w:rFonts w:ascii="Arial" w:cs="Arial" w:eastAsia="Arial" w:hAnsi="Arial"/>
          <w:sz w:val="11"/>
          <w:szCs w:val="11"/>
          <w:color w:val="FFFFFF"/>
        </w:rPr>
        <w:t>providing professional services to listed on the Hong Kong Stock Exchange for over 20 years. Prior to joining Tricor Services Limited in 2002, Ms. Kwok was the Senior Manager of Company Secretarial Services at Ernst &amp; Young and Tengis Limited in Hong Kong.</w:t>
      </w:r>
    </w:p>
    <w:p>
      <w:pPr>
        <w:sectPr>
          <w:pgSz w:w="11900" w:h="16838" w:orient="portrait"/>
          <w:cols w:equalWidth="0" w:num="1">
            <w:col w:w="11140"/>
          </w:cols>
          <w:pgMar w:left="240" w:top="1440" w:right="51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2"/>
          </w:tcPr>
          <w:p>
            <w:pPr>
              <w:spacing w:after="0"/>
              <w:rPr>
                <w:sz w:val="20"/>
                <w:szCs w:val="20"/>
                <w:color w:val="auto"/>
              </w:rPr>
            </w:pPr>
            <w:r>
              <w:rPr>
                <w:rFonts w:ascii="Arial" w:cs="Arial" w:eastAsia="Arial" w:hAnsi="Arial"/>
                <w:sz w:val="14"/>
                <w:szCs w:val="14"/>
                <w:color w:val="FFFFFF"/>
              </w:rPr>
              <w:t>Interim Report 2012 37</w:t>
            </w:r>
          </w:p>
        </w:tc>
        <w:tc>
          <w:tcPr>
            <w:tcW w:w="73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41"/>
        </w:trPr>
        <w:tc>
          <w:tcPr>
            <w:tcW w:w="3440" w:type="dxa"/>
            <w:vAlign w:val="bottom"/>
            <w:gridSpan w:val="2"/>
          </w:tcPr>
          <w:p>
            <w:pPr>
              <w:spacing w:after="0"/>
              <w:rPr>
                <w:sz w:val="20"/>
                <w:szCs w:val="20"/>
                <w:color w:val="auto"/>
              </w:rPr>
            </w:pPr>
            <w:r>
              <w:rPr>
                <w:rFonts w:ascii="Arial" w:cs="Arial" w:eastAsia="Arial" w:hAnsi="Arial"/>
                <w:sz w:val="3"/>
                <w:szCs w:val="3"/>
                <w:color w:val="FFFFFF"/>
              </w:rPr>
              <w:t>Other Information</w:t>
            </w:r>
          </w:p>
        </w:tc>
        <w:tc>
          <w:tcPr>
            <w:tcW w:w="73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41"/>
        </w:trPr>
        <w:tc>
          <w:tcPr>
            <w:tcW w:w="3440" w:type="dxa"/>
            <w:vAlign w:val="bottom"/>
            <w:gridSpan w:val="2"/>
          </w:tcPr>
          <w:p>
            <w:pPr>
              <w:spacing w:after="0"/>
              <w:rPr>
                <w:sz w:val="20"/>
                <w:szCs w:val="20"/>
                <w:color w:val="auto"/>
              </w:rPr>
            </w:pPr>
            <w:r>
              <w:rPr>
                <w:rFonts w:ascii="Arial" w:cs="Arial" w:eastAsia="Arial" w:hAnsi="Arial"/>
                <w:sz w:val="3"/>
                <w:szCs w:val="3"/>
                <w:color w:val="FFFFFF"/>
              </w:rPr>
              <w:t>DIVIDENDS</w:t>
            </w:r>
          </w:p>
        </w:tc>
        <w:tc>
          <w:tcPr>
            <w:tcW w:w="73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41"/>
        </w:trPr>
        <w:tc>
          <w:tcPr>
            <w:tcW w:w="10800" w:type="dxa"/>
            <w:vAlign w:val="bottom"/>
            <w:gridSpan w:val="3"/>
          </w:tcPr>
          <w:p>
            <w:pPr>
              <w:spacing w:after="0"/>
              <w:rPr>
                <w:sz w:val="20"/>
                <w:szCs w:val="20"/>
                <w:color w:val="auto"/>
              </w:rPr>
            </w:pPr>
            <w:r>
              <w:rPr>
                <w:rFonts w:ascii="Arial" w:cs="Arial" w:eastAsia="Arial" w:hAnsi="Arial"/>
                <w:sz w:val="3"/>
                <w:szCs w:val="3"/>
                <w:color w:val="FFFFFF"/>
              </w:rPr>
              <w:t>The Board has recommended that no interim dividend be paid in respect of the six months ended 30 June 2012.</w:t>
            </w:r>
          </w:p>
        </w:tc>
        <w:tc>
          <w:tcPr>
            <w:tcW w:w="600" w:type="dxa"/>
            <w:vAlign w:val="bottom"/>
          </w:tcPr>
          <w:p>
            <w:pPr>
              <w:spacing w:after="0"/>
              <w:rPr>
                <w:sz w:val="3"/>
                <w:szCs w:val="3"/>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DIRECTORS’ AND CHIEF EXECUTIVES’ INTEREST AND SHORT POSITIONS IN THE SHARES, UNDERLYING SHARES AND DEBENTURES OF THE COMPANY AND ANY ASSOCIATED</w:t>
            </w:r>
          </w:p>
        </w:tc>
      </w:tr>
      <w:tr>
        <w:trPr>
          <w:trHeight w:val="41"/>
        </w:trPr>
        <w:tc>
          <w:tcPr>
            <w:tcW w:w="3440" w:type="dxa"/>
            <w:vAlign w:val="bottom"/>
            <w:gridSpan w:val="2"/>
          </w:tcPr>
          <w:p>
            <w:pPr>
              <w:spacing w:after="0"/>
              <w:rPr>
                <w:sz w:val="20"/>
                <w:szCs w:val="20"/>
                <w:color w:val="auto"/>
              </w:rPr>
            </w:pPr>
            <w:r>
              <w:rPr>
                <w:rFonts w:ascii="Arial" w:cs="Arial" w:eastAsia="Arial" w:hAnsi="Arial"/>
                <w:sz w:val="3"/>
                <w:szCs w:val="3"/>
                <w:color w:val="FFFFFF"/>
              </w:rPr>
              <w:t>CORPORATION</w:t>
            </w:r>
          </w:p>
        </w:tc>
        <w:tc>
          <w:tcPr>
            <w:tcW w:w="73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41"/>
        </w:trPr>
        <w:tc>
          <w:tcPr>
            <w:tcW w:w="280" w:type="dxa"/>
            <w:vAlign w:val="bottom"/>
          </w:tcPr>
          <w:p>
            <w:pPr>
              <w:spacing w:after="0"/>
              <w:rPr>
                <w:sz w:val="20"/>
                <w:szCs w:val="20"/>
                <w:color w:val="auto"/>
              </w:rPr>
            </w:pPr>
            <w:r>
              <w:rPr>
                <w:rFonts w:ascii="Arial" w:cs="Arial" w:eastAsia="Arial" w:hAnsi="Arial"/>
                <w:sz w:val="3"/>
                <w:szCs w:val="3"/>
                <w:color w:val="FFFFFF"/>
              </w:rPr>
              <w:t>As</w:t>
            </w:r>
          </w:p>
        </w:tc>
        <w:tc>
          <w:tcPr>
            <w:tcW w:w="11120" w:type="dxa"/>
            <w:vAlign w:val="bottom"/>
            <w:gridSpan w:val="3"/>
          </w:tcPr>
          <w:p>
            <w:pPr>
              <w:ind w:left="40"/>
              <w:spacing w:after="0"/>
              <w:rPr>
                <w:sz w:val="20"/>
                <w:szCs w:val="20"/>
                <w:color w:val="auto"/>
              </w:rPr>
            </w:pPr>
            <w:r>
              <w:rPr>
                <w:rFonts w:ascii="Arial" w:cs="Arial" w:eastAsia="Arial" w:hAnsi="Arial"/>
                <w:sz w:val="3"/>
                <w:szCs w:val="3"/>
                <w:color w:val="FFFFFF"/>
              </w:rPr>
              <w:t>30 June 2012, the interests and short positions of each Director and chief executive of the Company (being Mr. Stephen A. Wynn) in the Shares, underlying Shares and debentures of the Company or any of</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its associated corporations within the meaning of Part XV of the SFO which (a) were required to be notified to the Company and the Hong Kong Stock Exchange pursuant to Divisions 7 and 8 of Part XV of the</w:t>
            </w:r>
          </w:p>
        </w:tc>
      </w:tr>
      <w:tr>
        <w:trPr>
          <w:trHeight w:val="41"/>
        </w:trPr>
        <w:tc>
          <w:tcPr>
            <w:tcW w:w="280" w:type="dxa"/>
            <w:vAlign w:val="bottom"/>
          </w:tcPr>
          <w:p>
            <w:pPr>
              <w:spacing w:after="0"/>
              <w:rPr>
                <w:sz w:val="20"/>
                <w:szCs w:val="20"/>
                <w:color w:val="auto"/>
              </w:rPr>
            </w:pPr>
            <w:r>
              <w:rPr>
                <w:rFonts w:ascii="Arial" w:cs="Arial" w:eastAsia="Arial" w:hAnsi="Arial"/>
                <w:sz w:val="3"/>
                <w:szCs w:val="3"/>
                <w:color w:val="FFFFFF"/>
              </w:rPr>
              <w:t>SFO</w:t>
            </w:r>
          </w:p>
        </w:tc>
        <w:tc>
          <w:tcPr>
            <w:tcW w:w="3160" w:type="dxa"/>
            <w:vAlign w:val="bottom"/>
          </w:tcPr>
          <w:p>
            <w:pPr>
              <w:ind w:left="600"/>
              <w:spacing w:after="0"/>
              <w:rPr>
                <w:sz w:val="20"/>
                <w:szCs w:val="20"/>
                <w:color w:val="auto"/>
              </w:rPr>
            </w:pPr>
            <w:r>
              <w:rPr>
                <w:rFonts w:ascii="Arial" w:cs="Arial" w:eastAsia="Arial" w:hAnsi="Arial"/>
                <w:sz w:val="3"/>
                <w:szCs w:val="3"/>
                <w:color w:val="FFFFFF"/>
              </w:rPr>
              <w:t>interests and short positions which the</w:t>
            </w:r>
          </w:p>
        </w:tc>
        <w:tc>
          <w:tcPr>
            <w:tcW w:w="7360" w:type="dxa"/>
            <w:vAlign w:val="bottom"/>
          </w:tcPr>
          <w:p>
            <w:pPr>
              <w:ind w:left="20"/>
              <w:spacing w:after="0"/>
              <w:rPr>
                <w:sz w:val="20"/>
                <w:szCs w:val="20"/>
                <w:color w:val="auto"/>
              </w:rPr>
            </w:pPr>
            <w:r>
              <w:rPr>
                <w:rFonts w:ascii="Arial" w:cs="Arial" w:eastAsia="Arial" w:hAnsi="Arial"/>
                <w:sz w:val="3"/>
                <w:szCs w:val="3"/>
                <w:color w:val="FFFFFF"/>
              </w:rPr>
              <w:t>or chief executive is taken or deemed to have under such provisions of the SFO); (b) were required, pursuant to section 352 of the SFO,</w:t>
            </w:r>
          </w:p>
        </w:tc>
        <w:tc>
          <w:tcPr>
            <w:tcW w:w="600" w:type="dxa"/>
            <w:vAlign w:val="bottom"/>
          </w:tcPr>
          <w:p>
            <w:pPr>
              <w:ind w:left="160"/>
              <w:spacing w:after="0"/>
              <w:rPr>
                <w:sz w:val="20"/>
                <w:szCs w:val="20"/>
                <w:color w:val="auto"/>
              </w:rPr>
            </w:pPr>
            <w:r>
              <w:rPr>
                <w:rFonts w:ascii="Arial" w:cs="Arial" w:eastAsia="Arial" w:hAnsi="Arial"/>
                <w:sz w:val="3"/>
                <w:szCs w:val="3"/>
                <w:color w:val="FFFFFF"/>
              </w:rPr>
              <w:t>be</w:t>
            </w:r>
          </w:p>
        </w:tc>
      </w:tr>
      <w:tr>
        <w:trPr>
          <w:trHeight w:val="41"/>
        </w:trPr>
        <w:tc>
          <w:tcPr>
            <w:tcW w:w="3440" w:type="dxa"/>
            <w:vAlign w:val="bottom"/>
            <w:gridSpan w:val="2"/>
          </w:tcPr>
          <w:p>
            <w:pPr>
              <w:spacing w:after="0"/>
              <w:rPr>
                <w:sz w:val="20"/>
                <w:szCs w:val="20"/>
                <w:color w:val="auto"/>
              </w:rPr>
            </w:pPr>
            <w:r>
              <w:rPr>
                <w:rFonts w:ascii="Arial" w:cs="Arial" w:eastAsia="Arial" w:hAnsi="Arial"/>
                <w:sz w:val="3"/>
                <w:szCs w:val="3"/>
                <w:color w:val="FFFFFF"/>
              </w:rPr>
              <w:t>entered(includingtheregister maintained by the Company referredDirector</w:t>
            </w:r>
          </w:p>
        </w:tc>
        <w:tc>
          <w:tcPr>
            <w:tcW w:w="7360" w:type="dxa"/>
            <w:vAlign w:val="bottom"/>
          </w:tcPr>
          <w:p>
            <w:pPr>
              <w:ind w:left="380"/>
              <w:spacing w:after="0"/>
              <w:rPr>
                <w:sz w:val="20"/>
                <w:szCs w:val="20"/>
                <w:color w:val="auto"/>
              </w:rPr>
            </w:pPr>
            <w:r>
              <w:rPr>
                <w:rFonts w:ascii="Arial" w:cs="Arial" w:eastAsia="Arial" w:hAnsi="Arial"/>
                <w:sz w:val="3"/>
                <w:szCs w:val="3"/>
                <w:color w:val="FFFFFF"/>
              </w:rPr>
              <w:t>(c) were required, pursuant to the Model Code contained in the Listing Rules, to be notified to the Company and the Hong Kong</w:t>
            </w:r>
          </w:p>
        </w:tc>
        <w:tc>
          <w:tcPr>
            <w:tcW w:w="600" w:type="dxa"/>
            <w:vAlign w:val="bottom"/>
          </w:tcPr>
          <w:p>
            <w:pPr>
              <w:spacing w:after="0"/>
              <w:rPr>
                <w:sz w:val="20"/>
                <w:szCs w:val="20"/>
                <w:color w:val="auto"/>
              </w:rPr>
            </w:pPr>
            <w:r>
              <w:rPr>
                <w:rFonts w:ascii="Arial" w:cs="Arial" w:eastAsia="Arial" w:hAnsi="Arial"/>
                <w:sz w:val="3"/>
                <w:szCs w:val="3"/>
                <w:color w:val="FFFFFF"/>
              </w:rPr>
              <w:t>Stock</w:t>
            </w:r>
          </w:p>
        </w:tc>
      </w:tr>
      <w:tr>
        <w:trPr>
          <w:trHeight w:val="41"/>
        </w:trPr>
        <w:tc>
          <w:tcPr>
            <w:tcW w:w="10800" w:type="dxa"/>
            <w:vAlign w:val="bottom"/>
            <w:gridSpan w:val="3"/>
          </w:tcPr>
          <w:p>
            <w:pPr>
              <w:spacing w:after="0"/>
              <w:rPr>
                <w:sz w:val="20"/>
                <w:szCs w:val="20"/>
                <w:color w:val="auto"/>
              </w:rPr>
            </w:pPr>
            <w:r>
              <w:rPr>
                <w:rFonts w:ascii="Arial" w:cs="Arial" w:eastAsia="Arial" w:hAnsi="Arial"/>
                <w:sz w:val="3"/>
                <w:szCs w:val="3"/>
                <w:color w:val="FFFFFF"/>
              </w:rPr>
              <w:t>Exchange; or (d) were disclosed according to the knowledge oftherein;Directors of the Company were as follows:</w:t>
            </w:r>
          </w:p>
        </w:tc>
        <w:tc>
          <w:tcPr>
            <w:tcW w:w="600" w:type="dxa"/>
            <w:vAlign w:val="bottom"/>
          </w:tcPr>
          <w:p>
            <w:pPr>
              <w:spacing w:after="0"/>
              <w:rPr>
                <w:sz w:val="3"/>
                <w:szCs w:val="3"/>
                <w:color w:val="auto"/>
              </w:rPr>
            </w:pPr>
          </w:p>
        </w:tc>
      </w:tr>
      <w:tr>
        <w:trPr>
          <w:trHeight w:val="0"/>
        </w:trPr>
        <w:tc>
          <w:tcPr>
            <w:tcW w:w="3440" w:type="dxa"/>
            <w:vAlign w:val="bottom"/>
            <w:gridSpan w:val="2"/>
          </w:tcPr>
          <w:p>
            <w:pPr>
              <w:spacing w:after="0"/>
              <w:rPr>
                <w:sz w:val="20"/>
                <w:szCs w:val="20"/>
                <w:color w:val="auto"/>
              </w:rPr>
            </w:pPr>
            <w:r>
              <w:rPr>
                <w:rFonts w:ascii="Arial" w:cs="Arial" w:eastAsia="Arial" w:hAnsi="Arial"/>
                <w:sz w:val="14"/>
                <w:szCs w:val="14"/>
                <w:color w:val="FFFFFF"/>
              </w:rPr>
              <w:t>Total Approximate</w:t>
            </w:r>
          </w:p>
        </w:tc>
        <w:tc>
          <w:tcPr>
            <w:tcW w:w="7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Personal Family Corporate Other Number Percentage of</w:t>
      </w:r>
    </w:p>
    <w:p>
      <w:pPr>
        <w:spacing w:after="0" w:line="6" w:lineRule="exact"/>
        <w:rPr>
          <w:sz w:val="20"/>
          <w:szCs w:val="20"/>
          <w:color w:val="auto"/>
        </w:rPr>
      </w:pPr>
    </w:p>
    <w:p>
      <w:pPr>
        <w:spacing w:after="0"/>
        <w:rPr>
          <w:sz w:val="20"/>
          <w:szCs w:val="20"/>
          <w:color w:val="auto"/>
        </w:rPr>
      </w:pPr>
      <w:r>
        <w:rPr>
          <w:rFonts w:ascii="Arial" w:cs="Arial" w:eastAsia="Arial" w:hAnsi="Arial"/>
          <w:sz w:val="3"/>
          <w:szCs w:val="3"/>
          <w:color w:val="FFFFFF"/>
        </w:rPr>
        <w:t>Nicholas</w:t>
      </w:r>
    </w:p>
    <w:p>
      <w:pPr>
        <w:ind w:left="100"/>
        <w:spacing w:after="0"/>
        <w:rPr>
          <w:sz w:val="20"/>
          <w:szCs w:val="20"/>
          <w:color w:val="auto"/>
        </w:rPr>
      </w:pPr>
      <w:r>
        <w:rPr>
          <w:rFonts w:ascii="Arial" w:cs="Arial" w:eastAsia="Arial" w:hAnsi="Arial"/>
          <w:sz w:val="3"/>
          <w:szCs w:val="3"/>
          <w:color w:val="FFFFFF"/>
        </w:rPr>
        <w:t>ame of DirectorSallnow-NameSmith ofWynnCorporationMacau, LimitedInterest —Interest10,000Interest—— Interest10,000 0.00%ofShares Shareholding</w:t>
      </w:r>
    </w:p>
    <w:p>
      <w:pPr>
        <w:spacing w:after="0" w:line="194" w:lineRule="auto"/>
        <w:rPr>
          <w:sz w:val="20"/>
          <w:szCs w:val="20"/>
          <w:color w:val="auto"/>
        </w:rPr>
      </w:pPr>
      <w:r>
        <w:rPr>
          <w:rFonts w:ascii="Arial" w:cs="Arial" w:eastAsia="Arial" w:hAnsi="Arial"/>
          <w:sz w:val="5"/>
          <w:szCs w:val="5"/>
          <w:color w:val="FFFFFF"/>
          <w:vertAlign w:val="superscript"/>
        </w:rPr>
        <w:t>(Note</w:t>
      </w:r>
    </w:p>
    <w:p>
      <w:pPr>
        <w:ind w:left="60"/>
        <w:spacing w:after="0"/>
        <w:rPr>
          <w:sz w:val="20"/>
          <w:szCs w:val="20"/>
          <w:color w:val="auto"/>
        </w:rPr>
      </w:pPr>
      <w:r>
        <w:rPr>
          <w:rFonts w:ascii="Arial" w:cs="Arial" w:eastAsia="Arial" w:hAnsi="Arial"/>
          <w:sz w:val="3"/>
          <w:szCs w:val="3"/>
          <w:color w:val="FFFFFF"/>
        </w:rPr>
        <w:t>Long 1)Position)(Note1)(Long Position)</w:t>
      </w:r>
    </w:p>
    <w:p>
      <w:pPr>
        <w:spacing w:after="0" w:line="194" w:lineRule="auto"/>
        <w:rPr>
          <w:sz w:val="20"/>
          <w:szCs w:val="20"/>
          <w:color w:val="auto"/>
        </w:rPr>
      </w:pPr>
      <w:r>
        <w:rPr>
          <w:rFonts w:ascii="Arial" w:cs="Arial" w:eastAsia="Arial" w:hAnsi="Arial"/>
          <w:sz w:val="5"/>
          <w:szCs w:val="5"/>
          <w:color w:val="FFFFFF"/>
        </w:rPr>
        <w:t>Wynn Macau, Limited 540,000 — — — 540,000 —</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Long Position) (Long Position)</w:t>
      </w:r>
    </w:p>
    <w:p>
      <w:pPr>
        <w:ind w:left="340"/>
        <w:spacing w:after="0"/>
        <w:rPr>
          <w:sz w:val="20"/>
          <w:szCs w:val="20"/>
          <w:color w:val="auto"/>
        </w:rPr>
      </w:pPr>
      <w:r>
        <w:rPr>
          <w:rFonts w:ascii="Arial" w:cs="Arial" w:eastAsia="Arial" w:hAnsi="Arial"/>
          <w:sz w:val="3"/>
          <w:szCs w:val="3"/>
          <w:color w:val="FFFFFF"/>
        </w:rPr>
        <w:t>1) (Note 1)</w:t>
      </w:r>
    </w:p>
    <w:p>
      <w:pPr>
        <w:spacing w:after="0" w:line="194" w:lineRule="auto"/>
        <w:rPr>
          <w:sz w:val="20"/>
          <w:szCs w:val="20"/>
          <w:color w:val="auto"/>
        </w:rPr>
      </w:pPr>
      <w:r>
        <w:rPr>
          <w:rFonts w:ascii="Arial" w:cs="Arial" w:eastAsia="Arial" w:hAnsi="Arial"/>
          <w:sz w:val="5"/>
          <w:szCs w:val="5"/>
          <w:color w:val="FFFFFF"/>
        </w:rPr>
        <w:t>Bruce Rockowitz Wynn Macau, Limited 50,000 — — — 50,000 0.00%</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Long Position) (Long Position)</w:t>
      </w:r>
    </w:p>
    <w:p>
      <w:pPr>
        <w:ind w:left="340"/>
        <w:spacing w:after="0"/>
        <w:rPr>
          <w:sz w:val="20"/>
          <w:szCs w:val="20"/>
          <w:color w:val="auto"/>
        </w:rPr>
      </w:pPr>
      <w:r>
        <w:rPr>
          <w:rFonts w:ascii="Arial" w:cs="Arial" w:eastAsia="Arial" w:hAnsi="Arial"/>
          <w:sz w:val="3"/>
          <w:szCs w:val="3"/>
          <w:color w:val="FFFFFF"/>
        </w:rPr>
        <w:t>2) (Note 2)</w:t>
      </w:r>
    </w:p>
    <w:p>
      <w:pPr>
        <w:spacing w:after="0" w:line="194" w:lineRule="auto"/>
        <w:rPr>
          <w:sz w:val="20"/>
          <w:szCs w:val="20"/>
          <w:color w:val="auto"/>
        </w:rPr>
      </w:pPr>
      <w:r>
        <w:rPr>
          <w:rFonts w:ascii="Arial" w:cs="Arial" w:eastAsia="Arial" w:hAnsi="Arial"/>
          <w:sz w:val="5"/>
          <w:szCs w:val="5"/>
          <w:color w:val="FFFFFF"/>
        </w:rPr>
        <w:t>Wynn Macau, Limited 490,000 — — — 490,000 —</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Long Position) (Long Position)</w:t>
      </w:r>
    </w:p>
    <w:p>
      <w:pPr>
        <w:ind w:left="340"/>
        <w:spacing w:after="0"/>
        <w:rPr>
          <w:sz w:val="20"/>
          <w:szCs w:val="20"/>
          <w:color w:val="auto"/>
        </w:rPr>
      </w:pPr>
      <w:r>
        <w:rPr>
          <w:rFonts w:ascii="Arial" w:cs="Arial" w:eastAsia="Arial" w:hAnsi="Arial"/>
          <w:sz w:val="3"/>
          <w:szCs w:val="3"/>
          <w:color w:val="FFFFFF"/>
        </w:rPr>
        <w:t>2) (Note 2)</w:t>
      </w:r>
    </w:p>
    <w:p>
      <w:pPr>
        <w:spacing w:after="0" w:line="194" w:lineRule="auto"/>
        <w:rPr>
          <w:sz w:val="20"/>
          <w:szCs w:val="20"/>
          <w:color w:val="auto"/>
        </w:rPr>
      </w:pPr>
      <w:r>
        <w:rPr>
          <w:rFonts w:ascii="Arial" w:cs="Arial" w:eastAsia="Arial" w:hAnsi="Arial"/>
          <w:sz w:val="5"/>
          <w:szCs w:val="5"/>
          <w:color w:val="FFFFFF"/>
        </w:rPr>
        <w:t>Jeffrey Kin-fung Lam Wynn Macau, Limited 540,000 — — — 540,000 —</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Long Position) (Long Position)</w:t>
      </w:r>
    </w:p>
    <w:p>
      <w:pPr>
        <w:ind w:left="340"/>
        <w:spacing w:after="0"/>
        <w:rPr>
          <w:sz w:val="20"/>
          <w:szCs w:val="20"/>
          <w:color w:val="auto"/>
        </w:rPr>
      </w:pPr>
      <w:r>
        <w:rPr>
          <w:rFonts w:ascii="Arial" w:cs="Arial" w:eastAsia="Arial" w:hAnsi="Arial"/>
          <w:sz w:val="3"/>
          <w:szCs w:val="3"/>
          <w:color w:val="FFFFFF"/>
        </w:rPr>
        <w:t>3) (Note 3)</w:t>
      </w:r>
    </w:p>
    <w:p>
      <w:pPr>
        <w:spacing w:after="0" w:line="194" w:lineRule="auto"/>
        <w:rPr>
          <w:sz w:val="20"/>
          <w:szCs w:val="20"/>
          <w:color w:val="auto"/>
        </w:rPr>
      </w:pPr>
      <w:r>
        <w:rPr>
          <w:rFonts w:ascii="Arial" w:cs="Arial" w:eastAsia="Arial" w:hAnsi="Arial"/>
          <w:sz w:val="5"/>
          <w:szCs w:val="5"/>
          <w:color w:val="FFFFFF"/>
        </w:rPr>
        <w:t>Stephen A. Wynn Wynn Resorts, Limited 10,026,708 — — — 10,026,708 9.97%</w:t>
      </w:r>
    </w:p>
    <w:p>
      <w:pPr>
        <w:spacing w:after="0"/>
        <w:rPr>
          <w:sz w:val="20"/>
          <w:szCs w:val="20"/>
          <w:color w:val="auto"/>
        </w:rPr>
      </w:pPr>
      <w:r>
        <w:rPr>
          <w:rFonts w:ascii="Arial" w:cs="Arial" w:eastAsia="Arial" w:hAnsi="Arial"/>
          <w:sz w:val="14"/>
          <w:szCs w:val="14"/>
          <w:color w:val="FFFFFF"/>
        </w:rPr>
        <w:t>(Long Position) (Long Position)</w:t>
      </w:r>
    </w:p>
    <w:p>
      <w:pPr>
        <w:sectPr>
          <w:pgSz w:w="11900" w:h="16838" w:orient="portrait"/>
          <w:cols w:equalWidth="0" w:num="1">
            <w:col w:w="11400"/>
          </w:cols>
          <w:pgMar w:left="240" w:top="1440" w:right="25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38 Wynn Macau, Limited</w:t>
      </w:r>
    </w:p>
    <w:p>
      <w:pPr>
        <w:spacing w:after="0"/>
        <w:rPr>
          <w:sz w:val="20"/>
          <w:szCs w:val="20"/>
          <w:color w:val="auto"/>
        </w:rPr>
      </w:pPr>
      <w:r>
        <w:rPr>
          <w:rFonts w:ascii="Arial" w:cs="Arial" w:eastAsia="Arial" w:hAnsi="Arial"/>
          <w:sz w:val="3"/>
          <w:szCs w:val="3"/>
          <w:color w:val="FFFFFF"/>
        </w:rPr>
        <w:t>Other Information</w:t>
      </w:r>
    </w:p>
    <w:p>
      <w:pPr>
        <w:spacing w:after="0" w:line="194" w:lineRule="auto"/>
        <w:rPr>
          <w:sz w:val="20"/>
          <w:szCs w:val="20"/>
          <w:color w:val="auto"/>
        </w:rPr>
      </w:pPr>
      <w:r>
        <w:rPr>
          <w:rFonts w:ascii="Arial" w:cs="Arial" w:eastAsia="Arial" w:hAnsi="Arial"/>
          <w:sz w:val="5"/>
          <w:szCs w:val="5"/>
          <w:color w:val="FFFFFF"/>
        </w:rPr>
        <w:t>Total Approximate</w:t>
      </w:r>
    </w:p>
    <w:p>
      <w:pPr>
        <w:spacing w:after="0" w:line="188" w:lineRule="auto"/>
        <w:rPr>
          <w:sz w:val="20"/>
          <w:szCs w:val="20"/>
          <w:color w:val="auto"/>
        </w:rPr>
      </w:pPr>
      <w:r>
        <w:rPr>
          <w:rFonts w:ascii="Arial" w:cs="Arial" w:eastAsia="Arial" w:hAnsi="Arial"/>
          <w:sz w:val="9"/>
          <w:szCs w:val="9"/>
          <w:color w:val="FFFFFF"/>
        </w:rPr>
        <w:t>Personal Family Corporate Other Number Percentage of</w:t>
      </w:r>
    </w:p>
    <w:p>
      <w:pPr>
        <w:spacing w:after="0"/>
        <w:rPr>
          <w:sz w:val="20"/>
          <w:szCs w:val="20"/>
          <w:color w:val="auto"/>
        </w:rPr>
      </w:pPr>
      <w:r>
        <w:rPr>
          <w:rFonts w:ascii="Arial" w:cs="Arial" w:eastAsia="Arial" w:hAnsi="Arial"/>
          <w:sz w:val="3"/>
          <w:szCs w:val="3"/>
          <w:color w:val="FFFFFF"/>
        </w:rPr>
        <w:t>IanNameMichaelofDirectorCoughlanNameWynnofCorporationResorts,LimitedInterest10,000Interest—Interest——10,000Interest0.01%ofShares Shareholding</w:t>
      </w:r>
    </w:p>
    <w:p>
      <w:pPr>
        <w:spacing w:after="0" w:line="194" w:lineRule="auto"/>
        <w:rPr>
          <w:sz w:val="20"/>
          <w:szCs w:val="20"/>
          <w:color w:val="auto"/>
        </w:rPr>
      </w:pPr>
      <w:r>
        <w:rPr>
          <w:rFonts w:ascii="Arial" w:cs="Arial" w:eastAsia="Arial" w:hAnsi="Arial"/>
          <w:sz w:val="5"/>
          <w:szCs w:val="5"/>
          <w:color w:val="FFFFFF"/>
          <w:vertAlign w:val="superscript"/>
        </w:rPr>
        <w:t>(Note</w:t>
      </w:r>
    </w:p>
    <w:p>
      <w:pPr>
        <w:ind w:left="60"/>
        <w:spacing w:after="0" w:line="188" w:lineRule="auto"/>
        <w:rPr>
          <w:sz w:val="20"/>
          <w:szCs w:val="20"/>
          <w:color w:val="auto"/>
        </w:rPr>
      </w:pPr>
      <w:r>
        <w:rPr>
          <w:rFonts w:ascii="Arial" w:cs="Arial" w:eastAsia="Arial" w:hAnsi="Arial"/>
          <w:sz w:val="9"/>
          <w:szCs w:val="9"/>
          <w:color w:val="FFFFFF"/>
        </w:rPr>
        <w:t>Long 4)Position)(Note4)(Long Position)</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50,000LongPosition)——— (Long50,000Position)—</w:t>
      </w:r>
    </w:p>
    <w:p>
      <w:pPr>
        <w:ind w:left="340"/>
        <w:spacing w:after="0" w:line="188" w:lineRule="auto"/>
        <w:rPr>
          <w:sz w:val="20"/>
          <w:szCs w:val="20"/>
          <w:color w:val="auto"/>
        </w:rPr>
      </w:pPr>
      <w:r>
        <w:rPr>
          <w:rFonts w:ascii="Arial" w:cs="Arial" w:eastAsia="Arial" w:hAnsi="Arial"/>
          <w:sz w:val="9"/>
          <w:szCs w:val="9"/>
          <w:color w:val="FFFFFF"/>
        </w:rPr>
        <w:t>4) (Note 4)</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LindaLong ChenPosition)Wynn(LongResorts,Position)Limited 265,000 — — — 265,000 0.26%</w:t>
      </w:r>
    </w:p>
    <w:p>
      <w:pPr>
        <w:ind w:left="340"/>
        <w:spacing w:after="0" w:line="188" w:lineRule="auto"/>
        <w:rPr>
          <w:sz w:val="20"/>
          <w:szCs w:val="20"/>
          <w:color w:val="auto"/>
        </w:rPr>
      </w:pPr>
      <w:r>
        <w:rPr>
          <w:rFonts w:ascii="Arial" w:cs="Arial" w:eastAsia="Arial" w:hAnsi="Arial"/>
          <w:sz w:val="9"/>
          <w:szCs w:val="9"/>
          <w:color w:val="FFFFFF"/>
        </w:rPr>
        <w:t>5) (Note 5)</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WynnLong Resorts,Position)Limited(LongPosition)415,000 — — — 415,000 —</w:t>
      </w:r>
    </w:p>
    <w:p>
      <w:pPr>
        <w:ind w:left="340"/>
        <w:spacing w:after="0" w:line="188" w:lineRule="auto"/>
        <w:rPr>
          <w:sz w:val="20"/>
          <w:szCs w:val="20"/>
          <w:color w:val="auto"/>
        </w:rPr>
      </w:pPr>
      <w:r>
        <w:rPr>
          <w:rFonts w:ascii="Arial" w:cs="Arial" w:eastAsia="Arial" w:hAnsi="Arial"/>
          <w:sz w:val="9"/>
          <w:szCs w:val="9"/>
          <w:color w:val="FFFFFF"/>
        </w:rPr>
        <w:t>5) (Note 5)</w:t>
      </w:r>
    </w:p>
    <w:p>
      <w:pPr>
        <w:spacing w:after="0" w:line="212"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AllanLong ZemanPosition)Wynn(LongMacau,Position)Limited 540,000 — — — 540,000 —</w:t>
      </w:r>
    </w:p>
    <w:p>
      <w:pPr>
        <w:ind w:left="340"/>
        <w:spacing w:after="0" w:line="188" w:lineRule="auto"/>
        <w:rPr>
          <w:sz w:val="20"/>
          <w:szCs w:val="20"/>
          <w:color w:val="auto"/>
        </w:rPr>
      </w:pPr>
      <w:r>
        <w:rPr>
          <w:rFonts w:ascii="Arial" w:cs="Arial" w:eastAsia="Arial" w:hAnsi="Arial"/>
          <w:sz w:val="9"/>
          <w:szCs w:val="9"/>
          <w:color w:val="FFFFFF"/>
        </w:rPr>
        <w:t>6) (Note 6)</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WynnLong Resorts,Position)Limited(LongPosition)7,500— — — 7,500 0.01%</w:t>
      </w:r>
    </w:p>
    <w:p>
      <w:pPr>
        <w:ind w:left="340"/>
        <w:spacing w:after="0" w:line="188" w:lineRule="auto"/>
        <w:rPr>
          <w:sz w:val="20"/>
          <w:szCs w:val="20"/>
          <w:color w:val="auto"/>
        </w:rPr>
      </w:pPr>
      <w:r>
        <w:rPr>
          <w:rFonts w:ascii="Arial" w:cs="Arial" w:eastAsia="Arial" w:hAnsi="Arial"/>
          <w:sz w:val="9"/>
          <w:szCs w:val="9"/>
          <w:color w:val="FFFFFF"/>
        </w:rPr>
        <w:t>6) (Note 6)</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WynnLong Resorts,Position)Limited(LongPosition)46,290— — — 46,290 —</w:t>
      </w:r>
    </w:p>
    <w:p>
      <w:pPr>
        <w:ind w:left="340"/>
        <w:spacing w:after="0" w:line="188" w:lineRule="auto"/>
        <w:rPr>
          <w:sz w:val="20"/>
          <w:szCs w:val="20"/>
          <w:color w:val="auto"/>
        </w:rPr>
      </w:pPr>
      <w:r>
        <w:rPr>
          <w:rFonts w:ascii="Arial" w:cs="Arial" w:eastAsia="Arial" w:hAnsi="Arial"/>
          <w:sz w:val="9"/>
          <w:szCs w:val="9"/>
          <w:color w:val="FFFFFF"/>
        </w:rPr>
        <w:t>6) (Note 6)</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MarcLongD.Position)Schorr Wynn(Long Resorts,Position)Limited 250,000 — — — 250,000 0.25%</w:t>
      </w:r>
    </w:p>
    <w:p>
      <w:pPr>
        <w:ind w:left="340"/>
        <w:spacing w:after="0" w:line="188" w:lineRule="auto"/>
        <w:rPr>
          <w:sz w:val="20"/>
          <w:szCs w:val="20"/>
          <w:color w:val="auto"/>
        </w:rPr>
      </w:pPr>
      <w:r>
        <w:rPr>
          <w:rFonts w:ascii="Arial" w:cs="Arial" w:eastAsia="Arial" w:hAnsi="Arial"/>
          <w:sz w:val="9"/>
          <w:szCs w:val="9"/>
          <w:color w:val="FFFFFF"/>
        </w:rPr>
        <w:t>7) (Note 7)</w:t>
      </w:r>
    </w:p>
    <w:p>
      <w:pPr>
        <w:spacing w:after="0" w:line="212"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WynnLong Resorts,Position)Limited(LongPosition)400,000 — — — 400,000 —</w:t>
      </w:r>
    </w:p>
    <w:p>
      <w:pPr>
        <w:spacing w:after="0" w:line="187" w:lineRule="auto"/>
        <w:rPr>
          <w:sz w:val="20"/>
          <w:szCs w:val="20"/>
          <w:color w:val="auto"/>
        </w:rPr>
      </w:pPr>
      <w:r>
        <w:rPr>
          <w:rFonts w:ascii="Arial" w:cs="Arial" w:eastAsia="Arial" w:hAnsi="Arial"/>
          <w:sz w:val="9"/>
          <w:szCs w:val="9"/>
          <w:color w:val="FFFFFF"/>
          <w:vertAlign w:val="subscript"/>
        </w:rPr>
        <w:t>Notes:</w:t>
      </w:r>
      <w:r>
        <w:rPr>
          <w:rFonts w:ascii="Arial" w:cs="Arial" w:eastAsia="Arial" w:hAnsi="Arial"/>
          <w:sz w:val="7"/>
          <w:szCs w:val="7"/>
          <w:color w:val="FFFFFF"/>
        </w:rPr>
        <w:t>7) (Note 7)</w:t>
      </w:r>
    </w:p>
    <w:p>
      <w:pPr>
        <w:spacing w:after="0" w:line="213" w:lineRule="auto"/>
        <w:rPr>
          <w:sz w:val="20"/>
          <w:szCs w:val="20"/>
          <w:color w:val="auto"/>
        </w:rPr>
      </w:pPr>
      <w:r>
        <w:rPr>
          <w:rFonts w:ascii="Arial" w:cs="Arial" w:eastAsia="Arial" w:hAnsi="Arial"/>
          <w:sz w:val="2"/>
          <w:szCs w:val="2"/>
          <w:color w:val="FFFFFF"/>
        </w:rPr>
        <w:t>Mr. Nicholas Sallnow-Smith’</w:t>
      </w:r>
      <w:r>
        <w:rPr>
          <w:rFonts w:ascii="Arial" w:cs="Arial" w:eastAsia="Arial" w:hAnsi="Arial"/>
          <w:sz w:val="4"/>
          <w:szCs w:val="4"/>
          <w:color w:val="FFFFFF"/>
          <w:vertAlign w:val="superscript"/>
        </w:rPr>
        <w:t>share</w:t>
      </w:r>
      <w:r>
        <w:rPr>
          <w:rFonts w:ascii="Arial" w:cs="Arial" w:eastAsia="Arial" w:hAnsi="Arial"/>
          <w:sz w:val="2"/>
          <w:szCs w:val="2"/>
          <w:color w:val="FFFFFF"/>
        </w:rPr>
        <w:t>spouse, Ms. Lora Sallnow-Smith, was interested in 10,000 Shares. Mr. Nicholas Sallnow-Smith is deemed to be interested in the 10,000 Shares held by his spouse under the SFO.</w:t>
      </w:r>
    </w:p>
    <w:p>
      <w:pPr>
        <w:spacing w:after="0"/>
        <w:tabs>
          <w:tab w:leader="none" w:pos="1800" w:val="left"/>
        </w:tabs>
        <w:rPr>
          <w:sz w:val="20"/>
          <w:szCs w:val="20"/>
          <w:color w:val="auto"/>
        </w:rPr>
      </w:pPr>
      <w:r>
        <w:rPr>
          <w:rFonts w:ascii="Arial" w:cs="Arial" w:eastAsia="Arial" w:hAnsi="Arial"/>
          <w:sz w:val="2"/>
          <w:szCs w:val="2"/>
          <w:color w:val="FFFFFF"/>
        </w:rPr>
        <w:t>Pursuant to the Company’</w:t>
      </w:r>
      <w:r>
        <w:rPr>
          <w:rFonts w:ascii="Arial" w:cs="Arial" w:eastAsia="Arial" w:hAnsi="Arial"/>
          <w:sz w:val="4"/>
          <w:szCs w:val="4"/>
          <w:color w:val="FFFFFF"/>
          <w:vertAlign w:val="superscript"/>
        </w:rPr>
        <w:t>holds</w:t>
      </w:r>
      <w:r>
        <w:rPr>
          <w:sz w:val="20"/>
          <w:szCs w:val="20"/>
          <w:color w:val="auto"/>
        </w:rPr>
        <w:tab/>
      </w:r>
      <w:r>
        <w:rPr>
          <w:rFonts w:ascii="Arial" w:cs="Arial" w:eastAsia="Arial" w:hAnsi="Arial"/>
          <w:sz w:val="3"/>
          <w:szCs w:val="3"/>
          <w:color w:val="FFFFFF"/>
        </w:rPr>
        <w:t>option scheme, share options for 540,000 Shares have been granted to Mr. Nicholas Sallnow-Smith, of which share options for 120,000 Shares have vested.</w:t>
      </w:r>
    </w:p>
    <w:p>
      <w:pPr>
        <w:spacing w:after="0"/>
        <w:tabs>
          <w:tab w:leader="none" w:pos="1520" w:val="left"/>
        </w:tabs>
        <w:rPr>
          <w:sz w:val="20"/>
          <w:szCs w:val="20"/>
          <w:color w:val="auto"/>
        </w:rPr>
      </w:pPr>
      <w:r>
        <w:rPr>
          <w:rFonts w:ascii="Arial" w:cs="Arial" w:eastAsia="Arial" w:hAnsi="Arial"/>
          <w:sz w:val="14"/>
          <w:szCs w:val="14"/>
          <w:color w:val="FFFFFF"/>
        </w:rPr>
        <w:t>Mr. Bruce Rockowitz</w:t>
      </w:r>
      <w:r>
        <w:rPr>
          <w:sz w:val="20"/>
          <w:szCs w:val="20"/>
          <w:color w:val="auto"/>
        </w:rPr>
        <w:tab/>
      </w:r>
      <w:r>
        <w:rPr>
          <w:rFonts w:ascii="Arial" w:cs="Arial" w:eastAsia="Arial" w:hAnsi="Arial"/>
          <w:sz w:val="12"/>
          <w:szCs w:val="12"/>
          <w:color w:val="FFFFFF"/>
        </w:rPr>
        <w:t>(i) 50,000 Shares in his personal capacity; and (ii) share options for 490,000 Shares under the Company’s share option scheme, of which share options for 70,000 Shares have vested.</w:t>
      </w:r>
    </w:p>
    <w:p>
      <w:pPr>
        <w:sectPr>
          <w:pgSz w:w="11900" w:h="16838" w:orient="portrait"/>
          <w:cols w:equalWidth="0" w:num="1">
            <w:col w:w="11360"/>
          </w:cols>
          <w:pgMar w:left="240" w:top="1440" w:right="29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2"/>
          </w:tcPr>
          <w:p>
            <w:pPr>
              <w:spacing w:after="0"/>
              <w:rPr>
                <w:sz w:val="20"/>
                <w:szCs w:val="20"/>
                <w:color w:val="auto"/>
              </w:rPr>
            </w:pPr>
            <w:r>
              <w:rPr>
                <w:rFonts w:ascii="Arial" w:cs="Arial" w:eastAsia="Arial" w:hAnsi="Arial"/>
                <w:sz w:val="14"/>
                <w:szCs w:val="14"/>
                <w:color w:val="FFFFFF"/>
              </w:rPr>
              <w:t>Interim Report 2012 39</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Other Information</w:t>
            </w:r>
          </w:p>
        </w:tc>
      </w:tr>
      <w:tr>
        <w:trPr>
          <w:trHeight w:val="41"/>
        </w:trPr>
        <w:tc>
          <w:tcPr>
            <w:tcW w:w="420" w:type="dxa"/>
            <w:vAlign w:val="bottom"/>
          </w:tcPr>
          <w:p>
            <w:pPr>
              <w:spacing w:after="0"/>
              <w:rPr>
                <w:sz w:val="3"/>
                <w:szCs w:val="3"/>
                <w:color w:val="auto"/>
              </w:rPr>
            </w:pPr>
          </w:p>
        </w:tc>
        <w:tc>
          <w:tcPr>
            <w:tcW w:w="10980" w:type="dxa"/>
            <w:vAlign w:val="bottom"/>
          </w:tcPr>
          <w:p>
            <w:pPr>
              <w:ind w:left="440"/>
              <w:spacing w:after="0"/>
              <w:rPr>
                <w:sz w:val="20"/>
                <w:szCs w:val="20"/>
                <w:color w:val="auto"/>
              </w:rPr>
            </w:pPr>
            <w:r>
              <w:rPr>
                <w:rFonts w:ascii="Arial" w:cs="Arial" w:eastAsia="Arial" w:hAnsi="Arial"/>
                <w:sz w:val="3"/>
                <w:szCs w:val="3"/>
                <w:color w:val="FFFFFF"/>
              </w:rPr>
              <w:t>Company’s share option scheme, share options for 540,000 Shares have been granted to Mr. Jeffrey Kin-fung Lam, of which share options for 120,000 Shares have vested.</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Pursuant to the 2002 Stock Incentive Plan of Wynn Resorts, Limited (the “Stock Plan”), Mr. Ian Michael Coughlan holds (i) 10,000 non-vested shares which vested on 1 January 2012, and became 10,000 shares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in common stock of Wynn Resorts, Limited; and (ii) 50,000 stock options in the common stock of Wynn Resorts, Limited of which share options for 15,000 shares have vested.</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Pursuant to the Stock Plan, Ms. Linda Chen holds (i) 100,000 shares in common stock of Wynn Resorts, Limited which were vested on 31 July 2012; (ii) 100,000 non-vested shares; and (iii) 415,000 stock</w:t>
            </w: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options</w:t>
            </w:r>
          </w:p>
        </w:tc>
        <w:tc>
          <w:tcPr>
            <w:tcW w:w="10980" w:type="dxa"/>
            <w:vAlign w:val="bottom"/>
          </w:tcPr>
          <w:p>
            <w:pPr>
              <w:ind w:left="160"/>
              <w:spacing w:after="0"/>
              <w:rPr>
                <w:sz w:val="20"/>
                <w:szCs w:val="20"/>
                <w:color w:val="auto"/>
              </w:rPr>
            </w:pPr>
            <w:r>
              <w:rPr>
                <w:rFonts w:ascii="Arial" w:cs="Arial" w:eastAsia="Arial" w:hAnsi="Arial"/>
                <w:sz w:val="3"/>
                <w:szCs w:val="3"/>
                <w:color w:val="FFFFFF"/>
              </w:rPr>
              <w:t>the common stock of Wynn Resorts, Limited of which share options for 30,000 shares have vested and 385,000 remain unvested. 65,000 shares in the common stock of Wynn Resorts, Limited are held</w:t>
            </w:r>
          </w:p>
        </w:tc>
      </w:tr>
      <w:tr>
        <w:trPr>
          <w:trHeight w:val="0"/>
        </w:trPr>
        <w:tc>
          <w:tcPr>
            <w:tcW w:w="420" w:type="dxa"/>
            <w:vAlign w:val="bottom"/>
          </w:tcPr>
          <w:p>
            <w:pPr>
              <w:spacing w:after="0"/>
              <w:rPr>
                <w:sz w:val="20"/>
                <w:szCs w:val="20"/>
                <w:color w:val="auto"/>
              </w:rPr>
            </w:pPr>
            <w:r>
              <w:rPr>
                <w:rFonts w:ascii="Arial" w:cs="Arial" w:eastAsia="Arial" w:hAnsi="Arial"/>
                <w:sz w:val="3"/>
                <w:szCs w:val="3"/>
                <w:color w:val="FFFFFF"/>
              </w:rPr>
              <w:t>by Ms.</w:t>
            </w:r>
          </w:p>
        </w:tc>
        <w:tc>
          <w:tcPr>
            <w:tcW w:w="10980" w:type="dxa"/>
            <w:vAlign w:val="bottom"/>
          </w:tcPr>
          <w:p>
            <w:pPr>
              <w:spacing w:after="0"/>
              <w:rPr>
                <w:sz w:val="20"/>
                <w:szCs w:val="20"/>
                <w:color w:val="auto"/>
              </w:rPr>
            </w:pPr>
            <w:r>
              <w:rPr>
                <w:rFonts w:ascii="Arial" w:cs="Arial" w:eastAsia="Arial" w:hAnsi="Arial"/>
                <w:sz w:val="3"/>
                <w:szCs w:val="3"/>
                <w:color w:val="FFFFFF"/>
              </w:rPr>
              <w:t>Linda Chen in her personal capacity.</w:t>
            </w:r>
          </w:p>
        </w:tc>
      </w:tr>
    </w:tbl>
    <w:p>
      <w:pPr>
        <w:spacing w:after="0" w:line="25" w:lineRule="auto"/>
        <w:rPr>
          <w:sz w:val="20"/>
          <w:szCs w:val="20"/>
          <w:color w:val="auto"/>
        </w:rPr>
      </w:pPr>
      <w:r>
        <w:rPr>
          <w:rFonts w:ascii="Arial" w:cs="Arial" w:eastAsia="Arial" w:hAnsi="Arial"/>
          <w:sz w:val="1"/>
          <w:szCs w:val="1"/>
          <w:color w:val="FFFFFF"/>
        </w:rPr>
        <w:t>Pursuant to the Company’s share option scheme, share options for 540,000 Shares have been granted to Dr. Allan Zeman, of which share options for 120,000 Shares have vested. Pursuant to the Stock Plan,</w:t>
      </w:r>
    </w:p>
    <w:p>
      <w:pPr>
        <w:ind w:right="40"/>
        <w:spacing w:after="0"/>
        <w:rPr>
          <w:sz w:val="20"/>
          <w:szCs w:val="20"/>
          <w:color w:val="auto"/>
        </w:rPr>
      </w:pPr>
      <w:r>
        <w:rPr>
          <w:rFonts w:ascii="Arial" w:cs="Arial" w:eastAsia="Arial" w:hAnsi="Arial"/>
          <w:sz w:val="6"/>
          <w:szCs w:val="6"/>
          <w:color w:val="FFFFFF"/>
        </w:rPr>
        <w:t>Dr. Allan Zeman holds (i) 5,000 shares in common stock of Wynn Resorts, Limited which were non-vested shares which had vested in the year ended 31 December 2011 and the six months ended 30 June 2012; (ii) 2,500 non-vested shares; and (iii) in aggregate of 46,290 stock options in the common stock of Wynn Resorts, Limited of which share options for 25,720 shares have vested.</w:t>
      </w:r>
    </w:p>
    <w:p>
      <w:pPr>
        <w:spacing w:after="0" w:line="12" w:lineRule="exact"/>
        <w:rPr>
          <w:sz w:val="20"/>
          <w:szCs w:val="20"/>
          <w:color w:val="auto"/>
        </w:rPr>
      </w:pPr>
    </w:p>
    <w:p>
      <w:pPr>
        <w:ind w:right="220"/>
        <w:spacing w:after="0"/>
        <w:rPr>
          <w:sz w:val="20"/>
          <w:szCs w:val="20"/>
          <w:color w:val="auto"/>
        </w:rPr>
      </w:pPr>
      <w:r>
        <w:rPr>
          <w:rFonts w:ascii="Arial" w:cs="Arial" w:eastAsia="Arial" w:hAnsi="Arial"/>
          <w:sz w:val="11"/>
          <w:szCs w:val="11"/>
          <w:color w:val="FFFFFF"/>
        </w:rPr>
        <w:t>Pursuant to the Stock Plan, Mr. Marc D. Schorr holds (i) 250,000 non-vested shares; and (ii) 400,000 unvested stock options in the common stock of Wynn Resorts, Limited of which share options for 50,000 shares have vested.</w:t>
      </w:r>
    </w:p>
    <w:p>
      <w:pPr>
        <w:sectPr>
          <w:pgSz w:w="11900" w:h="16838" w:orient="portrait"/>
          <w:cols w:equalWidth="0" w:num="1">
            <w:col w:w="11400"/>
          </w:cols>
          <w:pgMar w:left="240" w:top="1440" w:right="25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2"/>
          </w:tcPr>
          <w:p>
            <w:pPr>
              <w:spacing w:after="0"/>
              <w:rPr>
                <w:sz w:val="20"/>
                <w:szCs w:val="20"/>
                <w:color w:val="auto"/>
              </w:rPr>
            </w:pPr>
            <w:r>
              <w:rPr>
                <w:rFonts w:ascii="Arial" w:cs="Arial" w:eastAsia="Arial" w:hAnsi="Arial"/>
                <w:sz w:val="14"/>
                <w:szCs w:val="14"/>
                <w:color w:val="FFFFFF"/>
              </w:rPr>
              <w:t>40 Wynn Macau, Limited</w:t>
            </w:r>
          </w:p>
        </w:tc>
        <w:tc>
          <w:tcPr>
            <w:tcW w:w="8800" w:type="dxa"/>
            <w:vAlign w:val="bottom"/>
          </w:tcPr>
          <w:p>
            <w:pPr>
              <w:spacing w:after="0"/>
              <w:rPr>
                <w:sz w:val="14"/>
                <w:szCs w:val="14"/>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Other Information</w:t>
            </w:r>
          </w:p>
        </w:tc>
        <w:tc>
          <w:tcPr>
            <w:tcW w:w="1360" w:type="dxa"/>
            <w:vAlign w:val="bottom"/>
          </w:tcPr>
          <w:p>
            <w:pPr>
              <w:spacing w:after="0"/>
              <w:rPr>
                <w:sz w:val="3"/>
                <w:szCs w:val="3"/>
                <w:color w:val="auto"/>
              </w:rPr>
            </w:pPr>
          </w:p>
        </w:tc>
        <w:tc>
          <w:tcPr>
            <w:tcW w:w="8800" w:type="dxa"/>
            <w:vAlign w:val="bottom"/>
          </w:tcPr>
          <w:p>
            <w:pPr>
              <w:spacing w:after="0"/>
              <w:rPr>
                <w:sz w:val="3"/>
                <w:szCs w:val="3"/>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SUBSTANTIAL SHAREHOLDERS’ INTERESTS AND SHORT POSITIONS IN THE SHARES AND UNDERLYING SHARES OF THE COMPANY</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The register of substantial shareholders required to be kept by the Company under section 336 of Part XV of the SFO shows that as at 30 June 2012, the Company had been notified of the following substantial</w:t>
            </w: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shareholders’</w:t>
            </w:r>
          </w:p>
        </w:tc>
        <w:tc>
          <w:tcPr>
            <w:tcW w:w="10160" w:type="dxa"/>
            <w:vAlign w:val="bottom"/>
            <w:gridSpan w:val="2"/>
          </w:tcPr>
          <w:p>
            <w:pPr>
              <w:jc w:val="right"/>
              <w:ind w:right="255"/>
              <w:spacing w:after="0"/>
              <w:rPr>
                <w:sz w:val="20"/>
                <w:szCs w:val="20"/>
                <w:color w:val="auto"/>
              </w:rPr>
            </w:pPr>
            <w:r>
              <w:rPr>
                <w:rFonts w:ascii="Arial" w:cs="Arial" w:eastAsia="Arial" w:hAnsi="Arial"/>
                <w:sz w:val="3"/>
                <w:szCs w:val="3"/>
                <w:color w:val="FFFFFF"/>
              </w:rPr>
              <w:t>and short positions in the shares and underlying shares of the Company, being interests of 5% or more of the Company’s issued share capital. These interests are in addition to those</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disclosed aboveinterestsrespect of the Directors and chief executives of the Company.</w:t>
            </w:r>
          </w:p>
        </w:tc>
      </w:tr>
      <w:tr>
        <w:trPr>
          <w:trHeight w:val="41"/>
        </w:trPr>
        <w:tc>
          <w:tcPr>
            <w:tcW w:w="2480" w:type="dxa"/>
            <w:vAlign w:val="bottom"/>
            <w:gridSpan w:val="2"/>
          </w:tcPr>
          <w:p>
            <w:pPr>
              <w:spacing w:after="0"/>
              <w:rPr>
                <w:sz w:val="20"/>
                <w:szCs w:val="20"/>
                <w:color w:val="auto"/>
              </w:rPr>
            </w:pPr>
            <w:r>
              <w:rPr>
                <w:rFonts w:ascii="Arial" w:cs="Arial" w:eastAsia="Arial" w:hAnsi="Arial"/>
                <w:sz w:val="3"/>
                <w:szCs w:val="3"/>
                <w:color w:val="FFFFFF"/>
              </w:rPr>
              <w:t>Shares of HK$0.001 each in the Company</w:t>
            </w:r>
          </w:p>
        </w:tc>
        <w:tc>
          <w:tcPr>
            <w:tcW w:w="8800" w:type="dxa"/>
            <w:vAlign w:val="bottom"/>
          </w:tcPr>
          <w:p>
            <w:pPr>
              <w:spacing w:after="0"/>
              <w:rPr>
                <w:sz w:val="3"/>
                <w:szCs w:val="3"/>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Percentage of</w:t>
            </w:r>
          </w:p>
        </w:tc>
        <w:tc>
          <w:tcPr>
            <w:tcW w:w="1360" w:type="dxa"/>
            <w:vAlign w:val="bottom"/>
          </w:tcPr>
          <w:p>
            <w:pPr>
              <w:spacing w:after="0"/>
              <w:rPr>
                <w:sz w:val="3"/>
                <w:szCs w:val="3"/>
                <w:color w:val="auto"/>
              </w:rPr>
            </w:pPr>
          </w:p>
        </w:tc>
        <w:tc>
          <w:tcPr>
            <w:tcW w:w="8800" w:type="dxa"/>
            <w:vAlign w:val="bottom"/>
          </w:tcPr>
          <w:p>
            <w:pPr>
              <w:spacing w:after="0"/>
              <w:rPr>
                <w:sz w:val="3"/>
                <w:szCs w:val="3"/>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the issued share</w:t>
            </w:r>
          </w:p>
        </w:tc>
        <w:tc>
          <w:tcPr>
            <w:tcW w:w="1360" w:type="dxa"/>
            <w:vAlign w:val="bottom"/>
          </w:tcPr>
          <w:p>
            <w:pPr>
              <w:spacing w:after="0"/>
              <w:rPr>
                <w:sz w:val="3"/>
                <w:szCs w:val="3"/>
                <w:color w:val="auto"/>
              </w:rPr>
            </w:pPr>
          </w:p>
        </w:tc>
        <w:tc>
          <w:tcPr>
            <w:tcW w:w="8800" w:type="dxa"/>
            <w:vAlign w:val="bottom"/>
          </w:tcPr>
          <w:p>
            <w:pPr>
              <w:spacing w:after="0"/>
              <w:rPr>
                <w:sz w:val="3"/>
                <w:szCs w:val="3"/>
                <w:color w:val="auto"/>
              </w:rPr>
            </w:pPr>
          </w:p>
        </w:tc>
      </w:tr>
      <w:tr>
        <w:trPr>
          <w:trHeight w:val="41"/>
        </w:trPr>
        <w:tc>
          <w:tcPr>
            <w:tcW w:w="2480" w:type="dxa"/>
            <w:vAlign w:val="bottom"/>
            <w:gridSpan w:val="2"/>
          </w:tcPr>
          <w:p>
            <w:pPr>
              <w:spacing w:after="0"/>
              <w:rPr>
                <w:sz w:val="20"/>
                <w:szCs w:val="20"/>
                <w:color w:val="auto"/>
              </w:rPr>
            </w:pPr>
            <w:r>
              <w:rPr>
                <w:rFonts w:ascii="Arial" w:cs="Arial" w:eastAsia="Arial" w:hAnsi="Arial"/>
                <w:sz w:val="3"/>
                <w:szCs w:val="3"/>
                <w:color w:val="FFFFFF"/>
              </w:rPr>
              <w:t>Capacity/ Number of capital of the</w:t>
            </w:r>
          </w:p>
        </w:tc>
        <w:tc>
          <w:tcPr>
            <w:tcW w:w="8800" w:type="dxa"/>
            <w:vAlign w:val="bottom"/>
          </w:tcPr>
          <w:p>
            <w:pPr>
              <w:spacing w:after="0"/>
              <w:rPr>
                <w:sz w:val="3"/>
                <w:szCs w:val="3"/>
                <w:color w:val="auto"/>
              </w:rPr>
            </w:pPr>
          </w:p>
        </w:tc>
      </w:tr>
      <w:tr>
        <w:trPr>
          <w:trHeight w:val="41"/>
        </w:trPr>
        <w:tc>
          <w:tcPr>
            <w:tcW w:w="2480" w:type="dxa"/>
            <w:vAlign w:val="bottom"/>
            <w:gridSpan w:val="2"/>
          </w:tcPr>
          <w:p>
            <w:pPr>
              <w:spacing w:after="0"/>
              <w:rPr>
                <w:sz w:val="20"/>
                <w:szCs w:val="20"/>
                <w:color w:val="auto"/>
              </w:rPr>
            </w:pPr>
            <w:r>
              <w:rPr>
                <w:rFonts w:ascii="Arial" w:cs="Arial" w:eastAsia="Arial" w:hAnsi="Arial"/>
                <w:sz w:val="3"/>
                <w:szCs w:val="3"/>
                <w:color w:val="FFFFFF"/>
              </w:rPr>
              <w:t>Name Nature of Interest Shares Company</w:t>
            </w:r>
          </w:p>
        </w:tc>
        <w:tc>
          <w:tcPr>
            <w:tcW w:w="8800" w:type="dxa"/>
            <w:vAlign w:val="bottom"/>
          </w:tcPr>
          <w:p>
            <w:pPr>
              <w:spacing w:after="0"/>
              <w:rPr>
                <w:sz w:val="3"/>
                <w:szCs w:val="3"/>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WM Cayman Holdings Limited I Beneficial interest 3,750,000,000 72.29%</w:t>
            </w:r>
          </w:p>
        </w:tc>
      </w:tr>
      <w:tr>
        <w:trPr>
          <w:trHeight w:val="41"/>
        </w:trPr>
        <w:tc>
          <w:tcPr>
            <w:tcW w:w="2480" w:type="dxa"/>
            <w:vAlign w:val="bottom"/>
            <w:gridSpan w:val="2"/>
          </w:tcPr>
          <w:p>
            <w:pPr>
              <w:spacing w:after="0"/>
              <w:rPr>
                <w:sz w:val="20"/>
                <w:szCs w:val="20"/>
                <w:color w:val="auto"/>
              </w:rPr>
            </w:pPr>
            <w:r>
              <w:rPr>
                <w:rFonts w:ascii="Arial" w:cs="Arial" w:eastAsia="Arial" w:hAnsi="Arial"/>
                <w:sz w:val="3"/>
                <w:szCs w:val="3"/>
                <w:color w:val="FFFFFF"/>
              </w:rPr>
              <w:t>(Note 1) (Long Position)</w:t>
            </w:r>
          </w:p>
        </w:tc>
        <w:tc>
          <w:tcPr>
            <w:tcW w:w="8800" w:type="dxa"/>
            <w:vAlign w:val="bottom"/>
          </w:tcPr>
          <w:p>
            <w:pPr>
              <w:spacing w:after="0"/>
              <w:rPr>
                <w:sz w:val="3"/>
                <w:szCs w:val="3"/>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Wynn Group Asia, Inc. (Note 1) Interest of a controlled 3,750,000,000 72.29%</w:t>
            </w:r>
          </w:p>
        </w:tc>
      </w:tr>
      <w:tr>
        <w:trPr>
          <w:trHeight w:val="41"/>
        </w:trPr>
        <w:tc>
          <w:tcPr>
            <w:tcW w:w="2480" w:type="dxa"/>
            <w:vAlign w:val="bottom"/>
            <w:gridSpan w:val="2"/>
          </w:tcPr>
          <w:p>
            <w:pPr>
              <w:spacing w:after="0"/>
              <w:rPr>
                <w:sz w:val="20"/>
                <w:szCs w:val="20"/>
                <w:color w:val="auto"/>
              </w:rPr>
            </w:pPr>
            <w:r>
              <w:rPr>
                <w:rFonts w:ascii="Arial" w:cs="Arial" w:eastAsia="Arial" w:hAnsi="Arial"/>
                <w:sz w:val="3"/>
                <w:szCs w:val="3"/>
                <w:color w:val="FFFFFF"/>
              </w:rPr>
              <w:t>corporation (Long Position)</w:t>
            </w:r>
          </w:p>
        </w:tc>
        <w:tc>
          <w:tcPr>
            <w:tcW w:w="8800" w:type="dxa"/>
            <w:vAlign w:val="bottom"/>
          </w:tcPr>
          <w:p>
            <w:pPr>
              <w:spacing w:after="0"/>
              <w:rPr>
                <w:sz w:val="3"/>
                <w:szCs w:val="3"/>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Wynn Resorts, Limited (Note 1) Interest of a controlled 3,750,000,000 72.29%</w:t>
            </w:r>
          </w:p>
        </w:tc>
      </w:tr>
      <w:tr>
        <w:trPr>
          <w:trHeight w:val="41"/>
        </w:trPr>
        <w:tc>
          <w:tcPr>
            <w:tcW w:w="2480" w:type="dxa"/>
            <w:vAlign w:val="bottom"/>
            <w:gridSpan w:val="2"/>
          </w:tcPr>
          <w:p>
            <w:pPr>
              <w:spacing w:after="0"/>
              <w:rPr>
                <w:sz w:val="20"/>
                <w:szCs w:val="20"/>
                <w:color w:val="auto"/>
              </w:rPr>
            </w:pPr>
            <w:r>
              <w:rPr>
                <w:rFonts w:ascii="Arial" w:cs="Arial" w:eastAsia="Arial" w:hAnsi="Arial"/>
                <w:sz w:val="3"/>
                <w:szCs w:val="3"/>
                <w:color w:val="FFFFFF"/>
              </w:rPr>
              <w:t>corporation (Long Position)</w:t>
            </w:r>
          </w:p>
        </w:tc>
        <w:tc>
          <w:tcPr>
            <w:tcW w:w="8800" w:type="dxa"/>
            <w:vAlign w:val="bottom"/>
          </w:tcPr>
          <w:p>
            <w:pPr>
              <w:spacing w:after="0"/>
              <w:rPr>
                <w:sz w:val="3"/>
                <w:szCs w:val="3"/>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Note:</w:t>
            </w:r>
          </w:p>
        </w:tc>
        <w:tc>
          <w:tcPr>
            <w:tcW w:w="1360" w:type="dxa"/>
            <w:vAlign w:val="bottom"/>
          </w:tcPr>
          <w:p>
            <w:pPr>
              <w:spacing w:after="0"/>
              <w:rPr>
                <w:sz w:val="3"/>
                <w:szCs w:val="3"/>
                <w:color w:val="auto"/>
              </w:rPr>
            </w:pPr>
          </w:p>
        </w:tc>
        <w:tc>
          <w:tcPr>
            <w:tcW w:w="8800" w:type="dxa"/>
            <w:vAlign w:val="bottom"/>
          </w:tcPr>
          <w:p>
            <w:pPr>
              <w:spacing w:after="0"/>
              <w:rPr>
                <w:sz w:val="3"/>
                <w:szCs w:val="3"/>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WM Cayman Holdings Limited I is a wholly owned subsidiary of Wynn Group Asia, Inc., which in turn is wholly owned by Wynn Resorts, Limited. Therefore Wynn Group Asia, Inc. and Wynn Resorts,</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Limited are deemed or taken to be interested in 3,750,000,000 shares which are beneficially owned by WM Cayman Holdings Limited I.</w:t>
            </w:r>
          </w:p>
        </w:tc>
      </w:tr>
      <w:tr>
        <w:trPr>
          <w:trHeight w:val="41"/>
        </w:trPr>
        <w:tc>
          <w:tcPr>
            <w:tcW w:w="2480" w:type="dxa"/>
            <w:vAlign w:val="bottom"/>
            <w:gridSpan w:val="2"/>
          </w:tcPr>
          <w:p>
            <w:pPr>
              <w:spacing w:after="0"/>
              <w:rPr>
                <w:sz w:val="20"/>
                <w:szCs w:val="20"/>
                <w:color w:val="auto"/>
              </w:rPr>
            </w:pPr>
            <w:r>
              <w:rPr>
                <w:rFonts w:ascii="Arial" w:cs="Arial" w:eastAsia="Arial" w:hAnsi="Arial"/>
                <w:sz w:val="3"/>
                <w:szCs w:val="3"/>
                <w:color w:val="FFFFFF"/>
              </w:rPr>
              <w:t>REMUNERATION POLICY</w:t>
            </w:r>
          </w:p>
        </w:tc>
        <w:tc>
          <w:tcPr>
            <w:tcW w:w="8800" w:type="dxa"/>
            <w:vAlign w:val="bottom"/>
          </w:tcPr>
          <w:p>
            <w:pPr>
              <w:spacing w:after="0"/>
              <w:rPr>
                <w:sz w:val="3"/>
                <w:szCs w:val="3"/>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As at 30 June 2012, the Group had approximately 7,400 full-time equivalent employees. Employees of the Group are selected, remunerated and promoted on the basis of their merit, qualifications, competence</w:t>
            </w:r>
          </w:p>
        </w:tc>
      </w:tr>
      <w:tr>
        <w:trPr>
          <w:trHeight w:val="41"/>
        </w:trPr>
        <w:tc>
          <w:tcPr>
            <w:tcW w:w="2480" w:type="dxa"/>
            <w:vAlign w:val="bottom"/>
            <w:gridSpan w:val="2"/>
          </w:tcPr>
          <w:p>
            <w:pPr>
              <w:spacing w:after="0"/>
              <w:rPr>
                <w:sz w:val="20"/>
                <w:szCs w:val="20"/>
                <w:color w:val="auto"/>
              </w:rPr>
            </w:pPr>
            <w:r>
              <w:rPr>
                <w:rFonts w:ascii="Arial" w:cs="Arial" w:eastAsia="Arial" w:hAnsi="Arial"/>
                <w:sz w:val="3"/>
                <w:szCs w:val="3"/>
                <w:color w:val="FFFFFF"/>
              </w:rPr>
              <w:t>and contribution to the Group.</w:t>
            </w:r>
          </w:p>
        </w:tc>
        <w:tc>
          <w:tcPr>
            <w:tcW w:w="8800" w:type="dxa"/>
            <w:vAlign w:val="bottom"/>
          </w:tcPr>
          <w:p>
            <w:pPr>
              <w:spacing w:after="0"/>
              <w:rPr>
                <w:sz w:val="3"/>
                <w:szCs w:val="3"/>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Compensation of key executives of the Group is determined by the Company’s remuneration committee which reviews and determines executives’ compensation based on the Group’s performance and the</w:t>
            </w:r>
          </w:p>
        </w:tc>
      </w:tr>
      <w:tr>
        <w:trPr>
          <w:trHeight w:val="0"/>
        </w:trPr>
        <w:tc>
          <w:tcPr>
            <w:tcW w:w="2480" w:type="dxa"/>
            <w:vAlign w:val="bottom"/>
            <w:gridSpan w:val="2"/>
          </w:tcPr>
          <w:p>
            <w:pPr>
              <w:spacing w:after="0" w:line="80" w:lineRule="exact"/>
              <w:rPr>
                <w:sz w:val="20"/>
                <w:szCs w:val="20"/>
                <w:color w:val="auto"/>
              </w:rPr>
            </w:pPr>
            <w:r>
              <w:rPr>
                <w:rFonts w:ascii="Arial" w:cs="Arial" w:eastAsia="Arial" w:hAnsi="Arial"/>
                <w:sz w:val="9"/>
                <w:szCs w:val="9"/>
                <w:color w:val="FFFFFF"/>
              </w:rPr>
              <w:t>executives’ respective contributions to the</w:t>
            </w:r>
          </w:p>
        </w:tc>
        <w:tc>
          <w:tcPr>
            <w:tcW w:w="8800" w:type="dxa"/>
            <w:vAlign w:val="bottom"/>
          </w:tcPr>
          <w:p>
            <w:pPr>
              <w:jc w:val="right"/>
              <w:ind w:right="8535"/>
              <w:spacing w:after="0" w:line="80" w:lineRule="exact"/>
              <w:rPr>
                <w:sz w:val="20"/>
                <w:szCs w:val="20"/>
                <w:color w:val="auto"/>
              </w:rPr>
            </w:pPr>
            <w:r>
              <w:rPr>
                <w:rFonts w:ascii="Arial" w:cs="Arial" w:eastAsia="Arial" w:hAnsi="Arial"/>
                <w:sz w:val="9"/>
                <w:szCs w:val="9"/>
                <w:color w:val="FFFFFF"/>
              </w:rPr>
              <w:t>.</w:t>
            </w:r>
          </w:p>
        </w:tc>
      </w:tr>
    </w:tbl>
    <w:p>
      <w:pPr>
        <w:spacing w:after="0" w:line="180" w:lineRule="auto"/>
        <w:rPr>
          <w:sz w:val="20"/>
          <w:szCs w:val="20"/>
          <w:color w:val="auto"/>
        </w:rPr>
      </w:pPr>
      <w:r>
        <w:rPr>
          <w:rFonts w:ascii="Arial" w:cs="Arial" w:eastAsia="Arial" w:hAnsi="Arial"/>
          <w:sz w:val="14"/>
          <w:szCs w:val="14"/>
          <w:color w:val="FFFFFF"/>
        </w:rPr>
        <w:t>The Company also has a provident fund setGroupfor its employees and a share options scheme. Further details on the Company’s share options scheme are set out below.</w:t>
      </w:r>
    </w:p>
    <w:p>
      <w:pPr>
        <w:sectPr>
          <w:pgSz w:w="11900" w:h="16838" w:orient="portrait"/>
          <w:cols w:equalWidth="0" w:num="1">
            <w:col w:w="11280"/>
          </w:cols>
          <w:pgMar w:left="240" w:top="1440" w:right="37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3"/>
          </w:tcPr>
          <w:p>
            <w:pPr>
              <w:spacing w:after="0"/>
              <w:rPr>
                <w:sz w:val="20"/>
                <w:szCs w:val="20"/>
                <w:color w:val="auto"/>
              </w:rPr>
            </w:pPr>
            <w:r>
              <w:rPr>
                <w:rFonts w:ascii="Arial" w:cs="Arial" w:eastAsia="Arial" w:hAnsi="Arial"/>
                <w:sz w:val="14"/>
                <w:szCs w:val="14"/>
                <w:color w:val="FFFFFF"/>
              </w:rPr>
              <w:t>Interim Report 2012 41</w:t>
            </w: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Other Information</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SHARE OPTION SCHEME</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60" w:type="dxa"/>
            <w:vAlign w:val="bottom"/>
            <w:gridSpan w:val="4"/>
          </w:tcPr>
          <w:p>
            <w:pPr>
              <w:spacing w:after="0"/>
              <w:rPr>
                <w:sz w:val="20"/>
                <w:szCs w:val="20"/>
                <w:color w:val="auto"/>
              </w:rPr>
            </w:pPr>
            <w:r>
              <w:rPr>
                <w:rFonts w:ascii="Arial" w:cs="Arial" w:eastAsia="Arial" w:hAnsi="Arial"/>
                <w:sz w:val="3"/>
                <w:szCs w:val="3"/>
                <w:color w:val="FFFFFF"/>
              </w:rPr>
              <w:t>The Company operates a share option scheme. The following table discloses movements in the Company’s share option outstanding during the period ended 30 June 2012.</w:t>
            </w: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Number of share options</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Expired/ Exercise</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lapsed/ price of</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Date of grant At Granted Exercised canceled share</w:t>
            </w:r>
          </w:p>
        </w:tc>
        <w:tc>
          <w:tcPr>
            <w:tcW w:w="5180" w:type="dxa"/>
            <w:vAlign w:val="bottom"/>
            <w:vMerge w:val="restart"/>
          </w:tcPr>
          <w:p>
            <w:pPr>
              <w:ind w:left="200"/>
              <w:spacing w:after="0" w:line="81" w:lineRule="exact"/>
              <w:rPr>
                <w:sz w:val="20"/>
                <w:szCs w:val="20"/>
                <w:color w:val="auto"/>
              </w:rPr>
            </w:pPr>
            <w:r>
              <w:rPr>
                <w:rFonts w:ascii="Arial" w:cs="Arial" w:eastAsia="Arial" w:hAnsi="Arial"/>
                <w:sz w:val="9"/>
                <w:szCs w:val="9"/>
                <w:color w:val="FFFFFF"/>
              </w:rPr>
              <w:t>options</w:t>
            </w: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of share 1 January during the during the during the At 30 June Exercise</w:t>
            </w:r>
          </w:p>
        </w:tc>
        <w:tc>
          <w:tcPr>
            <w:tcW w:w="5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60" w:type="dxa"/>
            <w:vAlign w:val="bottom"/>
            <w:gridSpan w:val="4"/>
          </w:tcPr>
          <w:p>
            <w:pPr>
              <w:spacing w:after="0"/>
              <w:rPr>
                <w:sz w:val="20"/>
                <w:szCs w:val="20"/>
                <w:color w:val="auto"/>
              </w:rPr>
            </w:pPr>
            <w:r>
              <w:rPr>
                <w:rFonts w:ascii="Arial" w:cs="Arial" w:eastAsia="Arial" w:hAnsi="Arial"/>
                <w:sz w:val="3"/>
                <w:szCs w:val="3"/>
                <w:color w:val="FFFFFF"/>
              </w:rPr>
              <w:t>Name of Director options 2012 period period period 2012 of share optionsperiod Share</w:t>
            </w: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(HK$)</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60" w:type="dxa"/>
            <w:vAlign w:val="bottom"/>
            <w:gridSpan w:val="4"/>
          </w:tcPr>
          <w:p>
            <w:pPr>
              <w:spacing w:after="0"/>
              <w:rPr>
                <w:sz w:val="20"/>
                <w:szCs w:val="20"/>
                <w:color w:val="auto"/>
              </w:rPr>
            </w:pPr>
            <w:r>
              <w:rPr>
                <w:rFonts w:ascii="Arial" w:cs="Arial" w:eastAsia="Arial" w:hAnsi="Arial"/>
                <w:sz w:val="3"/>
                <w:szCs w:val="3"/>
                <w:color w:val="FFFFFF"/>
              </w:rPr>
              <w:t>Dr. Allan Zeman 25 March 2010 250,000 — — — 250,000 25 March 2011 to 10.92</w:t>
            </w:r>
          </w:p>
        </w:tc>
        <w:tc>
          <w:tcPr>
            <w:tcW w:w="0" w:type="dxa"/>
            <w:vAlign w:val="bottom"/>
          </w:tcPr>
          <w:p>
            <w:pPr>
              <w:spacing w:after="0"/>
              <w:rPr>
                <w:sz w:val="1"/>
                <w:szCs w:val="1"/>
                <w:color w:val="auto"/>
              </w:rPr>
            </w:pPr>
          </w:p>
        </w:tc>
      </w:tr>
      <w:tr>
        <w:trPr>
          <w:trHeight w:val="41"/>
        </w:trPr>
        <w:tc>
          <w:tcPr>
            <w:tcW w:w="240" w:type="dxa"/>
            <w:vAlign w:val="bottom"/>
            <w:gridSpan w:val="2"/>
          </w:tcPr>
          <w:p>
            <w:pPr>
              <w:spacing w:after="0"/>
              <w:rPr>
                <w:sz w:val="20"/>
                <w:szCs w:val="20"/>
                <w:color w:val="auto"/>
              </w:rPr>
            </w:pPr>
            <w:r>
              <w:rPr>
                <w:rFonts w:ascii="Arial" w:cs="Arial" w:eastAsia="Arial" w:hAnsi="Arial"/>
                <w:sz w:val="3"/>
                <w:szCs w:val="3"/>
                <w:color w:val="FFFFFF"/>
              </w:rPr>
              <w:t>24</w:t>
            </w:r>
          </w:p>
        </w:tc>
        <w:tc>
          <w:tcPr>
            <w:tcW w:w="3840" w:type="dxa"/>
            <w:vAlign w:val="bottom"/>
          </w:tcPr>
          <w:p>
            <w:pPr>
              <w:ind w:left="120"/>
              <w:spacing w:after="0"/>
              <w:rPr>
                <w:sz w:val="20"/>
                <w:szCs w:val="20"/>
                <w:color w:val="auto"/>
              </w:rPr>
            </w:pPr>
            <w:r>
              <w:rPr>
                <w:rFonts w:ascii="Arial" w:cs="Arial" w:eastAsia="Arial" w:hAnsi="Arial"/>
                <w:sz w:val="3"/>
                <w:szCs w:val="3"/>
                <w:color w:val="FFFFFF"/>
              </w:rPr>
              <w:t>rch 2020</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60" w:type="dxa"/>
            <w:vAlign w:val="bottom"/>
          </w:tcPr>
          <w:p>
            <w:pPr>
              <w:jc w:val="right"/>
              <w:ind w:right="83"/>
              <w:spacing w:after="0"/>
              <w:rPr>
                <w:sz w:val="20"/>
                <w:szCs w:val="20"/>
                <w:color w:val="auto"/>
              </w:rPr>
            </w:pPr>
            <w:r>
              <w:rPr>
                <w:rFonts w:ascii="Arial" w:cs="Arial" w:eastAsia="Arial" w:hAnsi="Arial"/>
                <w:sz w:val="3"/>
                <w:szCs w:val="3"/>
                <w:color w:val="FFFFFF"/>
              </w:rPr>
              <w:t>7</w:t>
            </w:r>
          </w:p>
        </w:tc>
        <w:tc>
          <w:tcPr>
            <w:tcW w:w="3840" w:type="dxa"/>
            <w:vAlign w:val="bottom"/>
          </w:tcPr>
          <w:p>
            <w:pPr>
              <w:ind w:left="420"/>
              <w:spacing w:after="0"/>
              <w:rPr>
                <w:sz w:val="20"/>
                <w:szCs w:val="20"/>
                <w:color w:val="auto"/>
              </w:rPr>
            </w:pPr>
            <w:r>
              <w:rPr>
                <w:rFonts w:ascii="Arial" w:cs="Arial" w:eastAsia="Arial" w:hAnsi="Arial"/>
                <w:sz w:val="3"/>
                <w:szCs w:val="3"/>
                <w:color w:val="FFFFFF"/>
              </w:rPr>
              <w:t>1 100,000 — — — 100,000 17 May 2012 to 25.96</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16 May 2021</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20"/>
                <w:szCs w:val="20"/>
                <w:color w:val="auto"/>
              </w:rPr>
            </w:pPr>
            <w:r>
              <w:rPr>
                <w:rFonts w:ascii="Arial" w:cs="Arial" w:eastAsia="Arial" w:hAnsi="Arial"/>
                <w:sz w:val="3"/>
                <w:szCs w:val="3"/>
                <w:color w:val="FFFFFF"/>
              </w:rPr>
              <w:t>5</w:t>
            </w:r>
          </w:p>
        </w:tc>
        <w:tc>
          <w:tcPr>
            <w:tcW w:w="160" w:type="dxa"/>
            <w:vAlign w:val="bottom"/>
          </w:tcPr>
          <w:p>
            <w:pPr>
              <w:spacing w:after="0"/>
              <w:rPr>
                <w:sz w:val="3"/>
                <w:szCs w:val="3"/>
                <w:color w:val="auto"/>
              </w:rPr>
            </w:pPr>
          </w:p>
        </w:tc>
        <w:tc>
          <w:tcPr>
            <w:tcW w:w="3840" w:type="dxa"/>
            <w:vAlign w:val="bottom"/>
          </w:tcPr>
          <w:p>
            <w:pPr>
              <w:ind w:left="220"/>
              <w:spacing w:after="0"/>
              <w:rPr>
                <w:sz w:val="20"/>
                <w:szCs w:val="20"/>
                <w:color w:val="auto"/>
              </w:rPr>
            </w:pPr>
            <w:r>
              <w:rPr>
                <w:rFonts w:ascii="Arial" w:cs="Arial" w:eastAsia="Arial" w:hAnsi="Arial"/>
                <w:sz w:val="3"/>
                <w:szCs w:val="3"/>
                <w:color w:val="FFFFFF"/>
              </w:rPr>
              <w:t>June 2012 — 190,000(1) — — 190,000 5 June 2013 to 19.04</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line="54" w:lineRule="exact"/>
              <w:rPr>
                <w:sz w:val="20"/>
                <w:szCs w:val="20"/>
                <w:color w:val="auto"/>
              </w:rPr>
            </w:pPr>
            <w:r>
              <w:rPr>
                <w:rFonts w:ascii="Arial" w:cs="Arial" w:eastAsia="Arial" w:hAnsi="Arial"/>
                <w:sz w:val="6"/>
                <w:szCs w:val="6"/>
                <w:color w:val="FFFFFF"/>
              </w:rPr>
              <w:t>4</w:t>
            </w:r>
          </w:p>
        </w:tc>
        <w:tc>
          <w:tcPr>
            <w:tcW w:w="160" w:type="dxa"/>
            <w:vAlign w:val="bottom"/>
          </w:tcPr>
          <w:p>
            <w:pPr>
              <w:spacing w:after="0"/>
              <w:rPr>
                <w:sz w:val="4"/>
                <w:szCs w:val="4"/>
                <w:color w:val="auto"/>
              </w:rPr>
            </w:pPr>
          </w:p>
        </w:tc>
        <w:tc>
          <w:tcPr>
            <w:tcW w:w="3840" w:type="dxa"/>
            <w:vAlign w:val="bottom"/>
          </w:tcPr>
          <w:p>
            <w:pPr>
              <w:ind w:left="220"/>
              <w:spacing w:after="0" w:line="54" w:lineRule="exact"/>
              <w:rPr>
                <w:sz w:val="20"/>
                <w:szCs w:val="20"/>
                <w:color w:val="auto"/>
              </w:rPr>
            </w:pPr>
            <w:r>
              <w:rPr>
                <w:rFonts w:ascii="Arial" w:cs="Arial" w:eastAsia="Arial" w:hAnsi="Arial"/>
                <w:sz w:val="6"/>
                <w:szCs w:val="6"/>
                <w:color w:val="FFFFFF"/>
              </w:rPr>
              <w:t>June 2022</w:t>
            </w:r>
          </w:p>
        </w:tc>
        <w:tc>
          <w:tcPr>
            <w:tcW w:w="5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9260" w:type="dxa"/>
            <w:vAlign w:val="bottom"/>
            <w:gridSpan w:val="4"/>
          </w:tcPr>
          <w:p>
            <w:pPr>
              <w:spacing w:after="0" w:line="54" w:lineRule="exact"/>
              <w:rPr>
                <w:sz w:val="20"/>
                <w:szCs w:val="20"/>
                <w:color w:val="auto"/>
              </w:rPr>
            </w:pPr>
            <w:r>
              <w:rPr>
                <w:rFonts w:ascii="Arial" w:cs="Arial" w:eastAsia="Arial" w:hAnsi="Arial"/>
                <w:sz w:val="6"/>
                <w:szCs w:val="6"/>
                <w:color w:val="FFFFFF"/>
              </w:rPr>
              <w:t>Mr. Nicholas 25 March 2010 250,000 — — — 250,000 25 March 2011 to 10.92</w:t>
            </w: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Sallnow-Smith 24 March 2020</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60" w:type="dxa"/>
            <w:vAlign w:val="bottom"/>
          </w:tcPr>
          <w:p>
            <w:pPr>
              <w:jc w:val="right"/>
              <w:ind w:right="83"/>
              <w:spacing w:after="0"/>
              <w:rPr>
                <w:sz w:val="20"/>
                <w:szCs w:val="20"/>
                <w:color w:val="auto"/>
              </w:rPr>
            </w:pPr>
            <w:r>
              <w:rPr>
                <w:rFonts w:ascii="Arial" w:cs="Arial" w:eastAsia="Arial" w:hAnsi="Arial"/>
                <w:sz w:val="3"/>
                <w:szCs w:val="3"/>
                <w:color w:val="FFFFFF"/>
              </w:rPr>
              <w:t>7</w:t>
            </w:r>
          </w:p>
        </w:tc>
        <w:tc>
          <w:tcPr>
            <w:tcW w:w="3840" w:type="dxa"/>
            <w:vAlign w:val="bottom"/>
          </w:tcPr>
          <w:p>
            <w:pPr>
              <w:ind w:left="420"/>
              <w:spacing w:after="0"/>
              <w:rPr>
                <w:sz w:val="20"/>
                <w:szCs w:val="20"/>
                <w:color w:val="auto"/>
              </w:rPr>
            </w:pPr>
            <w:r>
              <w:rPr>
                <w:rFonts w:ascii="Arial" w:cs="Arial" w:eastAsia="Arial" w:hAnsi="Arial"/>
                <w:sz w:val="3"/>
                <w:szCs w:val="3"/>
                <w:color w:val="FFFFFF"/>
              </w:rPr>
              <w:t>1 100,000 — — — 100,000 17 May 2012 to 25.96</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16 May 2021</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20"/>
                <w:szCs w:val="20"/>
                <w:color w:val="auto"/>
              </w:rPr>
            </w:pPr>
            <w:r>
              <w:rPr>
                <w:rFonts w:ascii="Arial" w:cs="Arial" w:eastAsia="Arial" w:hAnsi="Arial"/>
                <w:sz w:val="3"/>
                <w:szCs w:val="3"/>
                <w:color w:val="FFFFFF"/>
              </w:rPr>
              <w:t>5</w:t>
            </w:r>
          </w:p>
        </w:tc>
        <w:tc>
          <w:tcPr>
            <w:tcW w:w="160" w:type="dxa"/>
            <w:vAlign w:val="bottom"/>
          </w:tcPr>
          <w:p>
            <w:pPr>
              <w:spacing w:after="0"/>
              <w:rPr>
                <w:sz w:val="3"/>
                <w:szCs w:val="3"/>
                <w:color w:val="auto"/>
              </w:rPr>
            </w:pPr>
          </w:p>
        </w:tc>
        <w:tc>
          <w:tcPr>
            <w:tcW w:w="3840" w:type="dxa"/>
            <w:vAlign w:val="bottom"/>
          </w:tcPr>
          <w:p>
            <w:pPr>
              <w:ind w:left="220"/>
              <w:spacing w:after="0"/>
              <w:rPr>
                <w:sz w:val="20"/>
                <w:szCs w:val="20"/>
                <w:color w:val="auto"/>
              </w:rPr>
            </w:pPr>
            <w:r>
              <w:rPr>
                <w:rFonts w:ascii="Arial" w:cs="Arial" w:eastAsia="Arial" w:hAnsi="Arial"/>
                <w:sz w:val="3"/>
                <w:szCs w:val="3"/>
                <w:color w:val="FFFFFF"/>
              </w:rPr>
              <w:t>June 2012 — 190,000(1) — — 190,000 5 June 2013 to 19.04</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line="54" w:lineRule="exact"/>
              <w:rPr>
                <w:sz w:val="20"/>
                <w:szCs w:val="20"/>
                <w:color w:val="auto"/>
              </w:rPr>
            </w:pPr>
            <w:r>
              <w:rPr>
                <w:rFonts w:ascii="Arial" w:cs="Arial" w:eastAsia="Arial" w:hAnsi="Arial"/>
                <w:sz w:val="6"/>
                <w:szCs w:val="6"/>
                <w:color w:val="FFFFFF"/>
              </w:rPr>
              <w:t>4</w:t>
            </w:r>
          </w:p>
        </w:tc>
        <w:tc>
          <w:tcPr>
            <w:tcW w:w="160" w:type="dxa"/>
            <w:vAlign w:val="bottom"/>
          </w:tcPr>
          <w:p>
            <w:pPr>
              <w:spacing w:after="0"/>
              <w:rPr>
                <w:sz w:val="4"/>
                <w:szCs w:val="4"/>
                <w:color w:val="auto"/>
              </w:rPr>
            </w:pPr>
          </w:p>
        </w:tc>
        <w:tc>
          <w:tcPr>
            <w:tcW w:w="3840" w:type="dxa"/>
            <w:vAlign w:val="bottom"/>
          </w:tcPr>
          <w:p>
            <w:pPr>
              <w:ind w:left="220"/>
              <w:spacing w:after="0" w:line="54" w:lineRule="exact"/>
              <w:rPr>
                <w:sz w:val="20"/>
                <w:szCs w:val="20"/>
                <w:color w:val="auto"/>
              </w:rPr>
            </w:pPr>
            <w:r>
              <w:rPr>
                <w:rFonts w:ascii="Arial" w:cs="Arial" w:eastAsia="Arial" w:hAnsi="Arial"/>
                <w:sz w:val="6"/>
                <w:szCs w:val="6"/>
                <w:color w:val="FFFFFF"/>
              </w:rPr>
              <w:t>June 2022</w:t>
            </w:r>
          </w:p>
        </w:tc>
        <w:tc>
          <w:tcPr>
            <w:tcW w:w="5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9260" w:type="dxa"/>
            <w:vAlign w:val="bottom"/>
            <w:gridSpan w:val="4"/>
          </w:tcPr>
          <w:p>
            <w:pPr>
              <w:spacing w:after="0" w:line="54" w:lineRule="exact"/>
              <w:rPr>
                <w:sz w:val="20"/>
                <w:szCs w:val="20"/>
                <w:color w:val="auto"/>
              </w:rPr>
            </w:pPr>
            <w:r>
              <w:rPr>
                <w:rFonts w:ascii="Arial" w:cs="Arial" w:eastAsia="Arial" w:hAnsi="Arial"/>
                <w:sz w:val="6"/>
                <w:szCs w:val="6"/>
                <w:color w:val="FFFFFF"/>
              </w:rPr>
              <w:t>Mr. Bruce Rockowitz 25 March 2010 200,000 — — — 200,000 25 March 2011 to 10.92</w:t>
            </w:r>
          </w:p>
        </w:tc>
        <w:tc>
          <w:tcPr>
            <w:tcW w:w="0" w:type="dxa"/>
            <w:vAlign w:val="bottom"/>
          </w:tcPr>
          <w:p>
            <w:pPr>
              <w:spacing w:after="0"/>
              <w:rPr>
                <w:sz w:val="1"/>
                <w:szCs w:val="1"/>
                <w:color w:val="auto"/>
              </w:rPr>
            </w:pPr>
          </w:p>
        </w:tc>
      </w:tr>
      <w:tr>
        <w:trPr>
          <w:trHeight w:val="41"/>
        </w:trPr>
        <w:tc>
          <w:tcPr>
            <w:tcW w:w="240" w:type="dxa"/>
            <w:vAlign w:val="bottom"/>
            <w:gridSpan w:val="2"/>
          </w:tcPr>
          <w:p>
            <w:pPr>
              <w:spacing w:after="0"/>
              <w:rPr>
                <w:sz w:val="20"/>
                <w:szCs w:val="20"/>
                <w:color w:val="auto"/>
              </w:rPr>
            </w:pPr>
            <w:r>
              <w:rPr>
                <w:rFonts w:ascii="Arial" w:cs="Arial" w:eastAsia="Arial" w:hAnsi="Arial"/>
                <w:sz w:val="3"/>
                <w:szCs w:val="3"/>
                <w:color w:val="FFFFFF"/>
              </w:rPr>
              <w:t>24</w:t>
            </w:r>
          </w:p>
        </w:tc>
        <w:tc>
          <w:tcPr>
            <w:tcW w:w="3840" w:type="dxa"/>
            <w:vAlign w:val="bottom"/>
          </w:tcPr>
          <w:p>
            <w:pPr>
              <w:ind w:left="120"/>
              <w:spacing w:after="0"/>
              <w:rPr>
                <w:sz w:val="20"/>
                <w:szCs w:val="20"/>
                <w:color w:val="auto"/>
              </w:rPr>
            </w:pPr>
            <w:r>
              <w:rPr>
                <w:rFonts w:ascii="Arial" w:cs="Arial" w:eastAsia="Arial" w:hAnsi="Arial"/>
                <w:sz w:val="3"/>
                <w:szCs w:val="3"/>
                <w:color w:val="FFFFFF"/>
              </w:rPr>
              <w:t>rch 2020</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60" w:type="dxa"/>
            <w:vAlign w:val="bottom"/>
          </w:tcPr>
          <w:p>
            <w:pPr>
              <w:jc w:val="right"/>
              <w:ind w:right="83"/>
              <w:spacing w:after="0"/>
              <w:rPr>
                <w:sz w:val="20"/>
                <w:szCs w:val="20"/>
                <w:color w:val="auto"/>
              </w:rPr>
            </w:pPr>
            <w:r>
              <w:rPr>
                <w:rFonts w:ascii="Arial" w:cs="Arial" w:eastAsia="Arial" w:hAnsi="Arial"/>
                <w:sz w:val="3"/>
                <w:szCs w:val="3"/>
                <w:color w:val="FFFFFF"/>
              </w:rPr>
              <w:t>7</w:t>
            </w:r>
          </w:p>
        </w:tc>
        <w:tc>
          <w:tcPr>
            <w:tcW w:w="3840" w:type="dxa"/>
            <w:vAlign w:val="bottom"/>
          </w:tcPr>
          <w:p>
            <w:pPr>
              <w:ind w:left="420"/>
              <w:spacing w:after="0"/>
              <w:rPr>
                <w:sz w:val="20"/>
                <w:szCs w:val="20"/>
                <w:color w:val="auto"/>
              </w:rPr>
            </w:pPr>
            <w:r>
              <w:rPr>
                <w:rFonts w:ascii="Arial" w:cs="Arial" w:eastAsia="Arial" w:hAnsi="Arial"/>
                <w:sz w:val="3"/>
                <w:szCs w:val="3"/>
                <w:color w:val="FFFFFF"/>
              </w:rPr>
              <w:t>1 100,000 — — — 100,000 17 May 2012 to 25.96</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80" w:type="dxa"/>
            <w:vAlign w:val="bottom"/>
            <w:gridSpan w:val="3"/>
          </w:tcPr>
          <w:p>
            <w:pPr>
              <w:spacing w:after="0"/>
              <w:rPr>
                <w:sz w:val="20"/>
                <w:szCs w:val="20"/>
                <w:color w:val="auto"/>
              </w:rPr>
            </w:pPr>
            <w:r>
              <w:rPr>
                <w:rFonts w:ascii="Arial" w:cs="Arial" w:eastAsia="Arial" w:hAnsi="Arial"/>
                <w:sz w:val="3"/>
                <w:szCs w:val="3"/>
                <w:color w:val="FFFFFF"/>
              </w:rPr>
              <w:t>16 May 2021</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20"/>
                <w:szCs w:val="20"/>
                <w:color w:val="auto"/>
              </w:rPr>
            </w:pPr>
            <w:r>
              <w:rPr>
                <w:rFonts w:ascii="Arial" w:cs="Arial" w:eastAsia="Arial" w:hAnsi="Arial"/>
                <w:sz w:val="3"/>
                <w:szCs w:val="3"/>
                <w:color w:val="FFFFFF"/>
              </w:rPr>
              <w:t>5</w:t>
            </w:r>
          </w:p>
        </w:tc>
        <w:tc>
          <w:tcPr>
            <w:tcW w:w="160" w:type="dxa"/>
            <w:vAlign w:val="bottom"/>
          </w:tcPr>
          <w:p>
            <w:pPr>
              <w:spacing w:after="0"/>
              <w:rPr>
                <w:sz w:val="3"/>
                <w:szCs w:val="3"/>
                <w:color w:val="auto"/>
              </w:rPr>
            </w:pPr>
          </w:p>
        </w:tc>
        <w:tc>
          <w:tcPr>
            <w:tcW w:w="3840" w:type="dxa"/>
            <w:vAlign w:val="bottom"/>
          </w:tcPr>
          <w:p>
            <w:pPr>
              <w:ind w:left="220"/>
              <w:spacing w:after="0"/>
              <w:rPr>
                <w:sz w:val="20"/>
                <w:szCs w:val="20"/>
                <w:color w:val="auto"/>
              </w:rPr>
            </w:pPr>
            <w:r>
              <w:rPr>
                <w:rFonts w:ascii="Arial" w:cs="Arial" w:eastAsia="Arial" w:hAnsi="Arial"/>
                <w:sz w:val="3"/>
                <w:szCs w:val="3"/>
                <w:color w:val="FFFFFF"/>
              </w:rPr>
              <w:t>June 2012 — 190,000(1) — — 190,000 5 June 2013 to 19.04</w:t>
            </w: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20"/>
                <w:szCs w:val="20"/>
                <w:color w:val="auto"/>
              </w:rPr>
            </w:pPr>
            <w:r>
              <w:rPr>
                <w:rFonts w:ascii="Arial" w:cs="Arial" w:eastAsia="Arial" w:hAnsi="Arial"/>
                <w:sz w:val="14"/>
                <w:szCs w:val="14"/>
                <w:color w:val="FFFFFF"/>
                <w:w w:val="76"/>
              </w:rPr>
              <w:t>4</w:t>
            </w:r>
          </w:p>
        </w:tc>
        <w:tc>
          <w:tcPr>
            <w:tcW w:w="160" w:type="dxa"/>
            <w:vAlign w:val="bottom"/>
          </w:tcPr>
          <w:p>
            <w:pPr>
              <w:spacing w:after="0"/>
              <w:rPr>
                <w:sz w:val="14"/>
                <w:szCs w:val="14"/>
                <w:color w:val="auto"/>
              </w:rPr>
            </w:pPr>
          </w:p>
        </w:tc>
        <w:tc>
          <w:tcPr>
            <w:tcW w:w="3840" w:type="dxa"/>
            <w:vAlign w:val="bottom"/>
          </w:tcPr>
          <w:p>
            <w:pPr>
              <w:ind w:left="220"/>
              <w:spacing w:after="0"/>
              <w:rPr>
                <w:sz w:val="20"/>
                <w:szCs w:val="20"/>
                <w:color w:val="auto"/>
              </w:rPr>
            </w:pPr>
            <w:r>
              <w:rPr>
                <w:rFonts w:ascii="Arial" w:cs="Arial" w:eastAsia="Arial" w:hAnsi="Arial"/>
                <w:sz w:val="14"/>
                <w:szCs w:val="14"/>
                <w:color w:val="FFFFFF"/>
              </w:rPr>
              <w:t>June 2022</w:t>
            </w: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3"/>
          </w:tcPr>
          <w:p>
            <w:pPr>
              <w:spacing w:after="0"/>
              <w:rPr>
                <w:sz w:val="20"/>
                <w:szCs w:val="20"/>
                <w:color w:val="auto"/>
              </w:rPr>
            </w:pPr>
            <w:r>
              <w:rPr>
                <w:rFonts w:ascii="Arial" w:cs="Arial" w:eastAsia="Arial" w:hAnsi="Arial"/>
                <w:sz w:val="14"/>
                <w:szCs w:val="14"/>
                <w:color w:val="FFFFFF"/>
              </w:rPr>
              <w:t>42 Wynn Macau, Limited</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260" w:type="dxa"/>
            <w:vAlign w:val="bottom"/>
            <w:gridSpan w:val="3"/>
          </w:tcPr>
          <w:p>
            <w:pPr>
              <w:spacing w:after="0"/>
              <w:rPr>
                <w:sz w:val="20"/>
                <w:szCs w:val="20"/>
                <w:color w:val="auto"/>
              </w:rPr>
            </w:pPr>
            <w:r>
              <w:rPr>
                <w:rFonts w:ascii="Arial" w:cs="Arial" w:eastAsia="Arial" w:hAnsi="Arial"/>
                <w:sz w:val="3"/>
                <w:szCs w:val="3"/>
                <w:color w:val="FFFFFF"/>
              </w:rPr>
              <w:t>Other Information</w:t>
            </w: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60" w:type="dxa"/>
            <w:vAlign w:val="bottom"/>
            <w:gridSpan w:val="3"/>
          </w:tcPr>
          <w:p>
            <w:pPr>
              <w:spacing w:after="0"/>
              <w:rPr>
                <w:sz w:val="20"/>
                <w:szCs w:val="20"/>
                <w:color w:val="auto"/>
              </w:rPr>
            </w:pPr>
            <w:r>
              <w:rPr>
                <w:rFonts w:ascii="Arial" w:cs="Arial" w:eastAsia="Arial" w:hAnsi="Arial"/>
                <w:sz w:val="3"/>
                <w:szCs w:val="3"/>
                <w:color w:val="FFFFFF"/>
              </w:rPr>
              <w:t>Number of share options</w:t>
            </w: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60" w:type="dxa"/>
            <w:vAlign w:val="bottom"/>
            <w:gridSpan w:val="3"/>
          </w:tcPr>
          <w:p>
            <w:pPr>
              <w:spacing w:after="0"/>
              <w:rPr>
                <w:sz w:val="20"/>
                <w:szCs w:val="20"/>
                <w:color w:val="auto"/>
              </w:rPr>
            </w:pPr>
            <w:r>
              <w:rPr>
                <w:rFonts w:ascii="Arial" w:cs="Arial" w:eastAsia="Arial" w:hAnsi="Arial"/>
                <w:sz w:val="3"/>
                <w:szCs w:val="3"/>
                <w:color w:val="FFFFFF"/>
              </w:rPr>
              <w:t>Expired/ Exercise</w:t>
            </w: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60" w:type="dxa"/>
            <w:vAlign w:val="bottom"/>
            <w:gridSpan w:val="3"/>
          </w:tcPr>
          <w:p>
            <w:pPr>
              <w:spacing w:after="0"/>
              <w:rPr>
                <w:sz w:val="20"/>
                <w:szCs w:val="20"/>
                <w:color w:val="auto"/>
              </w:rPr>
            </w:pPr>
            <w:r>
              <w:rPr>
                <w:rFonts w:ascii="Arial" w:cs="Arial" w:eastAsia="Arial" w:hAnsi="Arial"/>
                <w:sz w:val="3"/>
                <w:szCs w:val="3"/>
                <w:color w:val="FFFFFF"/>
              </w:rPr>
              <w:t>lapsed/ price of</w:t>
            </w: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60" w:type="dxa"/>
            <w:vAlign w:val="bottom"/>
            <w:gridSpan w:val="3"/>
          </w:tcPr>
          <w:p>
            <w:pPr>
              <w:spacing w:after="0"/>
              <w:rPr>
                <w:sz w:val="20"/>
                <w:szCs w:val="20"/>
                <w:color w:val="auto"/>
              </w:rPr>
            </w:pPr>
            <w:r>
              <w:rPr>
                <w:rFonts w:ascii="Arial" w:cs="Arial" w:eastAsia="Arial" w:hAnsi="Arial"/>
                <w:sz w:val="3"/>
                <w:szCs w:val="3"/>
                <w:color w:val="FFFFFF"/>
              </w:rPr>
              <w:t>Date of grant At Granted Exercised canceled share</w:t>
            </w:r>
          </w:p>
        </w:tc>
        <w:tc>
          <w:tcPr>
            <w:tcW w:w="42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options</w:t>
            </w:r>
          </w:p>
        </w:tc>
        <w:tc>
          <w:tcPr>
            <w:tcW w:w="0" w:type="dxa"/>
            <w:vAlign w:val="bottom"/>
          </w:tcPr>
          <w:p>
            <w:pPr>
              <w:spacing w:after="0"/>
              <w:rPr>
                <w:sz w:val="1"/>
                <w:szCs w:val="1"/>
                <w:color w:val="auto"/>
              </w:rPr>
            </w:pPr>
          </w:p>
        </w:tc>
      </w:tr>
      <w:tr>
        <w:trPr>
          <w:trHeight w:val="41"/>
        </w:trPr>
        <w:tc>
          <w:tcPr>
            <w:tcW w:w="4260" w:type="dxa"/>
            <w:vAlign w:val="bottom"/>
            <w:gridSpan w:val="3"/>
          </w:tcPr>
          <w:p>
            <w:pPr>
              <w:spacing w:after="0"/>
              <w:rPr>
                <w:sz w:val="20"/>
                <w:szCs w:val="20"/>
                <w:color w:val="auto"/>
              </w:rPr>
            </w:pPr>
            <w:r>
              <w:rPr>
                <w:rFonts w:ascii="Arial" w:cs="Arial" w:eastAsia="Arial" w:hAnsi="Arial"/>
                <w:sz w:val="3"/>
                <w:szCs w:val="3"/>
                <w:color w:val="FFFFFF"/>
              </w:rPr>
              <w:t>of share 1 January during the during the during the At 30 June Exercise</w:t>
            </w: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80" w:type="dxa"/>
            <w:vAlign w:val="bottom"/>
            <w:gridSpan w:val="4"/>
          </w:tcPr>
          <w:p>
            <w:pPr>
              <w:spacing w:after="0"/>
              <w:rPr>
                <w:sz w:val="20"/>
                <w:szCs w:val="20"/>
                <w:color w:val="auto"/>
              </w:rPr>
            </w:pPr>
            <w:r>
              <w:rPr>
                <w:rFonts w:ascii="Arial" w:cs="Arial" w:eastAsia="Arial" w:hAnsi="Arial"/>
                <w:sz w:val="3"/>
                <w:szCs w:val="3"/>
                <w:color w:val="FFFFFF"/>
              </w:rPr>
              <w:t>Name of Director options 2012 period period period 2012 of share optionsperiod Share</w:t>
            </w: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(HK$)</w:t>
            </w:r>
          </w:p>
        </w:tc>
        <w:tc>
          <w:tcPr>
            <w:tcW w:w="3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60" w:type="dxa"/>
            <w:vAlign w:val="bottom"/>
            <w:gridSpan w:val="3"/>
          </w:tcPr>
          <w:p>
            <w:pPr>
              <w:spacing w:after="0"/>
              <w:rPr>
                <w:sz w:val="20"/>
                <w:szCs w:val="20"/>
                <w:color w:val="auto"/>
              </w:rPr>
            </w:pPr>
            <w:r>
              <w:rPr>
                <w:rFonts w:ascii="Arial" w:cs="Arial" w:eastAsia="Arial" w:hAnsi="Arial"/>
                <w:sz w:val="3"/>
                <w:szCs w:val="3"/>
                <w:color w:val="FFFFFF"/>
              </w:rPr>
              <w:t>Mr. Jeffrey 25 March 2010 250,000 — — — 250,000 25 March 2011 to 10.92</w:t>
            </w: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60" w:type="dxa"/>
            <w:vAlign w:val="bottom"/>
            <w:gridSpan w:val="3"/>
          </w:tcPr>
          <w:p>
            <w:pPr>
              <w:spacing w:after="0"/>
              <w:rPr>
                <w:sz w:val="20"/>
                <w:szCs w:val="20"/>
                <w:color w:val="auto"/>
              </w:rPr>
            </w:pPr>
            <w:r>
              <w:rPr>
                <w:rFonts w:ascii="Arial" w:cs="Arial" w:eastAsia="Arial" w:hAnsi="Arial"/>
                <w:sz w:val="3"/>
                <w:szCs w:val="3"/>
                <w:color w:val="FFFFFF"/>
              </w:rPr>
              <w:t>Kin-fung Lam 24 March 2020</w:t>
            </w: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320" w:type="dxa"/>
            <w:vAlign w:val="bottom"/>
          </w:tcPr>
          <w:p>
            <w:pPr>
              <w:jc w:val="right"/>
              <w:ind w:right="243"/>
              <w:spacing w:after="0"/>
              <w:rPr>
                <w:sz w:val="20"/>
                <w:szCs w:val="20"/>
                <w:color w:val="auto"/>
              </w:rPr>
            </w:pPr>
            <w:r>
              <w:rPr>
                <w:rFonts w:ascii="Arial" w:cs="Arial" w:eastAsia="Arial" w:hAnsi="Arial"/>
                <w:sz w:val="3"/>
                <w:szCs w:val="3"/>
                <w:color w:val="FFFFFF"/>
              </w:rPr>
              <w:t>7</w:t>
            </w:r>
          </w:p>
        </w:tc>
        <w:tc>
          <w:tcPr>
            <w:tcW w:w="3860" w:type="dxa"/>
            <w:vAlign w:val="bottom"/>
          </w:tcPr>
          <w:p>
            <w:pPr>
              <w:ind w:left="260"/>
              <w:spacing w:after="0"/>
              <w:rPr>
                <w:sz w:val="20"/>
                <w:szCs w:val="20"/>
                <w:color w:val="auto"/>
              </w:rPr>
            </w:pPr>
            <w:r>
              <w:rPr>
                <w:rFonts w:ascii="Arial" w:cs="Arial" w:eastAsia="Arial" w:hAnsi="Arial"/>
                <w:sz w:val="3"/>
                <w:szCs w:val="3"/>
                <w:color w:val="FFFFFF"/>
              </w:rPr>
              <w:t>1 100,000 — — — 100,000 17 May 2012 to 25.96</w:t>
            </w: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60" w:type="dxa"/>
            <w:vAlign w:val="bottom"/>
            <w:gridSpan w:val="3"/>
          </w:tcPr>
          <w:p>
            <w:pPr>
              <w:spacing w:after="0"/>
              <w:rPr>
                <w:sz w:val="20"/>
                <w:szCs w:val="20"/>
                <w:color w:val="auto"/>
              </w:rPr>
            </w:pPr>
            <w:r>
              <w:rPr>
                <w:rFonts w:ascii="Arial" w:cs="Arial" w:eastAsia="Arial" w:hAnsi="Arial"/>
                <w:sz w:val="3"/>
                <w:szCs w:val="3"/>
                <w:color w:val="FFFFFF"/>
              </w:rPr>
              <w:t>16 May 2021</w:t>
            </w: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20"/>
                <w:szCs w:val="20"/>
                <w:color w:val="auto"/>
              </w:rPr>
            </w:pPr>
            <w:r>
              <w:rPr>
                <w:rFonts w:ascii="Arial" w:cs="Arial" w:eastAsia="Arial" w:hAnsi="Arial"/>
                <w:sz w:val="3"/>
                <w:szCs w:val="3"/>
                <w:color w:val="FFFFFF"/>
              </w:rPr>
              <w:t>5</w:t>
            </w:r>
          </w:p>
        </w:tc>
        <w:tc>
          <w:tcPr>
            <w:tcW w:w="320" w:type="dxa"/>
            <w:vAlign w:val="bottom"/>
          </w:tcPr>
          <w:p>
            <w:pPr>
              <w:spacing w:after="0"/>
              <w:rPr>
                <w:sz w:val="3"/>
                <w:szCs w:val="3"/>
                <w:color w:val="auto"/>
              </w:rPr>
            </w:pPr>
          </w:p>
        </w:tc>
        <w:tc>
          <w:tcPr>
            <w:tcW w:w="3860" w:type="dxa"/>
            <w:vAlign w:val="bottom"/>
          </w:tcPr>
          <w:p>
            <w:pPr>
              <w:ind w:left="60"/>
              <w:spacing w:after="0"/>
              <w:rPr>
                <w:sz w:val="20"/>
                <w:szCs w:val="20"/>
                <w:color w:val="auto"/>
              </w:rPr>
            </w:pPr>
            <w:r>
              <w:rPr>
                <w:rFonts w:ascii="Arial" w:cs="Arial" w:eastAsia="Arial" w:hAnsi="Arial"/>
                <w:sz w:val="3"/>
                <w:szCs w:val="3"/>
                <w:color w:val="FFFFFF"/>
              </w:rPr>
              <w:t>June 2012 — 190,000(1) — — 190,000 5 June 2013 to 19.04</w:t>
            </w: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80" w:type="dxa"/>
            <w:vAlign w:val="bottom"/>
          </w:tcPr>
          <w:p>
            <w:pPr>
              <w:spacing w:after="0"/>
              <w:rPr>
                <w:sz w:val="20"/>
                <w:szCs w:val="20"/>
                <w:color w:val="auto"/>
              </w:rPr>
            </w:pPr>
            <w:r>
              <w:rPr>
                <w:rFonts w:ascii="Arial" w:cs="Arial" w:eastAsia="Arial" w:hAnsi="Arial"/>
                <w:sz w:val="1"/>
                <w:szCs w:val="1"/>
                <w:color w:val="FFFFFF"/>
              </w:rPr>
              <w:t>4</w:t>
            </w:r>
          </w:p>
        </w:tc>
        <w:tc>
          <w:tcPr>
            <w:tcW w:w="320" w:type="dxa"/>
            <w:vAlign w:val="bottom"/>
          </w:tcPr>
          <w:p>
            <w:pPr>
              <w:spacing w:after="0" w:line="20" w:lineRule="exact"/>
              <w:rPr>
                <w:sz w:val="1"/>
                <w:szCs w:val="1"/>
                <w:color w:val="auto"/>
              </w:rPr>
            </w:pPr>
          </w:p>
        </w:tc>
        <w:tc>
          <w:tcPr>
            <w:tcW w:w="3860" w:type="dxa"/>
            <w:vAlign w:val="bottom"/>
          </w:tcPr>
          <w:p>
            <w:pPr>
              <w:ind w:left="60"/>
              <w:spacing w:after="0"/>
              <w:rPr>
                <w:sz w:val="20"/>
                <w:szCs w:val="20"/>
                <w:color w:val="auto"/>
              </w:rPr>
            </w:pPr>
            <w:r>
              <w:rPr>
                <w:rFonts w:ascii="Arial" w:cs="Arial" w:eastAsia="Arial" w:hAnsi="Arial"/>
                <w:sz w:val="1"/>
                <w:szCs w:val="1"/>
                <w:color w:val="FFFFFF"/>
              </w:rPr>
              <w:t>June 2022</w:t>
            </w: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auto"/>
        <w:rPr>
          <w:sz w:val="20"/>
          <w:szCs w:val="20"/>
          <w:color w:val="auto"/>
        </w:rPr>
      </w:pPr>
      <w:r>
        <w:rPr>
          <w:rFonts w:ascii="Arial" w:cs="Arial" w:eastAsia="Arial" w:hAnsi="Arial"/>
          <w:sz w:val="3"/>
          <w:szCs w:val="3"/>
          <w:color w:val="FFFFFF"/>
          <w:vertAlign w:val="superscript"/>
        </w:rPr>
        <w:t>The</w:t>
      </w:r>
      <w:r>
        <w:rPr>
          <w:rFonts w:ascii="Arial" w:cs="Arial" w:eastAsia="Arial" w:hAnsi="Arial"/>
          <w:sz w:val="2"/>
          <w:szCs w:val="2"/>
          <w:color w:val="FFFFFF"/>
        </w:rPr>
        <w:t>otal 1,350,000 760,000 — — 2,110,000</w:t>
      </w:r>
    </w:p>
    <w:p>
      <w:pPr>
        <w:ind w:right="4960" w:firstLine="244"/>
        <w:spacing w:after="0"/>
        <w:rPr>
          <w:sz w:val="20"/>
          <w:szCs w:val="20"/>
          <w:color w:val="auto"/>
        </w:rPr>
      </w:pPr>
      <w:r>
        <w:rPr>
          <w:rFonts w:ascii="Arial" w:cs="Arial" w:eastAsia="Arial" w:hAnsi="Arial"/>
          <w:sz w:val="10"/>
          <w:szCs w:val="10"/>
          <w:color w:val="FFFFFF"/>
        </w:rPr>
        <w:t>vesting periods of the above share options are 20% vesting on each of the anniversary date of the date of grant.</w:t>
      </w:r>
    </w:p>
    <w:p>
      <w:pPr>
        <w:spacing w:after="0" w:line="196" w:lineRule="auto"/>
        <w:rPr>
          <w:sz w:val="20"/>
          <w:szCs w:val="20"/>
          <w:color w:val="auto"/>
        </w:rPr>
      </w:pPr>
      <w:r>
        <w:rPr>
          <w:rFonts w:ascii="Arial" w:cs="Arial" w:eastAsia="Arial" w:hAnsi="Arial"/>
          <w:sz w:val="5"/>
          <w:szCs w:val="5"/>
          <w:color w:val="FFFFFF"/>
        </w:rPr>
        <w:t>The closing price of the Company’s Shares immediately before the date on which the options were granted during the period was HK$18.06.</w:t>
      </w:r>
    </w:p>
    <w:p>
      <w:pPr>
        <w:spacing w:after="0"/>
        <w:rPr>
          <w:sz w:val="20"/>
          <w:szCs w:val="20"/>
          <w:color w:val="auto"/>
        </w:rPr>
      </w:pPr>
      <w:r>
        <w:rPr>
          <w:rFonts w:ascii="Arial" w:cs="Arial" w:eastAsia="Arial" w:hAnsi="Arial"/>
          <w:sz w:val="3"/>
          <w:szCs w:val="3"/>
          <w:color w:val="FFFFFF"/>
        </w:rPr>
        <w:t>PURCHASE, SALE OR REDEMPTION OF COMPANY’S LISTED SECURITIES</w:t>
      </w:r>
    </w:p>
    <w:p>
      <w:pPr>
        <w:spacing w:after="0" w:line="6"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There have been no convertible securities issued or granted by the Group, no exercise of any conversion or subscription rights, nor any purchase, sale or redemption by the Group of its listed Shares during the six months ended 30 June 2012.</w:t>
      </w:r>
    </w:p>
    <w:p>
      <w:pPr>
        <w:sectPr>
          <w:pgSz w:w="11900" w:h="16838" w:orient="portrait"/>
          <w:cols w:equalWidth="0" w:num="1">
            <w:col w:w="10260"/>
          </w:cols>
          <w:pgMar w:left="240" w:top="1440" w:right="139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2012 43</w:t>
      </w:r>
    </w:p>
    <w:p>
      <w:pPr>
        <w:spacing w:after="0"/>
        <w:rPr>
          <w:sz w:val="20"/>
          <w:szCs w:val="20"/>
          <w:color w:val="auto"/>
        </w:rPr>
      </w:pPr>
      <w:r>
        <w:rPr>
          <w:rFonts w:ascii="Arial" w:cs="Arial" w:eastAsia="Arial" w:hAnsi="Arial"/>
          <w:sz w:val="3"/>
          <w:szCs w:val="3"/>
          <w:color w:val="FFFFFF"/>
        </w:rPr>
        <w:t>Other Information</w:t>
      </w:r>
    </w:p>
    <w:p>
      <w:pPr>
        <w:spacing w:after="0" w:line="181" w:lineRule="auto"/>
        <w:rPr>
          <w:sz w:val="20"/>
          <w:szCs w:val="20"/>
          <w:color w:val="auto"/>
        </w:rPr>
      </w:pPr>
      <w:r>
        <w:rPr>
          <w:rFonts w:ascii="Arial" w:cs="Arial" w:eastAsia="Arial" w:hAnsi="Arial"/>
          <w:sz w:val="10"/>
          <w:szCs w:val="10"/>
          <w:color w:val="FFFFFF"/>
        </w:rPr>
        <w:t>TheCORPORATECompany isGOVERNANCEdedicatedtomaintaining and ensuring high standards of corporate governance practices and the corporate governancerecommendedprinciples of the Company are adopted in the best interest of the Company</w:t>
      </w:r>
    </w:p>
    <w:p>
      <w:pPr>
        <w:ind w:right="180"/>
        <w:spacing w:after="0" w:line="181" w:lineRule="auto"/>
        <w:rPr>
          <w:sz w:val="20"/>
          <w:szCs w:val="20"/>
          <w:color w:val="auto"/>
        </w:rPr>
      </w:pPr>
      <w:r>
        <w:rPr>
          <w:rFonts w:ascii="Arial" w:cs="Arial" w:eastAsia="Arial" w:hAnsi="Arial"/>
          <w:sz w:val="7"/>
          <w:szCs w:val="7"/>
          <w:color w:val="FFFFFF"/>
        </w:rPr>
        <w:t>Theand itsCompanyShareholders.hascompliedTheCompany’swiththe codecorporateprovisionsgovernanceinthe Codepracticeson Corporatearebased onGovernancetheprinciples,Practicescodeduringprovisionstheperiodandcertainfrom 1 January 2012bestto31practicesMarch 2012,asset bothoutindatesthe Code.inclusive, and the code provisions in the Corporate Governance Code and Corporate Governance Report during the period 1 April 2012 to 30 June 2012, both dates inclusive, except for the following deviation from provision A.2.1 of the Code.</w:t>
      </w:r>
    </w:p>
    <w:p>
      <w:pPr>
        <w:ind w:right="120"/>
        <w:spacing w:after="0"/>
        <w:rPr>
          <w:sz w:val="20"/>
          <w:szCs w:val="20"/>
          <w:color w:val="auto"/>
        </w:rPr>
      </w:pPr>
      <w:r>
        <w:rPr>
          <w:rFonts w:ascii="Arial" w:cs="Arial" w:eastAsia="Arial" w:hAnsi="Arial"/>
          <w:sz w:val="8"/>
          <w:szCs w:val="8"/>
          <w:color w:val="FFFFFF"/>
        </w:rPr>
        <w:t>UnderStephencodeA. WynnprovisionasourA.2.1Chairmanofthe Code,andChieftherolesExecutiveofchairmanOfficerand chief executive officer should be separate and should not be performed by the same individual. The Company does not at present separate the roles of the chairman and chief executive officer.</w:t>
      </w:r>
    </w:p>
    <w:p>
      <w:pPr>
        <w:spacing w:after="0" w:line="30"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Mr. Wynn,isthein founderthebest ofinteresttheCompanyoftheCompanyandWynnandMacau,allShareholders.servesastheTheChairmanBoardbelievesandChiefthatExecutivetheissue Of?cerofwhetheroftheto Company.combineorTheseparateBoardthehasofficesdeterminedofChairmanthatthe ofcombinationtheBoard andoftheseChiefrolesExecutiveheldsingularlyOfficerisbypart of the succession planning process and that it is in the best interests of the Company for the Board to make a determination whether to combine or separateare the roles based upon the circumstances. The Board has</w:t>
      </w:r>
    </w:p>
    <w:p>
      <w:pPr>
        <w:ind w:left="10600"/>
        <w:spacing w:after="0"/>
        <w:rPr>
          <w:sz w:val="20"/>
          <w:szCs w:val="20"/>
          <w:color w:val="auto"/>
        </w:rPr>
      </w:pPr>
      <w:r>
        <w:rPr>
          <w:rFonts w:ascii="Arial" w:cs="Arial" w:eastAsia="Arial" w:hAnsi="Arial"/>
          <w:sz w:val="1"/>
          <w:szCs w:val="1"/>
          <w:color w:val="FFFFFF"/>
        </w:rPr>
        <w:t>combinedgivencarefulroleconsiderationpromotesunifito edseparatingleadershiptheandrolesdirectionofChairmanfortheandBoardChiefandExecutiveexecutiveOfficermanagementandhasanddeterminedforthat single,theCompanyclearfocusand forits ShareholderstheCompany’s operationalbestservedandby strategicthecurrentefforts.structure. Mr. Wynn’s</w:t>
      </w:r>
    </w:p>
    <w:p>
      <w:pPr>
        <w:spacing w:after="0" w:line="181" w:lineRule="auto"/>
        <w:rPr>
          <w:sz w:val="20"/>
          <w:szCs w:val="20"/>
          <w:color w:val="auto"/>
        </w:rPr>
      </w:pPr>
      <w:r>
        <w:rPr>
          <w:rFonts w:ascii="Arial" w:cs="Arial" w:eastAsia="Arial" w:hAnsi="Arial"/>
          <w:sz w:val="10"/>
          <w:szCs w:val="10"/>
          <w:color w:val="FFFFFF"/>
        </w:rPr>
        <w:t xml:space="preserve">The combined role of Mr. Wynn as both Chairman and Chief Executive Officer is balanced by the Company’allows governance structure, policies and controls. All major decisions are made in consultation with members of the Board and the relevant Board </w:t>
      </w:r>
      <w:r>
        <w:rPr>
          <w:rFonts w:ascii="Arial" w:cs="Arial" w:eastAsia="Arial" w:hAnsi="Arial"/>
          <w:sz w:val="17"/>
          <w:szCs w:val="17"/>
          <w:color w:val="FFFFFF"/>
          <w:vertAlign w:val="superscript"/>
        </w:rPr>
        <w:t>non</w:t>
      </w:r>
      <w:r>
        <w:rPr>
          <w:rFonts w:ascii="Arial" w:cs="Arial" w:eastAsia="Arial" w:hAnsi="Arial"/>
          <w:sz w:val="10"/>
          <w:szCs w:val="10"/>
          <w:color w:val="FFFFFF"/>
        </w:rPr>
        <w:t>cmmittees. The Company has three Board committees, namely the audit committee, remuneration committee, and nomination and corporate governance committee. Each Board committee comprises -executive Directors only and is chaired by an independent non-executive Director. In addition, there are three independent non-executive Directors on the Board offering independent perspectives.</w:t>
      </w:r>
    </w:p>
    <w:p>
      <w:pPr>
        <w:sectPr>
          <w:pgSz w:w="11900" w:h="16838" w:orient="portrait"/>
          <w:cols w:equalWidth="0" w:num="1">
            <w:col w:w="11420"/>
          </w:cols>
          <w:pgMar w:left="240" w:top="1440" w:right="2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20"/>
                <w:szCs w:val="20"/>
                <w:color w:val="auto"/>
              </w:rPr>
            </w:pPr>
            <w:r>
              <w:rPr>
                <w:rFonts w:ascii="Arial" w:cs="Arial" w:eastAsia="Arial" w:hAnsi="Arial"/>
                <w:sz w:val="14"/>
                <w:szCs w:val="14"/>
                <w:color w:val="FFFFFF"/>
              </w:rPr>
              <w:t>44 Wynn Macau, Limited</w:t>
            </w: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280" w:type="dxa"/>
            <w:vAlign w:val="bottom"/>
          </w:tcPr>
          <w:p>
            <w:pPr>
              <w:spacing w:after="0"/>
              <w:rPr>
                <w:sz w:val="20"/>
                <w:szCs w:val="20"/>
                <w:color w:val="auto"/>
              </w:rPr>
            </w:pPr>
            <w:r>
              <w:rPr>
                <w:rFonts w:ascii="Arial" w:cs="Arial" w:eastAsia="Arial" w:hAnsi="Arial"/>
                <w:sz w:val="3"/>
                <w:szCs w:val="3"/>
                <w:color w:val="FFFFFF"/>
              </w:rPr>
              <w:t>Other Information</w:t>
            </w:r>
          </w:p>
        </w:tc>
        <w:tc>
          <w:tcPr>
            <w:tcW w:w="2040" w:type="dxa"/>
            <w:vAlign w:val="bottom"/>
          </w:tcPr>
          <w:p>
            <w:pPr>
              <w:spacing w:after="0"/>
              <w:rPr>
                <w:sz w:val="3"/>
                <w:szCs w:val="3"/>
                <w:color w:val="auto"/>
              </w:rPr>
            </w:pPr>
          </w:p>
        </w:tc>
        <w:tc>
          <w:tcPr>
            <w:tcW w:w="40" w:type="dxa"/>
            <w:vAlign w:val="bottom"/>
          </w:tcPr>
          <w:p>
            <w:pPr>
              <w:spacing w:after="0"/>
              <w:rPr>
                <w:sz w:val="3"/>
                <w:szCs w:val="3"/>
                <w:color w:val="auto"/>
              </w:rPr>
            </w:pPr>
          </w:p>
        </w:tc>
        <w:tc>
          <w:tcPr>
            <w:tcW w:w="3160" w:type="dxa"/>
            <w:vAlign w:val="bottom"/>
            <w:gridSpan w:val="2"/>
            <w:vMerge w:val="restart"/>
          </w:tcPr>
          <w:p>
            <w:pPr>
              <w:ind w:left="20"/>
              <w:spacing w:after="0" w:line="81" w:lineRule="exact"/>
              <w:rPr>
                <w:sz w:val="20"/>
                <w:szCs w:val="20"/>
                <w:color w:val="auto"/>
              </w:rPr>
            </w:pPr>
            <w:r>
              <w:rPr>
                <w:rFonts w:ascii="Arial" w:cs="Arial" w:eastAsia="Arial" w:hAnsi="Arial"/>
                <w:sz w:val="9"/>
                <w:szCs w:val="9"/>
                <w:color w:val="FFFFFF"/>
              </w:rPr>
              <w:t>operations and prudent management of risk.</w:t>
            </w:r>
          </w:p>
        </w:tc>
        <w:tc>
          <w:tcPr>
            <w:tcW w:w="2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20" w:type="dxa"/>
            <w:vAlign w:val="bottom"/>
            <w:gridSpan w:val="2"/>
          </w:tcPr>
          <w:p>
            <w:pPr>
              <w:spacing w:after="0"/>
              <w:rPr>
                <w:sz w:val="20"/>
                <w:szCs w:val="20"/>
                <w:color w:val="auto"/>
              </w:rPr>
            </w:pPr>
            <w:r>
              <w:rPr>
                <w:rFonts w:ascii="Arial" w:cs="Arial" w:eastAsia="Arial" w:hAnsi="Arial"/>
                <w:sz w:val="3"/>
                <w:szCs w:val="3"/>
                <w:color w:val="FFFFFF"/>
              </w:rPr>
              <w:t>This structure encourages independent and effective oversight of the Company’</w:t>
            </w:r>
          </w:p>
        </w:tc>
        <w:tc>
          <w:tcPr>
            <w:tcW w:w="40" w:type="dxa"/>
            <w:vAlign w:val="bottom"/>
          </w:tcPr>
          <w:p>
            <w:pPr>
              <w:spacing w:after="0"/>
              <w:rPr>
                <w:sz w:val="3"/>
                <w:szCs w:val="3"/>
                <w:color w:val="auto"/>
              </w:rPr>
            </w:pPr>
          </w:p>
        </w:tc>
        <w:tc>
          <w:tcPr>
            <w:tcW w:w="3160" w:type="dxa"/>
            <w:vAlign w:val="bottom"/>
            <w:gridSpan w:val="2"/>
            <w:vMerge w:val="continue"/>
          </w:tcPr>
          <w:p>
            <w:pPr>
              <w:spacing w:after="0"/>
              <w:rPr>
                <w:sz w:val="3"/>
                <w:szCs w:val="3"/>
                <w:color w:val="auto"/>
              </w:rPr>
            </w:pPr>
          </w:p>
        </w:tc>
        <w:tc>
          <w:tcPr>
            <w:tcW w:w="2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For the reasons stated above and as a result of the structure, policies and procedures outlined above, and in light of the historical success of Mr. Wynn’s leadership, the Board has concluded that the current Board</w:t>
            </w:r>
          </w:p>
        </w:tc>
        <w:tc>
          <w:tcPr>
            <w:tcW w:w="0" w:type="dxa"/>
            <w:vAlign w:val="bottom"/>
          </w:tcPr>
          <w:p>
            <w:pPr>
              <w:spacing w:after="0"/>
              <w:rPr>
                <w:sz w:val="1"/>
                <w:szCs w:val="1"/>
                <w:color w:val="auto"/>
              </w:rPr>
            </w:pPr>
          </w:p>
        </w:tc>
      </w:tr>
      <w:tr>
        <w:trPr>
          <w:trHeight w:val="41"/>
        </w:trPr>
        <w:tc>
          <w:tcPr>
            <w:tcW w:w="4360" w:type="dxa"/>
            <w:vAlign w:val="bottom"/>
            <w:gridSpan w:val="3"/>
          </w:tcPr>
          <w:p>
            <w:pPr>
              <w:spacing w:after="0"/>
              <w:rPr>
                <w:sz w:val="20"/>
                <w:szCs w:val="20"/>
                <w:color w:val="auto"/>
              </w:rPr>
            </w:pPr>
            <w:r>
              <w:rPr>
                <w:rFonts w:ascii="Arial" w:cs="Arial" w:eastAsia="Arial" w:hAnsi="Arial"/>
                <w:sz w:val="3"/>
                <w:szCs w:val="3"/>
                <w:color w:val="FFFFFF"/>
              </w:rPr>
              <w:t>leadership structure is in the best interests of the Company and its Shareholders.</w:t>
            </w: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tcPr>
          <w:p>
            <w:pPr>
              <w:spacing w:after="0"/>
              <w:rPr>
                <w:sz w:val="20"/>
                <w:szCs w:val="20"/>
                <w:color w:val="auto"/>
              </w:rPr>
            </w:pPr>
            <w:r>
              <w:rPr>
                <w:rFonts w:ascii="Arial" w:cs="Arial" w:eastAsia="Arial" w:hAnsi="Arial"/>
                <w:sz w:val="3"/>
                <w:szCs w:val="3"/>
                <w:color w:val="FFFFFF"/>
              </w:rPr>
              <w:t>MODEL CODE</w:t>
            </w:r>
          </w:p>
        </w:tc>
        <w:tc>
          <w:tcPr>
            <w:tcW w:w="2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The Company adopted the Model Code on 16 September 2009 as its code of conduct for securities transactions by Directors. On 23 March 2010, the Company adopted its own code of conduct for securities</w:t>
            </w:r>
          </w:p>
        </w:tc>
        <w:tc>
          <w:tcPr>
            <w:tcW w:w="0" w:type="dxa"/>
            <w:vAlign w:val="bottom"/>
          </w:tcPr>
          <w:p>
            <w:pPr>
              <w:spacing w:after="0"/>
              <w:rPr>
                <w:sz w:val="1"/>
                <w:szCs w:val="1"/>
                <w:color w:val="auto"/>
              </w:rPr>
            </w:pPr>
          </w:p>
        </w:tc>
      </w:tr>
      <w:tr>
        <w:trPr>
          <w:trHeight w:val="41"/>
        </w:trPr>
        <w:tc>
          <w:tcPr>
            <w:tcW w:w="4320" w:type="dxa"/>
            <w:vAlign w:val="bottom"/>
            <w:gridSpan w:val="2"/>
          </w:tcPr>
          <w:p>
            <w:pPr>
              <w:spacing w:after="0"/>
              <w:rPr>
                <w:sz w:val="20"/>
                <w:szCs w:val="20"/>
                <w:color w:val="auto"/>
              </w:rPr>
            </w:pPr>
            <w:r>
              <w:rPr>
                <w:rFonts w:ascii="Arial" w:cs="Arial" w:eastAsia="Arial" w:hAnsi="Arial"/>
                <w:sz w:val="3"/>
                <w:szCs w:val="3"/>
                <w:color w:val="FFFFFF"/>
              </w:rPr>
              <w:t>transactions, the terms of such code b ing no less exacting than those set out</w:t>
            </w:r>
          </w:p>
        </w:tc>
        <w:tc>
          <w:tcPr>
            <w:tcW w:w="1140" w:type="dxa"/>
            <w:vAlign w:val="bottom"/>
            <w:gridSpan w:val="2"/>
          </w:tcPr>
          <w:p>
            <w:pPr>
              <w:spacing w:after="0"/>
              <w:rPr>
                <w:sz w:val="20"/>
                <w:szCs w:val="20"/>
                <w:color w:val="auto"/>
              </w:rPr>
            </w:pPr>
            <w:r>
              <w:rPr>
                <w:rFonts w:ascii="Arial" w:cs="Arial" w:eastAsia="Arial" w:hAnsi="Arial"/>
                <w:sz w:val="3"/>
                <w:szCs w:val="3"/>
                <w:color w:val="FFFFFF"/>
              </w:rPr>
              <w:t>the Model Code.</w:t>
            </w:r>
          </w:p>
        </w:tc>
        <w:tc>
          <w:tcPr>
            <w:tcW w:w="2060" w:type="dxa"/>
            <w:vAlign w:val="bottom"/>
          </w:tcPr>
          <w:p>
            <w:pPr>
              <w:ind w:left="220"/>
              <w:spacing w:after="0"/>
              <w:rPr>
                <w:sz w:val="20"/>
                <w:szCs w:val="20"/>
                <w:color w:val="auto"/>
              </w:rPr>
            </w:pPr>
            <w:r>
              <w:rPr>
                <w:rFonts w:ascii="Arial" w:cs="Arial" w:eastAsia="Arial" w:hAnsi="Arial"/>
                <w:sz w:val="3"/>
                <w:szCs w:val="3"/>
                <w:color w:val="FFFFFF"/>
              </w:rPr>
              <w:t>made specific enquiry of the</w:t>
            </w:r>
          </w:p>
        </w:tc>
        <w:tc>
          <w:tcPr>
            <w:tcW w:w="3860" w:type="dxa"/>
            <w:vAlign w:val="bottom"/>
            <w:gridSpan w:val="2"/>
          </w:tcPr>
          <w:p>
            <w:pPr>
              <w:ind w:left="300"/>
              <w:spacing w:after="0"/>
              <w:rPr>
                <w:sz w:val="20"/>
                <w:szCs w:val="20"/>
                <w:color w:val="auto"/>
              </w:rPr>
            </w:pPr>
            <w:r>
              <w:rPr>
                <w:rFonts w:ascii="Arial" w:cs="Arial" w:eastAsia="Arial" w:hAnsi="Arial"/>
                <w:sz w:val="3"/>
                <w:szCs w:val="3"/>
                <w:color w:val="FFFFFF"/>
              </w:rPr>
              <w:t>all Directors have confirmed that they have complied with the</w:t>
            </w: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required standard of dealings and code of conduct regarding securities dealings by directors as setHavingout the Model Code and the Company’Directors,own code of conduct for the six months ended 30 June 2012.</w:t>
            </w:r>
          </w:p>
        </w:tc>
        <w:tc>
          <w:tcPr>
            <w:tcW w:w="0" w:type="dxa"/>
            <w:vAlign w:val="bottom"/>
          </w:tcPr>
          <w:p>
            <w:pPr>
              <w:spacing w:after="0"/>
              <w:rPr>
                <w:sz w:val="1"/>
                <w:szCs w:val="1"/>
                <w:color w:val="auto"/>
              </w:rPr>
            </w:pPr>
          </w:p>
        </w:tc>
      </w:tr>
      <w:tr>
        <w:trPr>
          <w:trHeight w:val="41"/>
        </w:trPr>
        <w:tc>
          <w:tcPr>
            <w:tcW w:w="2280" w:type="dxa"/>
            <w:vAlign w:val="bottom"/>
          </w:tcPr>
          <w:p>
            <w:pPr>
              <w:spacing w:after="0"/>
              <w:rPr>
                <w:sz w:val="20"/>
                <w:szCs w:val="20"/>
                <w:color w:val="auto"/>
              </w:rPr>
            </w:pPr>
            <w:r>
              <w:rPr>
                <w:rFonts w:ascii="Arial" w:cs="Arial" w:eastAsia="Arial" w:hAnsi="Arial"/>
                <w:sz w:val="3"/>
                <w:szCs w:val="3"/>
                <w:color w:val="FFFFFF"/>
              </w:rPr>
              <w:t>QUARTERLY REPORTING</w:t>
            </w:r>
          </w:p>
        </w:tc>
        <w:tc>
          <w:tcPr>
            <w:tcW w:w="2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The Company has adopted the recommended best practice under the Corporate Governance Code to announce and publish financial results within 40 days after the end of the relevant quarter. The release of the</w:t>
            </w:r>
          </w:p>
        </w:tc>
        <w:tc>
          <w:tcPr>
            <w:tcW w:w="0" w:type="dxa"/>
            <w:vAlign w:val="bottom"/>
          </w:tcPr>
          <w:p>
            <w:pPr>
              <w:spacing w:after="0"/>
              <w:rPr>
                <w:sz w:val="1"/>
                <w:szCs w:val="1"/>
                <w:color w:val="auto"/>
              </w:rPr>
            </w:pPr>
          </w:p>
        </w:tc>
      </w:tr>
      <w:tr>
        <w:trPr>
          <w:trHeight w:val="0"/>
        </w:trPr>
        <w:tc>
          <w:tcPr>
            <w:tcW w:w="2280" w:type="dxa"/>
            <w:vAlign w:val="bottom"/>
          </w:tcPr>
          <w:p>
            <w:pPr>
              <w:spacing w:after="0" w:line="80" w:lineRule="exact"/>
              <w:rPr>
                <w:sz w:val="20"/>
                <w:szCs w:val="20"/>
                <w:color w:val="auto"/>
              </w:rPr>
            </w:pPr>
            <w:r>
              <w:rPr>
                <w:rFonts w:ascii="Arial" w:cs="Arial" w:eastAsia="Arial" w:hAnsi="Arial"/>
                <w:sz w:val="9"/>
                <w:szCs w:val="9"/>
                <w:color w:val="FFFFFF"/>
              </w:rPr>
              <w:t>Company’s quarterly results will be</w:t>
            </w:r>
          </w:p>
        </w:tc>
        <w:tc>
          <w:tcPr>
            <w:tcW w:w="8080" w:type="dxa"/>
            <w:vAlign w:val="bottom"/>
            <w:gridSpan w:val="5"/>
          </w:tcPr>
          <w:p>
            <w:pPr>
              <w:ind w:left="340"/>
              <w:spacing w:after="0" w:line="80" w:lineRule="exact"/>
              <w:rPr>
                <w:sz w:val="20"/>
                <w:szCs w:val="20"/>
                <w:color w:val="auto"/>
              </w:rPr>
            </w:pPr>
            <w:r>
              <w:rPr>
                <w:rFonts w:ascii="Arial" w:cs="Arial" w:eastAsia="Arial" w:hAnsi="Arial"/>
                <w:sz w:val="9"/>
                <w:szCs w:val="9"/>
                <w:color w:val="FFFFFF"/>
              </w:rPr>
              <w:t>d with the timing of the quarterly filings made by our ultimate controlling shareholder, Wynn Resorts, Limited, in the United States. Wynn</w:t>
            </w:r>
          </w:p>
        </w:tc>
        <w:tc>
          <w:tcPr>
            <w:tcW w:w="1020" w:type="dxa"/>
            <w:vAlign w:val="bottom"/>
          </w:tcPr>
          <w:p>
            <w:pPr>
              <w:ind w:left="240"/>
              <w:spacing w:after="0" w:line="80" w:lineRule="exact"/>
              <w:rPr>
                <w:sz w:val="20"/>
                <w:szCs w:val="20"/>
                <w:color w:val="auto"/>
              </w:rPr>
            </w:pPr>
            <w:r>
              <w:rPr>
                <w:rFonts w:ascii="Arial" w:cs="Arial" w:eastAsia="Arial" w:hAnsi="Arial"/>
                <w:sz w:val="9"/>
                <w:szCs w:val="9"/>
                <w:color w:val="FFFFFF"/>
              </w:rPr>
              <w:t>Limited is</w:t>
            </w:r>
          </w:p>
        </w:tc>
        <w:tc>
          <w:tcPr>
            <w:tcW w:w="0" w:type="dxa"/>
            <w:vAlign w:val="bottom"/>
          </w:tcPr>
          <w:p>
            <w:pPr>
              <w:spacing w:after="0" w:line="20" w:lineRule="exact"/>
              <w:rPr>
                <w:sz w:val="1"/>
                <w:szCs w:val="1"/>
                <w:color w:val="auto"/>
              </w:rPr>
            </w:pPr>
          </w:p>
        </w:tc>
      </w:tr>
    </w:tbl>
    <w:p>
      <w:pPr>
        <w:ind w:left="1960"/>
        <w:spacing w:after="0"/>
        <w:tabs>
          <w:tab w:leader="none" w:pos="10120" w:val="left"/>
        </w:tabs>
        <w:rPr>
          <w:sz w:val="20"/>
          <w:szCs w:val="20"/>
          <w:color w:val="auto"/>
        </w:rPr>
      </w:pPr>
      <w:r>
        <w:rPr>
          <w:rFonts w:ascii="Arial" w:cs="Arial" w:eastAsia="Arial" w:hAnsi="Arial"/>
          <w:sz w:val="3"/>
          <w:szCs w:val="3"/>
          <w:color w:val="FFFFFF"/>
        </w:rPr>
        <w:t>synchronisreporting</w:t>
      </w:r>
      <w:r>
        <w:rPr>
          <w:sz w:val="20"/>
          <w:szCs w:val="20"/>
          <w:color w:val="auto"/>
        </w:rPr>
        <w:tab/>
      </w:r>
      <w:r>
        <w:rPr>
          <w:rFonts w:ascii="Arial" w:cs="Arial" w:eastAsia="Arial" w:hAnsi="Arial"/>
          <w:sz w:val="3"/>
          <w:szCs w:val="3"/>
          <w:color w:val="FFFFFF"/>
        </w:rPr>
        <w:t>Resorts,</w:t>
      </w:r>
    </w:p>
    <w:p>
      <w:pPr>
        <w:spacing w:after="0"/>
        <w:tabs>
          <w:tab w:leader="none" w:pos="3020" w:val="left"/>
        </w:tabs>
        <w:rPr>
          <w:sz w:val="20"/>
          <w:szCs w:val="20"/>
          <w:color w:val="auto"/>
        </w:rPr>
      </w:pPr>
      <w:r>
        <w:rPr>
          <w:rFonts w:ascii="Arial" w:cs="Arial" w:eastAsia="Arial" w:hAnsi="Arial"/>
          <w:sz w:val="2"/>
          <w:szCs w:val="2"/>
          <w:color w:val="FFFFFF"/>
        </w:rPr>
        <w:t xml:space="preserve">listed on the NASDAQ Stock Market and </w:t>
      </w:r>
      <w:r>
        <w:rPr>
          <w:rFonts w:ascii="Arial" w:cs="Arial" w:eastAsia="Arial" w:hAnsi="Arial"/>
          <w:sz w:val="4"/>
          <w:szCs w:val="4"/>
          <w:color w:val="FFFFFF"/>
          <w:vertAlign w:val="subscript"/>
        </w:rPr>
        <w:t>States</w:t>
      </w:r>
      <w:r>
        <w:rPr>
          <w:sz w:val="20"/>
          <w:szCs w:val="20"/>
          <w:color w:val="auto"/>
        </w:rPr>
        <w:tab/>
      </w:r>
      <w:r>
        <w:rPr>
          <w:rFonts w:ascii="Arial" w:cs="Arial" w:eastAsia="Arial" w:hAnsi="Arial"/>
          <w:sz w:val="3"/>
          <w:szCs w:val="3"/>
          <w:color w:val="FFFFFF"/>
        </w:rPr>
        <w:t>company under the United States Securities Exchange Act of 1934 which is required to fi le quarterly reports with the SEC. Each quarter Wynn Resorts,</w:t>
      </w:r>
    </w:p>
    <w:p>
      <w:pPr>
        <w:ind w:right="260"/>
        <w:spacing w:after="0" w:line="187" w:lineRule="auto"/>
        <w:rPr>
          <w:sz w:val="20"/>
          <w:szCs w:val="20"/>
          <w:color w:val="auto"/>
        </w:rPr>
      </w:pPr>
      <w:r>
        <w:rPr>
          <w:rFonts w:ascii="Arial" w:cs="Arial" w:eastAsia="Arial" w:hAnsi="Arial"/>
          <w:sz w:val="9"/>
          <w:szCs w:val="9"/>
          <w:color w:val="FFFFFF"/>
        </w:rPr>
        <w:t>Limited issues press releases in the United relating to its quarterly financial information (including financial information about the Macau segment of Wynn Resorts, Limited, which is operated by the Company). Such information will be presented in accordance with U.S. GAAP.</w:t>
      </w:r>
    </w:p>
    <w:p>
      <w:pPr>
        <w:ind w:right="60"/>
        <w:spacing w:after="0"/>
        <w:rPr>
          <w:sz w:val="20"/>
          <w:szCs w:val="20"/>
          <w:color w:val="auto"/>
        </w:rPr>
      </w:pPr>
      <w:r>
        <w:rPr>
          <w:rFonts w:ascii="Arial" w:cs="Arial" w:eastAsia="Arial" w:hAnsi="Arial"/>
          <w:sz w:val="6"/>
          <w:szCs w:val="6"/>
          <w:color w:val="FFFFFF"/>
        </w:rPr>
        <w:t>At the same time as Wynn Resorts, Limited releases its quarterly press releases, the Company makes an announcement on the Hong Kong Stock Exchange pursuant to Rule 13.09 of the Listing Rules extracting the key highlights of the press release pertaining to the Group. Such announcement will also include a quarterly income statement for the Group presented in accordance with IFRS.</w:t>
      </w:r>
    </w:p>
    <w:p>
      <w:pPr>
        <w:spacing w:after="0" w:line="12" w:lineRule="exact"/>
        <w:rPr>
          <w:sz w:val="20"/>
          <w:szCs w:val="20"/>
          <w:color w:val="auto"/>
        </w:rPr>
      </w:pPr>
    </w:p>
    <w:p>
      <w:pPr>
        <w:ind w:right="500"/>
        <w:spacing w:after="0" w:line="187" w:lineRule="auto"/>
        <w:rPr>
          <w:sz w:val="20"/>
          <w:szCs w:val="20"/>
          <w:color w:val="auto"/>
        </w:rPr>
      </w:pPr>
      <w:r>
        <w:rPr>
          <w:rFonts w:ascii="Arial" w:cs="Arial" w:eastAsia="Arial" w:hAnsi="Arial"/>
          <w:sz w:val="9"/>
          <w:szCs w:val="9"/>
          <w:color w:val="FFFFFF"/>
        </w:rPr>
        <w:t>In addition to the quarterly press release, Wynn Resorts, Limited also ? les quarterly reports with the SEC. Simultaneously with the filing of such report in the United States, the Company also makes an announcement on the Hong Kong Stock Exchange pursuant</w:t>
      </w:r>
    </w:p>
    <w:p>
      <w:pPr>
        <w:spacing w:after="0"/>
        <w:rPr>
          <w:sz w:val="20"/>
          <w:szCs w:val="20"/>
          <w:color w:val="auto"/>
        </w:rPr>
      </w:pPr>
      <w:r>
        <w:rPr>
          <w:rFonts w:ascii="Arial" w:cs="Arial" w:eastAsia="Arial" w:hAnsi="Arial"/>
          <w:sz w:val="14"/>
          <w:szCs w:val="14"/>
          <w:color w:val="FFFFFF"/>
        </w:rPr>
        <w:t>to Rule 13.09 of the Listing Rules extracting the key highlights of the quarterly report pertaining to the Group.</w:t>
      </w:r>
    </w:p>
    <w:p>
      <w:pPr>
        <w:sectPr>
          <w:pgSz w:w="11900" w:h="16838" w:orient="portrait"/>
          <w:cols w:equalWidth="0" w:num="1">
            <w:col w:w="11380"/>
          </w:cols>
          <w:pgMar w:left="240" w:top="1440" w:right="27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20"/>
                <w:szCs w:val="20"/>
                <w:color w:val="auto"/>
              </w:rPr>
            </w:pPr>
            <w:r>
              <w:rPr>
                <w:rFonts w:ascii="Arial" w:cs="Arial" w:eastAsia="Arial" w:hAnsi="Arial"/>
                <w:sz w:val="14"/>
                <w:szCs w:val="14"/>
                <w:color w:val="FFFFFF"/>
              </w:rPr>
              <w:t>Interim Report 2012 45</w:t>
            </w:r>
          </w:p>
        </w:tc>
        <w:tc>
          <w:tcPr>
            <w:tcW w:w="8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840" w:type="dxa"/>
            <w:vAlign w:val="bottom"/>
          </w:tcPr>
          <w:p>
            <w:pPr>
              <w:spacing w:after="0"/>
              <w:rPr>
                <w:sz w:val="20"/>
                <w:szCs w:val="20"/>
                <w:color w:val="auto"/>
              </w:rPr>
            </w:pPr>
            <w:r>
              <w:rPr>
                <w:rFonts w:ascii="Arial" w:cs="Arial" w:eastAsia="Arial" w:hAnsi="Arial"/>
                <w:sz w:val="3"/>
                <w:szCs w:val="3"/>
                <w:color w:val="FFFFFF"/>
              </w:rPr>
              <w:t>Other Information</w:t>
            </w:r>
          </w:p>
        </w:tc>
        <w:tc>
          <w:tcPr>
            <w:tcW w:w="8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840" w:type="dxa"/>
            <w:vAlign w:val="bottom"/>
          </w:tcPr>
          <w:p>
            <w:pPr>
              <w:spacing w:after="0"/>
              <w:rPr>
                <w:sz w:val="20"/>
                <w:szCs w:val="20"/>
                <w:color w:val="auto"/>
              </w:rPr>
            </w:pPr>
            <w:r>
              <w:rPr>
                <w:rFonts w:ascii="Arial" w:cs="Arial" w:eastAsia="Arial" w:hAnsi="Arial"/>
                <w:sz w:val="3"/>
                <w:szCs w:val="3"/>
                <w:color w:val="FFFFFF"/>
              </w:rPr>
              <w:t>CONTINUING DISCLOSURE PURSUANT TO LISTING RULES 13.18 AND 13.21</w:t>
            </w:r>
          </w:p>
        </w:tc>
        <w:tc>
          <w:tcPr>
            <w:tcW w:w="8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Under the terms of the Wynn Macau Credit Facilities, it is an event of default if Wynn Resorts, Limited, the Company’s Controlling Shareholder, ceases to own directly or indirectly at least 51% of the voting</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rights or issued capital of WRM or ceases to retain the ability or the right to direct or procure the direction of the management and policies of WRM. Upon an event of default, the lenders are entitled to exercise</w:t>
            </w:r>
          </w:p>
        </w:tc>
        <w:tc>
          <w:tcPr>
            <w:tcW w:w="0" w:type="dxa"/>
            <w:vAlign w:val="bottom"/>
          </w:tcPr>
          <w:p>
            <w:pPr>
              <w:spacing w:after="0"/>
              <w:rPr>
                <w:sz w:val="1"/>
                <w:szCs w:val="1"/>
                <w:color w:val="auto"/>
              </w:rPr>
            </w:pPr>
          </w:p>
        </w:tc>
      </w:tr>
      <w:tr>
        <w:trPr>
          <w:trHeight w:val="41"/>
        </w:trPr>
        <w:tc>
          <w:tcPr>
            <w:tcW w:w="7840" w:type="dxa"/>
            <w:vAlign w:val="bottom"/>
          </w:tcPr>
          <w:p>
            <w:pPr>
              <w:spacing w:after="0"/>
              <w:rPr>
                <w:sz w:val="20"/>
                <w:szCs w:val="20"/>
                <w:color w:val="auto"/>
              </w:rPr>
            </w:pPr>
            <w:r>
              <w:rPr>
                <w:rFonts w:ascii="Arial" w:cs="Arial" w:eastAsia="Arial" w:hAnsi="Arial"/>
                <w:sz w:val="3"/>
                <w:szCs w:val="3"/>
                <w:color w:val="FFFFFF"/>
              </w:rPr>
              <w:t>certain remedies including acceleration of the indebtedness under the senior secured credit facilities.</w:t>
            </w:r>
          </w:p>
        </w:tc>
        <w:tc>
          <w:tcPr>
            <w:tcW w:w="8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840" w:type="dxa"/>
            <w:vAlign w:val="bottom"/>
          </w:tcPr>
          <w:p>
            <w:pPr>
              <w:spacing w:after="0"/>
              <w:rPr>
                <w:sz w:val="20"/>
                <w:szCs w:val="20"/>
                <w:color w:val="auto"/>
              </w:rPr>
            </w:pPr>
            <w:r>
              <w:rPr>
                <w:rFonts w:ascii="Arial" w:cs="Arial" w:eastAsia="Arial" w:hAnsi="Arial"/>
                <w:sz w:val="3"/>
                <w:szCs w:val="3"/>
                <w:color w:val="FFFFFF"/>
              </w:rPr>
              <w:t>Save as disclosed above, our Company does not have any other disclosure obligations under Rules</w:t>
            </w:r>
          </w:p>
        </w:tc>
        <w:tc>
          <w:tcPr>
            <w:tcW w:w="8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840" w:type="dxa"/>
            <w:vAlign w:val="bottom"/>
          </w:tcPr>
          <w:p>
            <w:pPr>
              <w:spacing w:after="0"/>
              <w:rPr>
                <w:sz w:val="20"/>
                <w:szCs w:val="20"/>
                <w:color w:val="auto"/>
              </w:rPr>
            </w:pPr>
            <w:r>
              <w:rPr>
                <w:rFonts w:ascii="Arial" w:cs="Arial" w:eastAsia="Arial" w:hAnsi="Arial"/>
                <w:sz w:val="3"/>
                <w:szCs w:val="3"/>
                <w:color w:val="FFFFFF"/>
              </w:rPr>
              <w:t>13.18 and 13.21 of the Listing Rules.</w:t>
            </w:r>
          </w:p>
        </w:tc>
        <w:tc>
          <w:tcPr>
            <w:tcW w:w="8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840" w:type="dxa"/>
            <w:vAlign w:val="bottom"/>
          </w:tcPr>
          <w:p>
            <w:pPr>
              <w:spacing w:after="0"/>
              <w:rPr>
                <w:sz w:val="20"/>
                <w:szCs w:val="20"/>
                <w:color w:val="auto"/>
              </w:rPr>
            </w:pPr>
            <w:r>
              <w:rPr>
                <w:rFonts w:ascii="Arial" w:cs="Arial" w:eastAsia="Arial" w:hAnsi="Arial"/>
                <w:sz w:val="3"/>
                <w:szCs w:val="3"/>
                <w:color w:val="FFFFFF"/>
              </w:rPr>
              <w:t>CHANGES IN INFORMATION OF DIRECTORS</w:t>
            </w:r>
          </w:p>
        </w:tc>
        <w:tc>
          <w:tcPr>
            <w:tcW w:w="8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840" w:type="dxa"/>
            <w:vAlign w:val="bottom"/>
          </w:tcPr>
          <w:p>
            <w:pPr>
              <w:spacing w:after="0"/>
              <w:rPr>
                <w:sz w:val="20"/>
                <w:szCs w:val="20"/>
                <w:color w:val="auto"/>
              </w:rPr>
            </w:pPr>
            <w:r>
              <w:rPr>
                <w:rFonts w:ascii="Arial" w:cs="Arial" w:eastAsia="Arial" w:hAnsi="Arial"/>
                <w:sz w:val="3"/>
                <w:szCs w:val="3"/>
                <w:color w:val="FFFFFF"/>
              </w:rPr>
              <w:t>Pursuant to Rule 13.51B(1) of the Listing Rules, the changes in information of Directors of the Company are set out below:</w:t>
            </w:r>
          </w:p>
        </w:tc>
        <w:tc>
          <w:tcPr>
            <w:tcW w:w="3520" w:type="dxa"/>
            <w:vAlign w:val="bottom"/>
            <w:gridSpan w:val="2"/>
            <w:vMerge w:val="restart"/>
          </w:tcPr>
          <w:p>
            <w:pPr>
              <w:ind w:left="220"/>
              <w:spacing w:after="0" w:line="81" w:lineRule="exact"/>
              <w:rPr>
                <w:sz w:val="20"/>
                <w:szCs w:val="20"/>
                <w:color w:val="auto"/>
              </w:rPr>
            </w:pPr>
            <w:r>
              <w:rPr>
                <w:rFonts w:ascii="Arial" w:cs="Arial" w:eastAsia="Arial" w:hAnsi="Arial"/>
                <w:sz w:val="9"/>
                <w:szCs w:val="9"/>
                <w:color w:val="FFFFFF"/>
              </w:rPr>
              <w:t>director in March 2012.</w:t>
            </w:r>
          </w:p>
        </w:tc>
        <w:tc>
          <w:tcPr>
            <w:tcW w:w="0" w:type="dxa"/>
            <w:vAlign w:val="bottom"/>
          </w:tcPr>
          <w:p>
            <w:pPr>
              <w:spacing w:after="0"/>
              <w:rPr>
                <w:sz w:val="1"/>
                <w:szCs w:val="1"/>
                <w:color w:val="auto"/>
              </w:rPr>
            </w:pPr>
          </w:p>
        </w:tc>
      </w:tr>
      <w:tr>
        <w:trPr>
          <w:trHeight w:val="41"/>
        </w:trPr>
        <w:tc>
          <w:tcPr>
            <w:tcW w:w="7840" w:type="dxa"/>
            <w:vAlign w:val="bottom"/>
          </w:tcPr>
          <w:p>
            <w:pPr>
              <w:ind w:left="240"/>
              <w:spacing w:after="0"/>
              <w:rPr>
                <w:sz w:val="20"/>
                <w:szCs w:val="20"/>
                <w:color w:val="auto"/>
              </w:rPr>
            </w:pPr>
            <w:r>
              <w:rPr>
                <w:rFonts w:ascii="Arial" w:cs="Arial" w:eastAsia="Arial" w:hAnsi="Arial"/>
                <w:sz w:val="3"/>
                <w:szCs w:val="3"/>
                <w:color w:val="FFFFFF"/>
              </w:rPr>
              <w:t>Stephen A. Wynn, an executive Director of the Company, resigned from Monaco QD Internati nal Hotels and Resort Management as an</w:t>
            </w:r>
          </w:p>
        </w:tc>
        <w:tc>
          <w:tcPr>
            <w:tcW w:w="35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8660" w:type="dxa"/>
            <w:vAlign w:val="bottom"/>
            <w:gridSpan w:val="2"/>
          </w:tcPr>
          <w:p>
            <w:pPr>
              <w:spacing w:after="0" w:line="80" w:lineRule="exact"/>
              <w:rPr>
                <w:sz w:val="20"/>
                <w:szCs w:val="20"/>
                <w:color w:val="auto"/>
              </w:rPr>
            </w:pPr>
            <w:r>
              <w:rPr>
                <w:rFonts w:ascii="Arial" w:cs="Arial" w:eastAsia="Arial" w:hAnsi="Arial"/>
                <w:sz w:val="9"/>
                <w:szCs w:val="9"/>
                <w:color w:val="FFFFFF"/>
              </w:rPr>
              <w:t>Mr. Bruce Rockowitz, an independent non-executive Director of the Company, became a member of the Global Advisory Council of the Women’outsideTennis</w:t>
            </w:r>
          </w:p>
        </w:tc>
        <w:tc>
          <w:tcPr>
            <w:tcW w:w="2700" w:type="dxa"/>
            <w:vAlign w:val="bottom"/>
          </w:tcPr>
          <w:p>
            <w:pPr>
              <w:ind w:left="360"/>
              <w:spacing w:after="0" w:line="80" w:lineRule="exact"/>
              <w:rPr>
                <w:sz w:val="20"/>
                <w:szCs w:val="20"/>
                <w:color w:val="auto"/>
              </w:rPr>
            </w:pPr>
            <w:r>
              <w:rPr>
                <w:rFonts w:ascii="Arial" w:cs="Arial" w:eastAsia="Arial" w:hAnsi="Arial"/>
                <w:sz w:val="9"/>
                <w:szCs w:val="9"/>
                <w:color w:val="FFFFFF"/>
              </w:rPr>
              <w:t>(WTA) in March 2012. Mr. Rockowitz was</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 xml:space="preserve">also named Asia’s Best CEO at Corporate Governance Asia’s Excellence Recognition Awards, and was presented with an Asian Corporate Director RecognitionAssociationward by the </w:t>
      </w:r>
      <w:r>
        <w:rPr>
          <w:rFonts w:ascii="Arial" w:cs="Arial" w:eastAsia="Arial" w:hAnsi="Arial"/>
          <w:sz w:val="1"/>
          <w:szCs w:val="1"/>
          <w:color w:val="FFFFFF"/>
          <w:vertAlign w:val="subscript"/>
        </w:rPr>
        <w:t>Director</w:t>
      </w:r>
      <w:r>
        <w:rPr>
          <w:rFonts w:ascii="Arial" w:cs="Arial" w:eastAsia="Arial" w:hAnsi="Arial"/>
          <w:sz w:val="1"/>
          <w:szCs w:val="1"/>
          <w:color w:val="FFFFFF"/>
        </w:rPr>
        <w:t>sameganization.</w:t>
      </w:r>
    </w:p>
    <w:p>
      <w:pPr>
        <w:spacing w:after="0" w:line="228" w:lineRule="auto"/>
        <w:rPr>
          <w:sz w:val="20"/>
          <w:szCs w:val="20"/>
          <w:color w:val="auto"/>
        </w:rPr>
      </w:pPr>
      <w:r>
        <w:rPr>
          <w:rFonts w:ascii="Arial" w:cs="Arial" w:eastAsia="Arial" w:hAnsi="Arial"/>
          <w:sz w:val="11"/>
          <w:szCs w:val="11"/>
          <w:color w:val="FFFFFF"/>
        </w:rPr>
        <w:t>Mr. Nicholas Sallnow-Smith, an independent non-executive Director of the Company, has been appointed as a Councillor of the Foundation for the Arts and Music Ltd., and a of The Photographic Heritage Foundation Ltd. Mr. Sallnow-Smith has also become the Chairman of the General Committee of The British Chamber of Commerce in Hong Kong, Chairman of the Earth Champions, Hong Kong, and the Director of AFS Intercultural Exchanges Ltd. in Hong Kong.</w:t>
      </w:r>
    </w:p>
    <w:p>
      <w:pPr>
        <w:sectPr>
          <w:pgSz w:w="11900" w:h="16838" w:orient="portrait"/>
          <w:cols w:equalWidth="0" w:num="1">
            <w:col w:w="11360"/>
          </w:cols>
          <w:pgMar w:left="240" w:top="1440" w:right="29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Other46WynnInformationMacau,Limited</w:t>
      </w:r>
    </w:p>
    <w:p>
      <w:pPr>
        <w:spacing w:after="0"/>
        <w:rPr>
          <w:sz w:val="20"/>
          <w:szCs w:val="20"/>
          <w:color w:val="auto"/>
        </w:rPr>
      </w:pPr>
      <w:r>
        <w:rPr>
          <w:rFonts w:ascii="Arial" w:cs="Arial" w:eastAsia="Arial" w:hAnsi="Arial"/>
          <w:sz w:val="3"/>
          <w:szCs w:val="3"/>
          <w:color w:val="FFFFFF"/>
        </w:rPr>
        <w:t>REVIEW OF UNAUDITED INTERIM FINANCIAL INFORMATION</w:t>
      </w:r>
    </w:p>
    <w:p>
      <w:pPr>
        <w:spacing w:after="0" w:line="6" w:lineRule="exact"/>
        <w:rPr>
          <w:sz w:val="20"/>
          <w:szCs w:val="20"/>
          <w:color w:val="auto"/>
        </w:rPr>
      </w:pPr>
    </w:p>
    <w:p>
      <w:pPr>
        <w:spacing w:after="0"/>
        <w:rPr>
          <w:sz w:val="20"/>
          <w:szCs w:val="20"/>
          <w:color w:val="auto"/>
        </w:rPr>
      </w:pPr>
      <w:r>
        <w:rPr>
          <w:rFonts w:ascii="Arial" w:cs="Arial" w:eastAsia="Arial" w:hAnsi="Arial"/>
          <w:sz w:val="6"/>
          <w:szCs w:val="6"/>
          <w:color w:val="FFFFFF"/>
        </w:rPr>
        <w:t>The Group’s unaudited interim financial information for the reporting period has been reviewed by the Company’s Audit Committee members which comprises three non-executive Directors: Mr. Nicholas Sallnow-Smith, Dr. Allan Zeman and Mr. Bruce Rockowitz and by the Company’</w:t>
      </w:r>
      <w:r>
        <w:rPr>
          <w:rFonts w:ascii="Arial" w:cs="Arial" w:eastAsia="Arial" w:hAnsi="Arial"/>
          <w:sz w:val="7"/>
          <w:szCs w:val="7"/>
          <w:color w:val="FFFFFF"/>
          <w:vertAlign w:val="subscript"/>
        </w:rPr>
        <w:t>Institute</w:t>
      </w:r>
      <w:r>
        <w:rPr>
          <w:rFonts w:ascii="Arial" w:cs="Arial" w:eastAsia="Arial" w:hAnsi="Arial"/>
          <w:sz w:val="6"/>
          <w:szCs w:val="6"/>
          <w:color w:val="FFFFFF"/>
        </w:rPr>
        <w:t>auditors in accordance with Hong Kong Standards on Review Engagements 2410, Review of Interim Financial Information</w:t>
      </w:r>
    </w:p>
    <w:p>
      <w:pPr>
        <w:spacing w:after="0" w:line="212" w:lineRule="auto"/>
        <w:tabs>
          <w:tab w:leader="none" w:pos="4700" w:val="left"/>
        </w:tabs>
        <w:rPr>
          <w:sz w:val="20"/>
          <w:szCs w:val="20"/>
          <w:color w:val="auto"/>
        </w:rPr>
      </w:pPr>
      <w:r>
        <w:rPr>
          <w:rFonts w:ascii="Arial" w:cs="Arial" w:eastAsia="Arial" w:hAnsi="Arial"/>
          <w:sz w:val="14"/>
          <w:szCs w:val="14"/>
          <w:color w:val="FFFFFF"/>
        </w:rPr>
        <w:t>OnPerformedbehalfofbythetheBoardIndependent Auditor of the Entity issued by the Hong Kong</w:t>
      </w:r>
      <w:r>
        <w:rPr>
          <w:sz w:val="20"/>
          <w:szCs w:val="20"/>
          <w:color w:val="auto"/>
        </w:rPr>
        <w:tab/>
      </w:r>
      <w:r>
        <w:rPr>
          <w:rFonts w:ascii="Arial" w:cs="Arial" w:eastAsia="Arial" w:hAnsi="Arial"/>
          <w:sz w:val="12"/>
          <w:szCs w:val="12"/>
          <w:color w:val="FFFFFF"/>
        </w:rPr>
        <w:t>of Certified Public Accountants.</w:t>
      </w:r>
    </w:p>
    <w:p>
      <w:pPr>
        <w:spacing w:after="0"/>
        <w:rPr>
          <w:sz w:val="20"/>
          <w:szCs w:val="20"/>
          <w:color w:val="auto"/>
        </w:rPr>
      </w:pPr>
      <w:r>
        <w:rPr>
          <w:rFonts w:ascii="Arial" w:cs="Arial" w:eastAsia="Arial" w:hAnsi="Arial"/>
          <w:sz w:val="3"/>
          <w:szCs w:val="3"/>
          <w:color w:val="FFFFFF"/>
        </w:rPr>
        <w:t>ChairmanStephenA. Wynn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Hong Kong, 23 August 2012</w:t>
      </w:r>
    </w:p>
    <w:p>
      <w:pPr>
        <w:sectPr>
          <w:pgSz w:w="11900" w:h="16838" w:orient="portrait"/>
          <w:cols w:equalWidth="0" w:num="1">
            <w:col w:w="11180"/>
          </w:cols>
          <w:pgMar w:left="240" w:top="1440" w:right="47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3"/>
          </w:tcPr>
          <w:p>
            <w:pPr>
              <w:spacing w:after="0"/>
              <w:rPr>
                <w:sz w:val="20"/>
                <w:szCs w:val="20"/>
                <w:color w:val="auto"/>
              </w:rPr>
            </w:pPr>
            <w:r>
              <w:rPr>
                <w:rFonts w:ascii="Arial" w:cs="Arial" w:eastAsia="Arial" w:hAnsi="Arial"/>
                <w:sz w:val="14"/>
                <w:szCs w:val="14"/>
                <w:color w:val="FFFFFF"/>
              </w:rPr>
              <w:t>Interim Report 2012 47</w:t>
            </w:r>
          </w:p>
        </w:tc>
        <w:tc>
          <w:tcPr>
            <w:tcW w:w="1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280" w:type="dxa"/>
            <w:vAlign w:val="bottom"/>
            <w:gridSpan w:val="4"/>
          </w:tcPr>
          <w:p>
            <w:pPr>
              <w:spacing w:after="0"/>
              <w:rPr>
                <w:sz w:val="20"/>
                <w:szCs w:val="20"/>
                <w:color w:val="auto"/>
              </w:rPr>
            </w:pPr>
            <w:r>
              <w:rPr>
                <w:rFonts w:ascii="Arial" w:cs="Arial" w:eastAsia="Arial" w:hAnsi="Arial"/>
                <w:sz w:val="3"/>
                <w:szCs w:val="3"/>
                <w:color w:val="FFFFFF"/>
              </w:rPr>
              <w:t>Report on Review of Interim Financial Information</w:t>
            </w: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3"/>
          </w:tcPr>
          <w:p>
            <w:pPr>
              <w:spacing w:after="0"/>
              <w:rPr>
                <w:sz w:val="20"/>
                <w:szCs w:val="20"/>
                <w:color w:val="auto"/>
              </w:rPr>
            </w:pPr>
            <w:r>
              <w:rPr>
                <w:rFonts w:ascii="Arial" w:cs="Arial" w:eastAsia="Arial" w:hAnsi="Arial"/>
                <w:sz w:val="3"/>
                <w:szCs w:val="3"/>
                <w:color w:val="FFFFFF"/>
              </w:rPr>
              <w:t>[Graphic Appears Here]</w:t>
            </w:r>
          </w:p>
        </w:tc>
        <w:tc>
          <w:tcPr>
            <w:tcW w:w="1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40" w:type="dxa"/>
            <w:vAlign w:val="bottom"/>
            <w:gridSpan w:val="2"/>
          </w:tcPr>
          <w:p>
            <w:pPr>
              <w:spacing w:after="0"/>
              <w:rPr>
                <w:sz w:val="20"/>
                <w:szCs w:val="20"/>
                <w:color w:val="auto"/>
              </w:rPr>
            </w:pPr>
            <w:r>
              <w:rPr>
                <w:rFonts w:ascii="Arial" w:cs="Arial" w:eastAsia="Arial" w:hAnsi="Arial"/>
                <w:sz w:val="3"/>
                <w:szCs w:val="3"/>
                <w:color w:val="FFFFFF"/>
              </w:rPr>
              <w:t>22nd Floor</w:t>
            </w:r>
          </w:p>
        </w:tc>
        <w:tc>
          <w:tcPr>
            <w:tcW w:w="7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40" w:type="dxa"/>
            <w:vAlign w:val="bottom"/>
            <w:gridSpan w:val="2"/>
          </w:tcPr>
          <w:p>
            <w:pPr>
              <w:spacing w:after="0"/>
              <w:rPr>
                <w:sz w:val="20"/>
                <w:szCs w:val="20"/>
                <w:color w:val="auto"/>
              </w:rPr>
            </w:pPr>
            <w:r>
              <w:rPr>
                <w:rFonts w:ascii="Arial" w:cs="Arial" w:eastAsia="Arial" w:hAnsi="Arial"/>
                <w:sz w:val="3"/>
                <w:szCs w:val="3"/>
                <w:color w:val="FFFFFF"/>
              </w:rPr>
              <w:t>CITIC Tower</w:t>
            </w:r>
          </w:p>
        </w:tc>
        <w:tc>
          <w:tcPr>
            <w:tcW w:w="7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1</w:t>
            </w:r>
          </w:p>
        </w:tc>
        <w:tc>
          <w:tcPr>
            <w:tcW w:w="1320" w:type="dxa"/>
            <w:vAlign w:val="bottom"/>
            <w:gridSpan w:val="2"/>
          </w:tcPr>
          <w:p>
            <w:pPr>
              <w:ind w:left="300"/>
              <w:spacing w:after="0"/>
              <w:rPr>
                <w:sz w:val="20"/>
                <w:szCs w:val="20"/>
                <w:color w:val="auto"/>
              </w:rPr>
            </w:pPr>
            <w:r>
              <w:rPr>
                <w:rFonts w:ascii="Arial" w:cs="Arial" w:eastAsia="Arial" w:hAnsi="Arial"/>
                <w:sz w:val="3"/>
                <w:szCs w:val="3"/>
                <w:color w:val="FFFFFF"/>
              </w:rPr>
              <w:t>Tim Mei Avenue</w:t>
            </w:r>
          </w:p>
        </w:tc>
        <w:tc>
          <w:tcPr>
            <w:tcW w:w="1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740" w:type="dxa"/>
            <w:vAlign w:val="bottom"/>
            <w:gridSpan w:val="2"/>
          </w:tcPr>
          <w:p>
            <w:pPr>
              <w:spacing w:after="0" w:line="54" w:lineRule="exact"/>
              <w:rPr>
                <w:sz w:val="20"/>
                <w:szCs w:val="20"/>
                <w:color w:val="auto"/>
              </w:rPr>
            </w:pPr>
            <w:r>
              <w:rPr>
                <w:rFonts w:ascii="Arial" w:cs="Arial" w:eastAsia="Arial" w:hAnsi="Arial"/>
                <w:sz w:val="6"/>
                <w:szCs w:val="6"/>
                <w:color w:val="FFFFFF"/>
              </w:rPr>
              <w:t>Central</w:t>
            </w:r>
          </w:p>
        </w:tc>
        <w:tc>
          <w:tcPr>
            <w:tcW w:w="7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580" w:type="dxa"/>
            <w:vAlign w:val="bottom"/>
          </w:tcPr>
          <w:p>
            <w:pPr>
              <w:ind w:left="180"/>
              <w:spacing w:after="0"/>
              <w:rPr>
                <w:sz w:val="20"/>
                <w:szCs w:val="20"/>
                <w:color w:val="auto"/>
              </w:rPr>
            </w:pPr>
            <w:r>
              <w:rPr>
                <w:rFonts w:ascii="Arial" w:cs="Arial" w:eastAsia="Arial" w:hAnsi="Arial"/>
                <w:sz w:val="3"/>
                <w:szCs w:val="3"/>
                <w:color w:val="FFFFFF"/>
              </w:rPr>
              <w:t>Kong</w:t>
            </w:r>
          </w:p>
        </w:tc>
        <w:tc>
          <w:tcPr>
            <w:tcW w:w="7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gridSpan w:val="4"/>
          </w:tcPr>
          <w:p>
            <w:pPr>
              <w:spacing w:after="0"/>
              <w:rPr>
                <w:sz w:val="20"/>
                <w:szCs w:val="20"/>
                <w:color w:val="auto"/>
              </w:rPr>
            </w:pPr>
            <w:r>
              <w:rPr>
                <w:rFonts w:ascii="Arial" w:cs="Arial" w:eastAsia="Arial" w:hAnsi="Arial"/>
                <w:sz w:val="3"/>
                <w:szCs w:val="3"/>
                <w:color w:val="FFFFFF"/>
              </w:rPr>
              <w:t>HongTthe shareholders of Wynn Macau, Limited</w:t>
            </w: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gridSpan w:val="4"/>
          </w:tcPr>
          <w:p>
            <w:pPr>
              <w:spacing w:after="0"/>
              <w:rPr>
                <w:sz w:val="20"/>
                <w:szCs w:val="20"/>
                <w:color w:val="auto"/>
              </w:rPr>
            </w:pPr>
            <w:r>
              <w:rPr>
                <w:rFonts w:ascii="Arial" w:cs="Arial" w:eastAsia="Arial" w:hAnsi="Arial"/>
                <w:sz w:val="3"/>
                <w:szCs w:val="3"/>
                <w:color w:val="FFFFFF"/>
              </w:rPr>
              <w:t>(Incorporated in the Cayman Islands with limited liability)</w:t>
            </w: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3"/>
          </w:tcPr>
          <w:p>
            <w:pPr>
              <w:spacing w:after="0"/>
              <w:rPr>
                <w:sz w:val="20"/>
                <w:szCs w:val="20"/>
                <w:color w:val="auto"/>
              </w:rPr>
            </w:pPr>
            <w:r>
              <w:rPr>
                <w:rFonts w:ascii="Arial" w:cs="Arial" w:eastAsia="Arial" w:hAnsi="Arial"/>
                <w:sz w:val="3"/>
                <w:szCs w:val="3"/>
                <w:color w:val="FFFFFF"/>
              </w:rPr>
              <w:t>INTRODUCTION</w:t>
            </w:r>
          </w:p>
        </w:tc>
        <w:tc>
          <w:tcPr>
            <w:tcW w:w="1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80" w:type="dxa"/>
            <w:vAlign w:val="bottom"/>
            <w:vMerge w:val="restart"/>
          </w:tcPr>
          <w:p>
            <w:pPr>
              <w:ind w:left="80"/>
              <w:spacing w:after="0" w:line="81" w:lineRule="exact"/>
              <w:rPr>
                <w:sz w:val="20"/>
                <w:szCs w:val="20"/>
                <w:color w:val="auto"/>
              </w:rPr>
            </w:pPr>
            <w:r>
              <w:rPr>
                <w:rFonts w:ascii="Arial" w:cs="Arial" w:eastAsia="Arial" w:hAnsi="Arial"/>
                <w:sz w:val="9"/>
                <w:szCs w:val="9"/>
                <w:color w:val="FFFFFF"/>
              </w:rPr>
              <w:t>30 June 2012 and the</w:t>
            </w:r>
          </w:p>
        </w:tc>
        <w:tc>
          <w:tcPr>
            <w:tcW w:w="0" w:type="dxa"/>
            <w:vAlign w:val="bottom"/>
          </w:tcPr>
          <w:p>
            <w:pPr>
              <w:spacing w:after="0"/>
              <w:rPr>
                <w:sz w:val="1"/>
                <w:szCs w:val="1"/>
                <w:color w:val="auto"/>
              </w:rPr>
            </w:pP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W</w:t>
            </w:r>
          </w:p>
        </w:tc>
        <w:tc>
          <w:tcPr>
            <w:tcW w:w="9780" w:type="dxa"/>
            <w:vAlign w:val="bottom"/>
            <w:gridSpan w:val="7"/>
          </w:tcPr>
          <w:p>
            <w:pPr>
              <w:ind w:left="60"/>
              <w:spacing w:after="0"/>
              <w:rPr>
                <w:sz w:val="20"/>
                <w:szCs w:val="20"/>
                <w:color w:val="auto"/>
              </w:rPr>
            </w:pPr>
            <w:r>
              <w:rPr>
                <w:rFonts w:ascii="Arial" w:cs="Arial" w:eastAsia="Arial" w:hAnsi="Arial"/>
                <w:sz w:val="3"/>
                <w:szCs w:val="3"/>
                <w:color w:val="FFFFFF"/>
              </w:rPr>
              <w:t>have reviewed the interim financial information set out on pages 49 to 78 which comprises the condensed consolidated statement of financial position of Wynn Macau, Limited as</w:t>
            </w:r>
          </w:p>
        </w:tc>
        <w:tc>
          <w:tcPr>
            <w:tcW w:w="1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900" w:type="dxa"/>
            <w:vAlign w:val="bottom"/>
            <w:gridSpan w:val="6"/>
          </w:tcPr>
          <w:p>
            <w:pPr>
              <w:spacing w:after="0"/>
              <w:rPr>
                <w:sz w:val="20"/>
                <w:szCs w:val="20"/>
                <w:color w:val="auto"/>
              </w:rPr>
            </w:pPr>
            <w:r>
              <w:rPr>
                <w:rFonts w:ascii="Arial" w:cs="Arial" w:eastAsia="Arial" w:hAnsi="Arial"/>
                <w:sz w:val="3"/>
                <w:szCs w:val="3"/>
                <w:color w:val="FFFFFF"/>
              </w:rPr>
              <w:t>related condensed consolidated statement of comprehensive income, statement of changes in equity and</w:t>
            </w:r>
          </w:p>
        </w:tc>
        <w:tc>
          <w:tcPr>
            <w:tcW w:w="5520" w:type="dxa"/>
            <w:vAlign w:val="bottom"/>
            <w:gridSpan w:val="3"/>
          </w:tcPr>
          <w:p>
            <w:pPr>
              <w:ind w:left="300"/>
              <w:spacing w:after="0"/>
              <w:rPr>
                <w:sz w:val="20"/>
                <w:szCs w:val="20"/>
                <w:color w:val="auto"/>
              </w:rPr>
            </w:pPr>
            <w:r>
              <w:rPr>
                <w:rFonts w:ascii="Arial" w:cs="Arial" w:eastAsia="Arial" w:hAnsi="Arial"/>
                <w:sz w:val="3"/>
                <w:szCs w:val="3"/>
                <w:color w:val="FFFFFF"/>
              </w:rPr>
              <w:t>of cash flows for the six-   nth period then ended, and explanatory information. The Rules</w:t>
            </w:r>
          </w:p>
        </w:tc>
        <w:tc>
          <w:tcPr>
            <w:tcW w:w="0" w:type="dxa"/>
            <w:vAlign w:val="bottom"/>
          </w:tcPr>
          <w:p>
            <w:pPr>
              <w:spacing w:after="0"/>
              <w:rPr>
                <w:sz w:val="1"/>
                <w:szCs w:val="1"/>
                <w:color w:val="auto"/>
              </w:rPr>
            </w:pPr>
          </w:p>
        </w:tc>
      </w:tr>
      <w:tr>
        <w:trPr>
          <w:trHeight w:val="41"/>
        </w:trPr>
        <w:tc>
          <w:tcPr>
            <w:tcW w:w="11420" w:type="dxa"/>
            <w:vAlign w:val="bottom"/>
            <w:gridSpan w:val="9"/>
          </w:tcPr>
          <w:p>
            <w:pPr>
              <w:spacing w:after="0"/>
              <w:rPr>
                <w:sz w:val="20"/>
                <w:szCs w:val="20"/>
                <w:color w:val="auto"/>
              </w:rPr>
            </w:pPr>
            <w:r>
              <w:rPr>
                <w:rFonts w:ascii="Arial" w:cs="Arial" w:eastAsia="Arial" w:hAnsi="Arial"/>
                <w:sz w:val="3"/>
                <w:szCs w:val="3"/>
                <w:color w:val="FFFFFF"/>
              </w:rPr>
              <w:t>Governing the Listing of Securities on The Stock Exchange of Hong Kong Limited require the preparationstatementofreport on interim financial information to be in compliance with the relevant provisions thereof and</w:t>
            </w:r>
          </w:p>
        </w:tc>
        <w:tc>
          <w:tcPr>
            <w:tcW w:w="0" w:type="dxa"/>
            <w:vAlign w:val="bottom"/>
          </w:tcPr>
          <w:p>
            <w:pPr>
              <w:spacing w:after="0"/>
              <w:rPr>
                <w:sz w:val="1"/>
                <w:szCs w:val="1"/>
                <w:color w:val="auto"/>
              </w:rPr>
            </w:pPr>
          </w:p>
        </w:tc>
      </w:tr>
      <w:tr>
        <w:trPr>
          <w:trHeight w:val="41"/>
        </w:trPr>
        <w:tc>
          <w:tcPr>
            <w:tcW w:w="4300" w:type="dxa"/>
            <w:vAlign w:val="bottom"/>
            <w:gridSpan w:val="5"/>
          </w:tcPr>
          <w:p>
            <w:pPr>
              <w:spacing w:after="0"/>
              <w:rPr>
                <w:sz w:val="20"/>
                <w:szCs w:val="20"/>
                <w:color w:val="auto"/>
              </w:rPr>
            </w:pPr>
            <w:r>
              <w:rPr>
                <w:rFonts w:ascii="Arial" w:cs="Arial" w:eastAsia="Arial" w:hAnsi="Arial"/>
                <w:sz w:val="3"/>
                <w:szCs w:val="3"/>
                <w:color w:val="FFFFFF"/>
              </w:rPr>
              <w:t>Int rnational Accounting Standard 34 Interim Financial Reporting (“IAS 34”).</w:t>
            </w:r>
          </w:p>
        </w:tc>
        <w:tc>
          <w:tcPr>
            <w:tcW w:w="4200" w:type="dxa"/>
            <w:vAlign w:val="bottom"/>
            <w:gridSpan w:val="2"/>
            <w:vMerge w:val="restart"/>
          </w:tcPr>
          <w:p>
            <w:pPr>
              <w:ind w:left="60"/>
              <w:spacing w:after="0" w:line="81" w:lineRule="exact"/>
              <w:rPr>
                <w:sz w:val="20"/>
                <w:szCs w:val="20"/>
                <w:color w:val="auto"/>
              </w:rPr>
            </w:pPr>
            <w:r>
              <w:rPr>
                <w:rFonts w:ascii="Arial" w:cs="Arial" w:eastAsia="Arial" w:hAnsi="Arial"/>
                <w:sz w:val="9"/>
                <w:szCs w:val="9"/>
                <w:color w:val="FFFFFF"/>
              </w:rPr>
              <w:t>financial information in accordance with IAS 34. Our responsibility is to</w:t>
            </w:r>
          </w:p>
        </w:tc>
        <w:tc>
          <w:tcPr>
            <w:tcW w:w="2920" w:type="dxa"/>
            <w:vAlign w:val="bottom"/>
            <w:gridSpan w:val="2"/>
            <w:vMerge w:val="restart"/>
          </w:tcPr>
          <w:p>
            <w:pPr>
              <w:ind w:left="260"/>
              <w:spacing w:after="0" w:line="81" w:lineRule="exact"/>
              <w:rPr>
                <w:sz w:val="20"/>
                <w:szCs w:val="20"/>
                <w:color w:val="auto"/>
              </w:rPr>
            </w:pPr>
            <w:r>
              <w:rPr>
                <w:rFonts w:ascii="Arial" w:cs="Arial" w:eastAsia="Arial" w:hAnsi="Arial"/>
                <w:sz w:val="9"/>
                <w:szCs w:val="9"/>
                <w:color w:val="FFFFFF"/>
              </w:rPr>
              <w:t>a conclusion on this interim financial</w:t>
            </w:r>
          </w:p>
        </w:tc>
        <w:tc>
          <w:tcPr>
            <w:tcW w:w="0" w:type="dxa"/>
            <w:vAlign w:val="bottom"/>
          </w:tcPr>
          <w:p>
            <w:pPr>
              <w:spacing w:after="0"/>
              <w:rPr>
                <w:sz w:val="1"/>
                <w:szCs w:val="1"/>
                <w:color w:val="auto"/>
              </w:rPr>
            </w:pPr>
          </w:p>
        </w:tc>
      </w:tr>
      <w:tr>
        <w:trPr>
          <w:trHeight w:val="41"/>
        </w:trPr>
        <w:tc>
          <w:tcPr>
            <w:tcW w:w="1480" w:type="dxa"/>
            <w:vAlign w:val="bottom"/>
            <w:gridSpan w:val="3"/>
          </w:tcPr>
          <w:p>
            <w:pPr>
              <w:spacing w:after="0"/>
              <w:rPr>
                <w:sz w:val="20"/>
                <w:szCs w:val="20"/>
                <w:color w:val="auto"/>
              </w:rPr>
            </w:pPr>
            <w:r>
              <w:rPr>
                <w:rFonts w:ascii="Arial" w:cs="Arial" w:eastAsia="Arial" w:hAnsi="Arial"/>
                <w:sz w:val="3"/>
                <w:szCs w:val="3"/>
                <w:color w:val="FFFFFF"/>
              </w:rPr>
              <w:t>The directors are</w:t>
            </w:r>
          </w:p>
        </w:tc>
        <w:tc>
          <w:tcPr>
            <w:tcW w:w="2820" w:type="dxa"/>
            <w:vAlign w:val="bottom"/>
            <w:gridSpan w:val="2"/>
          </w:tcPr>
          <w:p>
            <w:pPr>
              <w:ind w:left="120"/>
              <w:spacing w:after="0"/>
              <w:rPr>
                <w:sz w:val="20"/>
                <w:szCs w:val="20"/>
                <w:color w:val="auto"/>
              </w:rPr>
            </w:pPr>
            <w:r>
              <w:rPr>
                <w:rFonts w:ascii="Arial" w:cs="Arial" w:eastAsia="Arial" w:hAnsi="Arial"/>
                <w:sz w:val="3"/>
                <w:szCs w:val="3"/>
                <w:color w:val="FFFFFF"/>
              </w:rPr>
              <w:t>for the preparation and presentation of this</w:t>
            </w:r>
          </w:p>
        </w:tc>
        <w:tc>
          <w:tcPr>
            <w:tcW w:w="4200" w:type="dxa"/>
            <w:vAlign w:val="bottom"/>
            <w:gridSpan w:val="2"/>
            <w:vMerge w:val="continue"/>
          </w:tcPr>
          <w:p>
            <w:pPr>
              <w:spacing w:after="0"/>
              <w:rPr>
                <w:sz w:val="3"/>
                <w:szCs w:val="3"/>
                <w:color w:val="auto"/>
              </w:rPr>
            </w:pPr>
          </w:p>
        </w:tc>
        <w:tc>
          <w:tcPr>
            <w:tcW w:w="2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9"/>
          </w:tcPr>
          <w:p>
            <w:pPr>
              <w:spacing w:after="0"/>
              <w:rPr>
                <w:sz w:val="20"/>
                <w:szCs w:val="20"/>
                <w:color w:val="auto"/>
              </w:rPr>
            </w:pPr>
            <w:r>
              <w:rPr>
                <w:rFonts w:ascii="Arial" w:cs="Arial" w:eastAsia="Arial" w:hAnsi="Arial"/>
                <w:sz w:val="3"/>
                <w:szCs w:val="3"/>
                <w:color w:val="FFFFFF"/>
              </w:rPr>
              <w:t>information basedresponsibleourreview. Our report is made solely to you, as a body,interim accordance with our agreed terms of engagement, and for no other purpose.expressWdo not assume responsibility towards or accept</w:t>
            </w:r>
          </w:p>
        </w:tc>
        <w:tc>
          <w:tcPr>
            <w:tcW w:w="0" w:type="dxa"/>
            <w:vAlign w:val="bottom"/>
          </w:tcPr>
          <w:p>
            <w:pPr>
              <w:spacing w:after="0"/>
              <w:rPr>
                <w:sz w:val="1"/>
                <w:szCs w:val="1"/>
                <w:color w:val="auto"/>
              </w:rPr>
            </w:pPr>
          </w:p>
        </w:tc>
      </w:tr>
      <w:tr>
        <w:trPr>
          <w:trHeight w:val="41"/>
        </w:trPr>
        <w:tc>
          <w:tcPr>
            <w:tcW w:w="3280" w:type="dxa"/>
            <w:vAlign w:val="bottom"/>
            <w:gridSpan w:val="4"/>
          </w:tcPr>
          <w:p>
            <w:pPr>
              <w:spacing w:after="0"/>
              <w:rPr>
                <w:sz w:val="20"/>
                <w:szCs w:val="20"/>
                <w:color w:val="auto"/>
              </w:rPr>
            </w:pPr>
            <w:r>
              <w:rPr>
                <w:rFonts w:ascii="Arial" w:cs="Arial" w:eastAsia="Arial" w:hAnsi="Arial"/>
                <w:sz w:val="3"/>
                <w:szCs w:val="3"/>
                <w:color w:val="FFFFFF"/>
              </w:rPr>
              <w:t>liability to any other person for the contents of this report.</w:t>
            </w: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3"/>
          </w:tcPr>
          <w:p>
            <w:pPr>
              <w:spacing w:after="0"/>
              <w:rPr>
                <w:sz w:val="20"/>
                <w:szCs w:val="20"/>
                <w:color w:val="auto"/>
              </w:rPr>
            </w:pPr>
            <w:r>
              <w:rPr>
                <w:rFonts w:ascii="Arial" w:cs="Arial" w:eastAsia="Arial" w:hAnsi="Arial"/>
                <w:sz w:val="3"/>
                <w:szCs w:val="3"/>
                <w:color w:val="FFFFFF"/>
              </w:rPr>
              <w:t>SCOPE OF REVIEW</w:t>
            </w:r>
          </w:p>
        </w:tc>
        <w:tc>
          <w:tcPr>
            <w:tcW w:w="4420" w:type="dxa"/>
            <w:vAlign w:val="bottom"/>
            <w:gridSpan w:val="3"/>
            <w:vMerge w:val="restart"/>
          </w:tcPr>
          <w:p>
            <w:pPr>
              <w:ind w:left="80"/>
              <w:spacing w:after="0" w:line="81" w:lineRule="exact"/>
              <w:rPr>
                <w:sz w:val="20"/>
                <w:szCs w:val="20"/>
                <w:color w:val="auto"/>
              </w:rPr>
            </w:pPr>
            <w:r>
              <w:rPr>
                <w:rFonts w:ascii="Arial" w:cs="Arial" w:eastAsia="Arial" w:hAnsi="Arial"/>
                <w:sz w:val="9"/>
                <w:szCs w:val="9"/>
                <w:color w:val="FFFFFF"/>
              </w:rPr>
              <w:t>accordance with Hong Kong Standard on Review Engagements 2410</w:t>
            </w:r>
          </w:p>
        </w:tc>
        <w:tc>
          <w:tcPr>
            <w:tcW w:w="2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W</w:t>
            </w:r>
          </w:p>
        </w:tc>
        <w:tc>
          <w:tcPr>
            <w:tcW w:w="1320" w:type="dxa"/>
            <w:vAlign w:val="bottom"/>
            <w:gridSpan w:val="2"/>
          </w:tcPr>
          <w:p>
            <w:pPr>
              <w:ind w:left="60"/>
              <w:spacing w:after="0"/>
              <w:rPr>
                <w:sz w:val="20"/>
                <w:szCs w:val="20"/>
                <w:color w:val="auto"/>
              </w:rPr>
            </w:pPr>
            <w:r>
              <w:rPr>
                <w:rFonts w:ascii="Arial" w:cs="Arial" w:eastAsia="Arial" w:hAnsi="Arial"/>
                <w:sz w:val="3"/>
                <w:szCs w:val="3"/>
                <w:color w:val="FFFFFF"/>
              </w:rPr>
              <w:t>conducted our review</w:t>
            </w:r>
          </w:p>
        </w:tc>
        <w:tc>
          <w:tcPr>
            <w:tcW w:w="4420" w:type="dxa"/>
            <w:vAlign w:val="bottom"/>
            <w:gridSpan w:val="3"/>
            <w:vMerge w:val="continue"/>
          </w:tcPr>
          <w:p>
            <w:pPr>
              <w:spacing w:after="0"/>
              <w:rPr>
                <w:sz w:val="3"/>
                <w:szCs w:val="3"/>
                <w:color w:val="auto"/>
              </w:rPr>
            </w:pPr>
          </w:p>
        </w:tc>
        <w:tc>
          <w:tcPr>
            <w:tcW w:w="2600" w:type="dxa"/>
            <w:vAlign w:val="bottom"/>
          </w:tcPr>
          <w:p>
            <w:pPr>
              <w:spacing w:after="0"/>
              <w:rPr>
                <w:sz w:val="3"/>
                <w:szCs w:val="3"/>
                <w:color w:val="auto"/>
              </w:rPr>
            </w:pPr>
          </w:p>
        </w:tc>
        <w:tc>
          <w:tcPr>
            <w:tcW w:w="1440" w:type="dxa"/>
            <w:vAlign w:val="bottom"/>
            <w:vMerge w:val="restart"/>
          </w:tcPr>
          <w:p>
            <w:pPr>
              <w:ind w:left="200"/>
              <w:spacing w:after="0" w:line="81" w:lineRule="exact"/>
              <w:rPr>
                <w:sz w:val="20"/>
                <w:szCs w:val="20"/>
                <w:color w:val="auto"/>
              </w:rPr>
            </w:pPr>
            <w:r>
              <w:rPr>
                <w:rFonts w:ascii="Arial" w:cs="Arial" w:eastAsia="Arial" w:hAnsi="Arial"/>
                <w:sz w:val="9"/>
                <w:szCs w:val="9"/>
                <w:color w:val="FFFFFF"/>
              </w:rPr>
              <w:t>. A review of interim</w:t>
            </w:r>
          </w:p>
        </w:tc>
        <w:tc>
          <w:tcPr>
            <w:tcW w:w="1480" w:type="dxa"/>
            <w:vAlign w:val="bottom"/>
            <w:vMerge w:val="restart"/>
          </w:tcPr>
          <w:p>
            <w:pPr>
              <w:ind w:left="420"/>
              <w:spacing w:after="0" w:line="81" w:lineRule="exact"/>
              <w:rPr>
                <w:sz w:val="20"/>
                <w:szCs w:val="20"/>
                <w:color w:val="auto"/>
              </w:rPr>
            </w:pPr>
            <w:r>
              <w:rPr>
                <w:rFonts w:ascii="Arial" w:cs="Arial" w:eastAsia="Arial" w:hAnsi="Arial"/>
                <w:sz w:val="9"/>
                <w:szCs w:val="9"/>
                <w:color w:val="FFFFFF"/>
              </w:rPr>
              <w:t>information</w:t>
            </w:r>
          </w:p>
        </w:tc>
        <w:tc>
          <w:tcPr>
            <w:tcW w:w="0" w:type="dxa"/>
            <w:vAlign w:val="bottom"/>
          </w:tcPr>
          <w:p>
            <w:pPr>
              <w:spacing w:after="0"/>
              <w:rPr>
                <w:sz w:val="1"/>
                <w:szCs w:val="1"/>
                <w:color w:val="auto"/>
              </w:rPr>
            </w:pPr>
          </w:p>
        </w:tc>
      </w:tr>
      <w:tr>
        <w:trPr>
          <w:trHeight w:val="41"/>
        </w:trPr>
        <w:tc>
          <w:tcPr>
            <w:tcW w:w="8500" w:type="dxa"/>
            <w:vAlign w:val="bottom"/>
            <w:gridSpan w:val="7"/>
          </w:tcPr>
          <w:p>
            <w:pPr>
              <w:spacing w:after="0"/>
              <w:rPr>
                <w:sz w:val="20"/>
                <w:szCs w:val="20"/>
                <w:color w:val="auto"/>
              </w:rPr>
            </w:pPr>
            <w:r>
              <w:rPr>
                <w:rFonts w:ascii="Arial" w:cs="Arial" w:eastAsia="Arial" w:hAnsi="Arial"/>
                <w:sz w:val="3"/>
                <w:szCs w:val="3"/>
                <w:color w:val="FFFFFF"/>
              </w:rPr>
              <w:t>Review of Interim Financial Information Performed by the Independent Auditor of the Entity issued by the Hong Kong Institute of Certi? ed Public</w:t>
            </w:r>
          </w:p>
        </w:tc>
        <w:tc>
          <w:tcPr>
            <w:tcW w:w="14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3120" w:type="dxa"/>
            <w:vAlign w:val="bottom"/>
            <w:gridSpan w:val="3"/>
          </w:tcPr>
          <w:p>
            <w:pPr>
              <w:ind w:left="40"/>
              <w:spacing w:after="0"/>
              <w:rPr>
                <w:sz w:val="20"/>
                <w:szCs w:val="20"/>
                <w:color w:val="auto"/>
              </w:rPr>
            </w:pPr>
            <w:r>
              <w:rPr>
                <w:rFonts w:ascii="Arial" w:cs="Arial" w:eastAsia="Arial" w:hAnsi="Arial"/>
                <w:sz w:val="3"/>
                <w:szCs w:val="3"/>
                <w:color w:val="FFFFFF"/>
              </w:rPr>
              <w:t>sists of making inquiries, primarily of persons</w:t>
            </w:r>
          </w:p>
        </w:tc>
        <w:tc>
          <w:tcPr>
            <w:tcW w:w="8140" w:type="dxa"/>
            <w:vAlign w:val="bottom"/>
            <w:gridSpan w:val="5"/>
          </w:tcPr>
          <w:p>
            <w:pPr>
              <w:ind w:left="100"/>
              <w:spacing w:after="0"/>
              <w:rPr>
                <w:sz w:val="20"/>
                <w:szCs w:val="20"/>
                <w:color w:val="auto"/>
              </w:rPr>
            </w:pPr>
            <w:r>
              <w:rPr>
                <w:rFonts w:ascii="Arial" w:cs="Arial" w:eastAsia="Arial" w:hAnsi="Arial"/>
                <w:sz w:val="3"/>
                <w:szCs w:val="3"/>
                <w:color w:val="FFFFFF"/>
              </w:rPr>
              <w:t>for financial and accounting matters, and applying analytical and other review procedures.Accountantsreview is substantially less financialscope than an audit</w:t>
            </w:r>
          </w:p>
        </w:tc>
        <w:tc>
          <w:tcPr>
            <w:tcW w:w="0" w:type="dxa"/>
            <w:vAlign w:val="bottom"/>
          </w:tcPr>
          <w:p>
            <w:pPr>
              <w:spacing w:after="0"/>
              <w:rPr>
                <w:sz w:val="1"/>
                <w:szCs w:val="1"/>
                <w:color w:val="auto"/>
              </w:rPr>
            </w:pPr>
          </w:p>
        </w:tc>
      </w:tr>
      <w:tr>
        <w:trPr>
          <w:trHeight w:val="41"/>
        </w:trPr>
        <w:tc>
          <w:tcPr>
            <w:tcW w:w="740" w:type="dxa"/>
            <w:vAlign w:val="bottom"/>
            <w:gridSpan w:val="2"/>
          </w:tcPr>
          <w:p>
            <w:pPr>
              <w:spacing w:after="0"/>
              <w:rPr>
                <w:sz w:val="20"/>
                <w:szCs w:val="20"/>
                <w:color w:val="auto"/>
              </w:rPr>
            </w:pPr>
            <w:r>
              <w:rPr>
                <w:rFonts w:ascii="Arial" w:cs="Arial" w:eastAsia="Arial" w:hAnsi="Arial"/>
                <w:sz w:val="3"/>
                <w:szCs w:val="3"/>
                <w:color w:val="FFFFFF"/>
              </w:rPr>
              <w:t>conducted</w:t>
            </w:r>
          </w:p>
        </w:tc>
        <w:tc>
          <w:tcPr>
            <w:tcW w:w="10680" w:type="dxa"/>
            <w:vAlign w:val="bottom"/>
            <w:gridSpan w:val="7"/>
          </w:tcPr>
          <w:p>
            <w:pPr>
              <w:spacing w:after="0"/>
              <w:rPr>
                <w:sz w:val="20"/>
                <w:szCs w:val="20"/>
                <w:color w:val="auto"/>
              </w:rPr>
            </w:pPr>
            <w:r>
              <w:rPr>
                <w:rFonts w:ascii="Arial" w:cs="Arial" w:eastAsia="Arial" w:hAnsi="Arial"/>
                <w:sz w:val="3"/>
                <w:szCs w:val="3"/>
                <w:color w:val="FFFFFF"/>
              </w:rPr>
              <w:t>accordance with Hong Kong StandardsresponsibleAuditing. Consequently, it does not enable us to obtain assurance that we would become aware of all significant matters that might be identifi ed in an</w:t>
            </w:r>
          </w:p>
        </w:tc>
        <w:tc>
          <w:tcPr>
            <w:tcW w:w="0" w:type="dxa"/>
            <w:vAlign w:val="bottom"/>
          </w:tcPr>
          <w:p>
            <w:pPr>
              <w:spacing w:after="0"/>
              <w:rPr>
                <w:sz w:val="1"/>
                <w:szCs w:val="1"/>
                <w:color w:val="auto"/>
              </w:rPr>
            </w:pPr>
          </w:p>
        </w:tc>
      </w:tr>
      <w:tr>
        <w:trPr>
          <w:trHeight w:val="213"/>
        </w:trPr>
        <w:tc>
          <w:tcPr>
            <w:tcW w:w="3280" w:type="dxa"/>
            <w:vAlign w:val="bottom"/>
            <w:gridSpan w:val="4"/>
          </w:tcPr>
          <w:p>
            <w:pPr>
              <w:spacing w:after="0"/>
              <w:rPr>
                <w:sz w:val="20"/>
                <w:szCs w:val="20"/>
                <w:color w:val="auto"/>
              </w:rPr>
            </w:pPr>
            <w:r>
              <w:rPr>
                <w:rFonts w:ascii="Arial" w:cs="Arial" w:eastAsia="Arial" w:hAnsi="Arial"/>
                <w:sz w:val="14"/>
                <w:szCs w:val="14"/>
                <w:color w:val="FFFFFF"/>
                <w:w w:val="96"/>
              </w:rPr>
              <w:t>audit. Accordingly, we do not express an audit opinion.</w:t>
            </w:r>
          </w:p>
        </w:tc>
        <w:tc>
          <w:tcPr>
            <w:tcW w:w="1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48 Wynn Macau, Limited</w:t>
      </w:r>
    </w:p>
    <w:p>
      <w:pPr>
        <w:spacing w:after="0"/>
        <w:rPr>
          <w:sz w:val="20"/>
          <w:szCs w:val="20"/>
          <w:color w:val="auto"/>
        </w:rPr>
      </w:pPr>
      <w:r>
        <w:rPr>
          <w:rFonts w:ascii="Arial" w:cs="Arial" w:eastAsia="Arial" w:hAnsi="Arial"/>
          <w:sz w:val="3"/>
          <w:szCs w:val="3"/>
          <w:color w:val="FFFFFF"/>
        </w:rPr>
        <w:t>Report on Review of Interim Financial Information</w:t>
      </w:r>
    </w:p>
    <w:p>
      <w:pPr>
        <w:spacing w:after="0" w:line="194" w:lineRule="auto"/>
        <w:rPr>
          <w:sz w:val="20"/>
          <w:szCs w:val="20"/>
          <w:color w:val="auto"/>
        </w:rPr>
      </w:pPr>
      <w:r>
        <w:rPr>
          <w:rFonts w:ascii="Arial" w:cs="Arial" w:eastAsia="Arial" w:hAnsi="Arial"/>
          <w:sz w:val="5"/>
          <w:szCs w:val="5"/>
          <w:color w:val="FFFFFF"/>
        </w:rPr>
        <w:t>CONCLUSION</w:t>
      </w:r>
    </w:p>
    <w:p>
      <w:pPr>
        <w:ind w:right="179"/>
        <w:spacing w:after="0" w:line="230" w:lineRule="auto"/>
        <w:rPr>
          <w:sz w:val="20"/>
          <w:szCs w:val="20"/>
          <w:color w:val="auto"/>
        </w:rPr>
      </w:pPr>
      <w:r>
        <w:rPr>
          <w:rFonts w:ascii="Arial" w:cs="Arial" w:eastAsia="Arial" w:hAnsi="Arial"/>
          <w:sz w:val="11"/>
          <w:szCs w:val="11"/>
          <w:color w:val="FFFFFF"/>
        </w:rPr>
        <w:t>Based on our review, nothing has come to our attention that causes us to believe that the interim financial information is not prepared, in all material respects, in accordance with IAS 34. Ernst &amp; Young</w:t>
      </w:r>
    </w:p>
    <w:p>
      <w:pPr>
        <w:spacing w:after="0"/>
        <w:rPr>
          <w:sz w:val="20"/>
          <w:szCs w:val="20"/>
          <w:color w:val="auto"/>
        </w:rPr>
      </w:pPr>
      <w:r>
        <w:rPr>
          <w:rFonts w:ascii="Arial" w:cs="Arial" w:eastAsia="Arial" w:hAnsi="Arial"/>
          <w:sz w:val="3"/>
          <w:szCs w:val="3"/>
          <w:color w:val="FFFFFF"/>
        </w:rPr>
        <w:t>HongCertifiedKongPublic Accountants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23 August 2012</w:t>
      </w:r>
    </w:p>
    <w:p>
      <w:pPr>
        <w:sectPr>
          <w:pgSz w:w="11900" w:h="16838" w:orient="portrait"/>
          <w:cols w:equalWidth="0" w:num="1">
            <w:col w:w="10219"/>
          </w:cols>
          <w:pgMar w:left="240" w:top="1440" w:right="1440"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FinancialReport2012Information49</w:t>
      </w:r>
    </w:p>
    <w:p>
      <w:pPr>
        <w:spacing w:after="0"/>
        <w:rPr>
          <w:sz w:val="20"/>
          <w:szCs w:val="20"/>
          <w:color w:val="auto"/>
        </w:rPr>
      </w:pPr>
      <w:r>
        <w:rPr>
          <w:rFonts w:ascii="Arial" w:cs="Arial" w:eastAsia="Arial" w:hAnsi="Arial"/>
          <w:sz w:val="3"/>
          <w:szCs w:val="3"/>
          <w:color w:val="FFFFFF"/>
        </w:rPr>
        <w:t>ForCondensedtheSix ConsolidatedMonthsEndedStatement of Comprehensive Income</w:t>
      </w:r>
    </w:p>
    <w:p>
      <w:pPr>
        <w:spacing w:after="0" w:line="194" w:lineRule="auto"/>
        <w:rPr>
          <w:sz w:val="20"/>
          <w:szCs w:val="20"/>
          <w:color w:val="auto"/>
        </w:rPr>
      </w:pPr>
      <w:r>
        <w:rPr>
          <w:rFonts w:ascii="Arial" w:cs="Arial" w:eastAsia="Arial" w:hAnsi="Arial"/>
          <w:sz w:val="5"/>
          <w:szCs w:val="5"/>
          <w:color w:val="FFFFFF"/>
          <w:vertAlign w:val="subscript"/>
        </w:rPr>
        <w:t>2012</w:t>
      </w:r>
      <w:r>
        <w:rPr>
          <w:rFonts w:ascii="Arial" w:cs="Arial" w:eastAsia="Arial" w:hAnsi="Arial"/>
          <w:sz w:val="3"/>
          <w:szCs w:val="3"/>
          <w:color w:val="FFFFFF"/>
        </w:rPr>
        <w:t>30June</w:t>
      </w:r>
    </w:p>
    <w:p>
      <w:pPr>
        <w:spacing w:after="0" w:line="181" w:lineRule="auto"/>
        <w:rPr>
          <w:sz w:val="20"/>
          <w:szCs w:val="20"/>
          <w:color w:val="auto"/>
        </w:rPr>
      </w:pPr>
      <w:r>
        <w:rPr>
          <w:rFonts w:ascii="Arial" w:cs="Arial" w:eastAsia="Arial" w:hAnsi="Arial"/>
          <w:sz w:val="14"/>
          <w:szCs w:val="14"/>
          <w:color w:val="FFFFFF"/>
        </w:rPr>
        <w:t>Notes2011(inthousands)HK$HK$</w:t>
      </w:r>
    </w:p>
    <w:p>
      <w:pPr>
        <w:spacing w:after="0"/>
        <w:rPr>
          <w:sz w:val="20"/>
          <w:szCs w:val="20"/>
          <w:color w:val="auto"/>
        </w:rPr>
      </w:pPr>
      <w:r>
        <w:rPr>
          <w:rFonts w:ascii="Arial" w:cs="Arial" w:eastAsia="Arial" w:hAnsi="Arial"/>
          <w:sz w:val="3"/>
          <w:szCs w:val="3"/>
          <w:color w:val="FFFFFF"/>
        </w:rPr>
        <w:t>Operating(unaudited)revenues(unaudited)</w:t>
      </w:r>
    </w:p>
    <w:p>
      <w:pPr>
        <w:spacing w:after="0" w:line="6" w:lineRule="exact"/>
        <w:rPr>
          <w:sz w:val="20"/>
          <w:szCs w:val="20"/>
          <w:color w:val="auto"/>
        </w:rPr>
      </w:pPr>
    </w:p>
    <w:p>
      <w:pPr>
        <w:ind w:right="4720"/>
        <w:spacing w:after="0" w:line="187" w:lineRule="auto"/>
        <w:rPr>
          <w:sz w:val="20"/>
          <w:szCs w:val="20"/>
          <w:color w:val="auto"/>
        </w:rPr>
      </w:pPr>
      <w:r>
        <w:rPr>
          <w:rFonts w:ascii="Arial" w:cs="Arial" w:eastAsia="Arial" w:hAnsi="Arial"/>
          <w:sz w:val="9"/>
          <w:szCs w:val="9"/>
          <w:color w:val="FFFFFF"/>
        </w:rPr>
        <w:t>Casino 13,556,022 13,510,030 Rooms 67,315 65,865 Food and beverage 94,192 94,198 Retail and other 707,370 667,690 14,424,899 14,337,783</w:t>
      </w:r>
    </w:p>
    <w:p>
      <w:pPr>
        <w:spacing w:after="0"/>
        <w:rPr>
          <w:sz w:val="20"/>
          <w:szCs w:val="20"/>
          <w:color w:val="auto"/>
        </w:rPr>
      </w:pPr>
      <w:r>
        <w:rPr>
          <w:rFonts w:ascii="Arial" w:cs="Arial" w:eastAsia="Arial" w:hAnsi="Arial"/>
          <w:sz w:val="3"/>
          <w:szCs w:val="3"/>
          <w:color w:val="FFFFFF"/>
        </w:rPr>
        <w:t>Operating costs and expenses</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FFFFFF"/>
        </w:rPr>
        <w:t>Gaming taxes and premiums 6,975,607 6,962,293 Staff costs 1,136,371 1,026,103 Other operating expenses 3 2,405,165 2,476,222 Depreciation and amortization 447,894 540,572 Property charges and other 4 45,1351,010,172849,311,854,501</w:t>
      </w:r>
    </w:p>
    <w:p>
      <w:pPr>
        <w:spacing w:after="0" w:line="196" w:lineRule="auto"/>
        <w:rPr>
          <w:sz w:val="20"/>
          <w:szCs w:val="20"/>
          <w:color w:val="auto"/>
        </w:rPr>
      </w:pPr>
      <w:r>
        <w:rPr>
          <w:rFonts w:ascii="Arial" w:cs="Arial" w:eastAsia="Arial" w:hAnsi="Arial"/>
          <w:sz w:val="3"/>
          <w:szCs w:val="3"/>
          <w:color w:val="FFFFFF"/>
        </w:rPr>
        <w:t>Operating profit 3,41</w:t>
      </w:r>
      <w:r>
        <w:rPr>
          <w:rFonts w:ascii="Arial" w:cs="Arial" w:eastAsia="Arial" w:hAnsi="Arial"/>
          <w:sz w:val="5"/>
          <w:szCs w:val="5"/>
          <w:color w:val="FFFFFF"/>
          <w:vertAlign w:val="subscript"/>
        </w:rPr>
        <w:t>24,931</w:t>
      </w:r>
      <w:r>
        <w:rPr>
          <w:rFonts w:ascii="Arial" w:cs="Arial" w:eastAsia="Arial" w:hAnsi="Arial"/>
          <w:sz w:val="3"/>
          <w:szCs w:val="3"/>
          <w:color w:val="FFFFFF"/>
        </w:rPr>
        <w:t xml:space="preserve">727 </w:t>
      </w:r>
      <w:r>
        <w:rPr>
          <w:rFonts w:ascii="Arial" w:cs="Arial" w:eastAsia="Arial" w:hAnsi="Arial"/>
          <w:sz w:val="5"/>
          <w:szCs w:val="5"/>
          <w:color w:val="FFFFFF"/>
          <w:vertAlign w:val="subscript"/>
        </w:rPr>
        <w:t>9,917</w:t>
      </w:r>
      <w:r>
        <w:rPr>
          <w:rFonts w:ascii="Arial" w:cs="Arial" w:eastAsia="Arial" w:hAnsi="Arial"/>
          <w:sz w:val="3"/>
          <w:szCs w:val="3"/>
          <w:color w:val="FFFFFF"/>
        </w:rPr>
        <w:t>2483,282</w:t>
      </w:r>
    </w:p>
    <w:p>
      <w:pPr>
        <w:spacing w:after="0" w:line="188" w:lineRule="auto"/>
        <w:tabs>
          <w:tab w:leader="none" w:pos="1800" w:val="left"/>
        </w:tabs>
        <w:rPr>
          <w:sz w:val="20"/>
          <w:szCs w:val="20"/>
          <w:color w:val="auto"/>
        </w:rPr>
      </w:pPr>
      <w:r>
        <w:rPr>
          <w:rFonts w:ascii="Arial" w:cs="Arial" w:eastAsia="Arial" w:hAnsi="Arial"/>
          <w:sz w:val="9"/>
          <w:szCs w:val="9"/>
          <w:color w:val="FFFFFF"/>
        </w:rPr>
        <w:t>Finance revenues 5</w:t>
      </w:r>
      <w:r>
        <w:rPr>
          <w:sz w:val="20"/>
          <w:szCs w:val="20"/>
          <w:color w:val="auto"/>
        </w:rPr>
        <w:tab/>
      </w:r>
      <w:r>
        <w:rPr>
          <w:rFonts w:ascii="Arial" w:cs="Arial" w:eastAsia="Arial" w:hAnsi="Arial"/>
          <w:sz w:val="7"/>
          <w:szCs w:val="7"/>
          <w:color w:val="FFFFFF"/>
        </w:rPr>
        <w:t>Finance costs</w:t>
      </w:r>
      <w:r>
        <w:rPr>
          <w:rFonts w:ascii="Arial" w:cs="Arial" w:eastAsia="Arial" w:hAnsi="Arial"/>
          <w:sz w:val="9"/>
          <w:szCs w:val="9"/>
          <w:color w:val="FFFFFF"/>
          <w:vertAlign w:val="subscript"/>
        </w:rPr>
        <w:t>2,415,942</w:t>
      </w:r>
      <w:r>
        <w:rPr>
          <w:rFonts w:ascii="Arial" w:cs="Arial" w:eastAsia="Arial" w:hAnsi="Arial"/>
          <w:sz w:val="7"/>
          <w:szCs w:val="7"/>
          <w:color w:val="FFFFFF"/>
        </w:rPr>
        <w:t>6(11,165) (135,939) Net foreign currency differences (4,528) 12,003 Changes in fair value of interest rate swaps 20,725 46,679</w:t>
      </w:r>
    </w:p>
    <w:p>
      <w:pPr>
        <w:spacing w:after="0"/>
        <w:rPr>
          <w:sz w:val="20"/>
          <w:szCs w:val="20"/>
          <w:color w:val="auto"/>
        </w:rPr>
      </w:pPr>
      <w:r>
        <w:rPr>
          <w:rFonts w:ascii="Arial" w:cs="Arial" w:eastAsia="Arial" w:hAnsi="Arial"/>
          <w:sz w:val="3"/>
          <w:szCs w:val="3"/>
          <w:color w:val="FFFFFF"/>
        </w:rPr>
        <w:t>Net(70,037)profit(67,340)attributableProfitto beforeownerstaxof 3,344,690theCompany 3,337,166Income2,412,447taxexpense 7 7,524 3,495</w:t>
      </w:r>
    </w:p>
    <w:p>
      <w:pPr>
        <w:spacing w:after="0" w:line="194" w:lineRule="auto"/>
        <w:rPr>
          <w:sz w:val="20"/>
          <w:szCs w:val="20"/>
          <w:color w:val="auto"/>
        </w:rPr>
      </w:pPr>
      <w:r>
        <w:rPr>
          <w:rFonts w:ascii="Arial" w:cs="Arial" w:eastAsia="Arial" w:hAnsi="Arial"/>
          <w:sz w:val="5"/>
          <w:szCs w:val="5"/>
          <w:color w:val="FFFFFF"/>
        </w:rPr>
        <w:t>Other comprehensive income</w:t>
      </w:r>
    </w:p>
    <w:p>
      <w:pPr>
        <w:spacing w:after="0" w:line="188" w:lineRule="auto"/>
        <w:rPr>
          <w:sz w:val="20"/>
          <w:szCs w:val="20"/>
          <w:color w:val="auto"/>
        </w:rPr>
      </w:pPr>
      <w:r>
        <w:rPr>
          <w:rFonts w:ascii="Arial" w:cs="Arial" w:eastAsia="Arial" w:hAnsi="Arial"/>
          <w:sz w:val="9"/>
          <w:szCs w:val="9"/>
          <w:color w:val="FFFFFF"/>
        </w:rPr>
        <w:t>Available-for-sale investments: Changes in fair value 5,764 —</w:t>
      </w:r>
    </w:p>
    <w:p>
      <w:pPr>
        <w:spacing w:after="0"/>
        <w:rPr>
          <w:sz w:val="20"/>
          <w:szCs w:val="20"/>
          <w:color w:val="auto"/>
        </w:rPr>
      </w:pPr>
      <w:r>
        <w:rPr>
          <w:rFonts w:ascii="Arial" w:cs="Arial" w:eastAsia="Arial" w:hAnsi="Arial"/>
          <w:sz w:val="14"/>
          <w:szCs w:val="14"/>
          <w:color w:val="FFFFFF"/>
        </w:rPr>
        <w:t>BasicTotal comprehensiveanddilutedearningsincomeperattributableShare964tocentsowners47centsofthe Company 3,342,930 2,412,447</w:t>
      </w:r>
    </w:p>
    <w:p>
      <w:pPr>
        <w:sectPr>
          <w:pgSz w:w="11900" w:h="16838" w:orient="portrait"/>
          <w:cols w:equalWidth="0" w:num="1">
            <w:col w:w="11320"/>
          </w:cols>
          <w:pgMar w:left="240" w:top="1440" w:right="3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4"/>
          </w:tcPr>
          <w:p>
            <w:pPr>
              <w:spacing w:after="0"/>
              <w:rPr>
                <w:sz w:val="20"/>
                <w:szCs w:val="20"/>
                <w:color w:val="auto"/>
              </w:rPr>
            </w:pPr>
            <w:r>
              <w:rPr>
                <w:rFonts w:ascii="Arial" w:cs="Arial" w:eastAsia="Arial" w:hAnsi="Arial"/>
                <w:sz w:val="14"/>
                <w:szCs w:val="14"/>
                <w:color w:val="FFFFFF"/>
              </w:rPr>
              <w:t>50 Wynn Macau, Limited</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Interim Financial Information</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Condensed Consolidated Statement of Financial Position</w:t>
            </w: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As at As at</w:t>
            </w:r>
          </w:p>
        </w:tc>
        <w:tc>
          <w:tcPr>
            <w:tcW w:w="2960" w:type="dxa"/>
            <w:vAlign w:val="bottom"/>
            <w:gridSpan w:val="2"/>
            <w:vMerge w:val="restart"/>
          </w:tcPr>
          <w:p>
            <w:pPr>
              <w:spacing w:after="0" w:line="81" w:lineRule="exact"/>
              <w:rPr>
                <w:sz w:val="20"/>
                <w:szCs w:val="20"/>
                <w:color w:val="auto"/>
              </w:rPr>
            </w:pPr>
            <w:r>
              <w:rPr>
                <w:rFonts w:ascii="Arial" w:cs="Arial" w:eastAsia="Arial" w:hAnsi="Arial"/>
                <w:sz w:val="9"/>
                <w:szCs w:val="9"/>
                <w:color w:val="FFFFFF"/>
              </w:rPr>
              <w:t>December</w:t>
            </w: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30 June</w:t>
            </w:r>
          </w:p>
        </w:tc>
        <w:tc>
          <w:tcPr>
            <w:tcW w:w="2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2012</w:t>
            </w:r>
          </w:p>
        </w:tc>
        <w:tc>
          <w:tcPr>
            <w:tcW w:w="320" w:type="dxa"/>
            <w:vAlign w:val="bottom"/>
          </w:tcPr>
          <w:p>
            <w:pPr>
              <w:jc w:val="right"/>
              <w:ind w:right="3"/>
              <w:spacing w:after="0"/>
              <w:rPr>
                <w:sz w:val="20"/>
                <w:szCs w:val="20"/>
                <w:color w:val="auto"/>
              </w:rPr>
            </w:pPr>
            <w:r>
              <w:rPr>
                <w:rFonts w:ascii="Arial" w:cs="Arial" w:eastAsia="Arial" w:hAnsi="Arial"/>
                <w:sz w:val="3"/>
                <w:szCs w:val="3"/>
                <w:color w:val="FFFFFF"/>
              </w:rPr>
              <w:t>20131</w:t>
            </w:r>
          </w:p>
        </w:tc>
        <w:tc>
          <w:tcPr>
            <w:tcW w:w="2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HK$ HK$</w:t>
            </w:r>
          </w:p>
        </w:tc>
        <w:tc>
          <w:tcPr>
            <w:tcW w:w="2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Notes (in thousands)</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(unaudited) (audited)</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Non-current assets</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Property and equipm nt, net and</w:t>
            </w:r>
          </w:p>
        </w:tc>
        <w:tc>
          <w:tcPr>
            <w:tcW w:w="0" w:type="dxa"/>
            <w:vAlign w:val="bottom"/>
          </w:tcPr>
          <w:p>
            <w:pPr>
              <w:spacing w:after="0"/>
              <w:rPr>
                <w:sz w:val="1"/>
                <w:szCs w:val="1"/>
                <w:color w:val="auto"/>
              </w:rPr>
            </w:pPr>
          </w:p>
        </w:tc>
      </w:tr>
      <w:tr>
        <w:trPr>
          <w:trHeight w:val="41"/>
        </w:trPr>
        <w:tc>
          <w:tcPr>
            <w:tcW w:w="840" w:type="dxa"/>
            <w:vAlign w:val="bottom"/>
            <w:gridSpan w:val="3"/>
          </w:tcPr>
          <w:p>
            <w:pPr>
              <w:spacing w:after="0"/>
              <w:rPr>
                <w:sz w:val="20"/>
                <w:szCs w:val="20"/>
                <w:color w:val="auto"/>
              </w:rPr>
            </w:pPr>
            <w:r>
              <w:rPr>
                <w:rFonts w:ascii="Arial" w:cs="Arial" w:eastAsia="Arial" w:hAnsi="Arial"/>
                <w:sz w:val="3"/>
                <w:szCs w:val="3"/>
                <w:color w:val="FFFFFF"/>
              </w:rPr>
              <w:t>construction</w:t>
            </w:r>
          </w:p>
        </w:tc>
        <w:tc>
          <w:tcPr>
            <w:tcW w:w="2740" w:type="dxa"/>
            <w:vAlign w:val="bottom"/>
          </w:tcPr>
          <w:p>
            <w:pPr>
              <w:spacing w:after="0"/>
              <w:rPr>
                <w:sz w:val="20"/>
                <w:szCs w:val="20"/>
                <w:color w:val="auto"/>
              </w:rPr>
            </w:pPr>
            <w:r>
              <w:rPr>
                <w:rFonts w:ascii="Arial" w:cs="Arial" w:eastAsia="Arial" w:hAnsi="Arial"/>
                <w:sz w:val="3"/>
                <w:szCs w:val="3"/>
                <w:color w:val="FFFFFF"/>
              </w:rPr>
              <w:t>progress 10 7,621,074 7,692,859</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Leasehold interest in land 2,215,393 2,244,085</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Goodwill 398,345 398,345</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Available-for-sale investments 11 210,529 404,754</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Deposits for acquisition of property and equipment 14,040 32,323</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Other non-current assets 297,245 285,750</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Total non-current assets 10,756,626 11,058,116</w:t>
            </w:r>
          </w:p>
        </w:tc>
        <w:tc>
          <w:tcPr>
            <w:tcW w:w="0" w:type="dxa"/>
            <w:vAlign w:val="bottom"/>
          </w:tcPr>
          <w:p>
            <w:pPr>
              <w:spacing w:after="0"/>
              <w:rPr>
                <w:sz w:val="1"/>
                <w:szCs w:val="1"/>
                <w:color w:val="auto"/>
              </w:rPr>
            </w:pPr>
          </w:p>
        </w:tc>
      </w:tr>
      <w:tr>
        <w:trPr>
          <w:trHeight w:val="41"/>
        </w:trPr>
        <w:tc>
          <w:tcPr>
            <w:tcW w:w="840" w:type="dxa"/>
            <w:vAlign w:val="bottom"/>
            <w:gridSpan w:val="3"/>
          </w:tcPr>
          <w:p>
            <w:pPr>
              <w:spacing w:after="0"/>
              <w:rPr>
                <w:sz w:val="20"/>
                <w:szCs w:val="20"/>
                <w:color w:val="auto"/>
              </w:rPr>
            </w:pPr>
            <w:r>
              <w:rPr>
                <w:rFonts w:ascii="Arial" w:cs="Arial" w:eastAsia="Arial" w:hAnsi="Arial"/>
                <w:sz w:val="3"/>
                <w:szCs w:val="3"/>
                <w:color w:val="FFFFFF"/>
              </w:rPr>
              <w:t>Current assets</w:t>
            </w:r>
          </w:p>
        </w:tc>
        <w:tc>
          <w:tcPr>
            <w:tcW w:w="2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Available-for-sale investments 11 300,875 104,066</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Inventories 157,486 179,940</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Trade and other receivables 12 599,614 749,639</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Prepayments and other current assets 70,209 53,809</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Amounts due from related companies 231,504 57,654</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Cash and cash equivalents 6,472,194 5,156,725</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Total current assets 7,831,882 6,301,833</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Current liabilities</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Accounts payable 13 967,866 1,050,345</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Land premium payable 211,267 104,329</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Other payables and accruals 14 5,445,088 5,657,107</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Interest-bearing bank loans 15 1,114,302 2,302,714</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Amounts due to related companies 18 158,841 158,188</w:t>
            </w:r>
          </w:p>
        </w:tc>
        <w:tc>
          <w:tcPr>
            <w:tcW w:w="0" w:type="dxa"/>
            <w:vAlign w:val="bottom"/>
          </w:tcPr>
          <w:p>
            <w:pPr>
              <w:spacing w:after="0"/>
              <w:rPr>
                <w:sz w:val="1"/>
                <w:szCs w:val="1"/>
                <w:color w:val="auto"/>
              </w:rPr>
            </w:pPr>
          </w:p>
        </w:tc>
      </w:tr>
      <w:tr>
        <w:trPr>
          <w:trHeight w:val="41"/>
        </w:trPr>
        <w:tc>
          <w:tcPr>
            <w:tcW w:w="3580" w:type="dxa"/>
            <w:vAlign w:val="bottom"/>
            <w:gridSpan w:val="4"/>
          </w:tcPr>
          <w:p>
            <w:pPr>
              <w:ind w:left="120"/>
              <w:spacing w:after="0"/>
              <w:rPr>
                <w:sz w:val="20"/>
                <w:szCs w:val="20"/>
                <w:color w:val="auto"/>
              </w:rPr>
            </w:pPr>
            <w:r>
              <w:rPr>
                <w:rFonts w:ascii="Arial" w:cs="Arial" w:eastAsia="Arial" w:hAnsi="Arial"/>
                <w:sz w:val="3"/>
                <w:szCs w:val="3"/>
                <w:color w:val="FFFFFF"/>
              </w:rPr>
              <w:t>terest rate swaps — 20,752</w:t>
            </w:r>
          </w:p>
        </w:tc>
        <w:tc>
          <w:tcPr>
            <w:tcW w:w="0" w:type="dxa"/>
            <w:vAlign w:val="bottom"/>
          </w:tcPr>
          <w:p>
            <w:pPr>
              <w:spacing w:after="0"/>
              <w:rPr>
                <w:sz w:val="1"/>
                <w:szCs w:val="1"/>
                <w:color w:val="auto"/>
              </w:rPr>
            </w:pPr>
          </w:p>
        </w:tc>
      </w:tr>
      <w:tr>
        <w:trPr>
          <w:trHeight w:val="0"/>
        </w:trPr>
        <w:tc>
          <w:tcPr>
            <w:tcW w:w="840" w:type="dxa"/>
            <w:vAlign w:val="bottom"/>
            <w:gridSpan w:val="3"/>
          </w:tcPr>
          <w:p>
            <w:pPr>
              <w:spacing w:after="0" w:line="80" w:lineRule="exact"/>
              <w:rPr>
                <w:sz w:val="20"/>
                <w:szCs w:val="20"/>
                <w:color w:val="auto"/>
              </w:rPr>
            </w:pPr>
            <w:r>
              <w:rPr>
                <w:rFonts w:ascii="Arial" w:cs="Arial" w:eastAsia="Arial" w:hAnsi="Arial"/>
                <w:sz w:val="9"/>
                <w:szCs w:val="9"/>
                <w:color w:val="FFFFFF"/>
              </w:rPr>
              <w:t>Income tax pay</w:t>
            </w:r>
          </w:p>
        </w:tc>
        <w:tc>
          <w:tcPr>
            <w:tcW w:w="2740" w:type="dxa"/>
            <w:vAlign w:val="bottom"/>
          </w:tcPr>
          <w:p>
            <w:pPr>
              <w:ind w:left="120"/>
              <w:spacing w:after="0" w:line="80" w:lineRule="exact"/>
              <w:rPr>
                <w:sz w:val="20"/>
                <w:szCs w:val="20"/>
                <w:color w:val="auto"/>
              </w:rPr>
            </w:pPr>
            <w:r>
              <w:rPr>
                <w:rFonts w:ascii="Arial" w:cs="Arial" w:eastAsia="Arial" w:hAnsi="Arial"/>
                <w:sz w:val="9"/>
                <w:szCs w:val="9"/>
                <w:color w:val="FFFFFF"/>
              </w:rPr>
              <w:t>le 7,524 15,049</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Other current liabilities 30,336 16,938</w:t>
      </w:r>
    </w:p>
    <w:p>
      <w:pPr>
        <w:spacing w:after="0" w:line="184" w:lineRule="auto"/>
        <w:rPr>
          <w:sz w:val="20"/>
          <w:szCs w:val="20"/>
          <w:color w:val="auto"/>
        </w:rPr>
      </w:pPr>
      <w:r>
        <w:rPr>
          <w:rFonts w:ascii="Arial" w:cs="Arial" w:eastAsia="Arial" w:hAnsi="Arial"/>
          <w:sz w:val="10"/>
          <w:szCs w:val="10"/>
          <w:color w:val="FFFFFF"/>
        </w:rPr>
        <w:t>NetTotalcurrentcurrentliabilitiesliabilities(103,342)7,935,224(3,023,589)9,325,422</w:t>
      </w:r>
    </w:p>
    <w:p>
      <w:pPr>
        <w:spacing w:after="0"/>
        <w:rPr>
          <w:sz w:val="20"/>
          <w:szCs w:val="20"/>
          <w:color w:val="auto"/>
        </w:rPr>
      </w:pPr>
      <w:r>
        <w:rPr>
          <w:rFonts w:ascii="Arial" w:cs="Arial" w:eastAsia="Arial" w:hAnsi="Arial"/>
          <w:sz w:val="3"/>
          <w:szCs w:val="3"/>
          <w:color w:val="FFFFFF"/>
        </w:rPr>
        <w:t>NonTotal-currentassetslessliabilitiescurrent liabilities 10,653,284 8,034,527</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Interest-bearing bank loans Land premium payable Other payables and accruals Other long-term liabilities</w:t>
      </w:r>
    </w:p>
    <w:p>
      <w:pPr>
        <w:sectPr>
          <w:pgSz w:w="11900" w:h="16838" w:orient="portrait"/>
          <w:cols w:equalWidth="0" w:num="1">
            <w:col w:w="10219"/>
          </w:cols>
          <w:pgMar w:left="240" w:top="1440" w:right="1440"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FinancialReport2012Information51</w:t>
      </w:r>
    </w:p>
    <w:p>
      <w:pPr>
        <w:spacing w:after="0"/>
        <w:rPr>
          <w:sz w:val="20"/>
          <w:szCs w:val="20"/>
          <w:color w:val="auto"/>
        </w:rPr>
      </w:pPr>
      <w:r>
        <w:rPr>
          <w:rFonts w:ascii="Arial" w:cs="Arial" w:eastAsia="Arial" w:hAnsi="Arial"/>
          <w:sz w:val="3"/>
          <w:szCs w:val="3"/>
          <w:color w:val="FFFFFF"/>
        </w:rPr>
        <w:t>AsCondensedatAsat Consolidated Statement of Financial Position</w:t>
      </w:r>
    </w:p>
    <w:p>
      <w:pPr>
        <w:spacing w:after="0" w:line="181" w:lineRule="auto"/>
        <w:rPr>
          <w:sz w:val="20"/>
          <w:szCs w:val="20"/>
          <w:color w:val="auto"/>
        </w:rPr>
      </w:pPr>
      <w:r>
        <w:rPr>
          <w:rFonts w:ascii="Arial" w:cs="Arial" w:eastAsia="Arial" w:hAnsi="Arial"/>
          <w:sz w:val="10"/>
          <w:szCs w:val="10"/>
          <w:color w:val="FFFFFF"/>
          <w:vertAlign w:val="superscript"/>
        </w:rPr>
        <w:t>2012</w:t>
      </w:r>
      <w:r>
        <w:rPr>
          <w:rFonts w:ascii="Arial" w:cs="Arial" w:eastAsia="Arial" w:hAnsi="Arial"/>
          <w:sz w:val="7"/>
          <w:szCs w:val="7"/>
          <w:color w:val="FFFFFF"/>
        </w:rPr>
        <w:t xml:space="preserve">30June </w:t>
      </w:r>
      <w:r>
        <w:rPr>
          <w:rFonts w:ascii="Arial" w:cs="Arial" w:eastAsia="Arial" w:hAnsi="Arial"/>
          <w:sz w:val="10"/>
          <w:szCs w:val="10"/>
          <w:color w:val="FFFFFF"/>
          <w:vertAlign w:val="superscript"/>
        </w:rPr>
        <w:t>31</w:t>
      </w:r>
      <w:r>
        <w:rPr>
          <w:rFonts w:ascii="Arial" w:cs="Arial" w:eastAsia="Arial" w:hAnsi="Arial"/>
          <w:sz w:val="7"/>
          <w:szCs w:val="7"/>
          <w:color w:val="FFFFFF"/>
        </w:rPr>
        <w:t xml:space="preserve"> December</w:t>
      </w:r>
    </w:p>
    <w:p>
      <w:pPr>
        <w:spacing w:after="0" w:line="188" w:lineRule="auto"/>
        <w:rPr>
          <w:sz w:val="20"/>
          <w:szCs w:val="20"/>
          <w:color w:val="auto"/>
        </w:rPr>
      </w:pPr>
      <w:r>
        <w:rPr>
          <w:rFonts w:ascii="Arial" w:cs="Arial" w:eastAsia="Arial" w:hAnsi="Arial"/>
          <w:sz w:val="9"/>
          <w:szCs w:val="9"/>
          <w:color w:val="FFFFFF"/>
        </w:rPr>
        <w:t>HK$ HK201$</w:t>
      </w:r>
    </w:p>
    <w:p>
      <w:pPr>
        <w:spacing w:after="0" w:line="188" w:lineRule="auto"/>
        <w:rPr>
          <w:sz w:val="20"/>
          <w:szCs w:val="20"/>
          <w:color w:val="auto"/>
        </w:rPr>
      </w:pPr>
      <w:r>
        <w:rPr>
          <w:rFonts w:ascii="Arial" w:cs="Arial" w:eastAsia="Arial" w:hAnsi="Arial"/>
          <w:sz w:val="9"/>
          <w:szCs w:val="9"/>
          <w:color w:val="FFFFFF"/>
        </w:rPr>
        <w:t>(unaudited)Notes(inthousands)(audited)</w:t>
      </w:r>
    </w:p>
    <w:p>
      <w:pPr>
        <w:spacing w:after="0" w:line="212" w:lineRule="auto"/>
        <w:rPr>
          <w:sz w:val="20"/>
          <w:szCs w:val="20"/>
          <w:color w:val="auto"/>
        </w:rPr>
      </w:pPr>
      <w:r>
        <w:rPr>
          <w:rFonts w:ascii="Arial" w:cs="Arial" w:eastAsia="Arial" w:hAnsi="Arial"/>
          <w:sz w:val="2"/>
          <w:szCs w:val="2"/>
          <w:color w:val="FFFFFF"/>
        </w:rPr>
        <w:t>700,15</w:t>
      </w:r>
      <w:r>
        <w:rPr>
          <w:rFonts w:ascii="Arial" w:cs="Arial" w:eastAsia="Arial" w:hAnsi="Arial"/>
          <w:sz w:val="4"/>
          <w:szCs w:val="4"/>
          <w:color w:val="FFFFFF"/>
          <w:vertAlign w:val="superscript"/>
        </w:rPr>
        <w:t>5</w:t>
      </w:r>
      <w:r>
        <w:rPr>
          <w:rFonts w:ascii="Arial" w:cs="Arial" w:eastAsia="Arial" w:hAnsi="Arial"/>
          <w:sz w:val="2"/>
          <w:szCs w:val="2"/>
          <w:color w:val="FFFFFF"/>
        </w:rPr>
        <w:t>1,963,35466</w:t>
      </w:r>
      <w:r>
        <w:rPr>
          <w:rFonts w:ascii="Arial" w:cs="Arial" w:eastAsia="Arial" w:hAnsi="Arial"/>
          <w:sz w:val="4"/>
          <w:szCs w:val="4"/>
          <w:color w:val="FFFFFF"/>
          <w:vertAlign w:val="superscript"/>
        </w:rPr>
        <w:t>,708</w:t>
      </w:r>
      <w:r>
        <w:rPr>
          <w:rFonts w:ascii="Arial" w:cs="Arial" w:eastAsia="Arial" w:hAnsi="Arial"/>
          <w:sz w:val="2"/>
          <w:szCs w:val="2"/>
          <w:color w:val="FFFFFF"/>
        </w:rPr>
        <w:t>807,1042,500,752</w:t>
      </w:r>
    </w:p>
    <w:p>
      <w:pPr>
        <w:spacing w:after="0"/>
        <w:tabs>
          <w:tab w:leader="none" w:pos="620" w:val="left"/>
        </w:tabs>
        <w:rPr>
          <w:sz w:val="20"/>
          <w:szCs w:val="20"/>
          <w:color w:val="auto"/>
        </w:rPr>
      </w:pPr>
      <w:r>
        <w:rPr>
          <w:rFonts w:ascii="Arial" w:cs="Arial" w:eastAsia="Arial" w:hAnsi="Arial"/>
          <w:sz w:val="4"/>
          <w:szCs w:val="4"/>
          <w:color w:val="FFFFFF"/>
          <w:vertAlign w:val="subscript"/>
        </w:rPr>
        <w:t>101,180</w:t>
      </w:r>
      <w:r>
        <w:rPr>
          <w:rFonts w:ascii="Arial" w:cs="Arial" w:eastAsia="Arial" w:hAnsi="Arial"/>
          <w:sz w:val="2"/>
          <w:szCs w:val="2"/>
          <w:color w:val="FFFFFF"/>
        </w:rPr>
        <w:t>4</w:t>
      </w:r>
      <w:r>
        <w:rPr>
          <w:sz w:val="20"/>
          <w:szCs w:val="20"/>
          <w:color w:val="auto"/>
        </w:rPr>
        <w:tab/>
      </w:r>
      <w:r>
        <w:rPr>
          <w:rFonts w:ascii="Arial" w:cs="Arial" w:eastAsia="Arial" w:hAnsi="Arial"/>
          <w:sz w:val="3"/>
          <w:szCs w:val="3"/>
          <w:color w:val="FFFFFF"/>
        </w:rPr>
        <w:t>579,770</w:t>
      </w:r>
    </w:p>
    <w:p>
      <w:pPr>
        <w:ind w:left="480"/>
        <w:spacing w:after="0" w:line="187" w:lineRule="auto"/>
        <w:rPr>
          <w:sz w:val="20"/>
          <w:szCs w:val="20"/>
          <w:color w:val="auto"/>
        </w:rPr>
      </w:pPr>
      <w:r>
        <w:rPr>
          <w:rFonts w:ascii="Arial" w:cs="Arial" w:eastAsia="Arial" w:hAnsi="Arial"/>
          <w:sz w:val="9"/>
          <w:szCs w:val="9"/>
          <w:color w:val="FFFFFF"/>
        </w:rPr>
        <w:t>118,458</w:t>
      </w:r>
    </w:p>
    <w:p>
      <w:pPr>
        <w:spacing w:after="0"/>
        <w:rPr>
          <w:sz w:val="20"/>
          <w:szCs w:val="20"/>
          <w:color w:val="auto"/>
        </w:rPr>
      </w:pPr>
      <w:r>
        <w:rPr>
          <w:rFonts w:ascii="Arial" w:cs="Arial" w:eastAsia="Arial" w:hAnsi="Arial"/>
          <w:sz w:val="3"/>
          <w:szCs w:val="3"/>
          <w:color w:val="FFFFFF"/>
        </w:rPr>
        <w:t>NetTotalassetsnon-current7,369,876liabilities4,028,4433,283,408 4,006,084</w:t>
      </w:r>
    </w:p>
    <w:p>
      <w:pPr>
        <w:spacing w:after="0" w:line="194" w:lineRule="auto"/>
        <w:rPr>
          <w:sz w:val="20"/>
          <w:szCs w:val="20"/>
          <w:color w:val="auto"/>
        </w:rPr>
      </w:pPr>
      <w:r>
        <w:rPr>
          <w:rFonts w:ascii="Arial" w:cs="Arial" w:eastAsia="Arial" w:hAnsi="Arial"/>
          <w:sz w:val="5"/>
          <w:szCs w:val="5"/>
          <w:color w:val="FFFFFF"/>
        </w:rPr>
        <w:t>Eq ity</w:t>
      </w:r>
    </w:p>
    <w:p>
      <w:pPr>
        <w:spacing w:after="0" w:line="211" w:lineRule="auto"/>
        <w:rPr>
          <w:sz w:val="20"/>
          <w:szCs w:val="20"/>
          <w:color w:val="auto"/>
        </w:rPr>
      </w:pPr>
      <w:r>
        <w:rPr>
          <w:rFonts w:ascii="Arial" w:cs="Arial" w:eastAsia="Arial" w:hAnsi="Arial"/>
          <w:sz w:val="4"/>
          <w:szCs w:val="4"/>
          <w:color w:val="FFFFFF"/>
          <w:vertAlign w:val="superscript"/>
        </w:rPr>
        <w:t>Issued</w:t>
      </w:r>
    </w:p>
    <w:p>
      <w:pPr>
        <w:ind w:left="380"/>
        <w:spacing w:after="0" w:line="188" w:lineRule="auto"/>
        <w:rPr>
          <w:sz w:val="20"/>
          <w:szCs w:val="20"/>
          <w:color w:val="auto"/>
        </w:rPr>
      </w:pPr>
      <w:r>
        <w:rPr>
          <w:rFonts w:ascii="Arial" w:cs="Arial" w:eastAsia="Arial" w:hAnsi="Arial"/>
          <w:sz w:val="9"/>
          <w:szCs w:val="9"/>
          <w:color w:val="FFFFFF"/>
        </w:rPr>
        <w:t>capitalattributable5,188to5,188owners of the Company</w:t>
      </w:r>
    </w:p>
    <w:p>
      <w:pPr>
        <w:spacing w:after="0"/>
        <w:rPr>
          <w:sz w:val="20"/>
          <w:szCs w:val="20"/>
          <w:color w:val="auto"/>
        </w:rPr>
      </w:pPr>
      <w:r>
        <w:rPr>
          <w:rFonts w:ascii="Arial" w:cs="Arial" w:eastAsia="Arial" w:hAnsi="Arial"/>
          <w:sz w:val="3"/>
          <w:szCs w:val="3"/>
          <w:color w:val="FFFFFF"/>
        </w:rPr>
        <w:t>ReservesSharepremium7,211,252account3,869,819153,436 153,436</w:t>
      </w:r>
    </w:p>
    <w:p>
      <w:pPr>
        <w:spacing w:after="0" w:line="181" w:lineRule="auto"/>
        <w:rPr>
          <w:sz w:val="20"/>
          <w:szCs w:val="20"/>
          <w:color w:val="auto"/>
        </w:rPr>
      </w:pPr>
      <w:r>
        <w:rPr>
          <w:rFonts w:ascii="Arial" w:cs="Arial" w:eastAsia="Arial" w:hAnsi="Arial"/>
          <w:sz w:val="10"/>
          <w:szCs w:val="10"/>
          <w:color w:val="FFFFFF"/>
        </w:rPr>
        <w:t>Total equity 7,369,876 4,028,443</w:t>
      </w:r>
    </w:p>
    <w:p>
      <w:pPr>
        <w:spacing w:after="0"/>
        <w:rPr>
          <w:sz w:val="20"/>
          <w:szCs w:val="20"/>
          <w:color w:val="auto"/>
        </w:rPr>
      </w:pPr>
      <w:r>
        <w:rPr>
          <w:rFonts w:ascii="Arial" w:cs="Arial" w:eastAsia="Arial" w:hAnsi="Arial"/>
          <w:sz w:val="3"/>
          <w:szCs w:val="3"/>
          <w:color w:val="FFFFFF"/>
        </w:rPr>
        <w:t>StephenApprovedA.andWynnauthorizedMarcD.forSchorrissue by the Board of Directors on 23 August 2012.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Director Director</w:t>
      </w:r>
    </w:p>
    <w:p>
      <w:pPr>
        <w:sectPr>
          <w:pgSz w:w="11900" w:h="16838" w:orient="portrait"/>
          <w:cols w:equalWidth="0" w:num="1">
            <w:col w:w="10219"/>
          </w:cols>
          <w:pgMar w:left="240" w:top="1440" w:right="1440"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20"/>
                <w:szCs w:val="20"/>
                <w:color w:val="auto"/>
              </w:rPr>
            </w:pPr>
            <w:r>
              <w:rPr>
                <w:rFonts w:ascii="Arial" w:cs="Arial" w:eastAsia="Arial" w:hAnsi="Arial"/>
                <w:sz w:val="14"/>
                <w:szCs w:val="14"/>
                <w:color w:val="FFFFFF"/>
              </w:rPr>
              <w:t>52 Wynn Macau, Limited</w:t>
            </w:r>
          </w:p>
        </w:tc>
        <w:tc>
          <w:tcPr>
            <w:tcW w:w="6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Interim Financial Information</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Condensed C nsolidated Statement of Changes in Equity</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ind w:left="100"/>
              <w:spacing w:after="0"/>
              <w:rPr>
                <w:sz w:val="20"/>
                <w:szCs w:val="20"/>
                <w:color w:val="auto"/>
              </w:rPr>
            </w:pPr>
            <w:r>
              <w:rPr>
                <w:rFonts w:ascii="Arial" w:cs="Arial" w:eastAsia="Arial" w:hAnsi="Arial"/>
                <w:sz w:val="3"/>
                <w:szCs w:val="3"/>
                <w:color w:val="FFFFFF"/>
              </w:rPr>
              <w:t>ttributable to owners of the Company</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Available-</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for-sale</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Share Investments Currency</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Issued Premium Revaluation Other Retained Translation Total</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Capital Account Reserves* Reserves* Earnings* Reserve* Equity</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HK$ HK$ HK$ HK$ HK$ HK$ HK$</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(in thousands)</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80" w:type="dxa"/>
            <w:vAlign w:val="bottom"/>
            <w:gridSpan w:val="2"/>
          </w:tcPr>
          <w:p>
            <w:pPr>
              <w:spacing w:after="0"/>
              <w:rPr>
                <w:sz w:val="20"/>
                <w:szCs w:val="20"/>
                <w:color w:val="auto"/>
              </w:rPr>
            </w:pPr>
            <w:r>
              <w:rPr>
                <w:rFonts w:ascii="Arial" w:cs="Arial" w:eastAsia="Arial" w:hAnsi="Arial"/>
                <w:sz w:val="3"/>
                <w:szCs w:val="3"/>
                <w:color w:val="FFFFFF"/>
              </w:rPr>
              <w:t>At 1 January 2012 (audited) 5,188 153,436 (14,341) 832,717 3,034,615 16,828 4,028,443</w:t>
            </w: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Net profit for the period — — — — 3,337,166 — 3,337,166</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Changes in fair value of</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available-for-sale investments,</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net of tax — — 5,764 — — — 5,764</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Total comprehensive income</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for the period — — 5,764 — 3,337,166 — 3,342,930</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Share-based payments — — — (1,497) — — (1,497)</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80" w:type="dxa"/>
            <w:vAlign w:val="bottom"/>
            <w:gridSpan w:val="2"/>
          </w:tcPr>
          <w:p>
            <w:pPr>
              <w:ind w:left="180"/>
              <w:spacing w:after="0"/>
              <w:rPr>
                <w:sz w:val="20"/>
                <w:szCs w:val="20"/>
                <w:color w:val="auto"/>
              </w:rPr>
            </w:pPr>
            <w:r>
              <w:rPr>
                <w:rFonts w:ascii="Arial" w:cs="Arial" w:eastAsia="Arial" w:hAnsi="Arial"/>
                <w:sz w:val="3"/>
                <w:szCs w:val="3"/>
                <w:color w:val="FFFFFF"/>
              </w:rPr>
              <w:t>30 June 2012 (unaudited) 5,188 153,436 (8,577) 831,220 6,371,781 16,828 7,369,876</w:t>
            </w: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80" w:type="dxa"/>
            <w:vAlign w:val="bottom"/>
            <w:gridSpan w:val="2"/>
          </w:tcPr>
          <w:p>
            <w:pPr>
              <w:spacing w:after="0"/>
              <w:rPr>
                <w:sz w:val="20"/>
                <w:szCs w:val="20"/>
                <w:color w:val="auto"/>
              </w:rPr>
            </w:pPr>
            <w:r>
              <w:rPr>
                <w:rFonts w:ascii="Arial" w:cs="Arial" w:eastAsia="Arial" w:hAnsi="Arial"/>
                <w:sz w:val="3"/>
                <w:szCs w:val="3"/>
                <w:color w:val="FFFFFF"/>
              </w:rPr>
              <w:t>At 1 January 2011 (audited) 5,188 152,657 — 783,754 3,338,662 16,828 4,297,089</w:t>
            </w: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Net profit for the period — — — — 2,412,447 — 2,412,447</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Total comprehensive income</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for the period — — — — 2,412,447 — 2,412,447</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Share-based payments — — — 24,957 — — 24,957</w:t>
            </w:r>
          </w:p>
        </w:tc>
        <w:tc>
          <w:tcPr>
            <w:tcW w:w="6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Exercise of share options — 779 — (233) — — 546</w:t>
            </w:r>
          </w:p>
        </w:tc>
        <w:tc>
          <w:tcPr>
            <w:tcW w:w="6080" w:type="dxa"/>
            <w:vAlign w:val="bottom"/>
            <w:vMerge w:val="restart"/>
          </w:tcPr>
          <w:p>
            <w:pPr>
              <w:jc w:val="right"/>
              <w:ind w:right="5275"/>
              <w:spacing w:after="0" w:line="81" w:lineRule="exact"/>
              <w:rPr>
                <w:sz w:val="20"/>
                <w:szCs w:val="20"/>
                <w:color w:val="auto"/>
              </w:rPr>
            </w:pPr>
            <w:r>
              <w:rPr>
                <w:rFonts w:ascii="Arial" w:cs="Arial" w:eastAsia="Arial" w:hAnsi="Arial"/>
                <w:sz w:val="9"/>
                <w:szCs w:val="9"/>
                <w:color w:val="FFFFFF"/>
              </w:rPr>
              <w:t>6,735,039</w:t>
            </w: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At 30 June 2011 (unaudited) 5,188 153,436 — 808,478 5,751,109</w:t>
            </w:r>
          </w:p>
        </w:tc>
        <w:tc>
          <w:tcPr>
            <w:tcW w:w="608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These reserve accounts comprise the consolidated reserves of HK$16,8287.billion in the condensed consolidated statement of financial position at 30 June 2012. Other reserves at 1 January 2012 include cumulative</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share- based payments of HK$229.4 million (1 January 2011: HK$180.4 million) and issued capital of HK$554.7 million (1 January 2011: HK$554.7 million), which is composed of HK$194.3 million (1</w:t>
            </w:r>
          </w:p>
        </w:tc>
        <w:tc>
          <w:tcPr>
            <w:tcW w:w="0" w:type="dxa"/>
            <w:vAlign w:val="bottom"/>
          </w:tcPr>
          <w:p>
            <w:pPr>
              <w:spacing w:after="0"/>
              <w:rPr>
                <w:sz w:val="1"/>
                <w:szCs w:val="1"/>
                <w:color w:val="auto"/>
              </w:rPr>
            </w:pPr>
          </w:p>
        </w:tc>
      </w:tr>
      <w:tr>
        <w:trPr>
          <w:trHeight w:val="41"/>
        </w:trPr>
        <w:tc>
          <w:tcPr>
            <w:tcW w:w="9880" w:type="dxa"/>
            <w:vAlign w:val="bottom"/>
            <w:gridSpan w:val="2"/>
          </w:tcPr>
          <w:p>
            <w:pPr>
              <w:spacing w:after="0"/>
              <w:rPr>
                <w:sz w:val="20"/>
                <w:szCs w:val="20"/>
                <w:color w:val="auto"/>
              </w:rPr>
            </w:pPr>
            <w:r>
              <w:rPr>
                <w:rFonts w:ascii="Arial" w:cs="Arial" w:eastAsia="Arial" w:hAnsi="Arial"/>
                <w:sz w:val="3"/>
                <w:szCs w:val="3"/>
                <w:color w:val="FFFFFF"/>
              </w:rPr>
              <w:t>January 2011: HK$194.3 million) of issued capital of WRM and HK$360.4 million (1 January 2011: HK$360.4 million) of issued capital of Wynn Resorts International, Ltd.</w:t>
            </w: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In accordance with the provisions of the Macau Commercial Code, the Company’ subsidiaries incorporated in Macau are required to transfer a minimum of 10% of the annual net profit to  legal reserve until</w:t>
            </w:r>
          </w:p>
        </w:tc>
        <w:tc>
          <w:tcPr>
            <w:tcW w:w="0" w:type="dxa"/>
            <w:vAlign w:val="bottom"/>
          </w:tcPr>
          <w:p>
            <w:pPr>
              <w:spacing w:after="0"/>
              <w:rPr>
                <w:sz w:val="1"/>
                <w:szCs w:val="1"/>
                <w:color w:val="auto"/>
              </w:rPr>
            </w:pPr>
          </w:p>
        </w:tc>
      </w:tr>
      <w:tr>
        <w:trPr>
          <w:trHeight w:val="41"/>
        </w:trPr>
        <w:tc>
          <w:tcPr>
            <w:tcW w:w="9880" w:type="dxa"/>
            <w:vAlign w:val="bottom"/>
            <w:gridSpan w:val="2"/>
          </w:tcPr>
          <w:p>
            <w:pPr>
              <w:spacing w:after="0"/>
              <w:rPr>
                <w:sz w:val="20"/>
                <w:szCs w:val="20"/>
                <w:color w:val="auto"/>
              </w:rPr>
            </w:pPr>
            <w:r>
              <w:rPr>
                <w:rFonts w:ascii="Arial" w:cs="Arial" w:eastAsia="Arial" w:hAnsi="Arial"/>
                <w:sz w:val="3"/>
                <w:szCs w:val="3"/>
                <w:color w:val="FFFFFF"/>
              </w:rPr>
              <w:t>that reserve equals 25% of their initial capital. The Company’s subsidiaries met this statutory requirement and WRM continues to maintain the required reserve of HK$48.6 million (1</w:t>
            </w:r>
          </w:p>
        </w:tc>
        <w:tc>
          <w:tcPr>
            <w:tcW w:w="1420" w:type="dxa"/>
            <w:vAlign w:val="bottom"/>
          </w:tcPr>
          <w:p>
            <w:pPr>
              <w:ind w:left="20"/>
              <w:spacing w:after="0"/>
              <w:rPr>
                <w:sz w:val="20"/>
                <w:szCs w:val="20"/>
                <w:color w:val="auto"/>
              </w:rPr>
            </w:pPr>
            <w:r>
              <w:rPr>
                <w:rFonts w:ascii="Arial" w:cs="Arial" w:eastAsia="Arial" w:hAnsi="Arial"/>
                <w:sz w:val="3"/>
                <w:szCs w:val="3"/>
                <w:color w:val="FFFFFF"/>
              </w:rPr>
              <w:t>January 2011: HK$48.6</w:t>
            </w:r>
          </w:p>
        </w:tc>
        <w:tc>
          <w:tcPr>
            <w:tcW w:w="0" w:type="dxa"/>
            <w:vAlign w:val="bottom"/>
          </w:tcPr>
          <w:p>
            <w:pPr>
              <w:spacing w:after="0"/>
              <w:rPr>
                <w:sz w:val="1"/>
                <w:szCs w:val="1"/>
                <w:color w:val="auto"/>
              </w:rPr>
            </w:pPr>
          </w:p>
        </w:tc>
      </w:tr>
      <w:tr>
        <w:trPr>
          <w:trHeight w:val="172"/>
        </w:trPr>
        <w:tc>
          <w:tcPr>
            <w:tcW w:w="9880" w:type="dxa"/>
            <w:vAlign w:val="bottom"/>
            <w:gridSpan w:val="2"/>
          </w:tcPr>
          <w:p>
            <w:pPr>
              <w:spacing w:after="0"/>
              <w:rPr>
                <w:sz w:val="20"/>
                <w:szCs w:val="20"/>
                <w:color w:val="auto"/>
              </w:rPr>
            </w:pPr>
            <w:r>
              <w:rPr>
                <w:rFonts w:ascii="Arial" w:cs="Arial" w:eastAsia="Arial" w:hAnsi="Arial"/>
                <w:sz w:val="14"/>
                <w:szCs w:val="14"/>
                <w:color w:val="FFFFFF"/>
              </w:rPr>
              <w:t>million) in “other reserves”. This reserve is not distributable to the respective shareholders.</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440" w:right="35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2012 53</w:t>
      </w:r>
    </w:p>
    <w:p>
      <w:pPr>
        <w:ind w:left="440"/>
        <w:spacing w:after="0"/>
        <w:rPr>
          <w:sz w:val="20"/>
          <w:szCs w:val="20"/>
          <w:color w:val="auto"/>
        </w:rPr>
      </w:pPr>
      <w:r>
        <w:rPr>
          <w:rFonts w:ascii="Arial" w:cs="Arial" w:eastAsia="Arial" w:hAnsi="Arial"/>
          <w:sz w:val="3"/>
          <w:szCs w:val="3"/>
          <w:color w:val="FFFFFF"/>
        </w:rPr>
        <w:t>Financial Information</w:t>
      </w:r>
    </w:p>
    <w:p>
      <w:pPr>
        <w:spacing w:after="0" w:line="181" w:lineRule="auto"/>
        <w:rPr>
          <w:sz w:val="20"/>
          <w:szCs w:val="20"/>
          <w:color w:val="auto"/>
        </w:rPr>
      </w:pPr>
      <w:r>
        <w:rPr>
          <w:rFonts w:ascii="Arial" w:cs="Arial" w:eastAsia="Arial" w:hAnsi="Arial"/>
          <w:sz w:val="10"/>
          <w:szCs w:val="10"/>
          <w:color w:val="FFFFFF"/>
        </w:rPr>
        <w:t>ForCondensedtheSix ConsolidatedMonthsEndedStatement of Cash Flows</w:t>
      </w:r>
    </w:p>
    <w:p>
      <w:pPr>
        <w:spacing w:after="0"/>
        <w:rPr>
          <w:sz w:val="20"/>
          <w:szCs w:val="20"/>
          <w:color w:val="auto"/>
        </w:rPr>
      </w:pPr>
      <w:r>
        <w:rPr>
          <w:rFonts w:ascii="Arial" w:cs="Arial" w:eastAsia="Arial" w:hAnsi="Arial"/>
          <w:sz w:val="3"/>
          <w:szCs w:val="3"/>
          <w:color w:val="FFFFFF"/>
        </w:rPr>
        <w:t>30 June</w:t>
      </w:r>
    </w:p>
    <w:p>
      <w:pPr>
        <w:spacing w:after="0" w:line="181" w:lineRule="auto"/>
        <w:rPr>
          <w:sz w:val="20"/>
          <w:szCs w:val="20"/>
          <w:color w:val="auto"/>
        </w:rPr>
      </w:pPr>
      <w:r>
        <w:rPr>
          <w:rFonts w:ascii="Arial" w:cs="Arial" w:eastAsia="Arial" w:hAnsi="Arial"/>
          <w:sz w:val="10"/>
          <w:szCs w:val="10"/>
          <w:color w:val="FFFFFF"/>
        </w:rPr>
        <w:t>HK2012$ HK2011$</w:t>
      </w:r>
    </w:p>
    <w:p>
      <w:pPr>
        <w:ind w:left="60"/>
        <w:spacing w:after="0"/>
        <w:rPr>
          <w:sz w:val="20"/>
          <w:szCs w:val="20"/>
          <w:color w:val="auto"/>
        </w:rPr>
      </w:pPr>
      <w:r>
        <w:rPr>
          <w:rFonts w:ascii="Arial" w:cs="Arial" w:eastAsia="Arial" w:hAnsi="Arial"/>
          <w:sz w:val="3"/>
          <w:szCs w:val="3"/>
          <w:color w:val="FFFFFF"/>
        </w:rPr>
        <w:t>in thousands)</w:t>
      </w:r>
    </w:p>
    <w:p>
      <w:pPr>
        <w:spacing w:after="0" w:line="201" w:lineRule="auto"/>
        <w:rPr>
          <w:sz w:val="20"/>
          <w:szCs w:val="20"/>
          <w:color w:val="auto"/>
        </w:rPr>
      </w:pPr>
      <w:r>
        <w:rPr>
          <w:rFonts w:ascii="Arial" w:cs="Arial" w:eastAsia="Arial" w:hAnsi="Arial"/>
          <w:sz w:val="9"/>
          <w:szCs w:val="9"/>
          <w:color w:val="FFFFFF"/>
        </w:rPr>
        <w:t>Net(unaudited)cash?flows(unaudited)generated from operating activities 3,861,307 4,948,083</w:t>
      </w:r>
    </w:p>
    <w:p>
      <w:pPr>
        <w:spacing w:after="0"/>
        <w:rPr>
          <w:sz w:val="20"/>
          <w:szCs w:val="20"/>
          <w:color w:val="auto"/>
        </w:rPr>
      </w:pPr>
      <w:r>
        <w:rPr>
          <w:rFonts w:ascii="Arial" w:cs="Arial" w:eastAsia="Arial" w:hAnsi="Arial"/>
          <w:sz w:val="3"/>
          <w:szCs w:val="3"/>
          <w:color w:val="FFFFFF"/>
        </w:rPr>
        <w:t>Investing activities</w:t>
      </w:r>
    </w:p>
    <w:p>
      <w:pPr>
        <w:spacing w:after="0" w:line="201" w:lineRule="auto"/>
        <w:rPr>
          <w:sz w:val="20"/>
          <w:szCs w:val="20"/>
          <w:color w:val="auto"/>
        </w:rPr>
      </w:pPr>
      <w:r>
        <w:rPr>
          <w:rFonts w:ascii="Arial" w:cs="Arial" w:eastAsia="Arial" w:hAnsi="Arial"/>
          <w:sz w:val="9"/>
          <w:szCs w:val="9"/>
          <w:color w:val="FFFFFF"/>
        </w:rPr>
        <w:t>constructionPurchaseofpropertyretentionandpayablesequipment,(323,110)netof(140,979)</w:t>
      </w:r>
    </w:p>
    <w:p>
      <w:pPr>
        <w:ind w:left="260"/>
        <w:spacing w:after="0"/>
        <w:rPr>
          <w:sz w:val="20"/>
          <w:szCs w:val="20"/>
          <w:color w:val="auto"/>
        </w:rPr>
      </w:pPr>
      <w:r>
        <w:rPr>
          <w:rFonts w:ascii="Arial" w:cs="Arial" w:eastAsia="Arial" w:hAnsi="Arial"/>
          <w:sz w:val="3"/>
          <w:szCs w:val="3"/>
          <w:color w:val="FFFFFF"/>
        </w:rPr>
        <w:t>hase of available-for-sale investments — (257,596)</w:t>
      </w:r>
    </w:p>
    <w:p>
      <w:pPr>
        <w:spacing w:after="0" w:line="201" w:lineRule="auto"/>
        <w:rPr>
          <w:sz w:val="20"/>
          <w:szCs w:val="20"/>
          <w:color w:val="auto"/>
        </w:rPr>
      </w:pPr>
      <w:r>
        <w:rPr>
          <w:rFonts w:ascii="Arial" w:cs="Arial" w:eastAsia="Arial" w:hAnsi="Arial"/>
          <w:sz w:val="9"/>
          <w:szCs w:val="9"/>
          <w:color w:val="FFFFFF"/>
        </w:rPr>
        <w:t>Purchaseroeeds offromothersalenonof-propertycurrentassetsandequipment—(1,333)167 308</w:t>
      </w:r>
    </w:p>
    <w:p>
      <w:pPr>
        <w:spacing w:after="0"/>
        <w:rPr>
          <w:sz w:val="20"/>
          <w:szCs w:val="20"/>
          <w:color w:val="auto"/>
        </w:rPr>
      </w:pPr>
      <w:r>
        <w:rPr>
          <w:rFonts w:ascii="Arial" w:cs="Arial" w:eastAsia="Arial" w:hAnsi="Arial"/>
          <w:sz w:val="3"/>
          <w:szCs w:val="3"/>
          <w:color w:val="FFFFFF"/>
        </w:rPr>
        <w:t>Interest received 23,787 6,645</w:t>
      </w:r>
    </w:p>
    <w:p>
      <w:pPr>
        <w:spacing w:after="0" w:line="227" w:lineRule="auto"/>
        <w:rPr>
          <w:sz w:val="20"/>
          <w:szCs w:val="20"/>
          <w:color w:val="auto"/>
        </w:rPr>
      </w:pPr>
      <w:r>
        <w:rPr>
          <w:rFonts w:ascii="Arial" w:cs="Arial" w:eastAsia="Arial" w:hAnsi="Arial"/>
          <w:sz w:val="8"/>
          <w:szCs w:val="8"/>
          <w:color w:val="FFFFFF"/>
        </w:rPr>
        <w:t>NetPaymentscashflowsforleaseholdusedininvestinginterestinactivitiesland(392,231)(691,387)— (392,955)</w:t>
      </w:r>
    </w:p>
    <w:p>
      <w:pPr>
        <w:spacing w:after="0"/>
        <w:rPr>
          <w:sz w:val="20"/>
          <w:szCs w:val="20"/>
          <w:color w:val="auto"/>
        </w:rPr>
      </w:pPr>
      <w:r>
        <w:rPr>
          <w:rFonts w:ascii="Arial" w:cs="Arial" w:eastAsia="Arial" w:hAnsi="Arial"/>
          <w:sz w:val="3"/>
          <w:szCs w:val="3"/>
          <w:color w:val="FFFFFF"/>
        </w:rPr>
        <w:t>Financing activities</w:t>
      </w:r>
    </w:p>
    <w:p>
      <w:pPr>
        <w:spacing w:after="0" w:line="181" w:lineRule="auto"/>
        <w:rPr>
          <w:sz w:val="20"/>
          <w:szCs w:val="20"/>
          <w:color w:val="auto"/>
        </w:rPr>
      </w:pPr>
      <w:r>
        <w:rPr>
          <w:rFonts w:ascii="Arial" w:cs="Arial" w:eastAsia="Arial" w:hAnsi="Arial"/>
          <w:sz w:val="10"/>
          <w:szCs w:val="10"/>
          <w:color w:val="FFFFFF"/>
        </w:rPr>
        <w:t>InterestRepaymentpaidof(104,079)borrowings(111,399)(1,744,806) (779,521)</w:t>
      </w:r>
    </w:p>
    <w:p>
      <w:pPr>
        <w:ind w:left="2200"/>
        <w:spacing w:after="0" w:line="6" w:lineRule="auto"/>
        <w:rPr>
          <w:sz w:val="20"/>
          <w:szCs w:val="20"/>
          <w:color w:val="auto"/>
        </w:rPr>
      </w:pPr>
      <w:r>
        <w:rPr>
          <w:rFonts w:ascii="Arial" w:cs="Arial" w:eastAsia="Arial" w:hAnsi="Arial"/>
          <w:sz w:val="1"/>
          <w:szCs w:val="1"/>
          <w:color w:val="FFFFFF"/>
        </w:rPr>
        <w:t>Paymentroceds offromdebtissuance of sharescosts(1,068)—546—</w:t>
      </w:r>
    </w:p>
    <w:p>
      <w:pPr>
        <w:ind w:left="920"/>
        <w:spacing w:after="0"/>
        <w:rPr>
          <w:sz w:val="20"/>
          <w:szCs w:val="20"/>
          <w:color w:val="auto"/>
        </w:rPr>
      </w:pPr>
      <w:r>
        <w:rPr>
          <w:rFonts w:ascii="Arial" w:cs="Arial" w:eastAsia="Arial" w:hAnsi="Arial"/>
          <w:sz w:val="3"/>
          <w:szCs w:val="3"/>
          <w:color w:val="FFFFFF"/>
        </w:rPr>
        <w:t>financing</w:t>
      </w:r>
    </w:p>
    <w:p>
      <w:pPr>
        <w:spacing w:after="0" w:line="194" w:lineRule="auto"/>
        <w:tabs>
          <w:tab w:leader="none" w:pos="1340" w:val="left"/>
        </w:tabs>
        <w:rPr>
          <w:sz w:val="20"/>
          <w:szCs w:val="20"/>
          <w:color w:val="auto"/>
        </w:rPr>
      </w:pPr>
      <w:r>
        <w:rPr>
          <w:rFonts w:ascii="Arial" w:cs="Arial" w:eastAsia="Arial" w:hAnsi="Arial"/>
          <w:sz w:val="5"/>
          <w:szCs w:val="5"/>
          <w:color w:val="FFFFFF"/>
          <w:vertAlign w:val="superscript"/>
        </w:rPr>
        <w:t>Net</w:t>
      </w:r>
      <w:r>
        <w:rPr>
          <w:rFonts w:ascii="Arial" w:cs="Arial" w:eastAsia="Arial" w:hAnsi="Arial"/>
          <w:sz w:val="3"/>
          <w:szCs w:val="3"/>
          <w:color w:val="FFFFFF"/>
        </w:rPr>
        <w:t xml:space="preserve"> cash flows used</w:t>
      </w:r>
      <w:r>
        <w:rPr>
          <w:sz w:val="20"/>
          <w:szCs w:val="20"/>
          <w:color w:val="auto"/>
        </w:rPr>
        <w:tab/>
      </w:r>
      <w:r>
        <w:rPr>
          <w:rFonts w:ascii="Arial" w:cs="Arial" w:eastAsia="Arial" w:hAnsi="Arial"/>
          <w:sz w:val="5"/>
          <w:szCs w:val="5"/>
          <w:color w:val="FFFFFF"/>
          <w:vertAlign w:val="superscript"/>
        </w:rPr>
        <w:t>cash</w:t>
      </w:r>
      <w:r>
        <w:rPr>
          <w:rFonts w:ascii="Arial" w:cs="Arial" w:eastAsia="Arial" w:hAnsi="Arial"/>
          <w:sz w:val="5"/>
          <w:szCs w:val="5"/>
          <w:color w:val="FFFFFF"/>
        </w:rPr>
        <w:t>ncing activities (1,849,953) (890,374)</w:t>
      </w:r>
    </w:p>
    <w:p>
      <w:pPr>
        <w:spacing w:after="0"/>
        <w:rPr>
          <w:sz w:val="20"/>
          <w:szCs w:val="20"/>
          <w:color w:val="auto"/>
        </w:rPr>
      </w:pPr>
      <w:r>
        <w:rPr>
          <w:rFonts w:ascii="Arial" w:cs="Arial" w:eastAsia="Arial" w:hAnsi="Arial"/>
          <w:sz w:val="8"/>
          <w:szCs w:val="8"/>
          <w:color w:val="FFFFFF"/>
        </w:rPr>
        <w:t>Cashincreaseandcashinequivalentscashand at 1equivalentsJanuary5,156,7251,319,9673,819,1633,664,754</w:t>
      </w:r>
    </w:p>
    <w:p>
      <w:pPr>
        <w:spacing w:after="0" w:line="30" w:lineRule="exact"/>
        <w:rPr>
          <w:sz w:val="20"/>
          <w:szCs w:val="20"/>
          <w:color w:val="auto"/>
        </w:rPr>
      </w:pPr>
    </w:p>
    <w:p>
      <w:pPr>
        <w:spacing w:after="0"/>
        <w:rPr>
          <w:sz w:val="20"/>
          <w:szCs w:val="20"/>
          <w:color w:val="auto"/>
        </w:rPr>
      </w:pPr>
      <w:r>
        <w:rPr>
          <w:rFonts w:ascii="Arial" w:cs="Arial" w:eastAsia="Arial" w:hAnsi="Arial"/>
          <w:sz w:val="8"/>
          <w:szCs w:val="8"/>
          <w:color w:val="FFFFFF"/>
        </w:rPr>
        <w:t>CashEffectandof foreigncashequivalentsexchange atrate30changes,June6,472,194net(4,498)7,483,917—</w:t>
      </w:r>
    </w:p>
    <w:p>
      <w:pPr>
        <w:sectPr>
          <w:pgSz w:w="11900" w:h="16838" w:orient="portrait"/>
          <w:cols w:equalWidth="0" w:num="1">
            <w:col w:w="10219"/>
          </w:cols>
          <w:pgMar w:left="240" w:top="1440" w:right="1440"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color w:val="FFFFFF"/>
              </w:rPr>
              <w:t>54 Wynn Macau, Limited</w:t>
            </w:r>
          </w:p>
        </w:tc>
        <w:tc>
          <w:tcPr>
            <w:tcW w:w="2920" w:type="dxa"/>
            <w:vAlign w:val="bottom"/>
          </w:tcPr>
          <w:p>
            <w:pPr>
              <w:spacing w:after="0"/>
              <w:rPr>
                <w:sz w:val="14"/>
                <w:szCs w:val="14"/>
                <w:color w:val="auto"/>
              </w:rPr>
            </w:pPr>
          </w:p>
        </w:tc>
        <w:tc>
          <w:tcPr>
            <w:tcW w:w="6320" w:type="dxa"/>
            <w:vAlign w:val="bottom"/>
          </w:tcPr>
          <w:p>
            <w:pPr>
              <w:spacing w:after="0"/>
              <w:rPr>
                <w:sz w:val="14"/>
                <w:szCs w:val="14"/>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Interim Financial Information</w:t>
            </w:r>
          </w:p>
        </w:tc>
        <w:tc>
          <w:tcPr>
            <w:tcW w:w="2920" w:type="dxa"/>
            <w:vAlign w:val="bottom"/>
          </w:tcPr>
          <w:p>
            <w:pPr>
              <w:spacing w:after="0"/>
              <w:rPr>
                <w:sz w:val="3"/>
                <w:szCs w:val="3"/>
                <w:color w:val="auto"/>
              </w:rPr>
            </w:pPr>
          </w:p>
        </w:tc>
        <w:tc>
          <w:tcPr>
            <w:tcW w:w="6320" w:type="dxa"/>
            <w:vAlign w:val="bottom"/>
          </w:tcPr>
          <w:p>
            <w:pPr>
              <w:spacing w:after="0"/>
              <w:rPr>
                <w:sz w:val="3"/>
                <w:szCs w:val="3"/>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Notes to Interim Financial Information</w:t>
            </w:r>
          </w:p>
        </w:tc>
        <w:tc>
          <w:tcPr>
            <w:tcW w:w="2920" w:type="dxa"/>
            <w:vAlign w:val="bottom"/>
          </w:tcPr>
          <w:p>
            <w:pPr>
              <w:spacing w:after="0"/>
              <w:rPr>
                <w:sz w:val="3"/>
                <w:szCs w:val="3"/>
                <w:color w:val="auto"/>
              </w:rPr>
            </w:pPr>
          </w:p>
        </w:tc>
        <w:tc>
          <w:tcPr>
            <w:tcW w:w="6320" w:type="dxa"/>
            <w:vAlign w:val="bottom"/>
          </w:tcPr>
          <w:p>
            <w:pPr>
              <w:spacing w:after="0"/>
              <w:rPr>
                <w:sz w:val="3"/>
                <w:szCs w:val="3"/>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For the six months ended 30 June 2012</w:t>
            </w:r>
          </w:p>
        </w:tc>
        <w:tc>
          <w:tcPr>
            <w:tcW w:w="2920" w:type="dxa"/>
            <w:vAlign w:val="bottom"/>
          </w:tcPr>
          <w:p>
            <w:pPr>
              <w:spacing w:after="0"/>
              <w:rPr>
                <w:sz w:val="3"/>
                <w:szCs w:val="3"/>
                <w:color w:val="auto"/>
              </w:rPr>
            </w:pPr>
          </w:p>
        </w:tc>
        <w:tc>
          <w:tcPr>
            <w:tcW w:w="6320" w:type="dxa"/>
            <w:vAlign w:val="bottom"/>
          </w:tcPr>
          <w:p>
            <w:pPr>
              <w:spacing w:after="0"/>
              <w:rPr>
                <w:sz w:val="3"/>
                <w:szCs w:val="3"/>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CORPORATE INFORMATION</w:t>
            </w:r>
          </w:p>
        </w:tc>
        <w:tc>
          <w:tcPr>
            <w:tcW w:w="2920" w:type="dxa"/>
            <w:vAlign w:val="bottom"/>
          </w:tcPr>
          <w:p>
            <w:pPr>
              <w:spacing w:after="0"/>
              <w:rPr>
                <w:sz w:val="3"/>
                <w:szCs w:val="3"/>
                <w:color w:val="auto"/>
              </w:rPr>
            </w:pPr>
          </w:p>
        </w:tc>
        <w:tc>
          <w:tcPr>
            <w:tcW w:w="6320" w:type="dxa"/>
            <w:vAlign w:val="bottom"/>
          </w:tcPr>
          <w:p>
            <w:pPr>
              <w:spacing w:after="0"/>
              <w:rPr>
                <w:sz w:val="3"/>
                <w:szCs w:val="3"/>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Compa y was incorporated in the Cayman Islands as an exempted company with limited liability on 4 September 2009. The Company’s Shares were listed on the Main Board of the Hong Kong Stock</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Exchange on 9 October 2009. The Company’s registered office address is P.O. Box 309, Ugland House, Grand Cayman, KY1-1104, Cayman Islands, or at such other place as the Directors may from time to time</w:t>
            </w: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decide.</w:t>
            </w:r>
          </w:p>
        </w:tc>
        <w:tc>
          <w:tcPr>
            <w:tcW w:w="2920" w:type="dxa"/>
            <w:vAlign w:val="bottom"/>
          </w:tcPr>
          <w:p>
            <w:pPr>
              <w:spacing w:after="0"/>
              <w:rPr>
                <w:sz w:val="3"/>
                <w:szCs w:val="3"/>
                <w:color w:val="auto"/>
              </w:rPr>
            </w:pPr>
          </w:p>
        </w:tc>
        <w:tc>
          <w:tcPr>
            <w:tcW w:w="6320" w:type="dxa"/>
            <w:vAlign w:val="bottom"/>
          </w:tcPr>
          <w:p>
            <w:pPr>
              <w:spacing w:after="0"/>
              <w:rPr>
                <w:sz w:val="3"/>
                <w:szCs w:val="3"/>
                <w:color w:val="auto"/>
              </w:rPr>
            </w:pPr>
          </w:p>
        </w:tc>
      </w:tr>
      <w:tr>
        <w:trPr>
          <w:trHeight w:val="41"/>
        </w:trPr>
        <w:tc>
          <w:tcPr>
            <w:tcW w:w="11400" w:type="dxa"/>
            <w:vAlign w:val="bottom"/>
            <w:gridSpan w:val="3"/>
          </w:tcPr>
          <w:p>
            <w:pPr>
              <w:ind w:left="260"/>
              <w:spacing w:after="0"/>
              <w:rPr>
                <w:sz w:val="20"/>
                <w:szCs w:val="20"/>
                <w:color w:val="auto"/>
              </w:rPr>
            </w:pPr>
            <w:r>
              <w:rPr>
                <w:rFonts w:ascii="Arial" w:cs="Arial" w:eastAsia="Arial" w:hAnsi="Arial"/>
                <w:sz w:val="3"/>
                <w:szCs w:val="3"/>
                <w:color w:val="FFFFFF"/>
              </w:rPr>
              <w:t>Group owns and operates a hotel and casino resort, Wynn Macau, which conducts gaming activities in casinos in Macau under a concession contract signed with the Macau Government on 24 June 2002.</w:t>
            </w: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The 20-year concession period commenced on 27 June 2002 and will expire on 26 June 2022.</w:t>
            </w:r>
          </w:p>
        </w:tc>
        <w:tc>
          <w:tcPr>
            <w:tcW w:w="6320" w:type="dxa"/>
            <w:vAlign w:val="bottom"/>
          </w:tcPr>
          <w:p>
            <w:pPr>
              <w:spacing w:after="0"/>
              <w:rPr>
                <w:sz w:val="3"/>
                <w:szCs w:val="3"/>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WM Cayman Holdings Limited I owns approximately 72.29% of the Company and approximately 27.71% of the Company is owned by public shareholders. The ultimate parent company of Wynn Macau,</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Limited is Wynn Resorts, Limited, a publicly-traded company incorporated in the United States of America.</w:t>
            </w: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ACCOUNTING POLICIES AND BASIS OF PREPARATION</w:t>
            </w:r>
          </w:p>
        </w:tc>
        <w:tc>
          <w:tcPr>
            <w:tcW w:w="6320" w:type="dxa"/>
            <w:vAlign w:val="bottom"/>
          </w:tcPr>
          <w:p>
            <w:pPr>
              <w:spacing w:after="0"/>
              <w:rPr>
                <w:sz w:val="3"/>
                <w:szCs w:val="3"/>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This interim financial information has been prepared in accordance with the applicable disclosure requirements of Appendix 16 to the Rules Governing the Listing of Securities   the Hong Kong Stock</w:t>
            </w: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Exchange and International</w:t>
            </w:r>
          </w:p>
        </w:tc>
        <w:tc>
          <w:tcPr>
            <w:tcW w:w="9240" w:type="dxa"/>
            <w:vAlign w:val="bottom"/>
            <w:gridSpan w:val="2"/>
          </w:tcPr>
          <w:p>
            <w:pPr>
              <w:ind w:left="40"/>
              <w:spacing w:after="0"/>
              <w:rPr>
                <w:sz w:val="20"/>
                <w:szCs w:val="20"/>
                <w:color w:val="auto"/>
              </w:rPr>
            </w:pPr>
            <w:r>
              <w:rPr>
                <w:rFonts w:ascii="Arial" w:cs="Arial" w:eastAsia="Arial" w:hAnsi="Arial"/>
                <w:sz w:val="3"/>
                <w:szCs w:val="3"/>
                <w:color w:val="FFFFFF"/>
              </w:rPr>
              <w:t>Standard (“IAS”) 34 Interim Financial Reporting issued by the I ternational Accounting Standards Board. The interim financial information does not include all the</w:t>
            </w: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information and disclosures Accountingrequired the annual financial statements, and should be read</w:t>
            </w:r>
          </w:p>
        </w:tc>
        <w:tc>
          <w:tcPr>
            <w:tcW w:w="6320" w:type="dxa"/>
            <w:vAlign w:val="bottom"/>
          </w:tcPr>
          <w:p>
            <w:pPr>
              <w:ind w:left="20"/>
              <w:spacing w:after="0"/>
              <w:rPr>
                <w:sz w:val="20"/>
                <w:szCs w:val="20"/>
                <w:color w:val="auto"/>
              </w:rPr>
            </w:pPr>
            <w:r>
              <w:rPr>
                <w:rFonts w:ascii="Arial" w:cs="Arial" w:eastAsia="Arial" w:hAnsi="Arial"/>
                <w:sz w:val="3"/>
                <w:szCs w:val="3"/>
                <w:color w:val="FFFFFF"/>
              </w:rPr>
              <w:t>conjunction with the Group’s annual financial statements for the year ended 31 December 2011. The accounting</w:t>
            </w:r>
          </w:p>
        </w:tc>
      </w:tr>
      <w:tr>
        <w:trPr>
          <w:trHeight w:val="0"/>
        </w:trPr>
        <w:tc>
          <w:tcPr>
            <w:tcW w:w="2160" w:type="dxa"/>
            <w:vAlign w:val="bottom"/>
          </w:tcPr>
          <w:p>
            <w:pPr>
              <w:spacing w:after="0" w:line="80" w:lineRule="exact"/>
              <w:rPr>
                <w:sz w:val="20"/>
                <w:szCs w:val="20"/>
                <w:color w:val="auto"/>
              </w:rPr>
            </w:pPr>
            <w:r>
              <w:rPr>
                <w:rFonts w:ascii="Arial" w:cs="Arial" w:eastAsia="Arial" w:hAnsi="Arial"/>
                <w:sz w:val="9"/>
                <w:szCs w:val="9"/>
                <w:color w:val="FFFFFF"/>
              </w:rPr>
              <w:t>policies and basis of preparation</w:t>
            </w:r>
          </w:p>
        </w:tc>
        <w:tc>
          <w:tcPr>
            <w:tcW w:w="9240" w:type="dxa"/>
            <w:vAlign w:val="bottom"/>
            <w:gridSpan w:val="2"/>
          </w:tcPr>
          <w:p>
            <w:pPr>
              <w:ind w:left="100"/>
              <w:spacing w:after="0" w:line="80" w:lineRule="exact"/>
              <w:rPr>
                <w:sz w:val="20"/>
                <w:szCs w:val="20"/>
                <w:color w:val="auto"/>
              </w:rPr>
            </w:pPr>
            <w:r>
              <w:rPr>
                <w:rFonts w:ascii="Arial" w:cs="Arial" w:eastAsia="Arial" w:hAnsi="Arial"/>
                <w:sz w:val="9"/>
                <w:szCs w:val="9"/>
                <w:color w:val="FFFFFF"/>
              </w:rPr>
              <w:t>in the preparation of the interim financial information are the same as those used in the annual financial statements for the year ended 31 December 2011.</w:t>
            </w:r>
          </w:p>
        </w:tc>
      </w:tr>
    </w:tbl>
    <w:p>
      <w:pPr>
        <w:ind w:right="80"/>
        <w:spacing w:after="0" w:line="234" w:lineRule="auto"/>
        <w:rPr>
          <w:sz w:val="20"/>
          <w:szCs w:val="20"/>
          <w:color w:val="auto"/>
        </w:rPr>
      </w:pPr>
      <w:r>
        <w:rPr>
          <w:rFonts w:ascii="Arial" w:cs="Arial" w:eastAsia="Arial" w:hAnsi="Arial"/>
          <w:sz w:val="9"/>
          <w:szCs w:val="9"/>
          <w:color w:val="FFFFFF"/>
        </w:rPr>
        <w:t>As at 30 June 2012, the Group hadadoptednetcurrent liability position of HK$103.3 million (31 December 2011: HK$3,023.6 million). The Group expects it will generate positive cash flows in the second half of 2012 to meet its financial liabilities as and when they fall due. In addition, on 31 July 2012, the Group amended the Wynn Macau Credit Facilities and expanded its availability to US$2.3 billion (approximately HK$17.9 billion) equivalent. The Group believes it has sufficient working capital to finance its operations and financial obligations.</w:t>
      </w:r>
    </w:p>
    <w:p>
      <w:pPr>
        <w:sectPr>
          <w:pgSz w:w="11900" w:h="16838" w:orient="portrait"/>
          <w:cols w:equalWidth="0" w:num="1">
            <w:col w:w="11400"/>
          </w:cols>
          <w:pgMar w:left="240" w:top="1440" w:right="25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Interiminterim ReportFinancial2012Information55</w:t>
      </w:r>
    </w:p>
    <w:p>
      <w:pPr>
        <w:spacing w:after="0" w:line="187" w:lineRule="auto"/>
        <w:rPr>
          <w:sz w:val="20"/>
          <w:szCs w:val="20"/>
          <w:color w:val="auto"/>
        </w:rPr>
      </w:pPr>
      <w:r>
        <w:rPr>
          <w:rFonts w:ascii="Arial" w:cs="Arial" w:eastAsia="Arial" w:hAnsi="Arial"/>
          <w:sz w:val="9"/>
          <w:szCs w:val="9"/>
          <w:color w:val="FFFFFF"/>
        </w:rPr>
        <w:t>Notes to Interim Financial Information</w:t>
      </w:r>
    </w:p>
    <w:p>
      <w:pPr>
        <w:spacing w:after="0" w:line="188" w:lineRule="auto"/>
        <w:rPr>
          <w:sz w:val="20"/>
          <w:szCs w:val="20"/>
          <w:color w:val="auto"/>
        </w:rPr>
      </w:pPr>
      <w:r>
        <w:rPr>
          <w:rFonts w:ascii="Arial" w:cs="Arial" w:eastAsia="Arial" w:hAnsi="Arial"/>
          <w:sz w:val="9"/>
          <w:szCs w:val="9"/>
          <w:color w:val="FFFFFF"/>
        </w:rPr>
        <w:t>IMPACTForthesixOFmonthsNEWendedAND 30REVISEDJune2012IFRSs</w:t>
      </w:r>
    </w:p>
    <w:p>
      <w:pPr>
        <w:spacing w:after="0" w:line="188" w:lineRule="auto"/>
        <w:rPr>
          <w:sz w:val="20"/>
          <w:szCs w:val="20"/>
          <w:color w:val="auto"/>
        </w:rPr>
      </w:pPr>
      <w:r>
        <w:rPr>
          <w:rFonts w:ascii="Arial" w:cs="Arial" w:eastAsia="Arial" w:hAnsi="Arial"/>
          <w:sz w:val="9"/>
          <w:szCs w:val="9"/>
          <w:color w:val="FFFFFF"/>
        </w:rPr>
        <w:t>IFRSTheGroup1AmendmentshasadoptedAmendmentsthefollowingto newIFRSand1Firstrevised-timeIFRSsAdoptionfortheof firstInternationaltimefor the current period’s interim financial information:</w:t>
      </w:r>
    </w:p>
    <w:p>
      <w:pPr>
        <w:spacing w:after="0"/>
        <w:rPr>
          <w:sz w:val="20"/>
          <w:szCs w:val="20"/>
          <w:color w:val="auto"/>
        </w:rPr>
      </w:pPr>
      <w:r>
        <w:rPr>
          <w:rFonts w:ascii="Arial" w:cs="Arial" w:eastAsia="Arial" w:hAnsi="Arial"/>
          <w:sz w:val="3"/>
          <w:szCs w:val="3"/>
          <w:color w:val="FFFFFF"/>
        </w:rPr>
        <w:t>RemovalFinancial ofReportingFixedDatesStandardsforFirst—-timeSevereAdoptersHyperinflation and</w:t>
      </w:r>
    </w:p>
    <w:p>
      <w:pPr>
        <w:spacing w:after="0" w:line="194" w:lineRule="auto"/>
        <w:rPr>
          <w:sz w:val="20"/>
          <w:szCs w:val="20"/>
          <w:color w:val="auto"/>
        </w:rPr>
      </w:pPr>
      <w:r>
        <w:rPr>
          <w:rFonts w:ascii="Arial" w:cs="Arial" w:eastAsia="Arial" w:hAnsi="Arial"/>
          <w:sz w:val="5"/>
          <w:szCs w:val="5"/>
          <w:color w:val="FFFFFF"/>
        </w:rPr>
        <w:t>IFRS 7 Amendments Amendments to IFRS 7 Financial Instruments: Disclosures</w:t>
      </w:r>
    </w:p>
    <w:p>
      <w:pPr>
        <w:spacing w:after="0" w:line="188" w:lineRule="auto"/>
        <w:rPr>
          <w:sz w:val="20"/>
          <w:szCs w:val="20"/>
          <w:color w:val="auto"/>
        </w:rPr>
      </w:pPr>
      <w:r>
        <w:rPr>
          <w:rFonts w:ascii="Arial" w:cs="Arial" w:eastAsia="Arial" w:hAnsi="Arial"/>
          <w:sz w:val="9"/>
          <w:szCs w:val="9"/>
          <w:color w:val="FFFFFF"/>
        </w:rPr>
        <w:t>– Transfer of Financial Assets</w:t>
      </w:r>
    </w:p>
    <w:p>
      <w:pPr>
        <w:spacing w:after="0"/>
        <w:rPr>
          <w:sz w:val="20"/>
          <w:szCs w:val="20"/>
          <w:color w:val="auto"/>
        </w:rPr>
      </w:pPr>
      <w:r>
        <w:rPr>
          <w:rFonts w:ascii="Arial" w:cs="Arial" w:eastAsia="Arial" w:hAnsi="Arial"/>
          <w:sz w:val="3"/>
          <w:szCs w:val="3"/>
          <w:color w:val="FFFFFF"/>
        </w:rPr>
        <w:t>UnderlyingIAS12AmendmentsAssets Amendments to IAS 12 Income tax — Deferred Tax: Recovery of</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The adoption of these new and revised IFRSs and interpretations has had no significant financial effects on the interim financial information and there have been no significant changes to the accounting policies applied in the interim financial information.</w:t>
      </w:r>
    </w:p>
    <w:p>
      <w:pPr>
        <w:spacing w:after="0"/>
        <w:rPr>
          <w:sz w:val="20"/>
          <w:szCs w:val="20"/>
          <w:color w:val="auto"/>
        </w:rPr>
      </w:pPr>
      <w:r>
        <w:rPr>
          <w:rFonts w:ascii="Arial" w:cs="Arial" w:eastAsia="Arial" w:hAnsi="Arial"/>
          <w:sz w:val="3"/>
          <w:szCs w:val="3"/>
          <w:color w:val="FFFFFF"/>
        </w:rPr>
        <w:t>IMPACT OF ISSUED BUT NOT YET EFFECTIVE IFRSs</w:t>
      </w:r>
    </w:p>
    <w:p>
      <w:pPr>
        <w:spacing w:after="0" w:line="194" w:lineRule="auto"/>
        <w:rPr>
          <w:sz w:val="20"/>
          <w:szCs w:val="20"/>
          <w:color w:val="auto"/>
        </w:rPr>
      </w:pPr>
      <w:r>
        <w:rPr>
          <w:rFonts w:ascii="Arial" w:cs="Arial" w:eastAsia="Arial" w:hAnsi="Arial"/>
          <w:sz w:val="5"/>
          <w:szCs w:val="5"/>
          <w:color w:val="FFFFFF"/>
        </w:rPr>
        <w:t>The Group has not early adopted the new and revised IFRSs that have been issued, but are not yet effective.</w:t>
      </w:r>
    </w:p>
    <w:p>
      <w:pPr>
        <w:spacing w:after="0"/>
        <w:rPr>
          <w:sz w:val="20"/>
          <w:szCs w:val="20"/>
          <w:color w:val="auto"/>
        </w:rPr>
      </w:pPr>
      <w:r>
        <w:rPr>
          <w:rFonts w:ascii="Arial" w:cs="Arial" w:eastAsia="Arial" w:hAnsi="Arial"/>
          <w:sz w:val="3"/>
          <w:szCs w:val="3"/>
          <w:color w:val="FFFFFF"/>
        </w:rPr>
        <w:t>SEGMENT REPORTING</w:t>
      </w:r>
    </w:p>
    <w:p>
      <w:pPr>
        <w:spacing w:after="0" w:line="194" w:lineRule="auto"/>
        <w:rPr>
          <w:sz w:val="20"/>
          <w:szCs w:val="20"/>
          <w:color w:val="auto"/>
        </w:rPr>
      </w:pPr>
      <w:r>
        <w:rPr>
          <w:rFonts w:ascii="Arial" w:cs="Arial" w:eastAsia="Arial" w:hAnsi="Arial"/>
          <w:sz w:val="3"/>
          <w:szCs w:val="3"/>
          <w:color w:val="FFFFFF"/>
        </w:rPr>
        <w:t>The Group currently operates</w:t>
      </w:r>
      <w:r>
        <w:rPr>
          <w:rFonts w:ascii="Arial" w:cs="Arial" w:eastAsia="Arial" w:hAnsi="Arial"/>
          <w:sz w:val="5"/>
          <w:szCs w:val="5"/>
          <w:color w:val="FFFFFF"/>
          <w:vertAlign w:val="subscript"/>
        </w:rPr>
        <w:t>Accordingly</w:t>
      </w:r>
      <w:r>
        <w:rPr>
          <w:rFonts w:ascii="Arial" w:cs="Arial" w:eastAsia="Arial" w:hAnsi="Arial"/>
          <w:sz w:val="3"/>
          <w:szCs w:val="3"/>
          <w:color w:val="FFFFFF"/>
        </w:rPr>
        <w:t>onebusiness segment, namely,</w:t>
      </w:r>
      <w:r>
        <w:rPr>
          <w:rFonts w:ascii="Arial" w:cs="Arial" w:eastAsia="Arial" w:hAnsi="Arial"/>
          <w:sz w:val="5"/>
          <w:szCs w:val="5"/>
          <w:color w:val="FFFFFF"/>
          <w:vertAlign w:val="subscript"/>
        </w:rPr>
        <w:t>have</w:t>
      </w:r>
      <w:r>
        <w:rPr>
          <w:rFonts w:ascii="Arial" w:cs="Arial" w:eastAsia="Arial" w:hAnsi="Arial"/>
          <w:sz w:val="3"/>
          <w:szCs w:val="3"/>
          <w:color w:val="FFFFFF"/>
        </w:rPr>
        <w:t>the management of its casino and hotel resort. A single management team reports to the chief operating decision-maker who comprehensively</w:t>
      </w:r>
    </w:p>
    <w:p>
      <w:pPr>
        <w:spacing w:after="0"/>
        <w:tabs>
          <w:tab w:leader="none" w:pos="2220" w:val="left"/>
          <w:tab w:leader="none" w:pos="3640" w:val="left"/>
        </w:tabs>
        <w:rPr>
          <w:sz w:val="20"/>
          <w:szCs w:val="20"/>
          <w:color w:val="auto"/>
        </w:rPr>
      </w:pPr>
      <w:r>
        <w:rPr>
          <w:rFonts w:ascii="Arial" w:cs="Arial" w:eastAsia="Arial" w:hAnsi="Arial"/>
          <w:sz w:val="14"/>
          <w:szCs w:val="14"/>
          <w:color w:val="FFFFFF"/>
        </w:rPr>
        <w:t>manages the entire business.</w:t>
      </w:r>
      <w:r>
        <w:rPr>
          <w:sz w:val="20"/>
          <w:szCs w:val="20"/>
          <w:color w:val="auto"/>
        </w:rPr>
        <w:tab/>
      </w:r>
      <w:r>
        <w:rPr>
          <w:rFonts w:ascii="Arial" w:cs="Arial" w:eastAsia="Arial" w:hAnsi="Arial"/>
          <w:sz w:val="14"/>
          <w:szCs w:val="14"/>
          <w:color w:val="FFFFFF"/>
        </w:rPr>
        <w:t>, the Group does not</w:t>
      </w:r>
      <w:r>
        <w:rPr>
          <w:sz w:val="20"/>
          <w:szCs w:val="20"/>
          <w:color w:val="auto"/>
        </w:rPr>
        <w:tab/>
      </w:r>
      <w:r>
        <w:rPr>
          <w:rFonts w:ascii="Arial" w:cs="Arial" w:eastAsia="Arial" w:hAnsi="Arial"/>
          <w:sz w:val="11"/>
          <w:szCs w:val="11"/>
          <w:color w:val="FFFFFF"/>
        </w:rPr>
        <w:t>separate reportable segments.</w:t>
      </w:r>
    </w:p>
    <w:p>
      <w:pPr>
        <w:sectPr>
          <w:pgSz w:w="11900" w:h="16838" w:orient="portrait"/>
          <w:cols w:equalWidth="0" w:num="1">
            <w:col w:w="11360"/>
          </w:cols>
          <w:pgMar w:left="240" w:top="1440" w:right="29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gridSpan w:val="3"/>
          </w:tcPr>
          <w:p>
            <w:pPr>
              <w:spacing w:after="0"/>
              <w:rPr>
                <w:sz w:val="20"/>
                <w:szCs w:val="20"/>
                <w:color w:val="auto"/>
              </w:rPr>
            </w:pPr>
            <w:r>
              <w:rPr>
                <w:rFonts w:ascii="Arial" w:cs="Arial" w:eastAsia="Arial" w:hAnsi="Arial"/>
                <w:sz w:val="14"/>
                <w:szCs w:val="14"/>
                <w:color w:val="FFFFFF"/>
              </w:rPr>
              <w:t>56 Wynn Macau, Limited</w:t>
            </w: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spacing w:after="0"/>
              <w:rPr>
                <w:sz w:val="20"/>
                <w:szCs w:val="20"/>
                <w:color w:val="auto"/>
              </w:rPr>
            </w:pPr>
            <w:r>
              <w:rPr>
                <w:rFonts w:ascii="Arial" w:cs="Arial" w:eastAsia="Arial" w:hAnsi="Arial"/>
                <w:sz w:val="3"/>
                <w:szCs w:val="3"/>
                <w:color w:val="FFFFFF"/>
              </w:rPr>
              <w:t>Interim Financial Information</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spacing w:after="0"/>
              <w:rPr>
                <w:sz w:val="20"/>
                <w:szCs w:val="20"/>
                <w:color w:val="auto"/>
              </w:rPr>
            </w:pPr>
            <w:r>
              <w:rPr>
                <w:rFonts w:ascii="Arial" w:cs="Arial" w:eastAsia="Arial" w:hAnsi="Arial"/>
                <w:sz w:val="3"/>
                <w:szCs w:val="3"/>
                <w:color w:val="FFFFFF"/>
              </w:rPr>
              <w:t>For the six months ended 30 June 2012</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spacing w:after="0"/>
              <w:rPr>
                <w:sz w:val="20"/>
                <w:szCs w:val="20"/>
                <w:color w:val="auto"/>
              </w:rPr>
            </w:pPr>
            <w:r>
              <w:rPr>
                <w:rFonts w:ascii="Arial" w:cs="Arial" w:eastAsia="Arial" w:hAnsi="Arial"/>
                <w:sz w:val="3"/>
                <w:szCs w:val="3"/>
                <w:color w:val="FFFFFF"/>
              </w:rPr>
              <w:t>3. OTHER OPERATING EXPENSES</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spacing w:after="0"/>
              <w:rPr>
                <w:sz w:val="20"/>
                <w:szCs w:val="20"/>
                <w:color w:val="auto"/>
              </w:rPr>
            </w:pPr>
            <w:r>
              <w:rPr>
                <w:rFonts w:ascii="Arial" w:cs="Arial" w:eastAsia="Arial" w:hAnsi="Arial"/>
                <w:sz w:val="3"/>
                <w:szCs w:val="3"/>
                <w:color w:val="FFFFFF"/>
              </w:rPr>
              <w:t>For the Six Months Ended</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gridSpan w:val="2"/>
          </w:tcPr>
          <w:p>
            <w:pPr>
              <w:spacing w:after="0"/>
              <w:rPr>
                <w:sz w:val="20"/>
                <w:szCs w:val="20"/>
                <w:color w:val="auto"/>
              </w:rPr>
            </w:pPr>
            <w:r>
              <w:rPr>
                <w:rFonts w:ascii="Arial" w:cs="Arial" w:eastAsia="Arial" w:hAnsi="Arial"/>
                <w:sz w:val="3"/>
                <w:szCs w:val="3"/>
                <w:color w:val="FFFFFF"/>
              </w:rPr>
              <w:t>30 June</w:t>
            </w:r>
          </w:p>
        </w:tc>
        <w:tc>
          <w:tcPr>
            <w:tcW w:w="6940" w:type="dxa"/>
            <w:vAlign w:val="bottom"/>
          </w:tcPr>
          <w:p>
            <w:pPr>
              <w:spacing w:after="0"/>
              <w:rPr>
                <w:sz w:val="3"/>
                <w:szCs w:val="3"/>
                <w:color w:val="auto"/>
              </w:rPr>
            </w:pP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2012</w:t>
            </w:r>
          </w:p>
        </w:tc>
        <w:tc>
          <w:tcPr>
            <w:tcW w:w="7200" w:type="dxa"/>
            <w:vAlign w:val="bottom"/>
            <w:gridSpan w:val="2"/>
          </w:tcPr>
          <w:p>
            <w:pPr>
              <w:jc w:val="right"/>
              <w:ind w:right="6903"/>
              <w:spacing w:after="0"/>
              <w:rPr>
                <w:sz w:val="20"/>
                <w:szCs w:val="20"/>
                <w:color w:val="auto"/>
              </w:rPr>
            </w:pPr>
            <w:r>
              <w:rPr>
                <w:rFonts w:ascii="Arial" w:cs="Arial" w:eastAsia="Arial" w:hAnsi="Arial"/>
                <w:sz w:val="3"/>
                <w:szCs w:val="3"/>
                <w:color w:val="FFFFFF"/>
              </w:rPr>
              <w:t>2011</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spacing w:after="0"/>
              <w:rPr>
                <w:sz w:val="20"/>
                <w:szCs w:val="20"/>
                <w:color w:val="auto"/>
              </w:rPr>
            </w:pPr>
            <w:r>
              <w:rPr>
                <w:rFonts w:ascii="Arial" w:cs="Arial" w:eastAsia="Arial" w:hAnsi="Arial"/>
                <w:sz w:val="3"/>
                <w:szCs w:val="3"/>
                <w:color w:val="FFFFFF"/>
              </w:rPr>
              <w:t>HK$ HK$</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ind w:left="60"/>
              <w:spacing w:after="0"/>
              <w:rPr>
                <w:sz w:val="20"/>
                <w:szCs w:val="20"/>
                <w:color w:val="auto"/>
              </w:rPr>
            </w:pPr>
            <w:r>
              <w:rPr>
                <w:rFonts w:ascii="Arial" w:cs="Arial" w:eastAsia="Arial" w:hAnsi="Arial"/>
                <w:sz w:val="3"/>
                <w:szCs w:val="3"/>
                <w:color w:val="FFFFFF"/>
              </w:rPr>
              <w:t>in thousands)</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spacing w:after="0"/>
              <w:rPr>
                <w:sz w:val="20"/>
                <w:szCs w:val="20"/>
                <w:color w:val="auto"/>
              </w:rPr>
            </w:pPr>
            <w:r>
              <w:rPr>
                <w:rFonts w:ascii="Arial" w:cs="Arial" w:eastAsia="Arial" w:hAnsi="Arial"/>
                <w:sz w:val="3"/>
                <w:szCs w:val="3"/>
                <w:color w:val="FFFFFF"/>
              </w:rPr>
              <w:t>(unaudited) (unaudited)</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spacing w:after="0"/>
              <w:rPr>
                <w:sz w:val="20"/>
                <w:szCs w:val="20"/>
                <w:color w:val="auto"/>
              </w:rPr>
            </w:pPr>
            <w:r>
              <w:rPr>
                <w:rFonts w:ascii="Arial" w:cs="Arial" w:eastAsia="Arial" w:hAnsi="Arial"/>
                <w:sz w:val="3"/>
                <w:szCs w:val="3"/>
                <w:color w:val="FFFFFF"/>
              </w:rPr>
              <w:t>Gaming promoters’ commissions 949,397 960,524</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spacing w:after="0"/>
              <w:rPr>
                <w:sz w:val="20"/>
                <w:szCs w:val="20"/>
                <w:color w:val="auto"/>
              </w:rPr>
            </w:pPr>
            <w:r>
              <w:rPr>
                <w:rFonts w:ascii="Arial" w:cs="Arial" w:eastAsia="Arial" w:hAnsi="Arial"/>
                <w:sz w:val="3"/>
                <w:szCs w:val="3"/>
                <w:color w:val="FFFFFF"/>
              </w:rPr>
              <w:t>R yalty fees 577,752 574,131</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spacing w:after="0"/>
              <w:rPr>
                <w:sz w:val="20"/>
                <w:szCs w:val="20"/>
                <w:color w:val="auto"/>
              </w:rPr>
            </w:pPr>
            <w:r>
              <w:rPr>
                <w:rFonts w:ascii="Arial" w:cs="Arial" w:eastAsia="Arial" w:hAnsi="Arial"/>
                <w:sz w:val="3"/>
                <w:szCs w:val="3"/>
                <w:color w:val="FFFFFF"/>
              </w:rPr>
              <w:t>Cost of sales 311,381 358,640</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spacing w:after="0"/>
              <w:rPr>
                <w:sz w:val="20"/>
                <w:szCs w:val="20"/>
                <w:color w:val="auto"/>
              </w:rPr>
            </w:pPr>
            <w:r>
              <w:rPr>
                <w:rFonts w:ascii="Arial" w:cs="Arial" w:eastAsia="Arial" w:hAnsi="Arial"/>
                <w:sz w:val="3"/>
                <w:szCs w:val="3"/>
                <w:color w:val="FFFFFF"/>
              </w:rPr>
              <w:t>Advertising and promotions 122,833 86,298</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spacing w:after="0"/>
              <w:rPr>
                <w:sz w:val="20"/>
                <w:szCs w:val="20"/>
                <w:color w:val="auto"/>
              </w:rPr>
            </w:pPr>
            <w:r>
              <w:rPr>
                <w:rFonts w:ascii="Arial" w:cs="Arial" w:eastAsia="Arial" w:hAnsi="Arial"/>
                <w:sz w:val="3"/>
                <w:szCs w:val="3"/>
                <w:color w:val="FFFFFF"/>
              </w:rPr>
              <w:t>Utilities and fuel 94,257 84,506</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gridSpan w:val="2"/>
          </w:tcPr>
          <w:p>
            <w:pPr>
              <w:spacing w:after="0"/>
              <w:rPr>
                <w:sz w:val="20"/>
                <w:szCs w:val="20"/>
                <w:color w:val="auto"/>
              </w:rPr>
            </w:pPr>
            <w:r>
              <w:rPr>
                <w:rFonts w:ascii="Arial" w:cs="Arial" w:eastAsia="Arial" w:hAnsi="Arial"/>
                <w:sz w:val="3"/>
                <w:szCs w:val="3"/>
                <w:color w:val="FFFFFF"/>
              </w:rPr>
              <w:t>Corporate</w:t>
            </w:r>
          </w:p>
        </w:tc>
        <w:tc>
          <w:tcPr>
            <w:tcW w:w="6940" w:type="dxa"/>
            <w:vAlign w:val="bottom"/>
          </w:tcPr>
          <w:p>
            <w:pPr>
              <w:ind w:left="280"/>
              <w:spacing w:after="0"/>
              <w:rPr>
                <w:sz w:val="20"/>
                <w:szCs w:val="20"/>
                <w:color w:val="auto"/>
              </w:rPr>
            </w:pPr>
            <w:r>
              <w:rPr>
                <w:rFonts w:ascii="Arial" w:cs="Arial" w:eastAsia="Arial" w:hAnsi="Arial"/>
                <w:sz w:val="3"/>
                <w:szCs w:val="3"/>
                <w:color w:val="FFFFFF"/>
              </w:rPr>
              <w:t>ort services and other 91,459 90,667</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940" w:type="dxa"/>
            <w:vAlign w:val="bottom"/>
          </w:tcPr>
          <w:p>
            <w:pPr>
              <w:ind w:left="20"/>
              <w:spacing w:after="0"/>
              <w:rPr>
                <w:sz w:val="20"/>
                <w:szCs w:val="20"/>
                <w:color w:val="auto"/>
              </w:rPr>
            </w:pPr>
            <w:r>
              <w:rPr>
                <w:rFonts w:ascii="Arial" w:cs="Arial" w:eastAsia="Arial" w:hAnsi="Arial"/>
                <w:sz w:val="3"/>
                <w:szCs w:val="3"/>
                <w:color w:val="FFFFFF"/>
              </w:rPr>
              <w:t>supplies and equipment 73,482 70,012</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ind w:left="100"/>
              <w:spacing w:after="0"/>
              <w:rPr>
                <w:sz w:val="20"/>
                <w:szCs w:val="20"/>
                <w:color w:val="auto"/>
              </w:rPr>
            </w:pPr>
            <w:r>
              <w:rPr>
                <w:rFonts w:ascii="Arial" w:cs="Arial" w:eastAsia="Arial" w:hAnsi="Arial"/>
                <w:sz w:val="3"/>
                <w:szCs w:val="3"/>
                <w:color w:val="FFFFFF"/>
              </w:rPr>
              <w:t>ther support services 21,007 44,689</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spacing w:after="0"/>
              <w:rPr>
                <w:sz w:val="20"/>
                <w:szCs w:val="20"/>
                <w:color w:val="auto"/>
              </w:rPr>
            </w:pPr>
            <w:r>
              <w:rPr>
                <w:rFonts w:ascii="Arial" w:cs="Arial" w:eastAsia="Arial" w:hAnsi="Arial"/>
                <w:sz w:val="3"/>
                <w:szCs w:val="3"/>
                <w:color w:val="FFFFFF"/>
              </w:rPr>
              <w:t>Operating rental expenses 12,400 10,723</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gridSpan w:val="2"/>
          </w:tcPr>
          <w:p>
            <w:pPr>
              <w:spacing w:after="0"/>
              <w:rPr>
                <w:sz w:val="20"/>
                <w:szCs w:val="20"/>
                <w:color w:val="auto"/>
              </w:rPr>
            </w:pPr>
            <w:r>
              <w:rPr>
                <w:rFonts w:ascii="Arial" w:cs="Arial" w:eastAsia="Arial" w:hAnsi="Arial"/>
                <w:sz w:val="3"/>
                <w:szCs w:val="3"/>
                <w:color w:val="FFFFFF"/>
              </w:rPr>
              <w:t>Auditor’</w:t>
            </w:r>
          </w:p>
        </w:tc>
        <w:tc>
          <w:tcPr>
            <w:tcW w:w="6940" w:type="dxa"/>
            <w:vAlign w:val="bottom"/>
          </w:tcPr>
          <w:p>
            <w:pPr>
              <w:spacing w:after="0"/>
              <w:rPr>
                <w:sz w:val="20"/>
                <w:szCs w:val="20"/>
                <w:color w:val="auto"/>
              </w:rPr>
            </w:pPr>
            <w:r>
              <w:rPr>
                <w:rFonts w:ascii="Arial" w:cs="Arial" w:eastAsia="Arial" w:hAnsi="Arial"/>
                <w:sz w:val="3"/>
                <w:szCs w:val="3"/>
                <w:color w:val="FFFFFF"/>
              </w:rPr>
              <w:t>remuneration 2,185 1,760</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gridSpan w:val="2"/>
          </w:tcPr>
          <w:p>
            <w:pPr>
              <w:spacing w:after="0"/>
              <w:rPr>
                <w:sz w:val="20"/>
                <w:szCs w:val="20"/>
                <w:color w:val="auto"/>
              </w:rPr>
            </w:pPr>
            <w:r>
              <w:rPr>
                <w:rFonts w:ascii="Arial" w:cs="Arial" w:eastAsia="Arial" w:hAnsi="Arial"/>
                <w:sz w:val="3"/>
                <w:szCs w:val="3"/>
                <w:color w:val="FFFFFF"/>
              </w:rPr>
              <w:t>Provision</w:t>
            </w:r>
          </w:p>
        </w:tc>
        <w:tc>
          <w:tcPr>
            <w:tcW w:w="6940" w:type="dxa"/>
            <w:vAlign w:val="bottom"/>
          </w:tcPr>
          <w:p>
            <w:pPr>
              <w:spacing w:after="0"/>
              <w:rPr>
                <w:sz w:val="20"/>
                <w:szCs w:val="20"/>
                <w:color w:val="auto"/>
              </w:rPr>
            </w:pPr>
            <w:r>
              <w:rPr>
                <w:rFonts w:ascii="Arial" w:cs="Arial" w:eastAsia="Arial" w:hAnsi="Arial"/>
                <w:sz w:val="3"/>
                <w:szCs w:val="3"/>
                <w:color w:val="FFFFFF"/>
              </w:rPr>
              <w:t>(reversal of provision) for doubtful accounts, net* (24,962) 42,195</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spacing w:after="0"/>
              <w:rPr>
                <w:sz w:val="20"/>
                <w:szCs w:val="20"/>
                <w:color w:val="auto"/>
              </w:rPr>
            </w:pPr>
            <w:r>
              <w:rPr>
                <w:rFonts w:ascii="Arial" w:cs="Arial" w:eastAsia="Arial" w:hAnsi="Arial"/>
                <w:sz w:val="3"/>
                <w:szCs w:val="3"/>
                <w:color w:val="FFFFFF"/>
              </w:rPr>
              <w:t>Other 173,974 152,077</w:t>
            </w: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3"/>
          </w:tcPr>
          <w:p>
            <w:pPr>
              <w:spacing w:after="0"/>
              <w:rPr>
                <w:sz w:val="20"/>
                <w:szCs w:val="20"/>
                <w:color w:val="auto"/>
              </w:rPr>
            </w:pPr>
            <w:r>
              <w:rPr>
                <w:rFonts w:ascii="Arial" w:cs="Arial" w:eastAsia="Arial" w:hAnsi="Arial"/>
                <w:sz w:val="3"/>
                <w:szCs w:val="3"/>
                <w:color w:val="FFFFFF"/>
              </w:rPr>
              <w:t>2,405,165 2,476,222</w:t>
            </w:r>
          </w:p>
        </w:tc>
        <w:tc>
          <w:tcPr>
            <w:tcW w:w="3840" w:type="dxa"/>
            <w:vAlign w:val="bottom"/>
            <w:vMerge w:val="restart"/>
          </w:tcPr>
          <w:p>
            <w:pPr>
              <w:ind w:left="140"/>
              <w:spacing w:after="0"/>
              <w:rPr>
                <w:sz w:val="20"/>
                <w:szCs w:val="20"/>
                <w:color w:val="auto"/>
              </w:rPr>
            </w:pPr>
            <w:r>
              <w:rPr>
                <w:rFonts w:ascii="Arial" w:cs="Arial" w:eastAsia="Arial" w:hAnsi="Arial"/>
                <w:sz w:val="3"/>
                <w:szCs w:val="3"/>
                <w:color w:val="FFFFFF"/>
              </w:rPr>
              <w:t>current collection trends. As a result, the Group revised its estimates</w:t>
            </w:r>
          </w:p>
        </w:tc>
        <w:tc>
          <w:tcPr>
            <w:tcW w:w="0" w:type="dxa"/>
            <w:vAlign w:val="bottom"/>
          </w:tcPr>
          <w:p>
            <w:pPr>
              <w:spacing w:after="0"/>
              <w:rPr>
                <w:sz w:val="1"/>
                <w:szCs w:val="1"/>
                <w:color w:val="auto"/>
              </w:rPr>
            </w:pPr>
          </w:p>
        </w:tc>
      </w:tr>
      <w:tr>
        <w:trPr>
          <w:trHeight w:val="0"/>
        </w:trPr>
        <w:tc>
          <w:tcPr>
            <w:tcW w:w="7500" w:type="dxa"/>
            <w:vAlign w:val="bottom"/>
            <w:gridSpan w:val="3"/>
          </w:tcPr>
          <w:p>
            <w:pPr>
              <w:spacing w:after="0" w:line="80" w:lineRule="exact"/>
              <w:rPr>
                <w:sz w:val="20"/>
                <w:szCs w:val="20"/>
                <w:color w:val="auto"/>
              </w:rPr>
            </w:pPr>
            <w:r>
              <w:rPr>
                <w:rFonts w:ascii="Arial" w:cs="Arial" w:eastAsia="Arial" w:hAnsi="Arial"/>
                <w:sz w:val="9"/>
                <w:szCs w:val="9"/>
                <w:color w:val="FFFFFF"/>
              </w:rPr>
              <w:t>During the six months ended 30 June 2012 the Group evaluated its reserve estimates based on the results of historical collection patterns</w:t>
            </w:r>
          </w:p>
        </w:tc>
        <w:tc>
          <w:tcPr>
            <w:tcW w:w="3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and recorded a HK$165 million credit against its provision for doubtful accounts, which decreased the provision for doubtful accounts to andnet HK$25.0 million credit.</w:t>
      </w:r>
    </w:p>
    <w:p>
      <w:pPr>
        <w:sectPr>
          <w:pgSz w:w="11900" w:h="16838" w:orient="portrait"/>
          <w:cols w:equalWidth="0" w:num="1">
            <w:col w:w="11340"/>
          </w:cols>
          <w:pgMar w:left="240" w:top="1440" w:right="31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0860" w:type="dxa"/>
            <w:vAlign w:val="bottom"/>
          </w:tcPr>
          <w:p>
            <w:pPr>
              <w:jc w:val="right"/>
              <w:ind w:right="9843"/>
              <w:spacing w:after="0"/>
              <w:rPr>
                <w:sz w:val="20"/>
                <w:szCs w:val="20"/>
                <w:color w:val="auto"/>
              </w:rPr>
            </w:pPr>
            <w:r>
              <w:rPr>
                <w:rFonts w:ascii="Arial" w:cs="Arial" w:eastAsia="Arial" w:hAnsi="Arial"/>
                <w:sz w:val="14"/>
                <w:szCs w:val="14"/>
                <w:color w:val="FFFFFF"/>
                <w:w w:val="99"/>
              </w:rPr>
              <w:t>Report 2012 57</w:t>
            </w:r>
          </w:p>
        </w:tc>
      </w:tr>
      <w:tr>
        <w:trPr>
          <w:trHeight w:val="41"/>
        </w:trPr>
        <w:tc>
          <w:tcPr>
            <w:tcW w:w="1116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r>
      <w:tr>
        <w:trPr>
          <w:trHeight w:val="41"/>
        </w:trPr>
        <w:tc>
          <w:tcPr>
            <w:tcW w:w="11160" w:type="dxa"/>
            <w:vAlign w:val="bottom"/>
            <w:gridSpan w:val="2"/>
          </w:tcPr>
          <w:p>
            <w:pPr>
              <w:spacing w:after="0"/>
              <w:rPr>
                <w:sz w:val="20"/>
                <w:szCs w:val="20"/>
                <w:color w:val="auto"/>
              </w:rPr>
            </w:pPr>
            <w:r>
              <w:rPr>
                <w:rFonts w:ascii="Arial" w:cs="Arial" w:eastAsia="Arial" w:hAnsi="Arial"/>
                <w:sz w:val="3"/>
                <w:szCs w:val="3"/>
                <w:color w:val="FFFFFF"/>
              </w:rPr>
              <w:t>Notes to Interim Financial Information</w:t>
            </w:r>
          </w:p>
        </w:tc>
      </w:tr>
      <w:tr>
        <w:trPr>
          <w:trHeight w:val="41"/>
        </w:trPr>
        <w:tc>
          <w:tcPr>
            <w:tcW w:w="11160" w:type="dxa"/>
            <w:vAlign w:val="bottom"/>
            <w:gridSpan w:val="2"/>
          </w:tcPr>
          <w:p>
            <w:pPr>
              <w:spacing w:after="0"/>
              <w:rPr>
                <w:sz w:val="20"/>
                <w:szCs w:val="20"/>
                <w:color w:val="auto"/>
              </w:rPr>
            </w:pPr>
            <w:r>
              <w:rPr>
                <w:rFonts w:ascii="Arial" w:cs="Arial" w:eastAsia="Arial" w:hAnsi="Arial"/>
                <w:sz w:val="3"/>
                <w:szCs w:val="3"/>
                <w:color w:val="FFFFFF"/>
              </w:rPr>
              <w:t>For the six months ended 30 June 2012</w:t>
            </w:r>
          </w:p>
        </w:tc>
      </w:tr>
      <w:tr>
        <w:trPr>
          <w:trHeight w:val="41"/>
        </w:trPr>
        <w:tc>
          <w:tcPr>
            <w:tcW w:w="11160" w:type="dxa"/>
            <w:vAlign w:val="bottom"/>
            <w:gridSpan w:val="2"/>
          </w:tcPr>
          <w:p>
            <w:pPr>
              <w:spacing w:after="0"/>
              <w:rPr>
                <w:sz w:val="20"/>
                <w:szCs w:val="20"/>
                <w:color w:val="auto"/>
              </w:rPr>
            </w:pPr>
            <w:r>
              <w:rPr>
                <w:rFonts w:ascii="Arial" w:cs="Arial" w:eastAsia="Arial" w:hAnsi="Arial"/>
                <w:sz w:val="3"/>
                <w:szCs w:val="3"/>
                <w:color w:val="FFFFFF"/>
              </w:rPr>
              <w:t>PROPERTY CHARGES AND OTHER</w:t>
            </w:r>
          </w:p>
        </w:tc>
      </w:tr>
      <w:tr>
        <w:trPr>
          <w:trHeight w:val="41"/>
        </w:trPr>
        <w:tc>
          <w:tcPr>
            <w:tcW w:w="11160" w:type="dxa"/>
            <w:vAlign w:val="bottom"/>
            <w:gridSpan w:val="2"/>
          </w:tcPr>
          <w:p>
            <w:pPr>
              <w:spacing w:after="0"/>
              <w:rPr>
                <w:sz w:val="20"/>
                <w:szCs w:val="20"/>
                <w:color w:val="auto"/>
              </w:rPr>
            </w:pPr>
            <w:r>
              <w:rPr>
                <w:rFonts w:ascii="Arial" w:cs="Arial" w:eastAsia="Arial" w:hAnsi="Arial"/>
                <w:sz w:val="3"/>
                <w:szCs w:val="3"/>
                <w:color w:val="FFFFFF"/>
              </w:rPr>
              <w:t>“Property charges and other” for the six months ended 30 June 2012 relates primarily to asset abandonment losses of property and equipment and construction in progress abandoned as a result of renovating</w:t>
            </w:r>
          </w:p>
        </w:tc>
      </w:tr>
      <w:tr>
        <w:trPr>
          <w:trHeight w:val="41"/>
        </w:trPr>
        <w:tc>
          <w:tcPr>
            <w:tcW w:w="11160" w:type="dxa"/>
            <w:vAlign w:val="bottom"/>
            <w:gridSpan w:val="2"/>
          </w:tcPr>
          <w:p>
            <w:pPr>
              <w:spacing w:after="0"/>
              <w:rPr>
                <w:sz w:val="20"/>
                <w:szCs w:val="20"/>
                <w:color w:val="auto"/>
              </w:rPr>
            </w:pPr>
            <w:r>
              <w:rPr>
                <w:rFonts w:ascii="Arial" w:cs="Arial" w:eastAsia="Arial" w:hAnsi="Arial"/>
                <w:sz w:val="3"/>
                <w:szCs w:val="3"/>
                <w:color w:val="FFFFFF"/>
              </w:rPr>
              <w:t>certain assets of Wynn Macau in response to customer preferences and changes in market demand. As for the six months ended 30 June 2011, it includes a donation made by the Group to the University of</w:t>
            </w:r>
          </w:p>
        </w:tc>
      </w:tr>
      <w:tr>
        <w:trPr>
          <w:trHeight w:val="41"/>
        </w:trPr>
        <w:tc>
          <w:tcPr>
            <w:tcW w:w="11160" w:type="dxa"/>
            <w:vAlign w:val="bottom"/>
            <w:gridSpan w:val="2"/>
          </w:tcPr>
          <w:p>
            <w:pPr>
              <w:spacing w:after="0"/>
              <w:rPr>
                <w:sz w:val="20"/>
                <w:szCs w:val="20"/>
                <w:color w:val="auto"/>
              </w:rPr>
            </w:pPr>
            <w:r>
              <w:rPr>
                <w:rFonts w:ascii="Arial" w:cs="Arial" w:eastAsia="Arial" w:hAnsi="Arial"/>
                <w:sz w:val="3"/>
                <w:szCs w:val="3"/>
                <w:color w:val="FFFFFF"/>
              </w:rPr>
              <w:t>Macau Development Foundation (the “Foundation”).</w:t>
            </w:r>
          </w:p>
        </w:tc>
      </w:tr>
      <w:tr>
        <w:trPr>
          <w:trHeight w:val="41"/>
        </w:trPr>
        <w:tc>
          <w:tcPr>
            <w:tcW w:w="11160" w:type="dxa"/>
            <w:vAlign w:val="bottom"/>
            <w:gridSpan w:val="2"/>
          </w:tcPr>
          <w:p>
            <w:pPr>
              <w:spacing w:after="0"/>
              <w:rPr>
                <w:sz w:val="20"/>
                <w:szCs w:val="20"/>
                <w:color w:val="auto"/>
              </w:rPr>
            </w:pPr>
            <w:r>
              <w:rPr>
                <w:rFonts w:ascii="Arial" w:cs="Arial" w:eastAsia="Arial" w:hAnsi="Arial"/>
                <w:sz w:val="3"/>
                <w:szCs w:val="3"/>
                <w:color w:val="FFFFFF"/>
              </w:rPr>
              <w:t>In May 2011, the Group entered into an agreement with the Foundation to donate  certain amount to the Foundation with the primary purpose of supporting the creation, promotion, operation, and other</w:t>
            </w:r>
          </w:p>
        </w:tc>
      </w:tr>
      <w:tr>
        <w:trPr>
          <w:trHeight w:val="41"/>
        </w:trPr>
        <w:tc>
          <w:tcPr>
            <w:tcW w:w="11160" w:type="dxa"/>
            <w:vAlign w:val="bottom"/>
            <w:gridSpan w:val="2"/>
          </w:tcPr>
          <w:p>
            <w:pPr>
              <w:spacing w:after="0"/>
              <w:rPr>
                <w:sz w:val="20"/>
                <w:szCs w:val="20"/>
                <w:color w:val="auto"/>
              </w:rPr>
            </w:pPr>
            <w:r>
              <w:rPr>
                <w:rFonts w:ascii="Arial" w:cs="Arial" w:eastAsia="Arial" w:hAnsi="Arial"/>
                <w:sz w:val="3"/>
                <w:szCs w:val="3"/>
                <w:color w:val="FFFFFF"/>
              </w:rPr>
              <w:t>activities related to the Asia-Pacific Academy of Economics and Management created by the University of Macau. Under such agreement, the Group donated MOP200.0 million (approximately HK$194.2</w:t>
            </w:r>
          </w:p>
        </w:tc>
      </w:tr>
      <w:tr>
        <w:trPr>
          <w:trHeight w:val="41"/>
        </w:trPr>
        <w:tc>
          <w:tcPr>
            <w:tcW w:w="11160" w:type="dxa"/>
            <w:vAlign w:val="bottom"/>
            <w:gridSpan w:val="2"/>
          </w:tcPr>
          <w:p>
            <w:pPr>
              <w:spacing w:after="0"/>
              <w:rPr>
                <w:sz w:val="20"/>
                <w:szCs w:val="20"/>
                <w:color w:val="auto"/>
              </w:rPr>
            </w:pPr>
            <w:r>
              <w:rPr>
                <w:rFonts w:ascii="Arial" w:cs="Arial" w:eastAsia="Arial" w:hAnsi="Arial"/>
                <w:sz w:val="3"/>
                <w:szCs w:val="3"/>
                <w:color w:val="FFFFFF"/>
              </w:rPr>
              <w:t>million) in May 2011, and for each of the years from 2012 through 2022, the Group will donate MOP80.0 million (approximately HK$77.7 million).</w:t>
            </w:r>
          </w:p>
        </w:tc>
      </w:tr>
      <w:tr>
        <w:trPr>
          <w:trHeight w:val="41"/>
        </w:trPr>
        <w:tc>
          <w:tcPr>
            <w:tcW w:w="11160" w:type="dxa"/>
            <w:vAlign w:val="bottom"/>
            <w:gridSpan w:val="2"/>
          </w:tcPr>
          <w:p>
            <w:pPr>
              <w:spacing w:after="0"/>
              <w:rPr>
                <w:sz w:val="20"/>
                <w:szCs w:val="20"/>
                <w:color w:val="auto"/>
              </w:rPr>
            </w:pPr>
            <w:r>
              <w:rPr>
                <w:rFonts w:ascii="Arial" w:cs="Arial" w:eastAsia="Arial" w:hAnsi="Arial"/>
                <w:sz w:val="3"/>
                <w:szCs w:val="3"/>
                <w:color w:val="FFFFFF"/>
              </w:rPr>
              <w:t>As a result of the above arrangement, the Group recognized approximately HK$831.1 million representing the present value of the donation as an expense for the six months ended 30 June 2011.</w:t>
            </w:r>
          </w:p>
        </w:tc>
      </w:tr>
      <w:tr>
        <w:trPr>
          <w:trHeight w:val="41"/>
        </w:trPr>
        <w:tc>
          <w:tcPr>
            <w:tcW w:w="11160" w:type="dxa"/>
            <w:vAlign w:val="bottom"/>
            <w:gridSpan w:val="2"/>
          </w:tcPr>
          <w:p>
            <w:pPr>
              <w:spacing w:after="0"/>
              <w:rPr>
                <w:sz w:val="20"/>
                <w:szCs w:val="20"/>
                <w:color w:val="auto"/>
              </w:rPr>
            </w:pPr>
            <w:r>
              <w:rPr>
                <w:rFonts w:ascii="Arial" w:cs="Arial" w:eastAsia="Arial" w:hAnsi="Arial"/>
                <w:sz w:val="3"/>
                <w:szCs w:val="3"/>
                <w:color w:val="FFFFFF"/>
              </w:rPr>
              <w:t>FINANCE REVENUES</w:t>
            </w:r>
          </w:p>
        </w:tc>
      </w:tr>
      <w:tr>
        <w:trPr>
          <w:trHeight w:val="41"/>
        </w:trPr>
        <w:tc>
          <w:tcPr>
            <w:tcW w:w="11160" w:type="dxa"/>
            <w:vAlign w:val="bottom"/>
            <w:gridSpan w:val="2"/>
          </w:tcPr>
          <w:p>
            <w:pPr>
              <w:spacing w:after="0"/>
              <w:rPr>
                <w:sz w:val="20"/>
                <w:szCs w:val="20"/>
                <w:color w:val="auto"/>
              </w:rPr>
            </w:pPr>
            <w:r>
              <w:rPr>
                <w:rFonts w:ascii="Arial" w:cs="Arial" w:eastAsia="Arial" w:hAnsi="Arial"/>
                <w:sz w:val="3"/>
                <w:szCs w:val="3"/>
                <w:color w:val="FFFFFF"/>
              </w:rPr>
              <w:t>30 June</w:t>
            </w:r>
          </w:p>
        </w:tc>
      </w:tr>
      <w:tr>
        <w:trPr>
          <w:trHeight w:val="1"/>
        </w:trPr>
        <w:tc>
          <w:tcPr>
            <w:tcW w:w="300" w:type="dxa"/>
            <w:vAlign w:val="bottom"/>
          </w:tcPr>
          <w:p>
            <w:pPr>
              <w:spacing w:after="0" w:line="2" w:lineRule="exact"/>
              <w:rPr>
                <w:sz w:val="20"/>
                <w:szCs w:val="20"/>
                <w:color w:val="auto"/>
              </w:rPr>
            </w:pPr>
            <w:r>
              <w:rPr>
                <w:rFonts w:ascii="Arial" w:cs="Arial" w:eastAsia="Arial" w:hAnsi="Arial"/>
                <w:sz w:val="1"/>
                <w:szCs w:val="1"/>
                <w:color w:val="FFFFFF"/>
              </w:rPr>
              <w:t>2012</w:t>
            </w:r>
          </w:p>
        </w:tc>
        <w:tc>
          <w:tcPr>
            <w:tcW w:w="10860" w:type="dxa"/>
            <w:vAlign w:val="bottom"/>
          </w:tcPr>
          <w:p>
            <w:pPr>
              <w:jc w:val="right"/>
              <w:ind w:right="10543"/>
              <w:spacing w:after="0" w:line="2" w:lineRule="exact"/>
              <w:rPr>
                <w:sz w:val="20"/>
                <w:szCs w:val="20"/>
                <w:color w:val="auto"/>
              </w:rPr>
            </w:pPr>
            <w:r>
              <w:rPr>
                <w:rFonts w:ascii="Arial" w:cs="Arial" w:eastAsia="Arial" w:hAnsi="Arial"/>
                <w:sz w:val="1"/>
                <w:szCs w:val="1"/>
                <w:color w:val="FFFFFF"/>
              </w:rPr>
              <w:t>2011</w:t>
            </w:r>
          </w:p>
        </w:tc>
      </w:tr>
    </w:tbl>
    <w:p>
      <w:pPr>
        <w:spacing w:after="0" w:line="211"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HKinthousands)$HK$</w:t>
      </w:r>
    </w:p>
    <w:p>
      <w:pPr>
        <w:ind w:left="660"/>
        <w:spacing w:after="0"/>
        <w:rPr>
          <w:sz w:val="20"/>
          <w:szCs w:val="20"/>
          <w:color w:val="auto"/>
        </w:rPr>
      </w:pPr>
      <w:r>
        <w:rPr>
          <w:rFonts w:ascii="Arial" w:cs="Arial" w:eastAsia="Arial" w:hAnsi="Arial"/>
          <w:sz w:val="14"/>
          <w:szCs w:val="14"/>
          <w:color w:val="FFFFFF"/>
        </w:rPr>
        <w:t>(unaudited)</w:t>
      </w:r>
    </w:p>
    <w:p>
      <w:pPr>
        <w:spacing w:after="0" w:line="220" w:lineRule="auto"/>
        <w:rPr>
          <w:sz w:val="20"/>
          <w:szCs w:val="20"/>
          <w:color w:val="auto"/>
        </w:rPr>
      </w:pPr>
      <w:r>
        <w:rPr>
          <w:rFonts w:ascii="Arial" w:cs="Arial" w:eastAsia="Arial" w:hAnsi="Arial"/>
          <w:sz w:val="2"/>
          <w:szCs w:val="2"/>
          <w:color w:val="FFFFFF"/>
        </w:rPr>
        <w:t>– unlisted</w:t>
      </w:r>
      <w:r>
        <w:rPr>
          <w:rFonts w:ascii="Arial" w:cs="Arial" w:eastAsia="Arial" w:hAnsi="Arial"/>
          <w:sz w:val="4"/>
          <w:szCs w:val="4"/>
          <w:color w:val="FFFFFF"/>
          <w:vertAlign w:val="superscript"/>
        </w:rPr>
        <w:t>4,930</w:t>
      </w:r>
      <w:r>
        <w:rPr>
          <w:rFonts w:ascii="Arial" w:cs="Arial" w:eastAsia="Arial" w:hAnsi="Arial"/>
          <w:sz w:val="2"/>
          <w:szCs w:val="2"/>
          <w:color w:val="FFFFFF"/>
        </w:rPr>
        <w:t>1,294</w:t>
      </w:r>
      <w:r>
        <w:rPr>
          <w:rFonts w:ascii="Arial" w:cs="Arial" w:eastAsia="Arial" w:hAnsi="Arial"/>
          <w:sz w:val="4"/>
          <w:szCs w:val="4"/>
          <w:color w:val="FFFFFF"/>
          <w:vertAlign w:val="superscript"/>
        </w:rPr>
        <w:t>—</w:t>
      </w:r>
      <w:r>
        <w:rPr>
          <w:rFonts w:ascii="Arial" w:cs="Arial" w:eastAsia="Arial" w:hAnsi="Arial"/>
          <w:sz w:val="2"/>
          <w:szCs w:val="2"/>
          <w:color w:val="FFFFFF"/>
        </w:rPr>
        <w:t>—</w:t>
      </w:r>
    </w:p>
    <w:p>
      <w:pPr>
        <w:spacing w:after="0"/>
        <w:rPr>
          <w:sz w:val="20"/>
          <w:szCs w:val="20"/>
          <w:color w:val="auto"/>
        </w:rPr>
      </w:pPr>
      <w:r>
        <w:rPr>
          <w:rFonts w:ascii="Arial" w:cs="Arial" w:eastAsia="Arial" w:hAnsi="Arial"/>
          <w:sz w:val="3"/>
          <w:szCs w:val="3"/>
          <w:color w:val="FFFFFF"/>
        </w:rPr>
        <w:t>Held-to-maturity investments</w:t>
      </w:r>
    </w:p>
    <w:p>
      <w:pPr>
        <w:spacing w:after="0" w:line="194" w:lineRule="auto"/>
        <w:rPr>
          <w:sz w:val="20"/>
          <w:szCs w:val="20"/>
          <w:color w:val="auto"/>
        </w:rPr>
      </w:pPr>
      <w:r>
        <w:rPr>
          <w:rFonts w:ascii="Arial" w:cs="Arial" w:eastAsia="Arial" w:hAnsi="Arial"/>
          <w:sz w:val="5"/>
          <w:szCs w:val="5"/>
          <w:color w:val="FFFFFF"/>
          <w:vertAlign w:val="superscript"/>
        </w:rPr>
        <w:t>–</w:t>
      </w:r>
    </w:p>
    <w:p>
      <w:pPr>
        <w:ind w:left="100"/>
        <w:spacing w:after="0" w:line="211" w:lineRule="auto"/>
        <w:rPr>
          <w:sz w:val="20"/>
          <w:szCs w:val="20"/>
          <w:color w:val="auto"/>
        </w:rPr>
      </w:pPr>
      <w:r>
        <w:rPr>
          <w:rFonts w:ascii="Arial" w:cs="Arial" w:eastAsia="Arial" w:hAnsi="Arial"/>
          <w:sz w:val="2"/>
          <w:szCs w:val="2"/>
          <w:color w:val="FFFFFF"/>
        </w:rPr>
        <w:t>unlislisted</w:t>
      </w:r>
      <w:r>
        <w:rPr>
          <w:rFonts w:ascii="Arial" w:cs="Arial" w:eastAsia="Arial" w:hAnsi="Arial"/>
          <w:sz w:val="4"/>
          <w:szCs w:val="4"/>
          <w:color w:val="FFFFFF"/>
          <w:vertAlign w:val="superscript"/>
        </w:rPr>
        <w:t>at</w:t>
      </w:r>
      <w:r>
        <w:rPr>
          <w:rFonts w:ascii="Arial" w:cs="Arial" w:eastAsia="Arial" w:hAnsi="Arial"/>
          <w:sz w:val="2"/>
          <w:szCs w:val="2"/>
          <w:color w:val="FFFFFF"/>
        </w:rPr>
        <w:t>ed——70214</w:t>
      </w:r>
    </w:p>
    <w:p>
      <w:pPr>
        <w:spacing w:after="0" w:line="188" w:lineRule="auto"/>
        <w:tabs>
          <w:tab w:leader="none" w:pos="420" w:val="left"/>
        </w:tabs>
        <w:rPr>
          <w:sz w:val="20"/>
          <w:szCs w:val="20"/>
          <w:color w:val="auto"/>
        </w:rPr>
      </w:pPr>
      <w:r>
        <w:rPr>
          <w:rFonts w:ascii="Arial" w:cs="Arial" w:eastAsia="Arial" w:hAnsi="Arial"/>
          <w:sz w:val="9"/>
          <w:szCs w:val="9"/>
          <w:color w:val="FFFFFF"/>
        </w:rPr>
        <w:t>Cash</w:t>
      </w:r>
      <w:r>
        <w:rPr>
          <w:sz w:val="20"/>
          <w:szCs w:val="20"/>
          <w:color w:val="auto"/>
        </w:rPr>
        <w:tab/>
      </w:r>
      <w:r>
        <w:rPr>
          <w:rFonts w:ascii="Arial" w:cs="Arial" w:eastAsia="Arial" w:hAnsi="Arial"/>
          <w:sz w:val="9"/>
          <w:szCs w:val="9"/>
          <w:color w:val="FFFFFF"/>
        </w:rPr>
        <w:t>banks 18,707 9,201</w:t>
      </w:r>
    </w:p>
    <w:p>
      <w:pPr>
        <w:spacing w:after="0"/>
        <w:rPr>
          <w:sz w:val="20"/>
          <w:szCs w:val="20"/>
          <w:color w:val="auto"/>
        </w:rPr>
      </w:pPr>
      <w:r>
        <w:rPr>
          <w:rFonts w:ascii="Arial" w:cs="Arial" w:eastAsia="Arial" w:hAnsi="Arial"/>
          <w:sz w:val="14"/>
          <w:szCs w:val="14"/>
          <w:color w:val="FFFFFF"/>
        </w:rPr>
        <w:t>9,91724,931</w:t>
      </w:r>
    </w:p>
    <w:p>
      <w:pPr>
        <w:sectPr>
          <w:pgSz w:w="11900" w:h="16838" w:orient="portrait"/>
          <w:cols w:equalWidth="0" w:num="1">
            <w:col w:w="11160"/>
          </w:cols>
          <w:pgMar w:left="240" w:top="1440" w:right="49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gridSpan w:val="2"/>
          </w:tcPr>
          <w:p>
            <w:pPr>
              <w:spacing w:after="0"/>
              <w:rPr>
                <w:sz w:val="20"/>
                <w:szCs w:val="20"/>
                <w:color w:val="auto"/>
              </w:rPr>
            </w:pPr>
            <w:r>
              <w:rPr>
                <w:rFonts w:ascii="Arial" w:cs="Arial" w:eastAsia="Arial" w:hAnsi="Arial"/>
                <w:sz w:val="14"/>
                <w:szCs w:val="14"/>
                <w:color w:val="FFFFFF"/>
              </w:rPr>
              <w:t>58 Wynn Macau, Limited</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500" w:type="dxa"/>
            <w:vAlign w:val="bottom"/>
          </w:tcPr>
          <w:p>
            <w:pPr>
              <w:spacing w:after="0"/>
              <w:rPr>
                <w:sz w:val="14"/>
                <w:szCs w:val="14"/>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41"/>
        </w:trPr>
        <w:tc>
          <w:tcPr>
            <w:tcW w:w="242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41"/>
        </w:trPr>
        <w:tc>
          <w:tcPr>
            <w:tcW w:w="2420" w:type="dxa"/>
            <w:vAlign w:val="bottom"/>
            <w:gridSpan w:val="3"/>
          </w:tcPr>
          <w:p>
            <w:pPr>
              <w:spacing w:after="0"/>
              <w:rPr>
                <w:sz w:val="20"/>
                <w:szCs w:val="20"/>
                <w:color w:val="auto"/>
              </w:rPr>
            </w:pPr>
            <w:r>
              <w:rPr>
                <w:rFonts w:ascii="Arial" w:cs="Arial" w:eastAsia="Arial" w:hAnsi="Arial"/>
                <w:sz w:val="3"/>
                <w:szCs w:val="3"/>
                <w:color w:val="FFFFFF"/>
              </w:rPr>
              <w:t>For the six months ended 30 June 2012</w:t>
            </w: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6. FINANCE COSTS</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For the Six Months Ended</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30 June</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2012</w:t>
            </w:r>
          </w:p>
        </w:tc>
        <w:tc>
          <w:tcPr>
            <w:tcW w:w="1680" w:type="dxa"/>
            <w:vAlign w:val="bottom"/>
          </w:tcPr>
          <w:p>
            <w:pPr>
              <w:jc w:val="right"/>
              <w:ind w:right="1383"/>
              <w:spacing w:after="0"/>
              <w:rPr>
                <w:sz w:val="20"/>
                <w:szCs w:val="20"/>
                <w:color w:val="auto"/>
              </w:rPr>
            </w:pPr>
            <w:r>
              <w:rPr>
                <w:rFonts w:ascii="Arial" w:cs="Arial" w:eastAsia="Arial" w:hAnsi="Arial"/>
                <w:sz w:val="3"/>
                <w:szCs w:val="3"/>
                <w:color w:val="FFFFFF"/>
              </w:rPr>
              <w:t>2011</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HK$ HK$</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41"/>
        </w:trPr>
        <w:tc>
          <w:tcPr>
            <w:tcW w:w="1980" w:type="dxa"/>
            <w:vAlign w:val="bottom"/>
            <w:gridSpan w:val="2"/>
          </w:tcPr>
          <w:p>
            <w:pPr>
              <w:ind w:left="60"/>
              <w:spacing w:after="0"/>
              <w:rPr>
                <w:sz w:val="20"/>
                <w:szCs w:val="20"/>
                <w:color w:val="auto"/>
              </w:rPr>
            </w:pPr>
            <w:r>
              <w:rPr>
                <w:rFonts w:ascii="Arial" w:cs="Arial" w:eastAsia="Arial" w:hAnsi="Arial"/>
                <w:sz w:val="3"/>
                <w:szCs w:val="3"/>
                <w:color w:val="FFFFFF"/>
              </w:rPr>
              <w:t>in thousands)</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(unaudited) (unaudited)</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Interest expense for:</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41"/>
        </w:trPr>
        <w:tc>
          <w:tcPr>
            <w:tcW w:w="9240" w:type="dxa"/>
            <w:vAlign w:val="bottom"/>
            <w:gridSpan w:val="5"/>
          </w:tcPr>
          <w:p>
            <w:pPr>
              <w:spacing w:after="0"/>
              <w:rPr>
                <w:sz w:val="20"/>
                <w:szCs w:val="20"/>
                <w:color w:val="auto"/>
              </w:rPr>
            </w:pPr>
            <w:r>
              <w:rPr>
                <w:rFonts w:ascii="Arial" w:cs="Arial" w:eastAsia="Arial" w:hAnsi="Arial"/>
                <w:sz w:val="3"/>
                <w:szCs w:val="3"/>
                <w:color w:val="FFFFFF"/>
              </w:rPr>
              <w:t>Bank loans wholly repayable within 5 years 32,414 34,607</w:t>
            </w: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Interest rate swaps wholly</w:t>
            </w:r>
          </w:p>
        </w:tc>
        <w:tc>
          <w:tcPr>
            <w:tcW w:w="7260" w:type="dxa"/>
            <w:vAlign w:val="bottom"/>
            <w:gridSpan w:val="3"/>
          </w:tcPr>
          <w:p>
            <w:pPr>
              <w:jc w:val="right"/>
              <w:ind w:right="5623"/>
              <w:spacing w:after="0"/>
              <w:rPr>
                <w:sz w:val="20"/>
                <w:szCs w:val="20"/>
                <w:color w:val="auto"/>
              </w:rPr>
            </w:pPr>
            <w:r>
              <w:rPr>
                <w:rFonts w:ascii="Arial" w:cs="Arial" w:eastAsia="Arial" w:hAnsi="Arial"/>
                <w:sz w:val="3"/>
                <w:szCs w:val="3"/>
                <w:color w:val="FFFFFF"/>
              </w:rPr>
              <w:t>within 5 years 20,786 58,749</w:t>
            </w:r>
          </w:p>
        </w:tc>
      </w:tr>
      <w:tr>
        <w:trPr>
          <w:trHeight w:val="41"/>
        </w:trPr>
        <w:tc>
          <w:tcPr>
            <w:tcW w:w="9240" w:type="dxa"/>
            <w:vAlign w:val="bottom"/>
            <w:gridSpan w:val="5"/>
          </w:tcPr>
          <w:p>
            <w:pPr>
              <w:spacing w:after="0"/>
              <w:rPr>
                <w:sz w:val="20"/>
                <w:szCs w:val="20"/>
                <w:color w:val="auto"/>
              </w:rPr>
            </w:pPr>
            <w:r>
              <w:rPr>
                <w:rFonts w:ascii="Arial" w:cs="Arial" w:eastAsia="Arial" w:hAnsi="Arial"/>
                <w:sz w:val="3"/>
                <w:szCs w:val="3"/>
                <w:color w:val="FFFFFF"/>
              </w:rPr>
              <w:t>Land le se premium whollyrepayable within 5 years 7,595 —</w:t>
            </w:r>
          </w:p>
        </w:tc>
      </w:tr>
      <w:tr>
        <w:trPr>
          <w:trHeight w:val="41"/>
        </w:trPr>
        <w:tc>
          <w:tcPr>
            <w:tcW w:w="2740" w:type="dxa"/>
            <w:vAlign w:val="bottom"/>
            <w:gridSpan w:val="4"/>
          </w:tcPr>
          <w:p>
            <w:pPr>
              <w:spacing w:after="0"/>
              <w:rPr>
                <w:sz w:val="20"/>
                <w:szCs w:val="20"/>
                <w:color w:val="auto"/>
              </w:rPr>
            </w:pPr>
            <w:r>
              <w:rPr>
                <w:rFonts w:ascii="Arial" w:cs="Arial" w:eastAsia="Arial" w:hAnsi="Arial"/>
                <w:sz w:val="3"/>
                <w:szCs w:val="3"/>
                <w:color w:val="FFFFFF"/>
              </w:rPr>
              <w:t>Other payments wholly payable within 5 years 2,5</w:t>
            </w:r>
          </w:p>
        </w:tc>
        <w:tc>
          <w:tcPr>
            <w:tcW w:w="6500" w:type="dxa"/>
            <w:vAlign w:val="bottom"/>
          </w:tcPr>
          <w:p>
            <w:pPr>
              <w:jc w:val="right"/>
              <w:ind w:right="6023"/>
              <w:spacing w:after="0"/>
              <w:rPr>
                <w:sz w:val="20"/>
                <w:szCs w:val="20"/>
                <w:color w:val="auto"/>
              </w:rPr>
            </w:pPr>
            <w:r>
              <w:rPr>
                <w:rFonts w:ascii="Arial" w:cs="Arial" w:eastAsia="Arial" w:hAnsi="Arial"/>
                <w:sz w:val="3"/>
                <w:szCs w:val="3"/>
                <w:color w:val="FFFFFF"/>
              </w:rPr>
              <w:t>2,516</w:t>
            </w:r>
          </w:p>
        </w:tc>
      </w:tr>
      <w:tr>
        <w:trPr>
          <w:trHeight w:val="41"/>
        </w:trPr>
        <w:tc>
          <w:tcPr>
            <w:tcW w:w="2420" w:type="dxa"/>
            <w:vAlign w:val="bottom"/>
            <w:gridSpan w:val="3"/>
          </w:tcPr>
          <w:p>
            <w:pPr>
              <w:spacing w:after="0"/>
              <w:rPr>
                <w:sz w:val="20"/>
                <w:szCs w:val="20"/>
                <w:color w:val="auto"/>
              </w:rPr>
            </w:pPr>
            <w:r>
              <w:rPr>
                <w:rFonts w:ascii="Arial" w:cs="Arial" w:eastAsia="Arial" w:hAnsi="Arial"/>
                <w:sz w:val="3"/>
                <w:szCs w:val="3"/>
                <w:color w:val="FFFFFF"/>
              </w:rPr>
              <w:t>Imputed interest expense on other payable</w:t>
            </w:r>
          </w:p>
        </w:tc>
        <w:tc>
          <w:tcPr>
            <w:tcW w:w="320" w:type="dxa"/>
            <w:vAlign w:val="bottom"/>
          </w:tcPr>
          <w:p>
            <w:pPr>
              <w:jc w:val="right"/>
              <w:ind w:right="23"/>
              <w:spacing w:after="0"/>
              <w:rPr>
                <w:sz w:val="20"/>
                <w:szCs w:val="20"/>
                <w:color w:val="auto"/>
              </w:rPr>
            </w:pPr>
            <w:r>
              <w:rPr>
                <w:rFonts w:ascii="Arial" w:cs="Arial" w:eastAsia="Arial" w:hAnsi="Arial"/>
                <w:sz w:val="3"/>
                <w:szCs w:val="3"/>
                <w:color w:val="FFFFFF"/>
              </w:rPr>
              <w:t>,608</w:t>
            </w:r>
          </w:p>
        </w:tc>
        <w:tc>
          <w:tcPr>
            <w:tcW w:w="6500" w:type="dxa"/>
            <w:vAlign w:val="bottom"/>
          </w:tcPr>
          <w:p>
            <w:pPr>
              <w:jc w:val="right"/>
              <w:ind w:right="6183"/>
              <w:spacing w:after="0"/>
              <w:rPr>
                <w:sz w:val="20"/>
                <w:szCs w:val="20"/>
                <w:color w:val="auto"/>
              </w:rPr>
            </w:pPr>
            <w:r>
              <w:rPr>
                <w:rFonts w:ascii="Arial" w:cs="Arial" w:eastAsia="Arial" w:hAnsi="Arial"/>
                <w:sz w:val="3"/>
                <w:szCs w:val="3"/>
                <w:color w:val="FFFFFF"/>
              </w:rPr>
              <w:t>4,287</w:t>
            </w:r>
          </w:p>
        </w:tc>
      </w:tr>
      <w:tr>
        <w:trPr>
          <w:trHeight w:val="41"/>
        </w:trPr>
        <w:tc>
          <w:tcPr>
            <w:tcW w:w="2740" w:type="dxa"/>
            <w:vAlign w:val="bottom"/>
            <w:gridSpan w:val="4"/>
          </w:tcPr>
          <w:p>
            <w:pPr>
              <w:spacing w:after="0"/>
              <w:rPr>
                <w:sz w:val="20"/>
                <w:szCs w:val="20"/>
                <w:color w:val="auto"/>
              </w:rPr>
            </w:pPr>
            <w:r>
              <w:rPr>
                <w:rFonts w:ascii="Arial" w:cs="Arial" w:eastAsia="Arial" w:hAnsi="Arial"/>
                <w:sz w:val="3"/>
                <w:szCs w:val="3"/>
                <w:color w:val="FFFFFF"/>
              </w:rPr>
              <w:t>Bank fees for unused facilities 14,022  4,406</w:t>
            </w:r>
          </w:p>
        </w:tc>
        <w:tc>
          <w:tcPr>
            <w:tcW w:w="6500" w:type="dxa"/>
            <w:vAlign w:val="bottom"/>
          </w:tcPr>
          <w:p>
            <w:pPr>
              <w:spacing w:after="0"/>
              <w:rPr>
                <w:sz w:val="3"/>
                <w:szCs w:val="3"/>
                <w:color w:val="auto"/>
              </w:rPr>
            </w:pPr>
          </w:p>
        </w:tc>
      </w:tr>
      <w:tr>
        <w:trPr>
          <w:trHeight w:val="41"/>
        </w:trPr>
        <w:tc>
          <w:tcPr>
            <w:tcW w:w="2420" w:type="dxa"/>
            <w:vAlign w:val="bottom"/>
            <w:gridSpan w:val="3"/>
          </w:tcPr>
          <w:p>
            <w:pPr>
              <w:spacing w:after="0"/>
              <w:rPr>
                <w:sz w:val="20"/>
                <w:szCs w:val="20"/>
                <w:color w:val="auto"/>
              </w:rPr>
            </w:pPr>
            <w:r>
              <w:rPr>
                <w:rFonts w:ascii="Arial" w:cs="Arial" w:eastAsia="Arial" w:hAnsi="Arial"/>
                <w:sz w:val="3"/>
                <w:szCs w:val="3"/>
                <w:color w:val="FFFFFF"/>
              </w:rPr>
              <w:t>Amortization of debt financing costs 21,463</w:t>
            </w:r>
          </w:p>
        </w:tc>
        <w:tc>
          <w:tcPr>
            <w:tcW w:w="6820" w:type="dxa"/>
            <w:vAlign w:val="bottom"/>
            <w:gridSpan w:val="2"/>
          </w:tcPr>
          <w:p>
            <w:pPr>
              <w:jc w:val="right"/>
              <w:ind w:right="6423"/>
              <w:spacing w:after="0"/>
              <w:rPr>
                <w:sz w:val="20"/>
                <w:szCs w:val="20"/>
                <w:color w:val="auto"/>
              </w:rPr>
            </w:pPr>
            <w:r>
              <w:rPr>
                <w:rFonts w:ascii="Arial" w:cs="Arial" w:eastAsia="Arial" w:hAnsi="Arial"/>
                <w:sz w:val="3"/>
                <w:szCs w:val="3"/>
                <w:color w:val="FFFFFF"/>
              </w:rPr>
              <w:t>21,374</w:t>
            </w: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Less: capitalized interest (4,265) —</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111,165 135,939</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41"/>
        </w:trPr>
        <w:tc>
          <w:tcPr>
            <w:tcW w:w="9240" w:type="dxa"/>
            <w:vAlign w:val="bottom"/>
            <w:gridSpan w:val="5"/>
          </w:tcPr>
          <w:p>
            <w:pPr>
              <w:spacing w:after="0"/>
              <w:rPr>
                <w:sz w:val="20"/>
                <w:szCs w:val="20"/>
                <w:color w:val="auto"/>
              </w:rPr>
            </w:pPr>
            <w:r>
              <w:rPr>
                <w:rFonts w:ascii="Arial" w:cs="Arial" w:eastAsia="Arial" w:hAnsi="Arial"/>
                <w:sz w:val="3"/>
                <w:szCs w:val="3"/>
                <w:color w:val="FFFFFF"/>
              </w:rPr>
              <w:t>For the six months ended 30 June 2012, interest was capitalized using a weighted average cost of 4.7%. No interest was capitalized for the six months ended 30 June 2011.</w:t>
            </w: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INCOME TAX EXPENSE</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41"/>
        </w:trPr>
        <w:tc>
          <w:tcPr>
            <w:tcW w:w="9240" w:type="dxa"/>
            <w:vAlign w:val="bottom"/>
            <w:gridSpan w:val="5"/>
          </w:tcPr>
          <w:p>
            <w:pPr>
              <w:spacing w:after="0"/>
              <w:rPr>
                <w:sz w:val="20"/>
                <w:szCs w:val="20"/>
                <w:color w:val="auto"/>
              </w:rPr>
            </w:pPr>
            <w:r>
              <w:rPr>
                <w:rFonts w:ascii="Arial" w:cs="Arial" w:eastAsia="Arial" w:hAnsi="Arial"/>
                <w:sz w:val="3"/>
                <w:szCs w:val="3"/>
                <w:color w:val="FFFFFF"/>
              </w:rPr>
              <w:t>The major components of income tax expense for the six months ended 30 June 2012 and 2011 were:</w:t>
            </w: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For the Six Months Ended</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30</w:t>
            </w:r>
          </w:p>
        </w:tc>
        <w:tc>
          <w:tcPr>
            <w:tcW w:w="1680" w:type="dxa"/>
            <w:vAlign w:val="bottom"/>
          </w:tcPr>
          <w:p>
            <w:pPr>
              <w:jc w:val="right"/>
              <w:ind w:right="1263"/>
              <w:spacing w:after="0"/>
              <w:rPr>
                <w:sz w:val="20"/>
                <w:szCs w:val="20"/>
                <w:color w:val="auto"/>
              </w:rPr>
            </w:pPr>
            <w:r>
              <w:rPr>
                <w:rFonts w:ascii="Arial" w:cs="Arial" w:eastAsia="Arial" w:hAnsi="Arial"/>
                <w:sz w:val="3"/>
                <w:szCs w:val="3"/>
                <w:color w:val="FFFFFF"/>
              </w:rPr>
              <w:t>June</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r>
      <w:tr>
        <w:trPr>
          <w:trHeight w:val="54"/>
        </w:trPr>
        <w:tc>
          <w:tcPr>
            <w:tcW w:w="1980" w:type="dxa"/>
            <w:vAlign w:val="bottom"/>
            <w:gridSpan w:val="2"/>
          </w:tcPr>
          <w:p>
            <w:pPr>
              <w:spacing w:after="0" w:line="54" w:lineRule="exact"/>
              <w:rPr>
                <w:sz w:val="20"/>
                <w:szCs w:val="20"/>
                <w:color w:val="auto"/>
              </w:rPr>
            </w:pPr>
            <w:r>
              <w:rPr>
                <w:rFonts w:ascii="Arial" w:cs="Arial" w:eastAsia="Arial" w:hAnsi="Arial"/>
                <w:sz w:val="6"/>
                <w:szCs w:val="6"/>
                <w:color w:val="FFFFFF"/>
              </w:rPr>
              <w:t>2012 2011</w:t>
            </w: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500" w:type="dxa"/>
            <w:vAlign w:val="bottom"/>
          </w:tcPr>
          <w:p>
            <w:pPr>
              <w:spacing w:after="0"/>
              <w:rPr>
                <w:sz w:val="4"/>
                <w:szCs w:val="4"/>
                <w:color w:val="auto"/>
              </w:rPr>
            </w:pPr>
          </w:p>
        </w:tc>
      </w:tr>
      <w:tr>
        <w:trPr>
          <w:trHeight w:val="1"/>
        </w:trPr>
        <w:tc>
          <w:tcPr>
            <w:tcW w:w="1980" w:type="dxa"/>
            <w:vAlign w:val="bottom"/>
            <w:gridSpan w:val="2"/>
          </w:tcPr>
          <w:p>
            <w:pPr>
              <w:spacing w:after="0" w:line="2" w:lineRule="exact"/>
              <w:rPr>
                <w:sz w:val="20"/>
                <w:szCs w:val="20"/>
                <w:color w:val="auto"/>
              </w:rPr>
            </w:pPr>
            <w:r>
              <w:rPr>
                <w:rFonts w:ascii="Arial" w:cs="Arial" w:eastAsia="Arial" w:hAnsi="Arial"/>
                <w:sz w:val="1"/>
                <w:szCs w:val="1"/>
                <w:color w:val="FFFFFF"/>
              </w:rPr>
              <w:t>HK$ HK$</w:t>
            </w: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bl>
    <w:p>
      <w:pPr>
        <w:spacing w:after="0" w:line="187" w:lineRule="auto"/>
        <w:rPr>
          <w:sz w:val="20"/>
          <w:szCs w:val="20"/>
          <w:color w:val="auto"/>
        </w:rPr>
      </w:pPr>
      <w:r>
        <w:rPr>
          <w:rFonts w:ascii="Arial" w:cs="Arial" w:eastAsia="Arial" w:hAnsi="Arial"/>
          <w:sz w:val="9"/>
          <w:szCs w:val="9"/>
          <w:color w:val="FFFFFF"/>
          <w:vertAlign w:val="subscript"/>
        </w:rPr>
        <w:t>(unaudited)</w:t>
      </w:r>
      <w:r>
        <w:rPr>
          <w:rFonts w:ascii="Arial" w:cs="Arial" w:eastAsia="Arial" w:hAnsi="Arial"/>
          <w:sz w:val="7"/>
          <w:szCs w:val="7"/>
          <w:color w:val="FFFFFF"/>
        </w:rPr>
        <w:t>inthousands)(unaudited)</w:t>
      </w:r>
    </w:p>
    <w:p>
      <w:pPr>
        <w:spacing w:after="0"/>
        <w:rPr>
          <w:sz w:val="20"/>
          <w:szCs w:val="20"/>
          <w:color w:val="auto"/>
        </w:rPr>
      </w:pPr>
      <w:r>
        <w:rPr>
          <w:rFonts w:ascii="Arial" w:cs="Arial" w:eastAsia="Arial" w:hAnsi="Arial"/>
          <w:sz w:val="14"/>
          <w:szCs w:val="14"/>
          <w:color w:val="FFFFFF"/>
        </w:rPr>
        <w:t>3,495</w:t>
      </w:r>
      <w:r>
        <w:rPr>
          <w:rFonts w:ascii="Arial" w:cs="Arial" w:eastAsia="Arial" w:hAnsi="Arial"/>
          <w:sz w:val="27"/>
          <w:szCs w:val="27"/>
          <w:color w:val="FFFFFF"/>
          <w:vertAlign w:val="superscript"/>
        </w:rPr>
        <w:t>7524</w:t>
      </w:r>
    </w:p>
    <w:p>
      <w:pPr>
        <w:sectPr>
          <w:pgSz w:w="11900" w:h="16838" w:orient="portrait"/>
          <w:cols w:equalWidth="0" w:num="1">
            <w:col w:w="10219"/>
          </w:cols>
          <w:pgMar w:left="240" w:top="1440" w:right="1440"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ind w:left="440"/>
              <w:spacing w:after="0"/>
              <w:rPr>
                <w:sz w:val="20"/>
                <w:szCs w:val="20"/>
                <w:color w:val="auto"/>
              </w:rPr>
            </w:pPr>
            <w:r>
              <w:rPr>
                <w:rFonts w:ascii="Arial" w:cs="Arial" w:eastAsia="Arial" w:hAnsi="Arial"/>
                <w:sz w:val="14"/>
                <w:szCs w:val="14"/>
                <w:color w:val="FFFFFF"/>
              </w:rPr>
              <w:t>Report 2012 59</w:t>
            </w: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960" w:type="dxa"/>
            <w:vAlign w:val="bottom"/>
          </w:tcPr>
          <w:p>
            <w:pPr>
              <w:spacing w:after="0"/>
              <w:rPr>
                <w:sz w:val="20"/>
                <w:szCs w:val="20"/>
                <w:color w:val="auto"/>
              </w:rPr>
            </w:pPr>
            <w:r>
              <w:rPr>
                <w:rFonts w:ascii="Arial" w:cs="Arial" w:eastAsia="Arial" w:hAnsi="Arial"/>
                <w:sz w:val="3"/>
                <w:szCs w:val="3"/>
                <w:color w:val="FFFFFF"/>
              </w:rPr>
              <w:t>Interim Financial Information</w:t>
            </w:r>
          </w:p>
        </w:tc>
        <w:tc>
          <w:tcPr>
            <w:tcW w:w="4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Notes to Interim Financial Information</w:t>
            </w: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For the six months ended 30 June 2012</w:t>
            </w: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7. INCOME TAX EXPENSE (continued)</w:t>
            </w: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No provision for Hong Kong profit tax for the six months ended 30 June 2012 has been made as there was no assessable profit generated in Hong Kong (six months ended 30 June 2011: Nil). Taxation for</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overseas jurisdictions   charged at the appropriate prevailing rates ruling in the respective jurisdictions and the maximum rate is 12% (six months ended 30 June 2011: 12%). For the six months ended 30 June</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2012, the current tax provision of HK$7.5 million results from the current income tax expense accrued by our subsidiaries owning WRM’s shares under the WRM Shareholder Dividend Tax Agreement (six</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months ended 30 June 2011: HK$3.5 million). Effective 6 September 2006, WRM received a  -year exemption from Macau’s 12% Complementary Tax on casino gaming profits. On 30 November 2010, WRM</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received an additional 5-year exemption effective from 1 January 2011 through 31 December 2015.</w:t>
            </w: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Accordingly, the Group was exempted from the payment of approximately HK$363.2 million</w:t>
            </w:r>
          </w:p>
        </w:tc>
        <w:tc>
          <w:tcPr>
            <w:tcW w:w="6120" w:type="dxa"/>
            <w:vAlign w:val="bottom"/>
          </w:tcPr>
          <w:p>
            <w:pPr>
              <w:spacing w:after="0"/>
              <w:rPr>
                <w:sz w:val="20"/>
                <w:szCs w:val="20"/>
                <w:color w:val="auto"/>
              </w:rPr>
            </w:pPr>
            <w:r>
              <w:rPr>
                <w:rFonts w:ascii="Arial" w:cs="Arial" w:eastAsia="Arial" w:hAnsi="Arial"/>
                <w:sz w:val="3"/>
                <w:szCs w:val="3"/>
                <w:color w:val="FFFFFF"/>
              </w:rPr>
              <w:t>such tax for the six months ended 30 June 2012 (six months ended 30 June 2011: HK$267.5 million). The</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Group’s non-gaming profits remain subject to the Macau Complementary Tax and its casino winnings remain subject to the Macau Special Gaming Tax and other levies in accordance with its Concession</w:t>
            </w:r>
          </w:p>
        </w:tc>
        <w:tc>
          <w:tcPr>
            <w:tcW w:w="0" w:type="dxa"/>
            <w:vAlign w:val="bottom"/>
          </w:tcPr>
          <w:p>
            <w:pPr>
              <w:spacing w:after="0"/>
              <w:rPr>
                <w:sz w:val="1"/>
                <w:szCs w:val="1"/>
                <w:color w:val="auto"/>
              </w:rPr>
            </w:pPr>
          </w:p>
        </w:tc>
      </w:tr>
      <w:tr>
        <w:trPr>
          <w:trHeight w:val="41"/>
        </w:trPr>
        <w:tc>
          <w:tcPr>
            <w:tcW w:w="1960" w:type="dxa"/>
            <w:vAlign w:val="bottom"/>
          </w:tcPr>
          <w:p>
            <w:pPr>
              <w:spacing w:after="0"/>
              <w:rPr>
                <w:sz w:val="20"/>
                <w:szCs w:val="20"/>
                <w:color w:val="auto"/>
              </w:rPr>
            </w:pPr>
            <w:r>
              <w:rPr>
                <w:rFonts w:ascii="Arial" w:cs="Arial" w:eastAsia="Arial" w:hAnsi="Arial"/>
                <w:sz w:val="3"/>
                <w:szCs w:val="3"/>
                <w:color w:val="FFFFFF"/>
              </w:rPr>
              <w:t>Agreement.</w:t>
            </w:r>
          </w:p>
        </w:tc>
        <w:tc>
          <w:tcPr>
            <w:tcW w:w="4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In June 2009, WRM entered into an agreement, effective retroactively to 2006, with the Macau Special Administration Region that provided for annual payments of MOP7.2 million (approximately HK$7.0</w:t>
            </w:r>
          </w:p>
        </w:tc>
        <w:tc>
          <w:tcPr>
            <w:tcW w:w="0" w:type="dxa"/>
            <w:vAlign w:val="bottom"/>
          </w:tcPr>
          <w:p>
            <w:pPr>
              <w:spacing w:after="0"/>
              <w:rPr>
                <w:sz w:val="1"/>
                <w:szCs w:val="1"/>
                <w:color w:val="auto"/>
              </w:rPr>
            </w:pPr>
          </w:p>
        </w:tc>
      </w:tr>
      <w:tr>
        <w:trPr>
          <w:trHeight w:val="41"/>
        </w:trPr>
        <w:tc>
          <w:tcPr>
            <w:tcW w:w="1960" w:type="dxa"/>
            <w:vAlign w:val="bottom"/>
          </w:tcPr>
          <w:p>
            <w:pPr>
              <w:spacing w:after="0"/>
              <w:rPr>
                <w:sz w:val="20"/>
                <w:szCs w:val="20"/>
                <w:color w:val="auto"/>
              </w:rPr>
            </w:pPr>
            <w:r>
              <w:rPr>
                <w:rFonts w:ascii="Arial" w:cs="Arial" w:eastAsia="Arial" w:hAnsi="Arial"/>
                <w:sz w:val="3"/>
                <w:szCs w:val="3"/>
                <w:color w:val="FFFFFF"/>
              </w:rPr>
              <w:t>million) to the Macau Special</w:t>
            </w:r>
          </w:p>
        </w:tc>
        <w:tc>
          <w:tcPr>
            <w:tcW w:w="460" w:type="dxa"/>
            <w:vAlign w:val="bottom"/>
            <w:vMerge w:val="restart"/>
          </w:tcPr>
          <w:p>
            <w:pPr>
              <w:ind w:left="80"/>
              <w:spacing w:after="0" w:line="81" w:lineRule="exact"/>
              <w:rPr>
                <w:sz w:val="20"/>
                <w:szCs w:val="20"/>
                <w:color w:val="auto"/>
              </w:rPr>
            </w:pPr>
            <w:r>
              <w:rPr>
                <w:rFonts w:ascii="Arial" w:cs="Arial" w:eastAsia="Arial" w:hAnsi="Arial"/>
                <w:sz w:val="9"/>
                <w:szCs w:val="9"/>
                <w:color w:val="FFFFFF"/>
              </w:rPr>
              <w:t>2006.</w:t>
            </w:r>
          </w:p>
        </w:tc>
        <w:tc>
          <w:tcPr>
            <w:tcW w:w="8940" w:type="dxa"/>
            <w:vAlign w:val="bottom"/>
            <w:gridSpan w:val="3"/>
          </w:tcPr>
          <w:p>
            <w:pPr>
              <w:ind w:left="80"/>
              <w:spacing w:after="0"/>
              <w:rPr>
                <w:sz w:val="20"/>
                <w:szCs w:val="20"/>
                <w:color w:val="auto"/>
              </w:rPr>
            </w:pPr>
            <w:r>
              <w:rPr>
                <w:rFonts w:ascii="Arial" w:cs="Arial" w:eastAsia="Arial" w:hAnsi="Arial"/>
                <w:sz w:val="3"/>
                <w:szCs w:val="3"/>
                <w:color w:val="FFFFFF"/>
              </w:rPr>
              <w:t>Region in lieu of Complementary Tax on dividend distributions to its shareholders from gaming profits. The term of this agreement was five years, which coincided</w:t>
            </w:r>
          </w:p>
        </w:tc>
        <w:tc>
          <w:tcPr>
            <w:tcW w:w="0" w:type="dxa"/>
            <w:vAlign w:val="bottom"/>
          </w:tcPr>
          <w:p>
            <w:pPr>
              <w:spacing w:after="0"/>
              <w:rPr>
                <w:sz w:val="1"/>
                <w:szCs w:val="1"/>
                <w:color w:val="auto"/>
              </w:rPr>
            </w:pPr>
          </w:p>
        </w:tc>
      </w:tr>
      <w:tr>
        <w:trPr>
          <w:trHeight w:val="41"/>
        </w:trPr>
        <w:tc>
          <w:tcPr>
            <w:tcW w:w="1960" w:type="dxa"/>
            <w:vAlign w:val="bottom"/>
          </w:tcPr>
          <w:p>
            <w:pPr>
              <w:spacing w:after="0"/>
              <w:rPr>
                <w:sz w:val="20"/>
                <w:szCs w:val="20"/>
                <w:color w:val="auto"/>
              </w:rPr>
            </w:pPr>
            <w:r>
              <w:rPr>
                <w:rFonts w:ascii="Arial" w:cs="Arial" w:eastAsia="Arial" w:hAnsi="Arial"/>
                <w:sz w:val="3"/>
                <w:szCs w:val="3"/>
                <w:color w:val="FFFFFF"/>
              </w:rPr>
              <w:t>with the Tax Holiday which began</w:t>
            </w:r>
          </w:p>
        </w:tc>
        <w:tc>
          <w:tcPr>
            <w:tcW w:w="46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In November 2010, WRM appliedAdministrativefor5-year extension of this agreement. In August 2011, the 5-year extension was granted with an annual payment of MOP15.5 million (approximately HK$15.0 million) due</w:t>
            </w:r>
          </w:p>
        </w:tc>
        <w:tc>
          <w:tcPr>
            <w:tcW w:w="0" w:type="dxa"/>
            <w:vAlign w:val="bottom"/>
          </w:tcPr>
          <w:p>
            <w:pPr>
              <w:spacing w:after="0"/>
              <w:rPr>
                <w:sz w:val="1"/>
                <w:szCs w:val="1"/>
                <w:color w:val="auto"/>
              </w:rPr>
            </w:pPr>
          </w:p>
        </w:tc>
      </w:tr>
      <w:tr>
        <w:trPr>
          <w:trHeight w:val="41"/>
        </w:trPr>
        <w:tc>
          <w:tcPr>
            <w:tcW w:w="1960" w:type="dxa"/>
            <w:vAlign w:val="bottom"/>
          </w:tcPr>
          <w:p>
            <w:pPr>
              <w:spacing w:after="0"/>
              <w:rPr>
                <w:sz w:val="20"/>
                <w:szCs w:val="20"/>
                <w:color w:val="auto"/>
              </w:rPr>
            </w:pPr>
            <w:r>
              <w:rPr>
                <w:rFonts w:ascii="Arial" w:cs="Arial" w:eastAsia="Arial" w:hAnsi="Arial"/>
                <w:sz w:val="3"/>
                <w:szCs w:val="3"/>
                <w:color w:val="FFFFFF"/>
              </w:rPr>
              <w:t>to the Macau Special</w:t>
            </w:r>
          </w:p>
        </w:tc>
        <w:tc>
          <w:tcPr>
            <w:tcW w:w="3280" w:type="dxa"/>
            <w:vAlign w:val="bottom"/>
            <w:gridSpan w:val="3"/>
          </w:tcPr>
          <w:p>
            <w:pPr>
              <w:ind w:left="80"/>
              <w:spacing w:after="0"/>
              <w:rPr>
                <w:sz w:val="20"/>
                <w:szCs w:val="20"/>
                <w:color w:val="auto"/>
              </w:rPr>
            </w:pPr>
            <w:r>
              <w:rPr>
                <w:rFonts w:ascii="Arial" w:cs="Arial" w:eastAsia="Arial" w:hAnsi="Arial"/>
                <w:sz w:val="3"/>
                <w:szCs w:val="3"/>
                <w:color w:val="FFFFFF"/>
              </w:rPr>
              <w:t>Region for each of the years 2011 through 2015.</w:t>
            </w:r>
          </w:p>
        </w:tc>
        <w:tc>
          <w:tcPr>
            <w:tcW w:w="612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subsidiaries file income tax returns   Macau and various foreign jurisdictions as required by law. The Group’s</w:t>
            </w: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The Group is exempt Administrationfromincome tax   the Isle of Man and the Cayman Islands. The Group’</w:t>
            </w:r>
          </w:p>
        </w:tc>
        <w:tc>
          <w:tcPr>
            <w:tcW w:w="6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4100" w:type="dxa"/>
            <w:vAlign w:val="bottom"/>
            <w:gridSpan w:val="3"/>
          </w:tcPr>
          <w:p>
            <w:pPr>
              <w:spacing w:after="0" w:line="80" w:lineRule="exact"/>
              <w:rPr>
                <w:sz w:val="20"/>
                <w:szCs w:val="20"/>
                <w:color w:val="auto"/>
              </w:rPr>
            </w:pPr>
            <w:r>
              <w:rPr>
                <w:rFonts w:ascii="Arial" w:cs="Arial" w:eastAsia="Arial" w:hAnsi="Arial"/>
                <w:sz w:val="9"/>
                <w:szCs w:val="9"/>
                <w:color w:val="FFFFFF"/>
              </w:rPr>
              <w:t>income tax returns are subject to examinations by tax authorities   the</w:t>
            </w:r>
          </w:p>
        </w:tc>
        <w:tc>
          <w:tcPr>
            <w:tcW w:w="7260" w:type="dxa"/>
            <w:vAlign w:val="bottom"/>
            <w:gridSpan w:val="2"/>
          </w:tcPr>
          <w:p>
            <w:pPr>
              <w:ind w:left="280"/>
              <w:spacing w:after="0" w:line="80" w:lineRule="exact"/>
              <w:rPr>
                <w:sz w:val="20"/>
                <w:szCs w:val="20"/>
                <w:color w:val="auto"/>
              </w:rPr>
            </w:pPr>
            <w:r>
              <w:rPr>
                <w:rFonts w:ascii="Arial" w:cs="Arial" w:eastAsia="Arial" w:hAnsi="Arial"/>
                <w:sz w:val="9"/>
                <w:szCs w:val="9"/>
                <w:color w:val="FFFFFF"/>
              </w:rPr>
              <w:t>where it operates. The Group’s 2007 to 2011 Macau income tax returns remain subject to examination by the Macau Finance</w:t>
            </w:r>
          </w:p>
        </w:tc>
        <w:tc>
          <w:tcPr>
            <w:tcW w:w="0" w:type="dxa"/>
            <w:vAlign w:val="bottom"/>
          </w:tcPr>
          <w:p>
            <w:pPr>
              <w:spacing w:after="0" w:line="20" w:lineRule="exact"/>
              <w:rPr>
                <w:sz w:val="1"/>
                <w:szCs w:val="1"/>
                <w:color w:val="auto"/>
              </w:rPr>
            </w:pPr>
          </w:p>
        </w:tc>
      </w:tr>
    </w:tbl>
    <w:p>
      <w:pPr>
        <w:ind w:right="20"/>
        <w:spacing w:after="0" w:line="187" w:lineRule="auto"/>
        <w:rPr>
          <w:sz w:val="20"/>
          <w:szCs w:val="20"/>
          <w:color w:val="auto"/>
        </w:rPr>
      </w:pPr>
      <w:r>
        <w:rPr>
          <w:rFonts w:ascii="Arial" w:cs="Arial" w:eastAsia="Arial" w:hAnsi="Arial"/>
          <w:sz w:val="9"/>
          <w:szCs w:val="9"/>
          <w:color w:val="FFFFFF"/>
        </w:rPr>
        <w:t>Bureau. In 2011, the Group received the results of the Macau Finance Bureau’locationsexamination of its 2006 and 2007 Macau Complementary Tax returns. During July 2011, the Group filed an appeal of the examinations findings. The Macau Finance Bureau accepted the Group’s objection and the Group paid an additional tax payment of HK$8.5 million substantially all of which was provided for in prior years. In July 2012, the Macau Finance Bureau commenced an examination of the 2008 Macau income tax return of WRM. Since the examination is in its initial stage, the Group is unable to determine if it will conclude within the next 12 months. The Group believes that its liability for uncertain tax positions is adequate with respect to these years.</w:t>
      </w:r>
    </w:p>
    <w:p>
      <w:pPr>
        <w:sectPr>
          <w:pgSz w:w="11900" w:h="16838" w:orient="portrait"/>
          <w:cols w:equalWidth="0" w:num="1">
            <w:col w:w="11360"/>
          </w:cols>
          <w:pgMar w:left="240" w:top="1440" w:right="29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20"/>
                <w:szCs w:val="20"/>
                <w:color w:val="auto"/>
              </w:rPr>
            </w:pPr>
            <w:r>
              <w:rPr>
                <w:rFonts w:ascii="Arial" w:cs="Arial" w:eastAsia="Arial" w:hAnsi="Arial"/>
                <w:sz w:val="14"/>
                <w:szCs w:val="14"/>
                <w:color w:val="FFFFFF"/>
              </w:rPr>
              <w:t>60 Wynn Macau, Limited</w:t>
            </w:r>
          </w:p>
        </w:tc>
        <w:tc>
          <w:tcPr>
            <w:tcW w:w="4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Interim Financial Information</w:t>
            </w:r>
          </w:p>
        </w:tc>
        <w:tc>
          <w:tcPr>
            <w:tcW w:w="4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Notes to Interim Financial Information</w:t>
            </w:r>
          </w:p>
        </w:tc>
        <w:tc>
          <w:tcPr>
            <w:tcW w:w="4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For the six months ended 30 June 2012</w:t>
            </w:r>
          </w:p>
        </w:tc>
        <w:tc>
          <w:tcPr>
            <w:tcW w:w="4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00" w:type="dxa"/>
            <w:vAlign w:val="bottom"/>
            <w:gridSpan w:val="2"/>
          </w:tcPr>
          <w:p>
            <w:pPr>
              <w:spacing w:after="0"/>
              <w:rPr>
                <w:sz w:val="20"/>
                <w:szCs w:val="20"/>
                <w:color w:val="auto"/>
              </w:rPr>
            </w:pPr>
            <w:r>
              <w:rPr>
                <w:rFonts w:ascii="Arial" w:cs="Arial" w:eastAsia="Arial" w:hAnsi="Arial"/>
                <w:sz w:val="3"/>
                <w:szCs w:val="3"/>
                <w:color w:val="FFFFFF"/>
              </w:rPr>
              <w:t>7. INCOME TAX EXPENSE (continued)</w:t>
            </w:r>
          </w:p>
        </w:tc>
        <w:tc>
          <w:tcPr>
            <w:tcW w:w="4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52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establishes  tax reserve</w:t>
            </w:r>
          </w:p>
        </w:tc>
        <w:tc>
          <w:tcPr>
            <w:tcW w:w="0" w:type="dxa"/>
            <w:vAlign w:val="bottom"/>
          </w:tcPr>
          <w:p>
            <w:pPr>
              <w:spacing w:after="0"/>
              <w:rPr>
                <w:sz w:val="1"/>
                <w:szCs w:val="1"/>
                <w:color w:val="auto"/>
              </w:rPr>
            </w:pPr>
          </w:p>
        </w:tc>
      </w:tr>
      <w:tr>
        <w:trPr>
          <w:trHeight w:val="41"/>
        </w:trPr>
        <w:tc>
          <w:tcPr>
            <w:tcW w:w="9900" w:type="dxa"/>
            <w:vAlign w:val="bottom"/>
            <w:gridSpan w:val="4"/>
          </w:tcPr>
          <w:p>
            <w:pPr>
              <w:spacing w:after="0"/>
              <w:rPr>
                <w:sz w:val="20"/>
                <w:szCs w:val="20"/>
                <w:color w:val="auto"/>
              </w:rPr>
            </w:pPr>
            <w:r>
              <w:rPr>
                <w:rFonts w:ascii="Arial" w:cs="Arial" w:eastAsia="Arial" w:hAnsi="Arial"/>
                <w:sz w:val="3"/>
                <w:szCs w:val="3"/>
                <w:color w:val="FFFFFF"/>
              </w:rPr>
              <w:t>Quarterly, the Group reviews any potentially unfavorable tax outcome and when an unfavorable outcome is identified as being probable and can be reasonably estimated, the Group</w:t>
            </w: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for such possible unfavorable outcome. Estimating potential tax outcomes for any uncertain tax issues is highly judgmental and may not be indicative of the ultimate settlement with thentax authorities.</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As of 30 June 2012 and 31 December 2011, the Group has unrecognized tax losses and the Group believes that these unrecognized tax losses are adequate to offset adjustments that might be proposed by the</w:t>
            </w:r>
          </w:p>
        </w:tc>
        <w:tc>
          <w:tcPr>
            <w:tcW w:w="0" w:type="dxa"/>
            <w:vAlign w:val="bottom"/>
          </w:tcPr>
          <w:p>
            <w:pPr>
              <w:spacing w:after="0"/>
              <w:rPr>
                <w:sz w:val="1"/>
                <w:szCs w:val="1"/>
                <w:color w:val="auto"/>
              </w:rPr>
            </w:pPr>
          </w:p>
        </w:tc>
      </w:tr>
      <w:tr>
        <w:trPr>
          <w:trHeight w:val="41"/>
        </w:trPr>
        <w:tc>
          <w:tcPr>
            <w:tcW w:w="9900" w:type="dxa"/>
            <w:vAlign w:val="bottom"/>
            <w:gridSpan w:val="4"/>
          </w:tcPr>
          <w:p>
            <w:pPr>
              <w:spacing w:after="0"/>
              <w:rPr>
                <w:sz w:val="20"/>
                <w:szCs w:val="20"/>
                <w:color w:val="auto"/>
              </w:rPr>
            </w:pPr>
            <w:r>
              <w:rPr>
                <w:rFonts w:ascii="Arial" w:cs="Arial" w:eastAsia="Arial" w:hAnsi="Arial"/>
                <w:sz w:val="3"/>
                <w:szCs w:val="3"/>
                <w:color w:val="FFFFFF"/>
              </w:rPr>
              <w:t>Macau tax authorities. The Group believes that it has adequately provided reasonable reserves for prudent and foreseeable outcomes related to uncertain tax matters.</w:t>
            </w: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8. INTERIM DIVIDEND</w:t>
            </w:r>
          </w:p>
        </w:tc>
        <w:tc>
          <w:tcPr>
            <w:tcW w:w="4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900" w:type="dxa"/>
            <w:vAlign w:val="bottom"/>
            <w:gridSpan w:val="4"/>
          </w:tcPr>
          <w:p>
            <w:pPr>
              <w:spacing w:after="0"/>
              <w:rPr>
                <w:sz w:val="20"/>
                <w:szCs w:val="20"/>
                <w:color w:val="auto"/>
              </w:rPr>
            </w:pPr>
            <w:r>
              <w:rPr>
                <w:rFonts w:ascii="Arial" w:cs="Arial" w:eastAsia="Arial" w:hAnsi="Arial"/>
                <w:sz w:val="3"/>
                <w:szCs w:val="3"/>
                <w:color w:val="FFFFFF"/>
              </w:rPr>
              <w:t>The Board of Directors has not recommended any interim dividend for the six months ended 30 June 2012 (six months ended 30 June 2011: Nil).</w:t>
            </w: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00" w:type="dxa"/>
            <w:vAlign w:val="bottom"/>
            <w:gridSpan w:val="2"/>
          </w:tcPr>
          <w:p>
            <w:pPr>
              <w:spacing w:after="0"/>
              <w:rPr>
                <w:sz w:val="20"/>
                <w:szCs w:val="20"/>
                <w:color w:val="auto"/>
              </w:rPr>
            </w:pPr>
            <w:r>
              <w:rPr>
                <w:rFonts w:ascii="Arial" w:cs="Arial" w:eastAsia="Arial" w:hAnsi="Arial"/>
                <w:sz w:val="3"/>
                <w:szCs w:val="3"/>
                <w:color w:val="FFFFFF"/>
              </w:rPr>
              <w:t>9. EARNINGS PER SHARE ATTRIBUTABLE TO OWNERS OF THE COMPANY</w:t>
            </w:r>
          </w:p>
        </w:tc>
        <w:tc>
          <w:tcPr>
            <w:tcW w:w="4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The calculation of basic earnings per Share for the six months ended 30 June 2012 is based on the consolidated net profit attributable to owners of the Company and on the weighted average number of Shares of</w:t>
            </w: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5,187,550,000 in issue during the</w:t>
            </w:r>
          </w:p>
        </w:tc>
        <w:tc>
          <w:tcPr>
            <w:tcW w:w="4120" w:type="dxa"/>
            <w:vAlign w:val="bottom"/>
          </w:tcPr>
          <w:p>
            <w:pPr>
              <w:ind w:left="40"/>
              <w:spacing w:after="0"/>
              <w:rPr>
                <w:sz w:val="20"/>
                <w:szCs w:val="20"/>
                <w:color w:val="auto"/>
              </w:rPr>
            </w:pPr>
            <w:r>
              <w:rPr>
                <w:rFonts w:ascii="Arial" w:cs="Arial" w:eastAsia="Arial" w:hAnsi="Arial"/>
                <w:sz w:val="3"/>
                <w:szCs w:val="3"/>
                <w:color w:val="FFFFFF"/>
              </w:rPr>
              <w:t>(six months ended 30 June 2011: 5,187,508,287).</w:t>
            </w:r>
          </w:p>
        </w:tc>
        <w:tc>
          <w:tcPr>
            <w:tcW w:w="4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The calculation of diluted earningsperiodShare for the six months ended 30 June 2012 is based on the consolidated net profit attributable to owners of the Company and on the weighted average number of</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5,187,937,083 Shares (six months ended 30 June 2011: 5,187,928,658); including Shares of 5,187,550,000 in issue during the period (six months ended 30 June 2011: 5,187,508,287) plus 387,083 (30 June 2011:</w:t>
            </w:r>
          </w:p>
        </w:tc>
        <w:tc>
          <w:tcPr>
            <w:tcW w:w="0" w:type="dxa"/>
            <w:vAlign w:val="bottom"/>
          </w:tcPr>
          <w:p>
            <w:pPr>
              <w:spacing w:after="0"/>
              <w:rPr>
                <w:sz w:val="1"/>
                <w:szCs w:val="1"/>
                <w:color w:val="auto"/>
              </w:rPr>
            </w:pPr>
          </w:p>
        </w:tc>
      </w:tr>
      <w:tr>
        <w:trPr>
          <w:trHeight w:val="41"/>
        </w:trPr>
        <w:tc>
          <w:tcPr>
            <w:tcW w:w="6300" w:type="dxa"/>
            <w:vAlign w:val="bottom"/>
            <w:gridSpan w:val="2"/>
          </w:tcPr>
          <w:p>
            <w:pPr>
              <w:spacing w:after="0"/>
              <w:rPr>
                <w:sz w:val="20"/>
                <w:szCs w:val="20"/>
                <w:color w:val="auto"/>
              </w:rPr>
            </w:pPr>
            <w:r>
              <w:rPr>
                <w:rFonts w:ascii="Arial" w:cs="Arial" w:eastAsia="Arial" w:hAnsi="Arial"/>
                <w:sz w:val="3"/>
                <w:szCs w:val="3"/>
                <w:color w:val="FFFFFF"/>
              </w:rPr>
              <w:t>420,371) potential Shares arising from exercise of share options.</w:t>
            </w:r>
          </w:p>
        </w:tc>
        <w:tc>
          <w:tcPr>
            <w:tcW w:w="4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00" w:type="dxa"/>
            <w:vAlign w:val="bottom"/>
            <w:gridSpan w:val="2"/>
          </w:tcPr>
          <w:p>
            <w:pPr>
              <w:spacing w:after="0"/>
              <w:rPr>
                <w:sz w:val="20"/>
                <w:szCs w:val="20"/>
                <w:color w:val="auto"/>
              </w:rPr>
            </w:pPr>
            <w:r>
              <w:rPr>
                <w:rFonts w:ascii="Arial" w:cs="Arial" w:eastAsia="Arial" w:hAnsi="Arial"/>
                <w:sz w:val="3"/>
                <w:szCs w:val="3"/>
                <w:color w:val="FFFFFF"/>
              </w:rPr>
              <w:t>10. PROPERTY AND EQUIPMENT AND CONSTRUCTION IN PROGRESS</w:t>
            </w:r>
          </w:p>
        </w:tc>
        <w:tc>
          <w:tcPr>
            <w:tcW w:w="5120" w:type="dxa"/>
            <w:vAlign w:val="bottom"/>
            <w:gridSpan w:val="3"/>
            <w:vMerge w:val="restart"/>
          </w:tcPr>
          <w:p>
            <w:pPr>
              <w:ind w:left="260"/>
              <w:spacing w:after="0" w:line="81" w:lineRule="exact"/>
              <w:rPr>
                <w:sz w:val="20"/>
                <w:szCs w:val="20"/>
                <w:color w:val="auto"/>
              </w:rPr>
            </w:pPr>
            <w:r>
              <w:rPr>
                <w:rFonts w:ascii="Arial" w:cs="Arial" w:eastAsia="Arial" w:hAnsi="Arial"/>
                <w:sz w:val="9"/>
                <w:szCs w:val="9"/>
                <w:color w:val="FFFFFF"/>
              </w:rPr>
              <w:t>.4 million)   additions of property and equipment and construction in progress. The</w:t>
            </w:r>
          </w:p>
        </w:tc>
        <w:tc>
          <w:tcPr>
            <w:tcW w:w="0" w:type="dxa"/>
            <w:vAlign w:val="bottom"/>
          </w:tcPr>
          <w:p>
            <w:pPr>
              <w:spacing w:after="0"/>
              <w:rPr>
                <w:sz w:val="1"/>
                <w:szCs w:val="1"/>
                <w:color w:val="auto"/>
              </w:rPr>
            </w:pPr>
          </w:p>
        </w:tc>
      </w:tr>
      <w:tr>
        <w:trPr>
          <w:trHeight w:val="41"/>
        </w:trPr>
        <w:tc>
          <w:tcPr>
            <w:tcW w:w="6300" w:type="dxa"/>
            <w:vAlign w:val="bottom"/>
            <w:gridSpan w:val="2"/>
          </w:tcPr>
          <w:p>
            <w:pPr>
              <w:spacing w:after="0"/>
              <w:rPr>
                <w:sz w:val="20"/>
                <w:szCs w:val="20"/>
                <w:color w:val="auto"/>
              </w:rPr>
            </w:pPr>
            <w:r>
              <w:rPr>
                <w:rFonts w:ascii="Arial" w:cs="Arial" w:eastAsia="Arial" w:hAnsi="Arial"/>
                <w:sz w:val="3"/>
                <w:szCs w:val="3"/>
                <w:color w:val="FFFFFF"/>
              </w:rPr>
              <w:t>For the six months ended 30 June 2012, the Group incurred HK$397.9 million (six months ended 30 June 2011:</w:t>
            </w:r>
          </w:p>
        </w:tc>
        <w:tc>
          <w:tcPr>
            <w:tcW w:w="51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6720" w:type="dxa"/>
            <w:vAlign w:val="bottom"/>
            <w:gridSpan w:val="3"/>
          </w:tcPr>
          <w:p>
            <w:pPr>
              <w:spacing w:after="0"/>
              <w:rPr>
                <w:sz w:val="20"/>
                <w:szCs w:val="20"/>
                <w:color w:val="auto"/>
              </w:rPr>
            </w:pPr>
            <w:r>
              <w:rPr>
                <w:rFonts w:ascii="Arial" w:cs="Arial" w:eastAsia="Arial" w:hAnsi="Arial"/>
                <w:sz w:val="14"/>
                <w:szCs w:val="14"/>
                <w:color w:val="FFFFFF"/>
                <w:w w:val="84"/>
              </w:rPr>
              <w:t>Group has disposed of property and equipment and construction in progress with a net carrying amount of HK$45.HK$million134</w:t>
            </w:r>
          </w:p>
        </w:tc>
        <w:tc>
          <w:tcPr>
            <w:tcW w:w="3180" w:type="dxa"/>
            <w:vAlign w:val="bottom"/>
          </w:tcPr>
          <w:p>
            <w:pPr>
              <w:spacing w:after="0"/>
              <w:rPr>
                <w:sz w:val="20"/>
                <w:szCs w:val="20"/>
                <w:color w:val="auto"/>
              </w:rPr>
            </w:pPr>
            <w:r>
              <w:rPr>
                <w:rFonts w:ascii="Arial" w:cs="Arial" w:eastAsia="Arial" w:hAnsi="Arial"/>
                <w:sz w:val="14"/>
                <w:szCs w:val="14"/>
                <w:color w:val="FFFFFF"/>
                <w:w w:val="99"/>
              </w:rPr>
              <w:t>(six months ended 30 June 2011: HK$11.8 million).</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FinancialReport2012Information61</w:t>
      </w:r>
    </w:p>
    <w:p>
      <w:pPr>
        <w:spacing w:after="0" w:line="197" w:lineRule="auto"/>
        <w:rPr>
          <w:sz w:val="20"/>
          <w:szCs w:val="20"/>
          <w:color w:val="auto"/>
        </w:rPr>
      </w:pPr>
      <w:r>
        <w:rPr>
          <w:rFonts w:ascii="Arial" w:cs="Arial" w:eastAsia="Arial" w:hAnsi="Arial"/>
          <w:sz w:val="10"/>
          <w:szCs w:val="10"/>
          <w:color w:val="FFFFFF"/>
        </w:rPr>
        <w:t>ForNotesthetosixInterimmonthsFinancialended30InformationJune2012</w:t>
      </w:r>
    </w:p>
    <w:p>
      <w:pPr>
        <w:spacing w:after="0"/>
        <w:rPr>
          <w:sz w:val="20"/>
          <w:szCs w:val="20"/>
          <w:color w:val="auto"/>
        </w:rPr>
      </w:pPr>
      <w:r>
        <w:rPr>
          <w:rFonts w:ascii="Arial" w:cs="Arial" w:eastAsia="Arial" w:hAnsi="Arial"/>
          <w:sz w:val="3"/>
          <w:szCs w:val="3"/>
          <w:color w:val="FFFFFF"/>
        </w:rPr>
        <w:t>As11. at AsAVAILABLEat-FOR-SALE INVESTMENTS</w:t>
      </w:r>
    </w:p>
    <w:p>
      <w:pPr>
        <w:spacing w:after="0" w:line="194" w:lineRule="auto"/>
        <w:rPr>
          <w:sz w:val="20"/>
          <w:szCs w:val="20"/>
          <w:color w:val="auto"/>
        </w:rPr>
      </w:pPr>
      <w:r>
        <w:rPr>
          <w:rFonts w:ascii="Arial" w:cs="Arial" w:eastAsia="Arial" w:hAnsi="Arial"/>
          <w:sz w:val="3"/>
          <w:szCs w:val="3"/>
          <w:color w:val="FFFFFF"/>
        </w:rPr>
        <w:t>30</w:t>
      </w:r>
      <w:r>
        <w:rPr>
          <w:rFonts w:ascii="Arial" w:cs="Arial" w:eastAsia="Arial" w:hAnsi="Arial"/>
          <w:sz w:val="5"/>
          <w:szCs w:val="5"/>
          <w:color w:val="FFFFFF"/>
          <w:vertAlign w:val="superscript"/>
        </w:rPr>
        <w:t>2012</w:t>
      </w:r>
      <w:r>
        <w:rPr>
          <w:rFonts w:ascii="Arial" w:cs="Arial" w:eastAsia="Arial" w:hAnsi="Arial"/>
          <w:sz w:val="3"/>
          <w:szCs w:val="3"/>
          <w:color w:val="FFFFFF"/>
        </w:rPr>
        <w:t xml:space="preserve">June </w:t>
      </w:r>
      <w:r>
        <w:rPr>
          <w:rFonts w:ascii="Arial" w:cs="Arial" w:eastAsia="Arial" w:hAnsi="Arial"/>
          <w:sz w:val="5"/>
          <w:szCs w:val="5"/>
          <w:color w:val="FFFFFF"/>
          <w:vertAlign w:val="superscript"/>
        </w:rPr>
        <w:t>31</w:t>
      </w:r>
      <w:r>
        <w:rPr>
          <w:rFonts w:ascii="Arial" w:cs="Arial" w:eastAsia="Arial" w:hAnsi="Arial"/>
          <w:sz w:val="3"/>
          <w:szCs w:val="3"/>
          <w:color w:val="FFFFFF"/>
        </w:rPr>
        <w:t xml:space="preserve"> December</w:t>
      </w:r>
    </w:p>
    <w:p>
      <w:pPr>
        <w:ind w:left="320"/>
        <w:spacing w:after="0" w:line="188" w:lineRule="auto"/>
        <w:rPr>
          <w:sz w:val="20"/>
          <w:szCs w:val="20"/>
          <w:color w:val="auto"/>
        </w:rPr>
      </w:pPr>
      <w:r>
        <w:rPr>
          <w:rFonts w:ascii="Arial" w:cs="Arial" w:eastAsia="Arial" w:hAnsi="Arial"/>
          <w:sz w:val="9"/>
          <w:szCs w:val="9"/>
          <w:color w:val="FFFFFF"/>
        </w:rPr>
        <w:t>201</w:t>
      </w:r>
    </w:p>
    <w:p>
      <w:pPr>
        <w:spacing w:after="0" w:line="211"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HKinthousands)$HK$</w:t>
      </w:r>
    </w:p>
    <w:p>
      <w:pPr>
        <w:ind w:left="660"/>
        <w:spacing w:after="0"/>
        <w:rPr>
          <w:sz w:val="20"/>
          <w:szCs w:val="20"/>
          <w:color w:val="auto"/>
        </w:rPr>
      </w:pPr>
      <w:r>
        <w:rPr>
          <w:rFonts w:ascii="Arial" w:cs="Arial" w:eastAsia="Arial" w:hAnsi="Arial"/>
          <w:sz w:val="3"/>
          <w:szCs w:val="3"/>
          <w:color w:val="FFFFFF"/>
        </w:rPr>
        <w:t>(audited)</w:t>
      </w:r>
    </w:p>
    <w:p>
      <w:pPr>
        <w:spacing w:after="0" w:line="190" w:lineRule="auto"/>
        <w:rPr>
          <w:sz w:val="20"/>
          <w:szCs w:val="20"/>
          <w:color w:val="auto"/>
        </w:rPr>
      </w:pPr>
      <w:r>
        <w:rPr>
          <w:rFonts w:ascii="Arial" w:cs="Arial" w:eastAsia="Arial" w:hAnsi="Arial"/>
          <w:sz w:val="14"/>
          <w:szCs w:val="14"/>
          <w:color w:val="FFFFFF"/>
        </w:rPr>
        <w:t>ListedHongKongdebt securities,61,30559,685atfair value:</w:t>
      </w:r>
    </w:p>
    <w:p>
      <w:pPr>
        <w:spacing w:after="0" w:line="188" w:lineRule="auto"/>
        <w:rPr>
          <w:sz w:val="20"/>
          <w:szCs w:val="20"/>
          <w:color w:val="auto"/>
        </w:rPr>
      </w:pPr>
      <w:r>
        <w:rPr>
          <w:rFonts w:ascii="Arial" w:cs="Arial" w:eastAsia="Arial" w:hAnsi="Arial"/>
          <w:sz w:val="9"/>
          <w:szCs w:val="9"/>
          <w:color w:val="FFFFFF"/>
        </w:rPr>
        <w:t>258,583Elsewhere255,635197,278 195,950</w:t>
      </w:r>
    </w:p>
    <w:p>
      <w:pPr>
        <w:spacing w:after="0" w:line="188" w:lineRule="auto"/>
        <w:rPr>
          <w:sz w:val="20"/>
          <w:szCs w:val="20"/>
          <w:color w:val="auto"/>
        </w:rPr>
      </w:pPr>
      <w:r>
        <w:rPr>
          <w:rFonts w:ascii="Arial" w:cs="Arial" w:eastAsia="Arial" w:hAnsi="Arial"/>
          <w:sz w:val="9"/>
          <w:szCs w:val="9"/>
          <w:color w:val="FFFFFF"/>
        </w:rPr>
        <w:t>511,404Unlisted 508,820debtsecurities, at fair value 252,821 253,185</w:t>
      </w:r>
    </w:p>
    <w:p>
      <w:pPr>
        <w:spacing w:after="0"/>
        <w:rPr>
          <w:sz w:val="20"/>
          <w:szCs w:val="20"/>
          <w:color w:val="auto"/>
        </w:rPr>
      </w:pPr>
      <w:r>
        <w:rPr>
          <w:rFonts w:ascii="Arial" w:cs="Arial" w:eastAsia="Arial" w:hAnsi="Arial"/>
          <w:sz w:val="3"/>
          <w:szCs w:val="3"/>
          <w:color w:val="FFFFFF"/>
        </w:rPr>
        <w:t>CurrentPortion classifiedportion300,875asnon-104,066current (210,529) (404,754)</w:t>
      </w:r>
    </w:p>
    <w:p>
      <w:pPr>
        <w:spacing w:after="0" w:line="6" w:lineRule="exact"/>
        <w:rPr>
          <w:sz w:val="20"/>
          <w:szCs w:val="20"/>
          <w:color w:val="auto"/>
        </w:rPr>
      </w:pPr>
    </w:p>
    <w:p>
      <w:pPr>
        <w:ind w:right="100"/>
        <w:spacing w:after="0"/>
        <w:rPr>
          <w:sz w:val="20"/>
          <w:szCs w:val="20"/>
          <w:color w:val="auto"/>
        </w:rPr>
      </w:pPr>
      <w:r>
        <w:rPr>
          <w:rFonts w:ascii="Arial" w:cs="Arial" w:eastAsia="Arial" w:hAnsi="Arial"/>
          <w:sz w:val="6"/>
          <w:szCs w:val="6"/>
          <w:color w:val="FFFFFF"/>
        </w:rPr>
        <w:t>During the six months ended 30 June 2012, the gain in respect of the Group’s available-for-sale investments recognized in other comprehensive income amounted to HK$5.8 million (six months ended 30 June 2011: Nil). No amount was reclassified from other comprehensive income to the statement of comprehensive income for the period (six months ended 30 June 2011: Nil).</w:t>
      </w:r>
    </w:p>
    <w:p>
      <w:pPr>
        <w:spacing w:after="0" w:line="182" w:lineRule="auto"/>
        <w:rPr>
          <w:sz w:val="20"/>
          <w:szCs w:val="20"/>
          <w:color w:val="auto"/>
        </w:rPr>
      </w:pPr>
      <w:r>
        <w:rPr>
          <w:rFonts w:ascii="Arial" w:cs="Arial" w:eastAsia="Arial" w:hAnsi="Arial"/>
          <w:sz w:val="6"/>
          <w:szCs w:val="6"/>
          <w:color w:val="FFFFFF"/>
        </w:rPr>
        <w:t>The investments are all denominated in Offshore RMB and have fixed interest rates ranging from 1.35% to 4.63% and will mature between five months and two years.</w:t>
      </w:r>
    </w:p>
    <w:p>
      <w:pPr>
        <w:spacing w:after="0" w:line="209" w:lineRule="auto"/>
        <w:rPr>
          <w:sz w:val="20"/>
          <w:szCs w:val="20"/>
          <w:color w:val="auto"/>
        </w:rPr>
      </w:pPr>
      <w:r>
        <w:rPr>
          <w:rFonts w:ascii="Arial" w:cs="Arial" w:eastAsia="Arial" w:hAnsi="Arial"/>
          <w:sz w:val="9"/>
          <w:szCs w:val="9"/>
          <w:color w:val="FFFFFF"/>
        </w:rPr>
        <w:t xml:space="preserve">Originally, during the six months ended 30 June 2011, the Group’s investments were classified as held-to-maturity because the Group had the positive intent and ability to hold </w:t>
      </w:r>
      <w:r>
        <w:rPr>
          <w:rFonts w:ascii="Arial" w:cs="Arial" w:eastAsia="Arial" w:hAnsi="Arial"/>
          <w:sz w:val="15"/>
          <w:szCs w:val="15"/>
          <w:color w:val="FFFFFF"/>
          <w:vertAlign w:val="superscript"/>
        </w:rPr>
        <w:t>them</w:t>
      </w:r>
      <w:r>
        <w:rPr>
          <w:rFonts w:ascii="Arial" w:cs="Arial" w:eastAsia="Arial" w:hAnsi="Arial"/>
          <w:sz w:val="9"/>
          <w:szCs w:val="9"/>
          <w:color w:val="FFFFFF"/>
        </w:rPr>
        <w:t xml:space="preserve"> to maturity. However, during the third quarter of 2011, due to the economic uncertainty in the global financial markets, the Group has reassessed the intention to hold the investments to maturity and changed classification of its entire investments with a carrying value amounting to Offshore RMB427.9 million (approximately HK$524.5 million) from held-to-maturity to available-for-sale.</w:t>
      </w:r>
    </w:p>
    <w:p>
      <w:pPr>
        <w:sectPr>
          <w:pgSz w:w="11900" w:h="16838" w:orient="portrait"/>
          <w:cols w:equalWidth="0" w:num="1">
            <w:col w:w="11380"/>
          </w:cols>
          <w:pgMar w:left="240" w:top="1440" w:right="27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20" w:type="dxa"/>
            <w:vAlign w:val="bottom"/>
            <w:gridSpan w:val="5"/>
          </w:tcPr>
          <w:p>
            <w:pPr>
              <w:spacing w:after="0"/>
              <w:rPr>
                <w:sz w:val="20"/>
                <w:szCs w:val="20"/>
                <w:color w:val="auto"/>
              </w:rPr>
            </w:pPr>
            <w:r>
              <w:rPr>
                <w:rFonts w:ascii="Arial" w:cs="Arial" w:eastAsia="Arial" w:hAnsi="Arial"/>
                <w:sz w:val="14"/>
                <w:szCs w:val="14"/>
                <w:color w:val="FFFFFF"/>
              </w:rPr>
              <w:t>62 Wynn Macau, Limited</w:t>
            </w:r>
          </w:p>
        </w:tc>
        <w:tc>
          <w:tcPr>
            <w:tcW w:w="0" w:type="dxa"/>
            <w:vAlign w:val="bottom"/>
          </w:tcPr>
          <w:p>
            <w:pPr>
              <w:spacing w:after="0"/>
              <w:rPr>
                <w:sz w:val="1"/>
                <w:szCs w:val="1"/>
                <w:color w:val="auto"/>
              </w:rPr>
            </w:pPr>
          </w:p>
        </w:tc>
      </w:tr>
      <w:tr>
        <w:trPr>
          <w:trHeight w:val="41"/>
        </w:trPr>
        <w:tc>
          <w:tcPr>
            <w:tcW w:w="11320" w:type="dxa"/>
            <w:vAlign w:val="bottom"/>
            <w:gridSpan w:val="5"/>
          </w:tcPr>
          <w:p>
            <w:pPr>
              <w:spacing w:after="0"/>
              <w:rPr>
                <w:sz w:val="20"/>
                <w:szCs w:val="20"/>
                <w:color w:val="auto"/>
              </w:rPr>
            </w:pPr>
            <w:r>
              <w:rPr>
                <w:rFonts w:ascii="Arial" w:cs="Arial" w:eastAsia="Arial" w:hAnsi="Arial"/>
                <w:sz w:val="3"/>
                <w:szCs w:val="3"/>
                <w:color w:val="FFFFFF"/>
              </w:rPr>
              <w:t>Interim Financial Information</w:t>
            </w:r>
          </w:p>
        </w:tc>
        <w:tc>
          <w:tcPr>
            <w:tcW w:w="0" w:type="dxa"/>
            <w:vAlign w:val="bottom"/>
          </w:tcPr>
          <w:p>
            <w:pPr>
              <w:spacing w:after="0"/>
              <w:rPr>
                <w:sz w:val="1"/>
                <w:szCs w:val="1"/>
                <w:color w:val="auto"/>
              </w:rPr>
            </w:pPr>
          </w:p>
        </w:tc>
      </w:tr>
      <w:tr>
        <w:trPr>
          <w:trHeight w:val="41"/>
        </w:trPr>
        <w:tc>
          <w:tcPr>
            <w:tcW w:w="11320" w:type="dxa"/>
            <w:vAlign w:val="bottom"/>
            <w:gridSpan w:val="5"/>
          </w:tcPr>
          <w:p>
            <w:pPr>
              <w:spacing w:after="0"/>
              <w:rPr>
                <w:sz w:val="20"/>
                <w:szCs w:val="20"/>
                <w:color w:val="auto"/>
              </w:rPr>
            </w:pPr>
            <w:r>
              <w:rPr>
                <w:rFonts w:ascii="Arial" w:cs="Arial" w:eastAsia="Arial" w:hAnsi="Arial"/>
                <w:sz w:val="3"/>
                <w:szCs w:val="3"/>
                <w:color w:val="FFFFFF"/>
              </w:rPr>
              <w:t>Notes to Interim Financial Information</w:t>
            </w:r>
          </w:p>
        </w:tc>
        <w:tc>
          <w:tcPr>
            <w:tcW w:w="0" w:type="dxa"/>
            <w:vAlign w:val="bottom"/>
          </w:tcPr>
          <w:p>
            <w:pPr>
              <w:spacing w:after="0"/>
              <w:rPr>
                <w:sz w:val="1"/>
                <w:szCs w:val="1"/>
                <w:color w:val="auto"/>
              </w:rPr>
            </w:pPr>
          </w:p>
        </w:tc>
      </w:tr>
      <w:tr>
        <w:trPr>
          <w:trHeight w:val="41"/>
        </w:trPr>
        <w:tc>
          <w:tcPr>
            <w:tcW w:w="11320" w:type="dxa"/>
            <w:vAlign w:val="bottom"/>
            <w:gridSpan w:val="5"/>
          </w:tcPr>
          <w:p>
            <w:pPr>
              <w:spacing w:after="0"/>
              <w:rPr>
                <w:sz w:val="20"/>
                <w:szCs w:val="20"/>
                <w:color w:val="auto"/>
              </w:rPr>
            </w:pPr>
            <w:r>
              <w:rPr>
                <w:rFonts w:ascii="Arial" w:cs="Arial" w:eastAsia="Arial" w:hAnsi="Arial"/>
                <w:sz w:val="3"/>
                <w:szCs w:val="3"/>
                <w:color w:val="FFFFFF"/>
              </w:rPr>
              <w:t>For the six months ended 30 June 2012</w:t>
            </w:r>
          </w:p>
        </w:tc>
        <w:tc>
          <w:tcPr>
            <w:tcW w:w="0" w:type="dxa"/>
            <w:vAlign w:val="bottom"/>
          </w:tcPr>
          <w:p>
            <w:pPr>
              <w:spacing w:after="0"/>
              <w:rPr>
                <w:sz w:val="1"/>
                <w:szCs w:val="1"/>
                <w:color w:val="auto"/>
              </w:rPr>
            </w:pPr>
          </w:p>
        </w:tc>
      </w:tr>
      <w:tr>
        <w:trPr>
          <w:trHeight w:val="41"/>
        </w:trPr>
        <w:tc>
          <w:tcPr>
            <w:tcW w:w="11320" w:type="dxa"/>
            <w:vAlign w:val="bottom"/>
            <w:gridSpan w:val="5"/>
          </w:tcPr>
          <w:p>
            <w:pPr>
              <w:ind w:left="100"/>
              <w:spacing w:after="0"/>
              <w:rPr>
                <w:sz w:val="20"/>
                <w:szCs w:val="20"/>
                <w:color w:val="auto"/>
              </w:rPr>
            </w:pPr>
            <w:r>
              <w:rPr>
                <w:rFonts w:ascii="Arial" w:cs="Arial" w:eastAsia="Arial" w:hAnsi="Arial"/>
                <w:sz w:val="3"/>
                <w:szCs w:val="3"/>
                <w:color w:val="FFFFFF"/>
              </w:rPr>
              <w:t>RADE AND OTHER RECEIVABLES</w:t>
            </w:r>
          </w:p>
        </w:tc>
        <w:tc>
          <w:tcPr>
            <w:tcW w:w="0" w:type="dxa"/>
            <w:vAlign w:val="bottom"/>
          </w:tcPr>
          <w:p>
            <w:pPr>
              <w:spacing w:after="0"/>
              <w:rPr>
                <w:sz w:val="1"/>
                <w:szCs w:val="1"/>
                <w:color w:val="auto"/>
              </w:rPr>
            </w:pPr>
          </w:p>
        </w:tc>
      </w:tr>
      <w:tr>
        <w:trPr>
          <w:trHeight w:val="41"/>
        </w:trPr>
        <w:tc>
          <w:tcPr>
            <w:tcW w:w="11320" w:type="dxa"/>
            <w:vAlign w:val="bottom"/>
            <w:gridSpan w:val="5"/>
          </w:tcPr>
          <w:p>
            <w:pPr>
              <w:spacing w:after="0"/>
              <w:rPr>
                <w:sz w:val="20"/>
                <w:szCs w:val="20"/>
                <w:color w:val="auto"/>
              </w:rPr>
            </w:pPr>
            <w:r>
              <w:rPr>
                <w:rFonts w:ascii="Arial" w:cs="Arial" w:eastAsia="Arial" w:hAnsi="Arial"/>
                <w:sz w:val="3"/>
                <w:szCs w:val="3"/>
                <w:color w:val="FFFFFF"/>
              </w:rPr>
              <w:t>Trade and other receivables consist of the following as at 30 June 2012 and 31 December 2011:</w:t>
            </w: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As at As at</w:t>
            </w:r>
          </w:p>
        </w:tc>
        <w:tc>
          <w:tcPr>
            <w:tcW w:w="740" w:type="dxa"/>
            <w:vAlign w:val="bottom"/>
            <w:gridSpan w:val="2"/>
            <w:vMerge w:val="restart"/>
          </w:tcPr>
          <w:p>
            <w:pPr>
              <w:jc w:val="center"/>
              <w:ind w:right="163"/>
              <w:spacing w:after="0" w:line="81" w:lineRule="exact"/>
              <w:rPr>
                <w:sz w:val="20"/>
                <w:szCs w:val="20"/>
                <w:color w:val="auto"/>
              </w:rPr>
            </w:pPr>
            <w:r>
              <w:rPr>
                <w:rFonts w:ascii="Arial" w:cs="Arial" w:eastAsia="Arial" w:hAnsi="Arial"/>
                <w:sz w:val="9"/>
                <w:szCs w:val="9"/>
                <w:color w:val="FFFFFF"/>
              </w:rPr>
              <w:t>December</w:t>
            </w: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30 June</w:t>
            </w:r>
          </w:p>
        </w:tc>
        <w:tc>
          <w:tcPr>
            <w:tcW w:w="740" w:type="dxa"/>
            <w:vAlign w:val="bottom"/>
            <w:gridSpan w:val="2"/>
            <w:vMerge w:val="continue"/>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2012</w:t>
            </w:r>
          </w:p>
        </w:tc>
        <w:tc>
          <w:tcPr>
            <w:tcW w:w="320" w:type="dxa"/>
            <w:vAlign w:val="bottom"/>
          </w:tcPr>
          <w:p>
            <w:pPr>
              <w:ind w:left="20"/>
              <w:spacing w:after="0"/>
              <w:rPr>
                <w:sz w:val="20"/>
                <w:szCs w:val="20"/>
                <w:color w:val="auto"/>
              </w:rPr>
            </w:pPr>
            <w:r>
              <w:rPr>
                <w:rFonts w:ascii="Arial" w:cs="Arial" w:eastAsia="Arial" w:hAnsi="Arial"/>
                <w:sz w:val="3"/>
                <w:szCs w:val="3"/>
                <w:color w:val="FFFFFF"/>
              </w:rPr>
              <w:t>20131</w:t>
            </w: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HK$ HK$</w:t>
            </w: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0" w:type="dxa"/>
            <w:vAlign w:val="bottom"/>
            <w:gridSpan w:val="3"/>
          </w:tcPr>
          <w:p>
            <w:pPr>
              <w:ind w:left="60"/>
              <w:spacing w:after="0"/>
              <w:rPr>
                <w:sz w:val="20"/>
                <w:szCs w:val="20"/>
                <w:color w:val="auto"/>
              </w:rPr>
            </w:pPr>
            <w:r>
              <w:rPr>
                <w:rFonts w:ascii="Arial" w:cs="Arial" w:eastAsia="Arial" w:hAnsi="Arial"/>
                <w:sz w:val="3"/>
                <w:szCs w:val="3"/>
                <w:color w:val="FFFFFF"/>
              </w:rPr>
              <w:t>in thousands)</w:t>
            </w:r>
          </w:p>
        </w:tc>
        <w:tc>
          <w:tcPr>
            <w:tcW w:w="260" w:type="dxa"/>
            <w:vAlign w:val="bottom"/>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60" w:type="dxa"/>
            <w:vAlign w:val="bottom"/>
            <w:gridSpan w:val="4"/>
          </w:tcPr>
          <w:p>
            <w:pPr>
              <w:spacing w:after="0"/>
              <w:rPr>
                <w:sz w:val="20"/>
                <w:szCs w:val="20"/>
                <w:color w:val="auto"/>
              </w:rPr>
            </w:pPr>
            <w:r>
              <w:rPr>
                <w:rFonts w:ascii="Arial" w:cs="Arial" w:eastAsia="Arial" w:hAnsi="Arial"/>
                <w:sz w:val="3"/>
                <w:szCs w:val="3"/>
                <w:color w:val="FFFFFF"/>
              </w:rPr>
              <w:t>(unaudited) (audited)</w:t>
            </w: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60" w:type="dxa"/>
            <w:vAlign w:val="bottom"/>
            <w:gridSpan w:val="4"/>
          </w:tcPr>
          <w:p>
            <w:pPr>
              <w:spacing w:after="0"/>
              <w:rPr>
                <w:sz w:val="20"/>
                <w:szCs w:val="20"/>
                <w:color w:val="auto"/>
              </w:rPr>
            </w:pPr>
            <w:r>
              <w:rPr>
                <w:rFonts w:ascii="Arial" w:cs="Arial" w:eastAsia="Arial" w:hAnsi="Arial"/>
                <w:sz w:val="3"/>
                <w:szCs w:val="3"/>
                <w:color w:val="FFFFFF"/>
              </w:rPr>
              <w:t>Casino 713,020 976,686</w:t>
            </w: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0" w:type="dxa"/>
            <w:vAlign w:val="bottom"/>
            <w:gridSpan w:val="3"/>
          </w:tcPr>
          <w:p>
            <w:pPr>
              <w:spacing w:after="0"/>
              <w:rPr>
                <w:sz w:val="20"/>
                <w:szCs w:val="20"/>
                <w:color w:val="auto"/>
              </w:rPr>
            </w:pPr>
            <w:r>
              <w:rPr>
                <w:rFonts w:ascii="Arial" w:cs="Arial" w:eastAsia="Arial" w:hAnsi="Arial"/>
                <w:sz w:val="3"/>
                <w:szCs w:val="3"/>
                <w:color w:val="FFFFFF"/>
              </w:rPr>
              <w:t>Hotel 8,298 8,176</w:t>
            </w:r>
          </w:p>
        </w:tc>
        <w:tc>
          <w:tcPr>
            <w:tcW w:w="260" w:type="dxa"/>
            <w:vAlign w:val="bottom"/>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5"/>
          </w:tcPr>
          <w:p>
            <w:pPr>
              <w:spacing w:after="0"/>
              <w:rPr>
                <w:sz w:val="20"/>
                <w:szCs w:val="20"/>
                <w:color w:val="auto"/>
              </w:rPr>
            </w:pPr>
            <w:r>
              <w:rPr>
                <w:rFonts w:ascii="Arial" w:cs="Arial" w:eastAsia="Arial" w:hAnsi="Arial"/>
                <w:sz w:val="3"/>
                <w:szCs w:val="3"/>
                <w:color w:val="FFFFFF"/>
              </w:rPr>
              <w:t>Retail leases and other 163,451 178,121</w:t>
            </w:r>
          </w:p>
        </w:tc>
        <w:tc>
          <w:tcPr>
            <w:tcW w:w="0" w:type="dxa"/>
            <w:vAlign w:val="bottom"/>
          </w:tcPr>
          <w:p>
            <w:pPr>
              <w:spacing w:after="0"/>
              <w:rPr>
                <w:sz w:val="1"/>
                <w:szCs w:val="1"/>
                <w:color w:val="auto"/>
              </w:rPr>
            </w:pPr>
          </w:p>
        </w:tc>
      </w:tr>
      <w:tr>
        <w:trPr>
          <w:trHeight w:val="41"/>
        </w:trPr>
        <w:tc>
          <w:tcPr>
            <w:tcW w:w="1100" w:type="dxa"/>
            <w:vAlign w:val="bottom"/>
            <w:gridSpan w:val="3"/>
          </w:tcPr>
          <w:p>
            <w:pPr>
              <w:spacing w:after="0"/>
              <w:rPr>
                <w:sz w:val="20"/>
                <w:szCs w:val="20"/>
                <w:color w:val="auto"/>
              </w:rPr>
            </w:pPr>
            <w:r>
              <w:rPr>
                <w:rFonts w:ascii="Arial" w:cs="Arial" w:eastAsia="Arial" w:hAnsi="Arial"/>
                <w:sz w:val="3"/>
                <w:szCs w:val="3"/>
                <w:color w:val="FFFFFF"/>
              </w:rPr>
              <w:t>884,769 1,162,983</w:t>
            </w:r>
          </w:p>
        </w:tc>
        <w:tc>
          <w:tcPr>
            <w:tcW w:w="260" w:type="dxa"/>
            <w:vAlign w:val="bottom"/>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5"/>
          </w:tcPr>
          <w:p>
            <w:pPr>
              <w:spacing w:after="0"/>
              <w:rPr>
                <w:sz w:val="20"/>
                <w:szCs w:val="20"/>
                <w:color w:val="auto"/>
              </w:rPr>
            </w:pPr>
            <w:r>
              <w:rPr>
                <w:rFonts w:ascii="Arial" w:cs="Arial" w:eastAsia="Arial" w:hAnsi="Arial"/>
                <w:sz w:val="3"/>
                <w:szCs w:val="3"/>
                <w:color w:val="FFFFFF"/>
              </w:rPr>
              <w:t>Less: allowance for doubtful accounts (285,155) (413,344)</w:t>
            </w:r>
          </w:p>
        </w:tc>
        <w:tc>
          <w:tcPr>
            <w:tcW w:w="0" w:type="dxa"/>
            <w:vAlign w:val="bottom"/>
          </w:tcPr>
          <w:p>
            <w:pPr>
              <w:spacing w:after="0"/>
              <w:rPr>
                <w:sz w:val="1"/>
                <w:szCs w:val="1"/>
                <w:color w:val="auto"/>
              </w:rPr>
            </w:pPr>
          </w:p>
        </w:tc>
      </w:tr>
      <w:tr>
        <w:trPr>
          <w:trHeight w:val="41"/>
        </w:trPr>
        <w:tc>
          <w:tcPr>
            <w:tcW w:w="11320" w:type="dxa"/>
            <w:vAlign w:val="bottom"/>
            <w:gridSpan w:val="5"/>
          </w:tcPr>
          <w:p>
            <w:pPr>
              <w:spacing w:after="0"/>
              <w:rPr>
                <w:sz w:val="20"/>
                <w:szCs w:val="20"/>
                <w:color w:val="auto"/>
              </w:rPr>
            </w:pPr>
            <w:r>
              <w:rPr>
                <w:rFonts w:ascii="Arial" w:cs="Arial" w:eastAsia="Arial" w:hAnsi="Arial"/>
                <w:sz w:val="3"/>
                <w:szCs w:val="3"/>
                <w:color w:val="FFFFFF"/>
              </w:rPr>
              <w:t>Total trade and other receivables, net 599,614 749,639</w:t>
            </w: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11020" w:type="dxa"/>
            <w:vAlign w:val="bottom"/>
            <w:gridSpan w:val="4"/>
          </w:tcPr>
          <w:p>
            <w:pPr>
              <w:ind w:left="120"/>
              <w:spacing w:after="0"/>
              <w:rPr>
                <w:sz w:val="20"/>
                <w:szCs w:val="20"/>
                <w:color w:val="auto"/>
              </w:rPr>
            </w:pPr>
            <w:r>
              <w:rPr>
                <w:rFonts w:ascii="Arial" w:cs="Arial" w:eastAsia="Arial" w:hAnsi="Arial"/>
                <w:sz w:val="3"/>
                <w:szCs w:val="3"/>
                <w:color w:val="FFFFFF"/>
              </w:rPr>
              <w:t>the six months ended 30 June 2012, casino receivables of HK$103.4 million, which had been fully provided for, were written off. No receivables were written off for the six months ended 30 June 2011.</w:t>
            </w:r>
          </w:p>
        </w:tc>
        <w:tc>
          <w:tcPr>
            <w:tcW w:w="0" w:type="dxa"/>
            <w:vAlign w:val="bottom"/>
          </w:tcPr>
          <w:p>
            <w:pPr>
              <w:spacing w:after="0"/>
              <w:rPr>
                <w:sz w:val="1"/>
                <w:szCs w:val="1"/>
                <w:color w:val="auto"/>
              </w:rPr>
            </w:pPr>
          </w:p>
        </w:tc>
      </w:tr>
      <w:tr>
        <w:trPr>
          <w:trHeight w:val="41"/>
        </w:trPr>
        <w:tc>
          <w:tcPr>
            <w:tcW w:w="11320" w:type="dxa"/>
            <w:vAlign w:val="bottom"/>
            <w:gridSpan w:val="5"/>
          </w:tcPr>
          <w:p>
            <w:pPr>
              <w:spacing w:after="0"/>
              <w:rPr>
                <w:sz w:val="20"/>
                <w:szCs w:val="20"/>
                <w:color w:val="auto"/>
              </w:rPr>
            </w:pPr>
            <w:r>
              <w:rPr>
                <w:rFonts w:ascii="Arial" w:cs="Arial" w:eastAsia="Arial" w:hAnsi="Arial"/>
                <w:sz w:val="3"/>
                <w:szCs w:val="3"/>
                <w:color w:val="FFFFFF"/>
              </w:rPr>
              <w:t>Duringaged analysis of trade and other receivables is as follows:</w:t>
            </w: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As at As at</w:t>
            </w:r>
          </w:p>
        </w:tc>
        <w:tc>
          <w:tcPr>
            <w:tcW w:w="740" w:type="dxa"/>
            <w:vAlign w:val="bottom"/>
            <w:gridSpan w:val="2"/>
            <w:vMerge w:val="restart"/>
          </w:tcPr>
          <w:p>
            <w:pPr>
              <w:jc w:val="center"/>
              <w:ind w:right="163"/>
              <w:spacing w:after="0" w:line="81" w:lineRule="exact"/>
              <w:rPr>
                <w:sz w:val="20"/>
                <w:szCs w:val="20"/>
                <w:color w:val="auto"/>
              </w:rPr>
            </w:pPr>
            <w:r>
              <w:rPr>
                <w:rFonts w:ascii="Arial" w:cs="Arial" w:eastAsia="Arial" w:hAnsi="Arial"/>
                <w:sz w:val="9"/>
                <w:szCs w:val="9"/>
                <w:color w:val="FFFFFF"/>
              </w:rPr>
              <w:t>December</w:t>
            </w: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30 June</w:t>
            </w:r>
          </w:p>
        </w:tc>
        <w:tc>
          <w:tcPr>
            <w:tcW w:w="740" w:type="dxa"/>
            <w:vAlign w:val="bottom"/>
            <w:gridSpan w:val="2"/>
            <w:vMerge w:val="continue"/>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2012</w:t>
            </w:r>
          </w:p>
        </w:tc>
        <w:tc>
          <w:tcPr>
            <w:tcW w:w="320" w:type="dxa"/>
            <w:vAlign w:val="bottom"/>
          </w:tcPr>
          <w:p>
            <w:pPr>
              <w:ind w:left="20"/>
              <w:spacing w:after="0"/>
              <w:rPr>
                <w:sz w:val="20"/>
                <w:szCs w:val="20"/>
                <w:color w:val="auto"/>
              </w:rPr>
            </w:pPr>
            <w:r>
              <w:rPr>
                <w:rFonts w:ascii="Arial" w:cs="Arial" w:eastAsia="Arial" w:hAnsi="Arial"/>
                <w:sz w:val="3"/>
                <w:szCs w:val="3"/>
                <w:color w:val="FFFFFF"/>
              </w:rPr>
              <w:t>20131</w:t>
            </w: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HK$ HK$</w:t>
            </w: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0" w:type="dxa"/>
            <w:vAlign w:val="bottom"/>
            <w:gridSpan w:val="3"/>
          </w:tcPr>
          <w:p>
            <w:pPr>
              <w:ind w:left="60"/>
              <w:spacing w:after="0"/>
              <w:rPr>
                <w:sz w:val="20"/>
                <w:szCs w:val="20"/>
                <w:color w:val="auto"/>
              </w:rPr>
            </w:pPr>
            <w:r>
              <w:rPr>
                <w:rFonts w:ascii="Arial" w:cs="Arial" w:eastAsia="Arial" w:hAnsi="Arial"/>
                <w:sz w:val="3"/>
                <w:szCs w:val="3"/>
                <w:color w:val="FFFFFF"/>
              </w:rPr>
              <w:t>in thousands)</w:t>
            </w:r>
          </w:p>
        </w:tc>
        <w:tc>
          <w:tcPr>
            <w:tcW w:w="260" w:type="dxa"/>
            <w:vAlign w:val="bottom"/>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60" w:type="dxa"/>
            <w:vAlign w:val="bottom"/>
            <w:gridSpan w:val="4"/>
          </w:tcPr>
          <w:p>
            <w:pPr>
              <w:spacing w:after="0"/>
              <w:rPr>
                <w:sz w:val="20"/>
                <w:szCs w:val="20"/>
                <w:color w:val="auto"/>
              </w:rPr>
            </w:pPr>
            <w:r>
              <w:rPr>
                <w:rFonts w:ascii="Arial" w:cs="Arial" w:eastAsia="Arial" w:hAnsi="Arial"/>
                <w:sz w:val="3"/>
                <w:szCs w:val="3"/>
                <w:color w:val="FFFFFF"/>
              </w:rPr>
              <w:t>(unaudited) (audited)</w:t>
            </w: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5"/>
          </w:tcPr>
          <w:p>
            <w:pPr>
              <w:spacing w:after="0"/>
              <w:rPr>
                <w:sz w:val="20"/>
                <w:szCs w:val="20"/>
                <w:color w:val="auto"/>
              </w:rPr>
            </w:pPr>
            <w:r>
              <w:rPr>
                <w:rFonts w:ascii="Arial" w:cs="Arial" w:eastAsia="Arial" w:hAnsi="Arial"/>
                <w:sz w:val="3"/>
                <w:szCs w:val="3"/>
                <w:color w:val="FFFFFF"/>
              </w:rPr>
              <w:t>Within 30 days 196,056 351,162</w:t>
            </w: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31</w:t>
            </w:r>
          </w:p>
        </w:tc>
        <w:tc>
          <w:tcPr>
            <w:tcW w:w="320" w:type="dxa"/>
            <w:vAlign w:val="bottom"/>
          </w:tcPr>
          <w:p>
            <w:pPr>
              <w:ind w:left="20"/>
              <w:spacing w:after="0"/>
              <w:rPr>
                <w:sz w:val="20"/>
                <w:szCs w:val="20"/>
                <w:color w:val="auto"/>
              </w:rPr>
            </w:pPr>
            <w:r>
              <w:rPr>
                <w:rFonts w:ascii="Arial" w:cs="Arial" w:eastAsia="Arial" w:hAnsi="Arial"/>
                <w:sz w:val="3"/>
                <w:szCs w:val="3"/>
                <w:color w:val="FFFFFF"/>
              </w:rPr>
              <w:t>60</w:t>
            </w:r>
          </w:p>
        </w:tc>
        <w:tc>
          <w:tcPr>
            <w:tcW w:w="480" w:type="dxa"/>
            <w:vAlign w:val="bottom"/>
          </w:tcPr>
          <w:p>
            <w:pPr>
              <w:jc w:val="center"/>
              <w:ind w:left="69"/>
              <w:spacing w:after="0"/>
              <w:rPr>
                <w:sz w:val="20"/>
                <w:szCs w:val="20"/>
                <w:color w:val="auto"/>
              </w:rPr>
            </w:pPr>
            <w:r>
              <w:rPr>
                <w:rFonts w:ascii="Arial" w:cs="Arial" w:eastAsia="Arial" w:hAnsi="Arial"/>
                <w:sz w:val="3"/>
                <w:szCs w:val="3"/>
                <w:color w:val="FFFFFF"/>
              </w:rPr>
              <w:t>145,9</w:t>
            </w:r>
          </w:p>
        </w:tc>
        <w:tc>
          <w:tcPr>
            <w:tcW w:w="260" w:type="dxa"/>
            <w:vAlign w:val="bottom"/>
          </w:tcPr>
          <w:p>
            <w:pPr>
              <w:jc w:val="right"/>
              <w:ind w:right="143"/>
              <w:spacing w:after="0"/>
              <w:rPr>
                <w:sz w:val="20"/>
                <w:szCs w:val="20"/>
                <w:color w:val="auto"/>
              </w:rPr>
            </w:pPr>
            <w:r>
              <w:rPr>
                <w:rFonts w:ascii="Arial" w:cs="Arial" w:eastAsia="Arial" w:hAnsi="Arial"/>
                <w:sz w:val="3"/>
                <w:szCs w:val="3"/>
                <w:color w:val="FFFFFF"/>
              </w:rPr>
              <w:t>2</w:t>
            </w:r>
          </w:p>
        </w:tc>
        <w:tc>
          <w:tcPr>
            <w:tcW w:w="9960" w:type="dxa"/>
            <w:vAlign w:val="bottom"/>
          </w:tcPr>
          <w:p>
            <w:pPr>
              <w:jc w:val="right"/>
              <w:ind w:right="9623"/>
              <w:spacing w:after="0"/>
              <w:rPr>
                <w:sz w:val="20"/>
                <w:szCs w:val="20"/>
                <w:color w:val="auto"/>
              </w:rPr>
            </w:pPr>
            <w:r>
              <w:rPr>
                <w:rFonts w:ascii="Arial" w:cs="Arial" w:eastAsia="Arial" w:hAnsi="Arial"/>
                <w:sz w:val="3"/>
                <w:szCs w:val="3"/>
                <w:color w:val="FFFFFF"/>
              </w:rPr>
              <w:t>7,670</w:t>
            </w:r>
          </w:p>
        </w:tc>
        <w:tc>
          <w:tcPr>
            <w:tcW w:w="0" w:type="dxa"/>
            <w:vAlign w:val="bottom"/>
          </w:tcPr>
          <w:p>
            <w:pPr>
              <w:spacing w:after="0"/>
              <w:rPr>
                <w:sz w:val="1"/>
                <w:szCs w:val="1"/>
                <w:color w:val="auto"/>
              </w:rPr>
            </w:pPr>
          </w:p>
        </w:tc>
      </w:tr>
      <w:tr>
        <w:trPr>
          <w:trHeight w:val="41"/>
        </w:trPr>
        <w:tc>
          <w:tcPr>
            <w:tcW w:w="11320" w:type="dxa"/>
            <w:vAlign w:val="bottom"/>
            <w:gridSpan w:val="5"/>
          </w:tcPr>
          <w:p>
            <w:pPr>
              <w:spacing w:after="0"/>
              <w:rPr>
                <w:sz w:val="20"/>
                <w:szCs w:val="20"/>
                <w:color w:val="auto"/>
              </w:rPr>
            </w:pPr>
            <w:r>
              <w:rPr>
                <w:rFonts w:ascii="Arial" w:cs="Arial" w:eastAsia="Arial" w:hAnsi="Arial"/>
                <w:sz w:val="3"/>
                <w:szCs w:val="3"/>
                <w:color w:val="FFFFFF"/>
              </w:rPr>
              <w:t>61 to 90 days 89,470 212,975</w:t>
            </w:r>
          </w:p>
        </w:tc>
        <w:tc>
          <w:tcPr>
            <w:tcW w:w="0" w:type="dxa"/>
            <w:vAlign w:val="bottom"/>
          </w:tcPr>
          <w:p>
            <w:pPr>
              <w:spacing w:after="0"/>
              <w:rPr>
                <w:sz w:val="1"/>
                <w:szCs w:val="1"/>
                <w:color w:val="auto"/>
              </w:rPr>
            </w:pPr>
          </w:p>
        </w:tc>
      </w:tr>
      <w:tr>
        <w:trPr>
          <w:trHeight w:val="41"/>
        </w:trPr>
        <w:tc>
          <w:tcPr>
            <w:tcW w:w="11320" w:type="dxa"/>
            <w:vAlign w:val="bottom"/>
            <w:gridSpan w:val="5"/>
          </w:tcPr>
          <w:p>
            <w:pPr>
              <w:spacing w:after="0"/>
              <w:rPr>
                <w:sz w:val="20"/>
                <w:szCs w:val="20"/>
                <w:color w:val="auto"/>
              </w:rPr>
            </w:pPr>
            <w:r>
              <w:rPr>
                <w:rFonts w:ascii="Arial" w:cs="Arial" w:eastAsia="Arial" w:hAnsi="Arial"/>
                <w:sz w:val="3"/>
                <w:szCs w:val="3"/>
                <w:color w:val="FFFFFF"/>
              </w:rPr>
              <w:t>Over 90 days 453,341 371,176</w:t>
            </w:r>
          </w:p>
        </w:tc>
        <w:tc>
          <w:tcPr>
            <w:tcW w:w="0" w:type="dxa"/>
            <w:vAlign w:val="bottom"/>
          </w:tcPr>
          <w:p>
            <w:pPr>
              <w:spacing w:after="0"/>
              <w:rPr>
                <w:sz w:val="1"/>
                <w:szCs w:val="1"/>
                <w:color w:val="auto"/>
              </w:rPr>
            </w:pPr>
          </w:p>
        </w:tc>
      </w:tr>
      <w:tr>
        <w:trPr>
          <w:trHeight w:val="41"/>
        </w:trPr>
        <w:tc>
          <w:tcPr>
            <w:tcW w:w="1100" w:type="dxa"/>
            <w:vAlign w:val="bottom"/>
            <w:gridSpan w:val="3"/>
          </w:tcPr>
          <w:p>
            <w:pPr>
              <w:spacing w:after="0"/>
              <w:rPr>
                <w:sz w:val="20"/>
                <w:szCs w:val="20"/>
                <w:color w:val="auto"/>
              </w:rPr>
            </w:pPr>
            <w:r>
              <w:rPr>
                <w:rFonts w:ascii="Arial" w:cs="Arial" w:eastAsia="Arial" w:hAnsi="Arial"/>
                <w:sz w:val="3"/>
                <w:szCs w:val="3"/>
                <w:color w:val="FFFFFF"/>
              </w:rPr>
              <w:t>884,769 1,162,983</w:t>
            </w:r>
          </w:p>
        </w:tc>
        <w:tc>
          <w:tcPr>
            <w:tcW w:w="260" w:type="dxa"/>
            <w:vAlign w:val="bottom"/>
          </w:tcPr>
          <w:p>
            <w:pPr>
              <w:spacing w:after="0"/>
              <w:rPr>
                <w:sz w:val="3"/>
                <w:szCs w:val="3"/>
                <w:color w:val="auto"/>
              </w:rPr>
            </w:pPr>
          </w:p>
        </w:tc>
        <w:tc>
          <w:tcPr>
            <w:tcW w:w="9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5"/>
          </w:tcPr>
          <w:p>
            <w:pPr>
              <w:spacing w:after="0"/>
              <w:rPr>
                <w:sz w:val="20"/>
                <w:szCs w:val="20"/>
                <w:color w:val="auto"/>
              </w:rPr>
            </w:pPr>
            <w:r>
              <w:rPr>
                <w:rFonts w:ascii="Arial" w:cs="Arial" w:eastAsia="Arial" w:hAnsi="Arial"/>
                <w:sz w:val="3"/>
                <w:szCs w:val="3"/>
                <w:color w:val="FFFFFF"/>
              </w:rPr>
              <w:t>Less: allowance for doubtful accounts (285,155) (413,344)</w:t>
            </w:r>
          </w:p>
        </w:tc>
        <w:tc>
          <w:tcPr>
            <w:tcW w:w="0" w:type="dxa"/>
            <w:vAlign w:val="bottom"/>
          </w:tcPr>
          <w:p>
            <w:pPr>
              <w:spacing w:after="0"/>
              <w:rPr>
                <w:sz w:val="1"/>
                <w:szCs w:val="1"/>
                <w:color w:val="auto"/>
              </w:rPr>
            </w:pPr>
          </w:p>
        </w:tc>
      </w:tr>
      <w:tr>
        <w:trPr>
          <w:trHeight w:val="0"/>
        </w:trPr>
        <w:tc>
          <w:tcPr>
            <w:tcW w:w="620" w:type="dxa"/>
            <w:vAlign w:val="bottom"/>
            <w:gridSpan w:val="2"/>
          </w:tcPr>
          <w:p>
            <w:pPr>
              <w:spacing w:after="0"/>
              <w:rPr>
                <w:sz w:val="20"/>
                <w:szCs w:val="20"/>
                <w:color w:val="auto"/>
              </w:rPr>
            </w:pPr>
            <w:r>
              <w:rPr>
                <w:rFonts w:ascii="Arial" w:cs="Arial" w:eastAsia="Arial" w:hAnsi="Arial"/>
                <w:sz w:val="3"/>
                <w:szCs w:val="3"/>
                <w:color w:val="FFFFFF"/>
              </w:rPr>
              <w:t>Net of</w:t>
            </w:r>
          </w:p>
        </w:tc>
        <w:tc>
          <w:tcPr>
            <w:tcW w:w="10700" w:type="dxa"/>
            <w:vAlign w:val="bottom"/>
            <w:gridSpan w:val="3"/>
          </w:tcPr>
          <w:p>
            <w:pPr>
              <w:jc w:val="right"/>
              <w:ind w:right="8243"/>
              <w:spacing w:after="0"/>
              <w:rPr>
                <w:sz w:val="20"/>
                <w:szCs w:val="20"/>
                <w:color w:val="auto"/>
              </w:rPr>
            </w:pPr>
            <w:r>
              <w:rPr>
                <w:rFonts w:ascii="Arial" w:cs="Arial" w:eastAsia="Arial" w:hAnsi="Arial"/>
                <w:sz w:val="3"/>
                <w:szCs w:val="3"/>
                <w:color w:val="FFFFFF"/>
              </w:rPr>
              <w:t>for doubtful accounts 599,614 749,639</w:t>
            </w: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Substantiallyallowanceof the trade and other receivables as at 30 June 2012 and 31 December 2011 were repayable within 14 days.</w:t>
      </w:r>
    </w:p>
    <w:p>
      <w:pPr>
        <w:sectPr>
          <w:pgSz w:w="11900" w:h="16838" w:orient="portrait"/>
          <w:cols w:equalWidth="0" w:num="1">
            <w:col w:w="11320"/>
          </w:cols>
          <w:pgMar w:left="240" w:top="1440" w:right="3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FinancialReport2012Information63</w:t>
      </w:r>
    </w:p>
    <w:p>
      <w:pPr>
        <w:spacing w:after="0"/>
        <w:rPr>
          <w:sz w:val="20"/>
          <w:szCs w:val="20"/>
          <w:color w:val="auto"/>
        </w:rPr>
      </w:pPr>
      <w:r>
        <w:rPr>
          <w:rFonts w:ascii="Arial" w:cs="Arial" w:eastAsia="Arial" w:hAnsi="Arial"/>
          <w:sz w:val="3"/>
          <w:szCs w:val="3"/>
          <w:color w:val="FFFFFF"/>
        </w:rPr>
        <w:t>ForNotesthetosixInterimmonthsFinancialended30InformationJune2012</w:t>
      </w:r>
    </w:p>
    <w:p>
      <w:pPr>
        <w:spacing w:after="0" w:line="194" w:lineRule="auto"/>
        <w:rPr>
          <w:sz w:val="20"/>
          <w:szCs w:val="20"/>
          <w:color w:val="auto"/>
        </w:rPr>
      </w:pPr>
      <w:r>
        <w:rPr>
          <w:rFonts w:ascii="Arial" w:cs="Arial" w:eastAsia="Arial" w:hAnsi="Arial"/>
          <w:sz w:val="5"/>
          <w:szCs w:val="5"/>
          <w:color w:val="FFFFFF"/>
        </w:rPr>
        <w:t>ACCOUNTS PAYABLE</w:t>
      </w:r>
    </w:p>
    <w:p>
      <w:pPr>
        <w:spacing w:after="0" w:line="187" w:lineRule="auto"/>
        <w:rPr>
          <w:sz w:val="20"/>
          <w:szCs w:val="20"/>
          <w:color w:val="auto"/>
        </w:rPr>
      </w:pPr>
      <w:r>
        <w:rPr>
          <w:rFonts w:ascii="Arial" w:cs="Arial" w:eastAsia="Arial" w:hAnsi="Arial"/>
          <w:sz w:val="9"/>
          <w:szCs w:val="9"/>
          <w:color w:val="FFFFFF"/>
        </w:rPr>
        <w:t>During the six months ended 30 June 2012 and 2011, the Group normally received credit terms of 30 days. An aged analysis of accounts payable as at the end of the reporting period, based on invoice dates, is as follows:</w:t>
      </w:r>
    </w:p>
    <w:p>
      <w:pPr>
        <w:spacing w:after="0"/>
        <w:rPr>
          <w:sz w:val="20"/>
          <w:szCs w:val="20"/>
          <w:color w:val="auto"/>
        </w:rPr>
      </w:pPr>
      <w:r>
        <w:rPr>
          <w:rFonts w:ascii="Arial" w:cs="Arial" w:eastAsia="Arial" w:hAnsi="Arial"/>
          <w:sz w:val="3"/>
          <w:szCs w:val="3"/>
          <w:color w:val="FFFFFF"/>
        </w:rPr>
        <w:t>As at As at</w:t>
      </w:r>
    </w:p>
    <w:p>
      <w:pPr>
        <w:spacing w:after="0" w:line="194" w:lineRule="auto"/>
        <w:rPr>
          <w:sz w:val="20"/>
          <w:szCs w:val="20"/>
          <w:color w:val="auto"/>
        </w:rPr>
      </w:pPr>
      <w:r>
        <w:rPr>
          <w:rFonts w:ascii="Arial" w:cs="Arial" w:eastAsia="Arial" w:hAnsi="Arial"/>
          <w:sz w:val="5"/>
          <w:szCs w:val="5"/>
          <w:color w:val="FFFFFF"/>
          <w:vertAlign w:val="superscript"/>
        </w:rPr>
        <w:t>2012</w:t>
      </w:r>
      <w:r>
        <w:rPr>
          <w:rFonts w:ascii="Arial" w:cs="Arial" w:eastAsia="Arial" w:hAnsi="Arial"/>
          <w:sz w:val="3"/>
          <w:szCs w:val="3"/>
          <w:color w:val="FFFFFF"/>
        </w:rPr>
        <w:t xml:space="preserve">30June </w:t>
      </w:r>
      <w:r>
        <w:rPr>
          <w:rFonts w:ascii="Arial" w:cs="Arial" w:eastAsia="Arial" w:hAnsi="Arial"/>
          <w:sz w:val="5"/>
          <w:szCs w:val="5"/>
          <w:color w:val="FFFFFF"/>
          <w:vertAlign w:val="superscript"/>
        </w:rPr>
        <w:t>31</w:t>
      </w:r>
      <w:r>
        <w:rPr>
          <w:rFonts w:ascii="Arial" w:cs="Arial" w:eastAsia="Arial" w:hAnsi="Arial"/>
          <w:sz w:val="3"/>
          <w:szCs w:val="3"/>
          <w:color w:val="FFFFFF"/>
        </w:rPr>
        <w:t xml:space="preserve"> December</w:t>
      </w:r>
    </w:p>
    <w:p>
      <w:pPr>
        <w:ind w:left="320"/>
        <w:spacing w:after="0" w:line="188" w:lineRule="auto"/>
        <w:rPr>
          <w:sz w:val="20"/>
          <w:szCs w:val="20"/>
          <w:color w:val="auto"/>
        </w:rPr>
      </w:pPr>
      <w:r>
        <w:rPr>
          <w:rFonts w:ascii="Arial" w:cs="Arial" w:eastAsia="Arial" w:hAnsi="Arial"/>
          <w:sz w:val="9"/>
          <w:szCs w:val="9"/>
          <w:color w:val="FFFFFF"/>
        </w:rPr>
        <w:t>201</w:t>
      </w:r>
    </w:p>
    <w:p>
      <w:pPr>
        <w:spacing w:after="0" w:line="211"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HKinthousands)$HK$</w:t>
      </w:r>
    </w:p>
    <w:p>
      <w:pPr>
        <w:jc w:val="center"/>
        <w:ind w:right="9600"/>
        <w:spacing w:after="0"/>
        <w:rPr>
          <w:sz w:val="20"/>
          <w:szCs w:val="20"/>
          <w:color w:val="auto"/>
        </w:rPr>
      </w:pPr>
      <w:r>
        <w:rPr>
          <w:rFonts w:ascii="Arial" w:cs="Arial" w:eastAsia="Arial" w:hAnsi="Arial"/>
          <w:sz w:val="3"/>
          <w:szCs w:val="3"/>
          <w:color w:val="FFFFFF"/>
        </w:rPr>
        <w:t>(audited)</w:t>
      </w:r>
    </w:p>
    <w:p>
      <w:pPr>
        <w:jc w:val="center"/>
        <w:ind w:right="9620"/>
        <w:spacing w:after="0" w:line="194" w:lineRule="auto"/>
        <w:rPr>
          <w:sz w:val="20"/>
          <w:szCs w:val="20"/>
          <w:color w:val="auto"/>
        </w:rPr>
      </w:pPr>
      <w:r>
        <w:rPr>
          <w:rFonts w:ascii="Arial" w:cs="Arial" w:eastAsia="Arial" w:hAnsi="Arial"/>
          <w:sz w:val="3"/>
          <w:szCs w:val="3"/>
          <w:color w:val="FFFFFF"/>
        </w:rPr>
        <w:t xml:space="preserve">Within 30 days </w:t>
      </w:r>
      <w:r>
        <w:rPr>
          <w:rFonts w:ascii="Arial" w:cs="Arial" w:eastAsia="Arial" w:hAnsi="Arial"/>
          <w:sz w:val="5"/>
          <w:szCs w:val="5"/>
          <w:color w:val="FFFFFF"/>
          <w:vertAlign w:val="subscript"/>
        </w:rPr>
        <w:t>933,703</w:t>
      </w:r>
      <w:r>
        <w:rPr>
          <w:rFonts w:ascii="Arial" w:cs="Arial" w:eastAsia="Arial" w:hAnsi="Arial"/>
          <w:sz w:val="3"/>
          <w:szCs w:val="3"/>
          <w:color w:val="FFFFFF"/>
        </w:rPr>
        <w:t xml:space="preserve"> 999,791</w:t>
      </w:r>
    </w:p>
    <w:p>
      <w:pPr>
        <w:spacing w:after="0" w:line="181" w:lineRule="auto"/>
        <w:rPr>
          <w:sz w:val="20"/>
          <w:szCs w:val="20"/>
          <w:color w:val="auto"/>
        </w:rPr>
      </w:pPr>
      <w:r>
        <w:rPr>
          <w:rFonts w:ascii="Arial" w:cs="Arial" w:eastAsia="Arial" w:hAnsi="Arial"/>
          <w:sz w:val="14"/>
          <w:szCs w:val="14"/>
          <w:color w:val="FFFFFF"/>
          <w:vertAlign w:val="superscript"/>
        </w:rPr>
        <w:t>31</w:t>
      </w:r>
      <w:r>
        <w:rPr>
          <w:rFonts w:ascii="Arial" w:cs="Arial" w:eastAsia="Arial" w:hAnsi="Arial"/>
          <w:sz w:val="9"/>
          <w:szCs w:val="9"/>
          <w:color w:val="FFFFFF"/>
        </w:rPr>
        <w:t xml:space="preserve">61 to </w:t>
      </w:r>
      <w:r>
        <w:rPr>
          <w:rFonts w:ascii="Arial" w:cs="Arial" w:eastAsia="Arial" w:hAnsi="Arial"/>
          <w:sz w:val="14"/>
          <w:szCs w:val="14"/>
          <w:color w:val="FFFFFF"/>
          <w:vertAlign w:val="superscript"/>
        </w:rPr>
        <w:t>60</w:t>
      </w:r>
      <w:r>
        <w:rPr>
          <w:rFonts w:ascii="Arial" w:cs="Arial" w:eastAsia="Arial" w:hAnsi="Arial"/>
          <w:sz w:val="9"/>
          <w:szCs w:val="9"/>
          <w:color w:val="FFFFFF"/>
        </w:rPr>
        <w:t>90 days 10,241</w:t>
      </w:r>
      <w:r>
        <w:rPr>
          <w:rFonts w:ascii="Arial" w:cs="Arial" w:eastAsia="Arial" w:hAnsi="Arial"/>
          <w:sz w:val="14"/>
          <w:szCs w:val="14"/>
          <w:color w:val="FFFFFF"/>
          <w:vertAlign w:val="superscript"/>
        </w:rPr>
        <w:t>3928</w:t>
      </w:r>
      <w:r>
        <w:rPr>
          <w:rFonts w:ascii="Arial" w:cs="Arial" w:eastAsia="Arial" w:hAnsi="Arial"/>
          <w:sz w:val="9"/>
          <w:szCs w:val="9"/>
          <w:color w:val="FFFFFF"/>
        </w:rPr>
        <w:t xml:space="preserve"> 4,328</w:t>
      </w:r>
      <w:r>
        <w:rPr>
          <w:rFonts w:ascii="Arial" w:cs="Arial" w:eastAsia="Arial" w:hAnsi="Arial"/>
          <w:sz w:val="14"/>
          <w:szCs w:val="14"/>
          <w:color w:val="FFFFFF"/>
          <w:vertAlign w:val="superscript"/>
        </w:rPr>
        <w:t>078</w:t>
      </w:r>
    </w:p>
    <w:p>
      <w:pPr>
        <w:spacing w:after="0"/>
        <w:rPr>
          <w:sz w:val="20"/>
          <w:szCs w:val="20"/>
          <w:color w:val="auto"/>
        </w:rPr>
      </w:pPr>
      <w:r>
        <w:rPr>
          <w:rFonts w:ascii="Arial" w:cs="Arial" w:eastAsia="Arial" w:hAnsi="Arial"/>
          <w:sz w:val="3"/>
          <w:szCs w:val="3"/>
          <w:color w:val="FFFFFF"/>
        </w:rPr>
        <w:t>967,866Over90 days1,050,3459,994 37,148</w:t>
      </w:r>
    </w:p>
    <w:p>
      <w:pPr>
        <w:spacing w:after="0" w:line="181" w:lineRule="auto"/>
        <w:rPr>
          <w:sz w:val="20"/>
          <w:szCs w:val="20"/>
          <w:color w:val="auto"/>
        </w:rPr>
      </w:pPr>
      <w:r>
        <w:rPr>
          <w:rFonts w:ascii="Arial" w:cs="Arial" w:eastAsia="Arial" w:hAnsi="Arial"/>
          <w:sz w:val="10"/>
          <w:szCs w:val="10"/>
          <w:color w:val="FFFFFF"/>
          <w:vertAlign w:val="subscript"/>
        </w:rPr>
        <w:t>Other</w:t>
      </w:r>
      <w:r>
        <w:rPr>
          <w:rFonts w:ascii="Arial" w:cs="Arial" w:eastAsia="Arial" w:hAnsi="Arial"/>
          <w:sz w:val="7"/>
          <w:szCs w:val="7"/>
          <w:color w:val="FFFFFF"/>
        </w:rPr>
        <w:t>THER PAYABLES AND ACCRUALS</w:t>
      </w:r>
    </w:p>
    <w:p>
      <w:pPr>
        <w:spacing w:after="0"/>
        <w:rPr>
          <w:sz w:val="20"/>
          <w:szCs w:val="20"/>
          <w:color w:val="auto"/>
        </w:rPr>
      </w:pPr>
      <w:r>
        <w:rPr>
          <w:rFonts w:ascii="Arial" w:cs="Arial" w:eastAsia="Arial" w:hAnsi="Arial"/>
          <w:sz w:val="3"/>
          <w:szCs w:val="3"/>
          <w:color w:val="FFFFFF"/>
        </w:rPr>
        <w:t>As at Aspayablesat and accruals consist of the following as at 30 June 2012 and 31 December 2011:</w:t>
      </w:r>
    </w:p>
    <w:p>
      <w:pPr>
        <w:spacing w:after="0" w:line="194" w:lineRule="auto"/>
        <w:rPr>
          <w:sz w:val="20"/>
          <w:szCs w:val="20"/>
          <w:color w:val="auto"/>
        </w:rPr>
      </w:pPr>
      <w:r>
        <w:rPr>
          <w:rFonts w:ascii="Arial" w:cs="Arial" w:eastAsia="Arial" w:hAnsi="Arial"/>
          <w:sz w:val="5"/>
          <w:szCs w:val="5"/>
          <w:color w:val="FFFFFF"/>
          <w:vertAlign w:val="superscript"/>
        </w:rPr>
        <w:t>2012</w:t>
      </w:r>
      <w:r>
        <w:rPr>
          <w:rFonts w:ascii="Arial" w:cs="Arial" w:eastAsia="Arial" w:hAnsi="Arial"/>
          <w:sz w:val="3"/>
          <w:szCs w:val="3"/>
          <w:color w:val="FFFFFF"/>
        </w:rPr>
        <w:t xml:space="preserve">30June </w:t>
      </w:r>
      <w:r>
        <w:rPr>
          <w:rFonts w:ascii="Arial" w:cs="Arial" w:eastAsia="Arial" w:hAnsi="Arial"/>
          <w:sz w:val="5"/>
          <w:szCs w:val="5"/>
          <w:color w:val="FFFFFF"/>
          <w:vertAlign w:val="superscript"/>
        </w:rPr>
        <w:t>31</w:t>
      </w:r>
      <w:r>
        <w:rPr>
          <w:rFonts w:ascii="Arial" w:cs="Arial" w:eastAsia="Arial" w:hAnsi="Arial"/>
          <w:sz w:val="3"/>
          <w:szCs w:val="3"/>
          <w:color w:val="FFFFFF"/>
        </w:rPr>
        <w:t xml:space="preserve"> December</w:t>
      </w:r>
    </w:p>
    <w:p>
      <w:pPr>
        <w:spacing w:after="0" w:line="181" w:lineRule="auto"/>
        <w:rPr>
          <w:sz w:val="20"/>
          <w:szCs w:val="20"/>
          <w:color w:val="auto"/>
        </w:rPr>
      </w:pPr>
      <w:r>
        <w:rPr>
          <w:rFonts w:ascii="Arial" w:cs="Arial" w:eastAsia="Arial" w:hAnsi="Arial"/>
          <w:sz w:val="14"/>
          <w:szCs w:val="14"/>
          <w:color w:val="FFFFFF"/>
        </w:rPr>
        <w:t>HK$ HK201$</w:t>
      </w:r>
    </w:p>
    <w:p>
      <w:pPr>
        <w:ind w:left="60"/>
        <w:spacing w:after="0"/>
        <w:rPr>
          <w:sz w:val="20"/>
          <w:szCs w:val="20"/>
          <w:color w:val="auto"/>
        </w:rPr>
      </w:pPr>
      <w:r>
        <w:rPr>
          <w:rFonts w:ascii="Arial" w:cs="Arial" w:eastAsia="Arial" w:hAnsi="Arial"/>
          <w:sz w:val="3"/>
          <w:szCs w:val="3"/>
          <w:color w:val="FFFFFF"/>
        </w:rPr>
        <w:t>in thousands)</w:t>
      </w:r>
    </w:p>
    <w:p>
      <w:pPr>
        <w:spacing w:after="0" w:line="194" w:lineRule="auto"/>
        <w:rPr>
          <w:sz w:val="20"/>
          <w:szCs w:val="20"/>
          <w:color w:val="auto"/>
        </w:rPr>
      </w:pPr>
      <w:r>
        <w:rPr>
          <w:rFonts w:ascii="Arial" w:cs="Arial" w:eastAsia="Arial" w:hAnsi="Arial"/>
          <w:sz w:val="5"/>
          <w:szCs w:val="5"/>
          <w:color w:val="FFFFFF"/>
          <w:vertAlign w:val="subscript"/>
        </w:rPr>
        <w:t>Current(unaudited)</w:t>
      </w:r>
      <w:r>
        <w:rPr>
          <w:rFonts w:ascii="Arial" w:cs="Arial" w:eastAsia="Arial" w:hAnsi="Arial"/>
          <w:sz w:val="3"/>
          <w:szCs w:val="3"/>
          <w:color w:val="FFFFFF"/>
        </w:rPr>
        <w:t xml:space="preserve"> (audited)</w:t>
      </w:r>
    </w:p>
    <w:p>
      <w:pPr>
        <w:spacing w:after="0" w:line="181" w:lineRule="auto"/>
        <w:rPr>
          <w:sz w:val="20"/>
          <w:szCs w:val="20"/>
          <w:color w:val="auto"/>
        </w:rPr>
      </w:pPr>
      <w:r>
        <w:rPr>
          <w:rFonts w:ascii="Arial" w:cs="Arial" w:eastAsia="Arial" w:hAnsi="Arial"/>
          <w:sz w:val="14"/>
          <w:szCs w:val="14"/>
          <w:color w:val="FFFFFF"/>
        </w:rPr>
        <w:t>GamingOutstandingtaxeschippayableliabilities1,119,4543,278,9241,291,0752,829,369</w:t>
      </w:r>
    </w:p>
    <w:p>
      <w:pPr>
        <w:spacing w:after="0"/>
        <w:rPr>
          <w:sz w:val="20"/>
          <w:szCs w:val="20"/>
          <w:color w:val="auto"/>
        </w:rPr>
      </w:pPr>
      <w:r>
        <w:rPr>
          <w:rFonts w:ascii="Arial" w:cs="Arial" w:eastAsia="Arial" w:hAnsi="Arial"/>
          <w:sz w:val="3"/>
          <w:szCs w:val="3"/>
          <w:color w:val="FFFFFF"/>
        </w:rPr>
        <w:t>DonationCustomer payabledeposits77,670733,27277,670820,247</w:t>
      </w:r>
    </w:p>
    <w:p>
      <w:pPr>
        <w:spacing w:after="0" w:line="181" w:lineRule="auto"/>
        <w:rPr>
          <w:sz w:val="20"/>
          <w:szCs w:val="20"/>
          <w:color w:val="auto"/>
        </w:rPr>
      </w:pPr>
      <w:r>
        <w:rPr>
          <w:rFonts w:ascii="Arial" w:cs="Arial" w:eastAsia="Arial" w:hAnsi="Arial"/>
          <w:sz w:val="10"/>
          <w:szCs w:val="10"/>
          <w:color w:val="FFFFFF"/>
        </w:rPr>
        <w:t>Other liabilities 235,768 638,746</w:t>
      </w:r>
    </w:p>
    <w:p>
      <w:pPr>
        <w:spacing w:after="0" w:line="213" w:lineRule="auto"/>
        <w:rPr>
          <w:sz w:val="20"/>
          <w:szCs w:val="20"/>
          <w:color w:val="auto"/>
        </w:rPr>
      </w:pPr>
      <w:r>
        <w:rPr>
          <w:rFonts w:ascii="Arial" w:cs="Arial" w:eastAsia="Arial" w:hAnsi="Arial"/>
          <w:sz w:val="2"/>
          <w:szCs w:val="2"/>
          <w:color w:val="FFFFFF"/>
        </w:rPr>
        <w:t>N</w:t>
      </w:r>
      <w:r>
        <w:rPr>
          <w:rFonts w:ascii="Arial" w:cs="Arial" w:eastAsia="Arial" w:hAnsi="Arial"/>
          <w:sz w:val="4"/>
          <w:szCs w:val="4"/>
          <w:color w:val="FFFFFF"/>
          <w:vertAlign w:val="subscript"/>
        </w:rPr>
        <w:t>Donation</w:t>
      </w:r>
      <w:r>
        <w:rPr>
          <w:rFonts w:ascii="Arial" w:cs="Arial" w:eastAsia="Arial" w:hAnsi="Arial"/>
          <w:sz w:val="2"/>
          <w:szCs w:val="2"/>
          <w:color w:val="FFFFFF"/>
        </w:rPr>
        <w:t>5,445,088-current5,657,107</w:t>
      </w:r>
    </w:p>
    <w:p>
      <w:pPr>
        <w:spacing w:after="0"/>
        <w:rPr>
          <w:sz w:val="20"/>
          <w:szCs w:val="20"/>
          <w:color w:val="auto"/>
        </w:rPr>
      </w:pPr>
      <w:r>
        <w:rPr>
          <w:rFonts w:ascii="Arial" w:cs="Arial" w:eastAsia="Arial" w:hAnsi="Arial"/>
          <w:sz w:val="27"/>
          <w:szCs w:val="27"/>
          <w:color w:val="FFFFFF"/>
          <w:vertAlign w:val="subscript"/>
        </w:rPr>
        <w:t>6,236,877</w:t>
      </w:r>
      <w:r>
        <w:rPr>
          <w:rFonts w:ascii="Arial" w:cs="Arial" w:eastAsia="Arial" w:hAnsi="Arial"/>
          <w:sz w:val="14"/>
          <w:szCs w:val="14"/>
          <w:color w:val="FFFFFF"/>
        </w:rPr>
        <w:t>5963796</w:t>
      </w:r>
      <w:r>
        <w:rPr>
          <w:rFonts w:ascii="Arial" w:cs="Arial" w:eastAsia="Arial" w:hAnsi="Arial"/>
          <w:sz w:val="27"/>
          <w:szCs w:val="27"/>
          <w:color w:val="FFFFFF"/>
          <w:vertAlign w:val="superscript"/>
        </w:rPr>
        <w:t>payable 518,708 579,770</w:t>
      </w:r>
    </w:p>
    <w:p>
      <w:pPr>
        <w:sectPr>
          <w:pgSz w:w="11900" w:h="16838" w:orient="portrait"/>
          <w:cols w:equalWidth="0" w:num="1">
            <w:col w:w="11400"/>
          </w:cols>
          <w:pgMar w:left="240" w:top="1440" w:right="25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3"/>
          </w:tcPr>
          <w:p>
            <w:pPr>
              <w:spacing w:after="0"/>
              <w:rPr>
                <w:sz w:val="20"/>
                <w:szCs w:val="20"/>
                <w:color w:val="auto"/>
              </w:rPr>
            </w:pPr>
            <w:r>
              <w:rPr>
                <w:rFonts w:ascii="Arial" w:cs="Arial" w:eastAsia="Arial" w:hAnsi="Arial"/>
                <w:sz w:val="14"/>
                <w:szCs w:val="14"/>
                <w:color w:val="FFFFFF"/>
              </w:rPr>
              <w:t>64 Wynn Macau, Limited</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020" w:type="dxa"/>
            <w:vAlign w:val="bottom"/>
            <w:gridSpan w:val="3"/>
          </w:tcPr>
          <w:p>
            <w:pPr>
              <w:spacing w:after="0"/>
              <w:rPr>
                <w:sz w:val="20"/>
                <w:szCs w:val="20"/>
                <w:color w:val="auto"/>
              </w:rPr>
            </w:pPr>
            <w:r>
              <w:rPr>
                <w:rFonts w:ascii="Arial" w:cs="Arial" w:eastAsia="Arial" w:hAnsi="Arial"/>
                <w:sz w:val="3"/>
                <w:szCs w:val="3"/>
                <w:color w:val="FFFFFF"/>
              </w:rPr>
              <w:t>Interim Financial Information</w:t>
            </w: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2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20" w:type="dxa"/>
            <w:vAlign w:val="bottom"/>
            <w:gridSpan w:val="3"/>
          </w:tcPr>
          <w:p>
            <w:pPr>
              <w:spacing w:after="0"/>
              <w:rPr>
                <w:sz w:val="20"/>
                <w:szCs w:val="20"/>
                <w:color w:val="auto"/>
              </w:rPr>
            </w:pPr>
            <w:r>
              <w:rPr>
                <w:rFonts w:ascii="Arial" w:cs="Arial" w:eastAsia="Arial" w:hAnsi="Arial"/>
                <w:sz w:val="3"/>
                <w:szCs w:val="3"/>
                <w:color w:val="FFFFFF"/>
              </w:rPr>
              <w:t>For the six months ended 30 June 2012</w:t>
            </w: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20" w:type="dxa"/>
            <w:vAlign w:val="bottom"/>
            <w:gridSpan w:val="3"/>
          </w:tcPr>
          <w:p>
            <w:pPr>
              <w:spacing w:after="0"/>
              <w:rPr>
                <w:sz w:val="20"/>
                <w:szCs w:val="20"/>
                <w:color w:val="auto"/>
              </w:rPr>
            </w:pPr>
            <w:r>
              <w:rPr>
                <w:rFonts w:ascii="Arial" w:cs="Arial" w:eastAsia="Arial" w:hAnsi="Arial"/>
                <w:sz w:val="3"/>
                <w:szCs w:val="3"/>
                <w:color w:val="FFFFFF"/>
              </w:rPr>
              <w:t>INTEREST-BEARING BANK LOANS</w:t>
            </w: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540" w:type="dxa"/>
            <w:vAlign w:val="bottom"/>
            <w:gridSpan w:val="6"/>
          </w:tcPr>
          <w:p>
            <w:pPr>
              <w:spacing w:after="0"/>
              <w:rPr>
                <w:sz w:val="20"/>
                <w:szCs w:val="20"/>
                <w:color w:val="auto"/>
              </w:rPr>
            </w:pPr>
            <w:r>
              <w:rPr>
                <w:rFonts w:ascii="Arial" w:cs="Arial" w:eastAsia="Arial" w:hAnsi="Arial"/>
                <w:sz w:val="3"/>
                <w:szCs w:val="3"/>
                <w:color w:val="FFFFFF"/>
              </w:rPr>
              <w:t>The Wynn Macau Credit Facilities may be used for construction and development commitments or for other uses and are repayable as follows:</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As at As at</w:t>
            </w:r>
          </w:p>
        </w:tc>
        <w:tc>
          <w:tcPr>
            <w:tcW w:w="4400" w:type="dxa"/>
            <w:vAlign w:val="bottom"/>
            <w:vMerge w:val="restart"/>
          </w:tcPr>
          <w:p>
            <w:pPr>
              <w:spacing w:after="0" w:line="81" w:lineRule="exact"/>
              <w:rPr>
                <w:sz w:val="20"/>
                <w:szCs w:val="20"/>
                <w:color w:val="auto"/>
              </w:rPr>
            </w:pPr>
            <w:r>
              <w:rPr>
                <w:rFonts w:ascii="Arial" w:cs="Arial" w:eastAsia="Arial" w:hAnsi="Arial"/>
                <w:sz w:val="9"/>
                <w:szCs w:val="9"/>
                <w:color w:val="FFFFFF"/>
              </w:rPr>
              <w:t>December</w:t>
            </w: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30 June</w:t>
            </w:r>
          </w:p>
        </w:tc>
        <w:tc>
          <w:tcPr>
            <w:tcW w:w="44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2012</w:t>
            </w:r>
          </w:p>
        </w:tc>
        <w:tc>
          <w:tcPr>
            <w:tcW w:w="320" w:type="dxa"/>
            <w:vAlign w:val="bottom"/>
          </w:tcPr>
          <w:p>
            <w:pPr>
              <w:jc w:val="right"/>
              <w:ind w:right="3"/>
              <w:spacing w:after="0"/>
              <w:rPr>
                <w:sz w:val="20"/>
                <w:szCs w:val="20"/>
                <w:color w:val="auto"/>
              </w:rPr>
            </w:pPr>
            <w:r>
              <w:rPr>
                <w:rFonts w:ascii="Arial" w:cs="Arial" w:eastAsia="Arial" w:hAnsi="Arial"/>
                <w:sz w:val="3"/>
                <w:szCs w:val="3"/>
                <w:color w:val="FFFFFF"/>
              </w:rPr>
              <w:t>20131</w:t>
            </w:r>
          </w:p>
        </w:tc>
        <w:tc>
          <w:tcPr>
            <w:tcW w:w="4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HK$ HK$</w:t>
            </w:r>
          </w:p>
        </w:tc>
        <w:tc>
          <w:tcPr>
            <w:tcW w:w="4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20" w:type="dxa"/>
            <w:vAlign w:val="bottom"/>
            <w:gridSpan w:val="3"/>
          </w:tcPr>
          <w:p>
            <w:pPr>
              <w:ind w:left="60"/>
              <w:spacing w:after="0"/>
              <w:rPr>
                <w:sz w:val="20"/>
                <w:szCs w:val="20"/>
                <w:color w:val="auto"/>
              </w:rPr>
            </w:pPr>
            <w:r>
              <w:rPr>
                <w:rFonts w:ascii="Arial" w:cs="Arial" w:eastAsia="Arial" w:hAnsi="Arial"/>
                <w:sz w:val="3"/>
                <w:szCs w:val="3"/>
                <w:color w:val="FFFFFF"/>
              </w:rPr>
              <w:t>in thousands)</w:t>
            </w: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20" w:type="dxa"/>
            <w:vAlign w:val="bottom"/>
            <w:gridSpan w:val="3"/>
          </w:tcPr>
          <w:p>
            <w:pPr>
              <w:spacing w:after="0"/>
              <w:rPr>
                <w:sz w:val="20"/>
                <w:szCs w:val="20"/>
                <w:color w:val="auto"/>
              </w:rPr>
            </w:pPr>
            <w:r>
              <w:rPr>
                <w:rFonts w:ascii="Arial" w:cs="Arial" w:eastAsia="Arial" w:hAnsi="Arial"/>
                <w:sz w:val="3"/>
                <w:szCs w:val="3"/>
                <w:color w:val="FFFFFF"/>
              </w:rPr>
              <w:t>(unaudited) (audited)</w:t>
            </w: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20" w:type="dxa"/>
            <w:vAlign w:val="bottom"/>
            <w:gridSpan w:val="3"/>
          </w:tcPr>
          <w:p>
            <w:pPr>
              <w:spacing w:after="0"/>
              <w:rPr>
                <w:sz w:val="20"/>
                <w:szCs w:val="20"/>
                <w:color w:val="auto"/>
              </w:rPr>
            </w:pPr>
            <w:r>
              <w:rPr>
                <w:rFonts w:ascii="Arial" w:cs="Arial" w:eastAsia="Arial" w:hAnsi="Arial"/>
                <w:sz w:val="3"/>
                <w:szCs w:val="3"/>
                <w:color w:val="FFFFFF"/>
              </w:rPr>
              <w:t>On demand or within one year 1,114,302 2,302,714</w:t>
            </w: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4720" w:type="dxa"/>
            <w:vAlign w:val="bottom"/>
            <w:gridSpan w:val="2"/>
          </w:tcPr>
          <w:p>
            <w:pPr>
              <w:ind w:left="60"/>
              <w:spacing w:after="0"/>
              <w:rPr>
                <w:sz w:val="20"/>
                <w:szCs w:val="20"/>
                <w:color w:val="auto"/>
              </w:rPr>
            </w:pPr>
            <w:r>
              <w:rPr>
                <w:rFonts w:ascii="Arial" w:cs="Arial" w:eastAsia="Arial" w:hAnsi="Arial"/>
                <w:sz w:val="3"/>
                <w:szCs w:val="3"/>
                <w:color w:val="FFFFFF"/>
              </w:rPr>
              <w:t>second year 2,016,244 1,114,441</w:t>
            </w: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20" w:type="dxa"/>
            <w:vAlign w:val="bottom"/>
            <w:gridSpan w:val="3"/>
          </w:tcPr>
          <w:p>
            <w:pPr>
              <w:spacing w:after="0"/>
              <w:rPr>
                <w:sz w:val="20"/>
                <w:szCs w:val="20"/>
                <w:color w:val="auto"/>
              </w:rPr>
            </w:pPr>
            <w:r>
              <w:rPr>
                <w:rFonts w:ascii="Arial" w:cs="Arial" w:eastAsia="Arial" w:hAnsi="Arial"/>
                <w:sz w:val="3"/>
                <w:szCs w:val="3"/>
                <w:color w:val="FFFFFF"/>
              </w:rPr>
              <w:t>In the third year — 1,460,664</w:t>
            </w: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20" w:type="dxa"/>
            <w:vAlign w:val="bottom"/>
            <w:gridSpan w:val="3"/>
          </w:tcPr>
          <w:p>
            <w:pPr>
              <w:spacing w:after="0"/>
              <w:rPr>
                <w:sz w:val="20"/>
                <w:szCs w:val="20"/>
                <w:color w:val="auto"/>
              </w:rPr>
            </w:pPr>
            <w:r>
              <w:rPr>
                <w:rFonts w:ascii="Arial" w:cs="Arial" w:eastAsia="Arial" w:hAnsi="Arial"/>
                <w:sz w:val="3"/>
                <w:szCs w:val="3"/>
                <w:color w:val="FFFFFF"/>
              </w:rPr>
              <w:t>3,130,546 4,877,819</w:t>
            </w: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20" w:type="dxa"/>
            <w:vAlign w:val="bottom"/>
            <w:gridSpan w:val="3"/>
          </w:tcPr>
          <w:p>
            <w:pPr>
              <w:spacing w:after="0"/>
              <w:rPr>
                <w:sz w:val="20"/>
                <w:szCs w:val="20"/>
                <w:color w:val="auto"/>
              </w:rPr>
            </w:pPr>
            <w:r>
              <w:rPr>
                <w:rFonts w:ascii="Arial" w:cs="Arial" w:eastAsia="Arial" w:hAnsi="Arial"/>
                <w:sz w:val="3"/>
                <w:szCs w:val="3"/>
                <w:color w:val="FFFFFF"/>
              </w:rPr>
              <w:t>Less: debt financing costs, net (52,890) (74,353)</w:t>
            </w: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20" w:type="dxa"/>
            <w:vAlign w:val="bottom"/>
            <w:gridSpan w:val="3"/>
          </w:tcPr>
          <w:p>
            <w:pPr>
              <w:spacing w:after="0"/>
              <w:rPr>
                <w:sz w:val="20"/>
                <w:szCs w:val="20"/>
                <w:color w:val="auto"/>
              </w:rPr>
            </w:pPr>
            <w:r>
              <w:rPr>
                <w:rFonts w:ascii="Arial" w:cs="Arial" w:eastAsia="Arial" w:hAnsi="Arial"/>
                <w:sz w:val="3"/>
                <w:szCs w:val="3"/>
                <w:color w:val="FFFFFF"/>
              </w:rPr>
              <w:t>3,077,656 4,803,466</w:t>
            </w: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20" w:type="dxa"/>
            <w:vAlign w:val="bottom"/>
            <w:gridSpan w:val="3"/>
          </w:tcPr>
          <w:p>
            <w:pPr>
              <w:spacing w:after="0"/>
              <w:rPr>
                <w:sz w:val="20"/>
                <w:szCs w:val="20"/>
                <w:color w:val="auto"/>
              </w:rPr>
            </w:pPr>
            <w:r>
              <w:rPr>
                <w:rFonts w:ascii="Arial" w:cs="Arial" w:eastAsia="Arial" w:hAnsi="Arial"/>
                <w:sz w:val="3"/>
                <w:szCs w:val="3"/>
                <w:color w:val="FFFFFF"/>
              </w:rPr>
              <w:t>Portion classified as non-current (1,963,354) (2,500,752)</w:t>
            </w: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20" w:type="dxa"/>
            <w:vAlign w:val="bottom"/>
            <w:gridSpan w:val="3"/>
          </w:tcPr>
          <w:p>
            <w:pPr>
              <w:spacing w:after="0"/>
              <w:rPr>
                <w:sz w:val="20"/>
                <w:szCs w:val="20"/>
                <w:color w:val="auto"/>
              </w:rPr>
            </w:pPr>
            <w:r>
              <w:rPr>
                <w:rFonts w:ascii="Arial" w:cs="Arial" w:eastAsia="Arial" w:hAnsi="Arial"/>
                <w:sz w:val="3"/>
                <w:szCs w:val="3"/>
                <w:color w:val="FFFFFF"/>
              </w:rPr>
              <w:t>Current portion 1,114,302 2,302,714</w:t>
            </w:r>
          </w:p>
        </w:tc>
        <w:tc>
          <w:tcPr>
            <w:tcW w:w="1460" w:type="dxa"/>
            <w:vAlign w:val="bottom"/>
            <w:gridSpan w:val="2"/>
            <w:vMerge w:val="restart"/>
          </w:tcPr>
          <w:p>
            <w:pPr>
              <w:ind w:left="100"/>
              <w:spacing w:after="0" w:line="81" w:lineRule="exact"/>
              <w:rPr>
                <w:sz w:val="20"/>
                <w:szCs w:val="20"/>
                <w:color w:val="auto"/>
              </w:rPr>
            </w:pPr>
            <w:r>
              <w:rPr>
                <w:rFonts w:ascii="Arial" w:cs="Arial" w:eastAsia="Arial" w:hAnsi="Arial"/>
                <w:sz w:val="9"/>
                <w:szCs w:val="9"/>
                <w:color w:val="FFFFFF"/>
              </w:rPr>
              <w:t>June 2012. The principal</w:t>
            </w:r>
          </w:p>
        </w:tc>
        <w:tc>
          <w:tcPr>
            <w:tcW w:w="4800" w:type="dxa"/>
            <w:vAlign w:val="bottom"/>
            <w:gridSpan w:val="2"/>
            <w:vMerge w:val="restart"/>
          </w:tcPr>
          <w:p>
            <w:pPr>
              <w:ind w:left="440"/>
              <w:spacing w:after="0" w:line="81" w:lineRule="exact"/>
              <w:rPr>
                <w:sz w:val="20"/>
                <w:szCs w:val="20"/>
                <w:color w:val="auto"/>
              </w:rPr>
            </w:pPr>
            <w:r>
              <w:rPr>
                <w:rFonts w:ascii="Arial" w:cs="Arial" w:eastAsia="Arial" w:hAnsi="Arial"/>
                <w:sz w:val="9"/>
                <w:szCs w:val="9"/>
                <w:color w:val="FFFFFF"/>
              </w:rPr>
              <w:t>of the WRM term loan is required to be repaid in quarterly installments,</w:t>
            </w:r>
          </w:p>
        </w:tc>
        <w:tc>
          <w:tcPr>
            <w:tcW w:w="0" w:type="dxa"/>
            <w:vAlign w:val="bottom"/>
          </w:tcPr>
          <w:p>
            <w:pPr>
              <w:spacing w:after="0"/>
              <w:rPr>
                <w:sz w:val="1"/>
                <w:szCs w:val="1"/>
                <w:color w:val="auto"/>
              </w:rPr>
            </w:pPr>
          </w:p>
        </w:tc>
      </w:tr>
      <w:tr>
        <w:trPr>
          <w:trHeight w:val="41"/>
        </w:trPr>
        <w:tc>
          <w:tcPr>
            <w:tcW w:w="5020" w:type="dxa"/>
            <w:vAlign w:val="bottom"/>
            <w:gridSpan w:val="3"/>
          </w:tcPr>
          <w:p>
            <w:pPr>
              <w:spacing w:after="0"/>
              <w:rPr>
                <w:sz w:val="20"/>
                <w:szCs w:val="20"/>
                <w:color w:val="auto"/>
              </w:rPr>
            </w:pPr>
            <w:r>
              <w:rPr>
                <w:rFonts w:ascii="Arial" w:cs="Arial" w:eastAsia="Arial" w:hAnsi="Arial"/>
                <w:sz w:val="3"/>
                <w:szCs w:val="3"/>
                <w:color w:val="FFFFFF"/>
              </w:rPr>
              <w:t>The WRM term loan matures in June 2014, and the WRM revolving credit facility matured</w:t>
            </w:r>
          </w:p>
        </w:tc>
        <w:tc>
          <w:tcPr>
            <w:tcW w:w="1460" w:type="dxa"/>
            <w:vAlign w:val="bottom"/>
            <w:gridSpan w:val="2"/>
            <w:vMerge w:val="continue"/>
          </w:tcPr>
          <w:p>
            <w:pPr>
              <w:spacing w:after="0"/>
              <w:rPr>
                <w:sz w:val="3"/>
                <w:szCs w:val="3"/>
                <w:color w:val="auto"/>
              </w:rPr>
            </w:pPr>
          </w:p>
        </w:tc>
        <w:tc>
          <w:tcPr>
            <w:tcW w:w="4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80" w:type="dxa"/>
            <w:vAlign w:val="bottom"/>
            <w:gridSpan w:val="5"/>
          </w:tcPr>
          <w:p>
            <w:pPr>
              <w:spacing w:after="0"/>
              <w:rPr>
                <w:sz w:val="20"/>
                <w:szCs w:val="20"/>
                <w:color w:val="auto"/>
              </w:rPr>
            </w:pPr>
            <w:r>
              <w:rPr>
                <w:rFonts w:ascii="Arial" w:cs="Arial" w:eastAsia="Arial" w:hAnsi="Arial"/>
                <w:sz w:val="3"/>
                <w:szCs w:val="3"/>
                <w:color w:val="FFFFFF"/>
              </w:rPr>
              <w:t>commencing in September 2011. Borrowings under the Wynn Macau Credit Facilities bore interest at LIBOR or</w:t>
            </w:r>
          </w:p>
        </w:tc>
        <w:tc>
          <w:tcPr>
            <w:tcW w:w="3060" w:type="dxa"/>
            <w:vAlign w:val="bottom"/>
          </w:tcPr>
          <w:p>
            <w:pPr>
              <w:spacing w:after="0"/>
              <w:rPr>
                <w:sz w:val="20"/>
                <w:szCs w:val="20"/>
                <w:color w:val="auto"/>
              </w:rPr>
            </w:pPr>
            <w:r>
              <w:rPr>
                <w:rFonts w:ascii="Arial" w:cs="Arial" w:eastAsia="Arial" w:hAnsi="Arial"/>
                <w:sz w:val="3"/>
                <w:szCs w:val="3"/>
                <w:color w:val="FFFFFF"/>
              </w:rPr>
              <w:t>amountplus margin. Commencing in the fourth quarter of</w:t>
            </w:r>
          </w:p>
        </w:tc>
        <w:tc>
          <w:tcPr>
            <w:tcW w:w="1740" w:type="dxa"/>
            <w:vAlign w:val="bottom"/>
          </w:tcPr>
          <w:p>
            <w:pPr>
              <w:ind w:left="180"/>
              <w:spacing w:after="0"/>
              <w:rPr>
                <w:sz w:val="20"/>
                <w:szCs w:val="20"/>
                <w:color w:val="auto"/>
              </w:rPr>
            </w:pPr>
            <w:r>
              <w:rPr>
                <w:rFonts w:ascii="Arial" w:cs="Arial" w:eastAsia="Arial" w:hAnsi="Arial"/>
                <w:sz w:val="3"/>
                <w:szCs w:val="3"/>
                <w:color w:val="FFFFFF"/>
              </w:rPr>
              <w:t>the WRM revolving credit</w:t>
            </w:r>
          </w:p>
        </w:tc>
        <w:tc>
          <w:tcPr>
            <w:tcW w:w="0" w:type="dxa"/>
            <w:vAlign w:val="bottom"/>
          </w:tcPr>
          <w:p>
            <w:pPr>
              <w:spacing w:after="0"/>
              <w:rPr>
                <w:sz w:val="1"/>
                <w:szCs w:val="1"/>
                <w:color w:val="auto"/>
              </w:rPr>
            </w:pPr>
          </w:p>
        </w:tc>
      </w:tr>
      <w:tr>
        <w:trPr>
          <w:trHeight w:val="41"/>
        </w:trPr>
        <w:tc>
          <w:tcPr>
            <w:tcW w:w="11280" w:type="dxa"/>
            <w:vAlign w:val="bottom"/>
            <w:gridSpan w:val="7"/>
          </w:tcPr>
          <w:p>
            <w:pPr>
              <w:spacing w:after="0"/>
              <w:rPr>
                <w:sz w:val="20"/>
                <w:szCs w:val="20"/>
                <w:color w:val="auto"/>
              </w:rPr>
            </w:pPr>
            <w:r>
              <w:rPr>
                <w:rFonts w:ascii="Arial" w:cs="Arial" w:eastAsia="Arial" w:hAnsi="Arial"/>
                <w:sz w:val="3"/>
                <w:szCs w:val="3"/>
                <w:color w:val="FFFFFF"/>
              </w:rPr>
              <w:t>facility, the WRM term loan hotel facility and the WRM term loan project facility tranches A (US$18,500,000) andHIBOR(HK$2,451,150,000) are subject to a margin of 1.25% to2010,.00% depending on the Group’s</w:t>
            </w: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leverage</w:t>
            </w:r>
          </w:p>
        </w:tc>
        <w:tc>
          <w:tcPr>
            <w:tcW w:w="4400" w:type="dxa"/>
            <w:vAlign w:val="bottom"/>
          </w:tcPr>
          <w:p>
            <w:pPr>
              <w:ind w:left="160"/>
              <w:spacing w:after="0"/>
              <w:rPr>
                <w:sz w:val="20"/>
                <w:szCs w:val="20"/>
                <w:color w:val="auto"/>
              </w:rPr>
            </w:pPr>
            <w:r>
              <w:rPr>
                <w:rFonts w:ascii="Arial" w:cs="Arial" w:eastAsia="Arial" w:hAnsi="Arial"/>
                <w:sz w:val="3"/>
                <w:szCs w:val="3"/>
                <w:color w:val="FFFFFF"/>
              </w:rPr>
              <w:t>at the end of each quarter. The WRM term loan project facility tranche C</w:t>
            </w:r>
          </w:p>
        </w:tc>
        <w:tc>
          <w:tcPr>
            <w:tcW w:w="760" w:type="dxa"/>
            <w:vAlign w:val="bottom"/>
          </w:tcPr>
          <w:p>
            <w:pPr>
              <w:spacing w:after="0"/>
              <w:rPr>
                <w:sz w:val="3"/>
                <w:szCs w:val="3"/>
                <w:color w:val="auto"/>
              </w:rPr>
            </w:pPr>
          </w:p>
        </w:tc>
        <w:tc>
          <w:tcPr>
            <w:tcW w:w="3760" w:type="dxa"/>
            <w:vAlign w:val="bottom"/>
            <w:gridSpan w:val="2"/>
          </w:tcPr>
          <w:p>
            <w:pPr>
              <w:ind w:left="20"/>
              <w:spacing w:after="0"/>
              <w:rPr>
                <w:sz w:val="20"/>
                <w:szCs w:val="20"/>
                <w:color w:val="auto"/>
              </w:rPr>
            </w:pPr>
            <w:r>
              <w:rPr>
                <w:rFonts w:ascii="Arial" w:cs="Arial" w:eastAsia="Arial" w:hAnsi="Arial"/>
                <w:sz w:val="3"/>
                <w:szCs w:val="3"/>
                <w:color w:val="FFFFFF"/>
              </w:rPr>
              <w:t>remains subject to a margin of</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780" w:type="dxa"/>
            <w:vAlign w:val="bottom"/>
            <w:gridSpan w:val="4"/>
          </w:tcPr>
          <w:p>
            <w:pPr>
              <w:spacing w:after="0"/>
              <w:rPr>
                <w:sz w:val="20"/>
                <w:szCs w:val="20"/>
                <w:color w:val="auto"/>
              </w:rPr>
            </w:pPr>
            <w:r>
              <w:rPr>
                <w:rFonts w:ascii="Arial" w:cs="Arial" w:eastAsia="Arial" w:hAnsi="Arial"/>
                <w:sz w:val="14"/>
                <w:szCs w:val="14"/>
                <w:color w:val="FFFFFF"/>
                <w:w w:val="80"/>
              </w:rPr>
              <w:t>1.75%. Asratio30 June 2012, the weighted average margin is 1.29% (31 December 2011: (US.29%)$125,000,000).</w:t>
            </w:r>
          </w:p>
        </w:tc>
        <w:tc>
          <w:tcPr>
            <w:tcW w:w="7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1440" w:right="37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ind w:left="440"/>
              <w:spacing w:after="0"/>
              <w:rPr>
                <w:sz w:val="20"/>
                <w:szCs w:val="20"/>
                <w:color w:val="auto"/>
              </w:rPr>
            </w:pPr>
            <w:r>
              <w:rPr>
                <w:rFonts w:ascii="Arial" w:cs="Arial" w:eastAsia="Arial" w:hAnsi="Arial"/>
                <w:sz w:val="14"/>
                <w:szCs w:val="14"/>
                <w:color w:val="FFFFFF"/>
                <w:w w:val="99"/>
              </w:rPr>
              <w:t>Report 2012 65</w:t>
            </w:r>
          </w:p>
        </w:tc>
        <w:tc>
          <w:tcPr>
            <w:tcW w:w="7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902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020" w:type="dxa"/>
            <w:vAlign w:val="bottom"/>
            <w:gridSpan w:val="2"/>
          </w:tcPr>
          <w:p>
            <w:pPr>
              <w:spacing w:after="0"/>
              <w:rPr>
                <w:sz w:val="20"/>
                <w:szCs w:val="20"/>
                <w:color w:val="auto"/>
              </w:rPr>
            </w:pPr>
            <w:r>
              <w:rPr>
                <w:rFonts w:ascii="Arial" w:cs="Arial" w:eastAsia="Arial" w:hAnsi="Arial"/>
                <w:sz w:val="3"/>
                <w:szCs w:val="3"/>
                <w:color w:val="FFFFFF"/>
              </w:rPr>
              <w:t>Notes to Interim Financial Information</w:t>
            </w: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020" w:type="dxa"/>
            <w:vAlign w:val="bottom"/>
            <w:gridSpan w:val="2"/>
          </w:tcPr>
          <w:p>
            <w:pPr>
              <w:spacing w:after="0"/>
              <w:rPr>
                <w:sz w:val="20"/>
                <w:szCs w:val="20"/>
                <w:color w:val="auto"/>
              </w:rPr>
            </w:pPr>
            <w:r>
              <w:rPr>
                <w:rFonts w:ascii="Arial" w:cs="Arial" w:eastAsia="Arial" w:hAnsi="Arial"/>
                <w:sz w:val="3"/>
                <w:szCs w:val="3"/>
                <w:color w:val="FFFFFF"/>
              </w:rPr>
              <w:t>For the six months ended 30 June 2012</w:t>
            </w: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020" w:type="dxa"/>
            <w:vAlign w:val="bottom"/>
            <w:gridSpan w:val="2"/>
          </w:tcPr>
          <w:p>
            <w:pPr>
              <w:spacing w:after="0"/>
              <w:rPr>
                <w:sz w:val="20"/>
                <w:szCs w:val="20"/>
                <w:color w:val="auto"/>
              </w:rPr>
            </w:pPr>
            <w:r>
              <w:rPr>
                <w:rFonts w:ascii="Arial" w:cs="Arial" w:eastAsia="Arial" w:hAnsi="Arial"/>
                <w:sz w:val="3"/>
                <w:szCs w:val="3"/>
                <w:color w:val="FFFFFF"/>
              </w:rPr>
              <w:t>INTEREST-BEARING BANK LOANS (continued)</w:t>
            </w:r>
          </w:p>
        </w:tc>
        <w:tc>
          <w:tcPr>
            <w:tcW w:w="234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agent and security agent.</w:t>
            </w:r>
          </w:p>
        </w:tc>
        <w:tc>
          <w:tcPr>
            <w:tcW w:w="0" w:type="dxa"/>
            <w:vAlign w:val="bottom"/>
          </w:tcPr>
          <w:p>
            <w:pPr>
              <w:spacing w:after="0"/>
              <w:rPr>
                <w:sz w:val="1"/>
                <w:szCs w:val="1"/>
                <w:color w:val="auto"/>
              </w:rPr>
            </w:pPr>
          </w:p>
        </w:tc>
      </w:tr>
      <w:tr>
        <w:trPr>
          <w:trHeight w:val="41"/>
        </w:trPr>
        <w:tc>
          <w:tcPr>
            <w:tcW w:w="9020" w:type="dxa"/>
            <w:vAlign w:val="bottom"/>
            <w:gridSpan w:val="2"/>
          </w:tcPr>
          <w:p>
            <w:pPr>
              <w:spacing w:after="0"/>
              <w:rPr>
                <w:sz w:val="20"/>
                <w:szCs w:val="20"/>
                <w:color w:val="auto"/>
              </w:rPr>
            </w:pPr>
            <w:r>
              <w:rPr>
                <w:rFonts w:ascii="Arial" w:cs="Arial" w:eastAsia="Arial" w:hAnsi="Arial"/>
                <w:sz w:val="3"/>
                <w:szCs w:val="3"/>
                <w:color w:val="FFFFFF"/>
              </w:rPr>
              <w:t>On 31 July 2012, WRM entered into the Amended Wynn Macau Credit Facilities and appointed Bank of China Limited, Macau Branch as facilities agent,</w:t>
            </w:r>
          </w:p>
        </w:tc>
        <w:tc>
          <w:tcPr>
            <w:tcW w:w="2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The Amended Wynn</w:t>
            </w:r>
          </w:p>
        </w:tc>
        <w:tc>
          <w:tcPr>
            <w:tcW w:w="9940" w:type="dxa"/>
            <w:vAlign w:val="bottom"/>
            <w:gridSpan w:val="2"/>
          </w:tcPr>
          <w:p>
            <w:pPr>
              <w:ind w:left="140"/>
              <w:spacing w:after="0"/>
              <w:rPr>
                <w:sz w:val="20"/>
                <w:szCs w:val="20"/>
                <w:color w:val="auto"/>
              </w:rPr>
            </w:pPr>
            <w:r>
              <w:rPr>
                <w:rFonts w:ascii="Arial" w:cs="Arial" w:eastAsia="Arial" w:hAnsi="Arial"/>
                <w:sz w:val="3"/>
                <w:szCs w:val="3"/>
                <w:color w:val="FFFFFF"/>
              </w:rPr>
              <w:t>Credit Facilities and related agreements took effect   31 July 2012 and expand availability under WRM’s senior bank facilityintercreditorUS$2.3billion equivalent (approximately HK$17.9</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billion), consisting ofMacauUS$750 million equivalent (approximately HK$5.8 billion) fully funded senior term loan facility and  US$1.55 billion equivalent (approximately HK$12.1 billion) senior revolving</w:t>
            </w:r>
          </w:p>
        </w:tc>
        <w:tc>
          <w:tcPr>
            <w:tcW w:w="0" w:type="dxa"/>
            <w:vAlign w:val="bottom"/>
          </w:tcPr>
          <w:p>
            <w:pPr>
              <w:spacing w:after="0"/>
              <w:rPr>
                <w:sz w:val="1"/>
                <w:szCs w:val="1"/>
                <w:color w:val="auto"/>
              </w:rPr>
            </w:pPr>
          </w:p>
        </w:tc>
      </w:tr>
      <w:tr>
        <w:trPr>
          <w:trHeight w:val="0"/>
        </w:trPr>
        <w:tc>
          <w:tcPr>
            <w:tcW w:w="9020" w:type="dxa"/>
            <w:vAlign w:val="bottom"/>
            <w:gridSpan w:val="2"/>
          </w:tcPr>
          <w:p>
            <w:pPr>
              <w:spacing w:after="0" w:line="80" w:lineRule="exact"/>
              <w:rPr>
                <w:sz w:val="20"/>
                <w:szCs w:val="20"/>
                <w:color w:val="auto"/>
              </w:rPr>
            </w:pPr>
            <w:r>
              <w:rPr>
                <w:rFonts w:ascii="Arial" w:cs="Arial" w:eastAsia="Arial" w:hAnsi="Arial"/>
                <w:sz w:val="9"/>
                <w:szCs w:val="9"/>
                <w:color w:val="FFFFFF"/>
              </w:rPr>
              <w:t>credit facility. There is also an option to upsize the total senior secured facilities by an additional US$200 million (approximately HK$1.6 billion) under the Amended</w:t>
            </w:r>
          </w:p>
        </w:tc>
        <w:tc>
          <w:tcPr>
            <w:tcW w:w="2340" w:type="dxa"/>
            <w:vAlign w:val="bottom"/>
          </w:tcPr>
          <w:p>
            <w:pPr>
              <w:ind w:left="120"/>
              <w:spacing w:after="0" w:line="80" w:lineRule="exact"/>
              <w:rPr>
                <w:sz w:val="20"/>
                <w:szCs w:val="20"/>
                <w:color w:val="auto"/>
              </w:rPr>
            </w:pPr>
            <w:r>
              <w:rPr>
                <w:rFonts w:ascii="Arial" w:cs="Arial" w:eastAsia="Arial" w:hAnsi="Arial"/>
                <w:sz w:val="9"/>
                <w:szCs w:val="9"/>
                <w:color w:val="FFFFFF"/>
              </w:rPr>
              <w:t>ynn Macau Credit Facilities.</w:t>
            </w:r>
          </w:p>
        </w:tc>
        <w:tc>
          <w:tcPr>
            <w:tcW w:w="0" w:type="dxa"/>
            <w:vAlign w:val="bottom"/>
          </w:tcPr>
          <w:p>
            <w:pPr>
              <w:spacing w:after="0" w:line="20" w:lineRule="exact"/>
              <w:rPr>
                <w:sz w:val="1"/>
                <w:szCs w:val="1"/>
                <w:color w:val="auto"/>
              </w:rPr>
            </w:pPr>
          </w:p>
        </w:tc>
      </w:tr>
    </w:tbl>
    <w:p>
      <w:pPr>
        <w:ind w:right="200"/>
        <w:spacing w:after="0"/>
        <w:rPr>
          <w:sz w:val="20"/>
          <w:szCs w:val="20"/>
          <w:color w:val="auto"/>
        </w:rPr>
      </w:pPr>
      <w:r>
        <w:rPr>
          <w:rFonts w:ascii="Arial" w:cs="Arial" w:eastAsia="Arial" w:hAnsi="Arial"/>
          <w:sz w:val="3"/>
          <w:szCs w:val="3"/>
          <w:color w:val="FFFFFF"/>
        </w:rPr>
        <w:t>Borrowings under the Amended Wynn Macau Credit Facilities, which consist of both Hong Kong dollar and United States dollar tranches, will be used to refinance WRM’s existing indebtedness, to fund the design, development, construction and pre-opening expenses of Wynn Cotai and for general corporate purposes.</w:t>
      </w:r>
    </w:p>
    <w:p>
      <w:pPr>
        <w:spacing w:after="0" w:line="199" w:lineRule="auto"/>
        <w:rPr>
          <w:sz w:val="20"/>
          <w:szCs w:val="20"/>
          <w:color w:val="auto"/>
        </w:rPr>
      </w:pPr>
      <w:r>
        <w:rPr>
          <w:rFonts w:ascii="Arial" w:cs="Arial" w:eastAsia="Arial" w:hAnsi="Arial"/>
          <w:sz w:val="3"/>
          <w:szCs w:val="3"/>
          <w:color w:val="FFFFFF"/>
        </w:rPr>
        <w:t>The term loan facility matures</w:t>
      </w:r>
      <w:r>
        <w:rPr>
          <w:rFonts w:ascii="Arial" w:cs="Arial" w:eastAsia="Arial" w:hAnsi="Arial"/>
          <w:sz w:val="5"/>
          <w:szCs w:val="5"/>
          <w:color w:val="FFFFFF"/>
          <w:vertAlign w:val="subscript"/>
        </w:rPr>
        <w:t>outstanding</w:t>
      </w:r>
      <w:r>
        <w:rPr>
          <w:rFonts w:ascii="Arial" w:cs="Arial" w:eastAsia="Arial" w:hAnsi="Arial"/>
          <w:sz w:val="3"/>
          <w:szCs w:val="3"/>
          <w:color w:val="FFFFFF"/>
        </w:rPr>
        <w:t>July 2018 with the principal amount of the term loan to be repaid in two equal installments in July 2017 and July 2018. The final maturity for the revolving credit facility is July</w:t>
      </w:r>
    </w:p>
    <w:p>
      <w:pPr>
        <w:ind w:right="480"/>
        <w:spacing w:after="0" w:line="187" w:lineRule="auto"/>
        <w:rPr>
          <w:sz w:val="20"/>
          <w:szCs w:val="20"/>
          <w:color w:val="auto"/>
        </w:rPr>
      </w:pPr>
      <w:r>
        <w:rPr>
          <w:rFonts w:ascii="Arial" w:cs="Arial" w:eastAsia="Arial" w:hAnsi="Arial"/>
          <w:sz w:val="7"/>
          <w:szCs w:val="7"/>
          <w:color w:val="FFFFFF"/>
        </w:rPr>
        <w:t>2017, by which date any revolving loans must be repaid. The senior secured facilities will bear interest for the first six months after closing at LIBOR or HIBOR plus a margin of 2.50% and thereafter will be subject to LIBOR or HIBOR plus a margin of between 1.75% to 2.50% based on WRM’</w:t>
      </w:r>
      <w:r>
        <w:rPr>
          <w:rFonts w:ascii="Arial" w:cs="Arial" w:eastAsia="Arial" w:hAnsi="Arial"/>
          <w:sz w:val="9"/>
          <w:szCs w:val="9"/>
          <w:color w:val="FFFFFF"/>
          <w:vertAlign w:val="subscript"/>
        </w:rPr>
        <w:t>Facilities</w:t>
      </w:r>
      <w:r>
        <w:rPr>
          <w:rFonts w:ascii="Arial" w:cs="Arial" w:eastAsia="Arial" w:hAnsi="Arial"/>
          <w:sz w:val="7"/>
          <w:szCs w:val="7"/>
          <w:color w:val="FFFFFF"/>
        </w:rPr>
        <w:t>leverage ratio.</w:t>
      </w:r>
    </w:p>
    <w:p>
      <w:pPr>
        <w:spacing w:after="0"/>
        <w:tabs>
          <w:tab w:leader="none" w:pos="6140" w:val="left"/>
        </w:tabs>
        <w:rPr>
          <w:sz w:val="20"/>
          <w:szCs w:val="20"/>
          <w:color w:val="auto"/>
        </w:rPr>
      </w:pPr>
      <w:r>
        <w:rPr>
          <w:rFonts w:ascii="Arial" w:cs="Arial" w:eastAsia="Arial" w:hAnsi="Arial"/>
          <w:sz w:val="4"/>
          <w:szCs w:val="4"/>
          <w:color w:val="FFFFFF"/>
          <w:vertAlign w:val="subscript"/>
        </w:rPr>
        <w:t>Borrowings</w:t>
      </w:r>
      <w:r>
        <w:rPr>
          <w:rFonts w:ascii="Arial" w:cs="Arial" w:eastAsia="Arial" w:hAnsi="Arial"/>
          <w:sz w:val="2"/>
          <w:szCs w:val="2"/>
          <w:color w:val="FFFFFF"/>
        </w:rPr>
        <w:t>Custmaryfees and expenses were paid by WRM in connection with the Amended Wynn Macau Credit</w:t>
      </w:r>
      <w:r>
        <w:rPr>
          <w:sz w:val="20"/>
          <w:szCs w:val="20"/>
          <w:color w:val="auto"/>
        </w:rPr>
        <w:tab/>
      </w:r>
      <w:r>
        <w:rPr>
          <w:rFonts w:ascii="Arial" w:cs="Arial" w:eastAsia="Arial" w:hAnsi="Arial"/>
          <w:sz w:val="3"/>
          <w:szCs w:val="3"/>
          <w:color w:val="FFFFFF"/>
        </w:rPr>
        <w:t>.</w:t>
      </w:r>
    </w:p>
    <w:p>
      <w:pPr>
        <w:ind w:right="140" w:firstLine="672"/>
        <w:spacing w:after="0"/>
        <w:rPr>
          <w:sz w:val="20"/>
          <w:szCs w:val="20"/>
          <w:color w:val="auto"/>
        </w:rPr>
      </w:pPr>
      <w:r>
        <w:rPr>
          <w:rFonts w:ascii="Arial" w:cs="Arial" w:eastAsia="Arial" w:hAnsi="Arial"/>
          <w:sz w:val="7"/>
          <w:szCs w:val="7"/>
          <w:color w:val="FFFFFF"/>
        </w:rPr>
        <w:t>under the Amended Wynn Macau Credit Facilities are guaranteed by Palo and by certain subsidiaries of the Company that own equity interests in WRM, and are secured by substantially all of the assets of WRM, the equity interests in WRM and, subject to certain post- closing matters, substantially all of the assets of Palo.</w:t>
      </w:r>
    </w:p>
    <w:p>
      <w:pPr>
        <w:spacing w:after="0" w:line="214" w:lineRule="auto"/>
        <w:rPr>
          <w:sz w:val="20"/>
          <w:szCs w:val="20"/>
          <w:color w:val="auto"/>
        </w:rPr>
      </w:pPr>
      <w:r>
        <w:rPr>
          <w:rFonts w:ascii="Arial" w:cs="Arial" w:eastAsia="Arial" w:hAnsi="Arial"/>
          <w:sz w:val="4"/>
          <w:szCs w:val="4"/>
          <w:color w:val="FFFFFF"/>
          <w:vertAlign w:val="superscript"/>
        </w:rPr>
        <w:t>The</w:t>
      </w:r>
    </w:p>
    <w:p>
      <w:pPr>
        <w:ind w:left="260"/>
        <w:spacing w:after="0"/>
        <w:rPr>
          <w:sz w:val="20"/>
          <w:szCs w:val="20"/>
          <w:color w:val="auto"/>
        </w:rPr>
      </w:pPr>
      <w:r>
        <w:rPr>
          <w:rFonts w:ascii="Arial" w:cs="Arial" w:eastAsia="Arial" w:hAnsi="Arial"/>
          <w:sz w:val="9"/>
          <w:szCs w:val="9"/>
          <w:color w:val="FFFFFF"/>
        </w:rPr>
        <w:t>CompanyAmended Wynnisnot aMacauparty toCreditthecreditFacilitiesfacilitiescontainsagreementrepresentations,andrelatedwarranties,agreementscovenantsandhas andnorightseventsorofobligationsdefaultcustomarythereunder.for casino development financings in Macau.</w:t>
      </w:r>
    </w:p>
    <w:p>
      <w:pPr>
        <w:sectPr>
          <w:pgSz w:w="11900" w:h="16838" w:orient="portrait"/>
          <w:cols w:equalWidth="0" w:num="1">
            <w:col w:w="11360"/>
          </w:cols>
          <w:pgMar w:left="240" w:top="1440" w:right="29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Interim66WynnFinancialMacau, LimitedInformation</w:t>
      </w:r>
    </w:p>
    <w:p>
      <w:pPr>
        <w:spacing w:after="0"/>
        <w:rPr>
          <w:sz w:val="20"/>
          <w:szCs w:val="20"/>
          <w:color w:val="auto"/>
        </w:rPr>
      </w:pPr>
      <w:r>
        <w:rPr>
          <w:rFonts w:ascii="Arial" w:cs="Arial" w:eastAsia="Arial" w:hAnsi="Arial"/>
          <w:sz w:val="3"/>
          <w:szCs w:val="3"/>
          <w:color w:val="FFFFFF"/>
        </w:rPr>
        <w:t>ForNotesthetosixInterimmonthsFinancialended30InformationJune2012</w:t>
      </w:r>
    </w:p>
    <w:p>
      <w:pPr>
        <w:spacing w:after="0" w:line="194" w:lineRule="auto"/>
        <w:rPr>
          <w:sz w:val="20"/>
          <w:szCs w:val="20"/>
          <w:color w:val="auto"/>
        </w:rPr>
      </w:pPr>
      <w:r>
        <w:rPr>
          <w:rFonts w:ascii="Arial" w:cs="Arial" w:eastAsia="Arial" w:hAnsi="Arial"/>
          <w:sz w:val="5"/>
          <w:szCs w:val="5"/>
          <w:color w:val="FFFFFF"/>
        </w:rPr>
        <w:t>COMMITMENTS</w:t>
      </w:r>
    </w:p>
    <w:p>
      <w:pPr>
        <w:spacing w:after="0" w:line="188" w:lineRule="auto"/>
        <w:rPr>
          <w:sz w:val="20"/>
          <w:szCs w:val="20"/>
          <w:color w:val="auto"/>
        </w:rPr>
      </w:pPr>
      <w:r>
        <w:rPr>
          <w:rFonts w:ascii="Arial" w:cs="Arial" w:eastAsia="Arial" w:hAnsi="Arial"/>
          <w:sz w:val="9"/>
          <w:szCs w:val="9"/>
          <w:color w:val="FFFFFF"/>
          <w:vertAlign w:val="subscript"/>
        </w:rPr>
        <w:t>OperatingAsAsat</w:t>
      </w:r>
      <w:r>
        <w:rPr>
          <w:rFonts w:ascii="Arial" w:cs="Arial" w:eastAsia="Arial" w:hAnsi="Arial"/>
          <w:sz w:val="7"/>
          <w:szCs w:val="7"/>
          <w:color w:val="FFFFFF"/>
        </w:rPr>
        <w:t>lease commitments — Group as lessee</w:t>
      </w:r>
    </w:p>
    <w:p>
      <w:pPr>
        <w:spacing w:after="0" w:line="211" w:lineRule="auto"/>
        <w:rPr>
          <w:sz w:val="20"/>
          <w:szCs w:val="20"/>
          <w:color w:val="auto"/>
        </w:rPr>
      </w:pPr>
      <w:r>
        <w:rPr>
          <w:rFonts w:ascii="Arial" w:cs="Arial" w:eastAsia="Arial" w:hAnsi="Arial"/>
          <w:sz w:val="4"/>
          <w:szCs w:val="4"/>
          <w:color w:val="FFFFFF"/>
          <w:vertAlign w:val="superscript"/>
        </w:rPr>
        <w:t>2012</w:t>
      </w:r>
      <w:r>
        <w:rPr>
          <w:rFonts w:ascii="Arial" w:cs="Arial" w:eastAsia="Arial" w:hAnsi="Arial"/>
          <w:sz w:val="2"/>
          <w:szCs w:val="2"/>
          <w:color w:val="FFFFFF"/>
        </w:rPr>
        <w:t xml:space="preserve">30June </w:t>
      </w:r>
      <w:r>
        <w:rPr>
          <w:rFonts w:ascii="Arial" w:cs="Arial" w:eastAsia="Arial" w:hAnsi="Arial"/>
          <w:sz w:val="4"/>
          <w:szCs w:val="4"/>
          <w:color w:val="FFFFFF"/>
          <w:vertAlign w:val="superscript"/>
        </w:rPr>
        <w:t>31</w:t>
      </w:r>
      <w:r>
        <w:rPr>
          <w:rFonts w:ascii="Arial" w:cs="Arial" w:eastAsia="Arial" w:hAnsi="Arial"/>
          <w:sz w:val="2"/>
          <w:szCs w:val="2"/>
          <w:color w:val="FFFFFF"/>
        </w:rPr>
        <w:t xml:space="preserve"> December</w:t>
      </w:r>
    </w:p>
    <w:p>
      <w:pPr>
        <w:ind w:left="320"/>
        <w:spacing w:after="0" w:line="188" w:lineRule="auto"/>
        <w:rPr>
          <w:sz w:val="20"/>
          <w:szCs w:val="20"/>
          <w:color w:val="auto"/>
        </w:rPr>
      </w:pPr>
      <w:r>
        <w:rPr>
          <w:rFonts w:ascii="Arial" w:cs="Arial" w:eastAsia="Arial" w:hAnsi="Arial"/>
          <w:sz w:val="9"/>
          <w:szCs w:val="9"/>
          <w:color w:val="FFFFFF"/>
        </w:rPr>
        <w:t>201</w:t>
      </w:r>
    </w:p>
    <w:p>
      <w:pPr>
        <w:spacing w:after="0" w:line="211"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HKinthousands)$HK$</w:t>
      </w:r>
    </w:p>
    <w:p>
      <w:pPr>
        <w:ind w:left="660"/>
        <w:spacing w:after="0"/>
        <w:rPr>
          <w:sz w:val="20"/>
          <w:szCs w:val="20"/>
          <w:color w:val="auto"/>
        </w:rPr>
      </w:pPr>
      <w:r>
        <w:rPr>
          <w:rFonts w:ascii="Arial" w:cs="Arial" w:eastAsia="Arial" w:hAnsi="Arial"/>
          <w:sz w:val="3"/>
          <w:szCs w:val="3"/>
          <w:color w:val="FFFFFF"/>
        </w:rPr>
        <w:t>(audited)</w:t>
      </w:r>
    </w:p>
    <w:p>
      <w:pPr>
        <w:spacing w:after="0" w:line="181" w:lineRule="auto"/>
        <w:rPr>
          <w:sz w:val="20"/>
          <w:szCs w:val="20"/>
          <w:color w:val="auto"/>
        </w:rPr>
      </w:pPr>
      <w:r>
        <w:rPr>
          <w:rFonts w:ascii="Arial" w:cs="Arial" w:eastAsia="Arial" w:hAnsi="Arial"/>
          <w:sz w:val="10"/>
          <w:szCs w:val="10"/>
          <w:color w:val="FFFFFF"/>
        </w:rPr>
        <w:t>Within one year 22,218 21,712</w:t>
      </w:r>
    </w:p>
    <w:p>
      <w:pPr>
        <w:spacing w:after="0"/>
        <w:rPr>
          <w:sz w:val="20"/>
          <w:szCs w:val="20"/>
          <w:color w:val="auto"/>
        </w:rPr>
      </w:pPr>
      <w:r>
        <w:rPr>
          <w:rFonts w:ascii="Arial" w:cs="Arial" w:eastAsia="Arial" w:hAnsi="Arial"/>
          <w:sz w:val="3"/>
          <w:szCs w:val="3"/>
          <w:color w:val="FFFFFF"/>
        </w:rPr>
        <w:t>MoreAfter onethanyearfive butyearsnot228,843morethan233,519fiveyears 56,615 52,092</w:t>
      </w:r>
    </w:p>
    <w:p>
      <w:pPr>
        <w:spacing w:after="0" w:line="194" w:lineRule="auto"/>
        <w:rPr>
          <w:sz w:val="20"/>
          <w:szCs w:val="20"/>
          <w:color w:val="auto"/>
        </w:rPr>
      </w:pPr>
      <w:r>
        <w:rPr>
          <w:rFonts w:ascii="Arial" w:cs="Arial" w:eastAsia="Arial" w:hAnsi="Arial"/>
          <w:sz w:val="5"/>
          <w:szCs w:val="5"/>
          <w:color w:val="FFFFFF"/>
        </w:rPr>
        <w:t>307,676 307,323</w:t>
      </w:r>
    </w:p>
    <w:p>
      <w:pPr>
        <w:spacing w:after="0" w:line="188" w:lineRule="auto"/>
        <w:rPr>
          <w:sz w:val="20"/>
          <w:szCs w:val="20"/>
          <w:color w:val="auto"/>
        </w:rPr>
      </w:pPr>
      <w:r>
        <w:rPr>
          <w:rFonts w:ascii="Arial" w:cs="Arial" w:eastAsia="Arial" w:hAnsi="Arial"/>
          <w:sz w:val="9"/>
          <w:szCs w:val="9"/>
          <w:color w:val="FFFFFF"/>
          <w:vertAlign w:val="subscript"/>
        </w:rPr>
        <w:t>OperatingAsAsat</w:t>
      </w:r>
      <w:r>
        <w:rPr>
          <w:rFonts w:ascii="Arial" w:cs="Arial" w:eastAsia="Arial" w:hAnsi="Arial"/>
          <w:sz w:val="7"/>
          <w:szCs w:val="7"/>
          <w:color w:val="FFFFFF"/>
        </w:rPr>
        <w:t>lease commitments — Group as lessor</w:t>
      </w:r>
    </w:p>
    <w:p>
      <w:pPr>
        <w:spacing w:after="0" w:line="211" w:lineRule="auto"/>
        <w:rPr>
          <w:sz w:val="20"/>
          <w:szCs w:val="20"/>
          <w:color w:val="auto"/>
        </w:rPr>
      </w:pPr>
      <w:r>
        <w:rPr>
          <w:rFonts w:ascii="Arial" w:cs="Arial" w:eastAsia="Arial" w:hAnsi="Arial"/>
          <w:sz w:val="4"/>
          <w:szCs w:val="4"/>
          <w:color w:val="FFFFFF"/>
          <w:vertAlign w:val="superscript"/>
        </w:rPr>
        <w:t>2012</w:t>
      </w:r>
      <w:r>
        <w:rPr>
          <w:rFonts w:ascii="Arial" w:cs="Arial" w:eastAsia="Arial" w:hAnsi="Arial"/>
          <w:sz w:val="2"/>
          <w:szCs w:val="2"/>
          <w:color w:val="FFFFFF"/>
        </w:rPr>
        <w:t xml:space="preserve">30June </w:t>
      </w:r>
      <w:r>
        <w:rPr>
          <w:rFonts w:ascii="Arial" w:cs="Arial" w:eastAsia="Arial" w:hAnsi="Arial"/>
          <w:sz w:val="4"/>
          <w:szCs w:val="4"/>
          <w:color w:val="FFFFFF"/>
          <w:vertAlign w:val="superscript"/>
        </w:rPr>
        <w:t>31</w:t>
      </w:r>
      <w:r>
        <w:rPr>
          <w:rFonts w:ascii="Arial" w:cs="Arial" w:eastAsia="Arial" w:hAnsi="Arial"/>
          <w:sz w:val="2"/>
          <w:szCs w:val="2"/>
          <w:color w:val="FFFFFF"/>
        </w:rPr>
        <w:t xml:space="preserve"> December</w:t>
      </w:r>
    </w:p>
    <w:p>
      <w:pPr>
        <w:ind w:left="320"/>
        <w:spacing w:after="0" w:line="188" w:lineRule="auto"/>
        <w:rPr>
          <w:sz w:val="20"/>
          <w:szCs w:val="20"/>
          <w:color w:val="auto"/>
        </w:rPr>
      </w:pPr>
      <w:r>
        <w:rPr>
          <w:rFonts w:ascii="Arial" w:cs="Arial" w:eastAsia="Arial" w:hAnsi="Arial"/>
          <w:sz w:val="9"/>
          <w:szCs w:val="9"/>
          <w:color w:val="FFFFFF"/>
        </w:rPr>
        <w:t>201</w:t>
      </w:r>
    </w:p>
    <w:p>
      <w:pPr>
        <w:spacing w:after="0" w:line="211"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HKinthousands)$HK$</w:t>
      </w:r>
    </w:p>
    <w:p>
      <w:pPr>
        <w:jc w:val="center"/>
        <w:ind w:right="8419"/>
        <w:spacing w:after="0"/>
        <w:rPr>
          <w:sz w:val="20"/>
          <w:szCs w:val="20"/>
          <w:color w:val="auto"/>
        </w:rPr>
      </w:pPr>
      <w:r>
        <w:rPr>
          <w:rFonts w:ascii="Arial" w:cs="Arial" w:eastAsia="Arial" w:hAnsi="Arial"/>
          <w:sz w:val="3"/>
          <w:szCs w:val="3"/>
          <w:color w:val="FFFFFF"/>
        </w:rPr>
        <w:t>(audited)</w:t>
      </w:r>
    </w:p>
    <w:p>
      <w:pPr>
        <w:jc w:val="center"/>
        <w:ind w:right="8399"/>
        <w:spacing w:after="0" w:line="181" w:lineRule="auto"/>
        <w:rPr>
          <w:sz w:val="20"/>
          <w:szCs w:val="20"/>
          <w:color w:val="auto"/>
        </w:rPr>
      </w:pPr>
      <w:r>
        <w:rPr>
          <w:rFonts w:ascii="Arial" w:cs="Arial" w:eastAsia="Arial" w:hAnsi="Arial"/>
          <w:sz w:val="10"/>
          <w:szCs w:val="10"/>
          <w:color w:val="FFFFFF"/>
        </w:rPr>
        <w:t>Within one year 134,067 137,215</w:t>
      </w:r>
    </w:p>
    <w:p>
      <w:pPr>
        <w:spacing w:after="0"/>
        <w:rPr>
          <w:sz w:val="20"/>
          <w:szCs w:val="20"/>
          <w:color w:val="auto"/>
        </w:rPr>
      </w:pPr>
      <w:r>
        <w:rPr>
          <w:rFonts w:ascii="Arial" w:cs="Arial" w:eastAsia="Arial" w:hAnsi="Arial"/>
          <w:sz w:val="3"/>
          <w:szCs w:val="3"/>
          <w:color w:val="FFFFFF"/>
        </w:rPr>
        <w:t>MoreAfter onethanyearfive butyearsnot15,189more than19,645five years 389,861 315,952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539,117 472,812</w:t>
      </w:r>
    </w:p>
    <w:p>
      <w:pPr>
        <w:sectPr>
          <w:pgSz w:w="11900" w:h="16838" w:orient="portrait"/>
          <w:cols w:equalWidth="0" w:num="1">
            <w:col w:w="10219"/>
          </w:cols>
          <w:pgMar w:left="240" w:top="1440" w:right="1440"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FinancialReport2012Information67</w:t>
      </w:r>
    </w:p>
    <w:p>
      <w:pPr>
        <w:spacing w:after="0" w:line="187" w:lineRule="auto"/>
        <w:rPr>
          <w:sz w:val="20"/>
          <w:szCs w:val="20"/>
          <w:color w:val="auto"/>
        </w:rPr>
      </w:pPr>
      <w:r>
        <w:rPr>
          <w:rFonts w:ascii="Arial" w:cs="Arial" w:eastAsia="Arial" w:hAnsi="Arial"/>
          <w:sz w:val="9"/>
          <w:szCs w:val="9"/>
          <w:color w:val="FFFFFF"/>
        </w:rPr>
        <w:t>Notes to Interim Financial Information</w:t>
      </w:r>
    </w:p>
    <w:p>
      <w:pPr>
        <w:spacing w:after="0" w:line="188" w:lineRule="auto"/>
        <w:rPr>
          <w:sz w:val="20"/>
          <w:szCs w:val="20"/>
          <w:color w:val="auto"/>
        </w:rPr>
      </w:pPr>
      <w:r>
        <w:rPr>
          <w:rFonts w:ascii="Arial" w:cs="Arial" w:eastAsia="Arial" w:hAnsi="Arial"/>
          <w:sz w:val="9"/>
          <w:szCs w:val="9"/>
          <w:color w:val="FFFFFF"/>
          <w:vertAlign w:val="superscript"/>
        </w:rPr>
        <w:t>Capital</w:t>
      </w:r>
      <w:r>
        <w:rPr>
          <w:rFonts w:ascii="Arial" w:cs="Arial" w:eastAsia="Arial" w:hAnsi="Arial"/>
          <w:sz w:val="7"/>
          <w:szCs w:val="7"/>
          <w:color w:val="FFFFFF"/>
        </w:rPr>
        <w:t>ForOMMITMENTSthesixmonths ended(continued)30June 2012</w:t>
      </w:r>
    </w:p>
    <w:p>
      <w:pPr>
        <w:spacing w:after="0"/>
        <w:rPr>
          <w:sz w:val="20"/>
          <w:szCs w:val="20"/>
          <w:color w:val="auto"/>
        </w:rPr>
      </w:pPr>
      <w:r>
        <w:rPr>
          <w:rFonts w:ascii="Arial" w:cs="Arial" w:eastAsia="Arial" w:hAnsi="Arial"/>
          <w:sz w:val="3"/>
          <w:szCs w:val="3"/>
          <w:color w:val="FFFFFF"/>
        </w:rPr>
        <w:t>As at Ascommitmentsat</w:t>
      </w:r>
    </w:p>
    <w:p>
      <w:pPr>
        <w:spacing w:after="0" w:line="194" w:lineRule="auto"/>
        <w:rPr>
          <w:sz w:val="20"/>
          <w:szCs w:val="20"/>
          <w:color w:val="auto"/>
        </w:rPr>
      </w:pPr>
      <w:r>
        <w:rPr>
          <w:rFonts w:ascii="Arial" w:cs="Arial" w:eastAsia="Arial" w:hAnsi="Arial"/>
          <w:sz w:val="5"/>
          <w:szCs w:val="5"/>
          <w:color w:val="FFFFFF"/>
          <w:vertAlign w:val="superscript"/>
        </w:rPr>
        <w:t>2012</w:t>
      </w:r>
      <w:r>
        <w:rPr>
          <w:rFonts w:ascii="Arial" w:cs="Arial" w:eastAsia="Arial" w:hAnsi="Arial"/>
          <w:sz w:val="3"/>
          <w:szCs w:val="3"/>
          <w:color w:val="FFFFFF"/>
        </w:rPr>
        <w:t xml:space="preserve">30June </w:t>
      </w:r>
      <w:r>
        <w:rPr>
          <w:rFonts w:ascii="Arial" w:cs="Arial" w:eastAsia="Arial" w:hAnsi="Arial"/>
          <w:sz w:val="5"/>
          <w:szCs w:val="5"/>
          <w:color w:val="FFFFFF"/>
          <w:vertAlign w:val="superscript"/>
        </w:rPr>
        <w:t>31</w:t>
      </w:r>
      <w:r>
        <w:rPr>
          <w:rFonts w:ascii="Arial" w:cs="Arial" w:eastAsia="Arial" w:hAnsi="Arial"/>
          <w:sz w:val="3"/>
          <w:szCs w:val="3"/>
          <w:color w:val="FFFFFF"/>
        </w:rPr>
        <w:t xml:space="preserve"> December</w:t>
      </w:r>
    </w:p>
    <w:p>
      <w:pPr>
        <w:ind w:left="320"/>
        <w:spacing w:after="0" w:line="188" w:lineRule="auto"/>
        <w:rPr>
          <w:sz w:val="20"/>
          <w:szCs w:val="20"/>
          <w:color w:val="auto"/>
        </w:rPr>
      </w:pPr>
      <w:r>
        <w:rPr>
          <w:rFonts w:ascii="Arial" w:cs="Arial" w:eastAsia="Arial" w:hAnsi="Arial"/>
          <w:sz w:val="9"/>
          <w:szCs w:val="9"/>
          <w:color w:val="FFFFFF"/>
        </w:rPr>
        <w:t>201</w:t>
      </w:r>
    </w:p>
    <w:p>
      <w:pPr>
        <w:spacing w:after="0" w:line="211"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HKinthousands)$HK$</w:t>
      </w:r>
    </w:p>
    <w:p>
      <w:pPr>
        <w:ind w:left="660"/>
        <w:spacing w:after="0"/>
        <w:rPr>
          <w:sz w:val="20"/>
          <w:szCs w:val="20"/>
          <w:color w:val="auto"/>
        </w:rPr>
      </w:pPr>
      <w:r>
        <w:rPr>
          <w:rFonts w:ascii="Arial" w:cs="Arial" w:eastAsia="Arial" w:hAnsi="Arial"/>
          <w:sz w:val="3"/>
          <w:szCs w:val="3"/>
          <w:color w:val="FFFFFF"/>
        </w:rPr>
        <w:t>(audited)</w:t>
      </w:r>
    </w:p>
    <w:p>
      <w:pPr>
        <w:spacing w:after="0" w:line="181" w:lineRule="auto"/>
        <w:rPr>
          <w:sz w:val="20"/>
          <w:szCs w:val="20"/>
          <w:color w:val="auto"/>
        </w:rPr>
      </w:pPr>
      <w:r>
        <w:rPr>
          <w:rFonts w:ascii="Arial" w:cs="Arial" w:eastAsia="Arial" w:hAnsi="Arial"/>
          <w:sz w:val="10"/>
          <w:szCs w:val="10"/>
          <w:color w:val="FFFFFF"/>
        </w:rPr>
        <w:t>Contracted, but not provided for 576,215 181,996</w:t>
      </w:r>
    </w:p>
    <w:p>
      <w:pPr>
        <w:spacing w:after="0" w:line="188" w:lineRule="auto"/>
        <w:rPr>
          <w:sz w:val="20"/>
          <w:szCs w:val="20"/>
          <w:color w:val="auto"/>
        </w:rPr>
      </w:pPr>
      <w:r>
        <w:rPr>
          <w:rFonts w:ascii="Arial" w:cs="Arial" w:eastAsia="Arial" w:hAnsi="Arial"/>
          <w:sz w:val="9"/>
          <w:szCs w:val="9"/>
          <w:color w:val="FFFFFF"/>
        </w:rPr>
        <w:t>657,445Authorized,318,125butnot contracted for 81,230 136,129</w:t>
      </w:r>
    </w:p>
    <w:p>
      <w:pPr>
        <w:spacing w:after="0"/>
        <w:rPr>
          <w:sz w:val="20"/>
          <w:szCs w:val="20"/>
          <w:color w:val="auto"/>
        </w:rPr>
      </w:pPr>
      <w:r>
        <w:rPr>
          <w:rFonts w:ascii="Arial" w:cs="Arial" w:eastAsia="Arial" w:hAnsi="Arial"/>
          <w:sz w:val="3"/>
          <w:szCs w:val="3"/>
          <w:color w:val="FFFFFF"/>
        </w:rPr>
        <w:t>AsOtherat Asservicesat commitments</w:t>
      </w:r>
    </w:p>
    <w:p>
      <w:pPr>
        <w:spacing w:after="0" w:line="194" w:lineRule="auto"/>
        <w:rPr>
          <w:sz w:val="20"/>
          <w:szCs w:val="20"/>
          <w:color w:val="auto"/>
        </w:rPr>
      </w:pPr>
      <w:r>
        <w:rPr>
          <w:rFonts w:ascii="Arial" w:cs="Arial" w:eastAsia="Arial" w:hAnsi="Arial"/>
          <w:sz w:val="5"/>
          <w:szCs w:val="5"/>
          <w:color w:val="FFFFFF"/>
          <w:vertAlign w:val="superscript"/>
        </w:rPr>
        <w:t>2012</w:t>
      </w:r>
      <w:r>
        <w:rPr>
          <w:rFonts w:ascii="Arial" w:cs="Arial" w:eastAsia="Arial" w:hAnsi="Arial"/>
          <w:sz w:val="3"/>
          <w:szCs w:val="3"/>
          <w:color w:val="FFFFFF"/>
        </w:rPr>
        <w:t xml:space="preserve">30June </w:t>
      </w:r>
      <w:r>
        <w:rPr>
          <w:rFonts w:ascii="Arial" w:cs="Arial" w:eastAsia="Arial" w:hAnsi="Arial"/>
          <w:sz w:val="5"/>
          <w:szCs w:val="5"/>
          <w:color w:val="FFFFFF"/>
          <w:vertAlign w:val="superscript"/>
        </w:rPr>
        <w:t>31</w:t>
      </w:r>
      <w:r>
        <w:rPr>
          <w:rFonts w:ascii="Arial" w:cs="Arial" w:eastAsia="Arial" w:hAnsi="Arial"/>
          <w:sz w:val="3"/>
          <w:szCs w:val="3"/>
          <w:color w:val="FFFFFF"/>
        </w:rPr>
        <w:t xml:space="preserve"> December</w:t>
      </w:r>
    </w:p>
    <w:p>
      <w:pPr>
        <w:ind w:left="320"/>
        <w:spacing w:after="0" w:line="188" w:lineRule="auto"/>
        <w:rPr>
          <w:sz w:val="20"/>
          <w:szCs w:val="20"/>
          <w:color w:val="auto"/>
        </w:rPr>
      </w:pPr>
      <w:r>
        <w:rPr>
          <w:rFonts w:ascii="Arial" w:cs="Arial" w:eastAsia="Arial" w:hAnsi="Arial"/>
          <w:sz w:val="9"/>
          <w:szCs w:val="9"/>
          <w:color w:val="FFFFFF"/>
        </w:rPr>
        <w:t>201</w:t>
      </w:r>
    </w:p>
    <w:p>
      <w:pPr>
        <w:spacing w:after="0" w:line="211"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HKinthousands)$HK$</w:t>
      </w:r>
    </w:p>
    <w:p>
      <w:pPr>
        <w:jc w:val="center"/>
        <w:ind w:right="8419"/>
        <w:spacing w:after="0"/>
        <w:rPr>
          <w:sz w:val="20"/>
          <w:szCs w:val="20"/>
          <w:color w:val="auto"/>
        </w:rPr>
      </w:pPr>
      <w:r>
        <w:rPr>
          <w:rFonts w:ascii="Arial" w:cs="Arial" w:eastAsia="Arial" w:hAnsi="Arial"/>
          <w:sz w:val="3"/>
          <w:szCs w:val="3"/>
          <w:color w:val="FFFFFF"/>
        </w:rPr>
        <w:t>(audited)</w:t>
      </w:r>
    </w:p>
    <w:p>
      <w:pPr>
        <w:jc w:val="center"/>
        <w:ind w:right="8459"/>
        <w:spacing w:after="0" w:line="181" w:lineRule="auto"/>
        <w:rPr>
          <w:sz w:val="20"/>
          <w:szCs w:val="20"/>
          <w:color w:val="auto"/>
        </w:rPr>
      </w:pPr>
      <w:r>
        <w:rPr>
          <w:rFonts w:ascii="Arial" w:cs="Arial" w:eastAsia="Arial" w:hAnsi="Arial"/>
          <w:sz w:val="10"/>
          <w:szCs w:val="10"/>
          <w:color w:val="FFFFFF"/>
        </w:rPr>
        <w:t>Within one year 95,851 140,286</w:t>
      </w:r>
    </w:p>
    <w:p>
      <w:pPr>
        <w:spacing w:after="0"/>
        <w:rPr>
          <w:sz w:val="20"/>
          <w:szCs w:val="20"/>
          <w:color w:val="auto"/>
        </w:rPr>
      </w:pPr>
      <w:r>
        <w:rPr>
          <w:rFonts w:ascii="Arial" w:cs="Arial" w:eastAsia="Arial" w:hAnsi="Arial"/>
          <w:sz w:val="3"/>
          <w:szCs w:val="3"/>
          <w:color w:val="FFFFFF"/>
        </w:rPr>
        <w:t>167,760Afterone169,771yearbut not more than five years 71,909 29,485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As at 30 June 2012, the Group was committed to purchases for operating items totaling HK$84.5 million (31 December 2011: HK$96.2 million).</w:t>
      </w:r>
    </w:p>
    <w:p>
      <w:pPr>
        <w:sectPr>
          <w:pgSz w:w="11900" w:h="16838" w:orient="portrait"/>
          <w:cols w:equalWidth="0" w:num="1">
            <w:col w:w="10219"/>
          </w:cols>
          <w:pgMar w:left="240" w:top="1440" w:right="1440"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2"/>
          </w:tcPr>
          <w:p>
            <w:pPr>
              <w:spacing w:after="0"/>
              <w:rPr>
                <w:sz w:val="20"/>
                <w:szCs w:val="20"/>
                <w:color w:val="auto"/>
              </w:rPr>
            </w:pPr>
            <w:r>
              <w:rPr>
                <w:rFonts w:ascii="Arial" w:cs="Arial" w:eastAsia="Arial" w:hAnsi="Arial"/>
                <w:sz w:val="14"/>
                <w:szCs w:val="14"/>
                <w:color w:val="FFFFFF"/>
              </w:rPr>
              <w:t>68 Wynn Macau, Limited</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3"/>
          </w:tcPr>
          <w:p>
            <w:pPr>
              <w:spacing w:after="0"/>
              <w:rPr>
                <w:sz w:val="20"/>
                <w:szCs w:val="20"/>
                <w:color w:val="auto"/>
              </w:rPr>
            </w:pPr>
            <w:r>
              <w:rPr>
                <w:rFonts w:ascii="Arial" w:cs="Arial" w:eastAsia="Arial" w:hAnsi="Arial"/>
                <w:sz w:val="3"/>
                <w:szCs w:val="3"/>
                <w:color w:val="FFFFFF"/>
              </w:rPr>
              <w:t>For the six months ended 30 June 2012</w:t>
            </w:r>
          </w:p>
        </w:tc>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840" w:type="dxa"/>
            <w:vAlign w:val="bottom"/>
          </w:tcPr>
          <w:p>
            <w:pPr>
              <w:spacing w:after="0" w:line="81" w:lineRule="exact"/>
              <w:rPr>
                <w:sz w:val="20"/>
                <w:szCs w:val="20"/>
                <w:color w:val="auto"/>
              </w:rPr>
            </w:pPr>
            <w:r>
              <w:rPr>
                <w:rFonts w:ascii="Arial" w:cs="Arial" w:eastAsia="Arial" w:hAnsi="Arial"/>
                <w:sz w:val="9"/>
                <w:szCs w:val="9"/>
                <w:color w:val="FFFFFF"/>
              </w:rPr>
              <w:t>LITIGATION</w:t>
            </w:r>
          </w:p>
        </w:tc>
        <w:tc>
          <w:tcPr>
            <w:tcW w:w="10540" w:type="dxa"/>
            <w:vAlign w:val="bottom"/>
            <w:gridSpan w:val="6"/>
          </w:tcPr>
          <w:p>
            <w:pPr>
              <w:ind w:left="80"/>
              <w:spacing w:after="0" w:line="81" w:lineRule="exact"/>
              <w:rPr>
                <w:sz w:val="20"/>
                <w:szCs w:val="20"/>
                <w:color w:val="auto"/>
              </w:rPr>
            </w:pPr>
            <w:r>
              <w:rPr>
                <w:rFonts w:ascii="Arial" w:cs="Arial" w:eastAsia="Arial" w:hAnsi="Arial"/>
                <w:sz w:val="9"/>
                <w:szCs w:val="9"/>
                <w:color w:val="FFFFFF"/>
              </w:rPr>
              <w:t>not have any material litigation outstanding as at 30 June 2012 and 31 December 2011.</w:t>
            </w: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The Group’doesaffiliates are involved in litigation in addition to the actions noted below, arising in the normal course of business. In the opinion of management, such litigation will not have a material effect on the</w:t>
            </w: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Group’s financial condition, results of operations or cash flows.</w:t>
            </w:r>
          </w:p>
        </w:tc>
        <w:tc>
          <w:tcPr>
            <w:tcW w:w="600" w:type="dxa"/>
            <w:vAlign w:val="bottom"/>
          </w:tcPr>
          <w:p>
            <w:pPr>
              <w:spacing w:after="0"/>
              <w:rPr>
                <w:sz w:val="3"/>
                <w:szCs w:val="3"/>
                <w:color w:val="auto"/>
              </w:rPr>
            </w:pPr>
          </w:p>
        </w:tc>
        <w:tc>
          <w:tcPr>
            <w:tcW w:w="1320" w:type="dxa"/>
            <w:vAlign w:val="bottom"/>
            <w:vMerge w:val="restart"/>
          </w:tcPr>
          <w:p>
            <w:pPr>
              <w:ind w:left="200"/>
              <w:spacing w:after="0" w:line="81" w:lineRule="exact"/>
              <w:rPr>
                <w:sz w:val="20"/>
                <w:szCs w:val="20"/>
                <w:color w:val="auto"/>
              </w:rPr>
            </w:pPr>
            <w:r>
              <w:rPr>
                <w:rFonts w:ascii="Arial" w:cs="Arial" w:eastAsia="Arial" w:hAnsi="Arial"/>
                <w:sz w:val="9"/>
                <w:szCs w:val="9"/>
                <w:color w:val="FFFFFF"/>
              </w:rPr>
              <w:t>and related matters</w:t>
            </w:r>
          </w:p>
        </w:tc>
        <w:tc>
          <w:tcPr>
            <w:tcW w:w="5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Determination of</w:t>
            </w:r>
          </w:p>
        </w:tc>
        <w:tc>
          <w:tcPr>
            <w:tcW w:w="2540" w:type="dxa"/>
            <w:vAlign w:val="bottom"/>
            <w:gridSpan w:val="3"/>
          </w:tcPr>
          <w:p>
            <w:pPr>
              <w:ind w:left="40"/>
              <w:spacing w:after="0"/>
              <w:rPr>
                <w:sz w:val="20"/>
                <w:szCs w:val="20"/>
                <w:color w:val="auto"/>
              </w:rPr>
            </w:pPr>
            <w:r>
              <w:rPr>
                <w:rFonts w:ascii="Arial" w:cs="Arial" w:eastAsia="Arial" w:hAnsi="Arial"/>
                <w:sz w:val="3"/>
                <w:szCs w:val="3"/>
                <w:color w:val="FFFFFF"/>
              </w:rPr>
              <w:t>and redemption of Aruze USA, Inc. and af</w:t>
            </w:r>
          </w:p>
        </w:tc>
        <w:tc>
          <w:tcPr>
            <w:tcW w:w="1320" w:type="dxa"/>
            <w:vAlign w:val="bottom"/>
            <w:vMerge w:val="continue"/>
          </w:tcPr>
          <w:p>
            <w:pPr>
              <w:spacing w:after="0"/>
              <w:rPr>
                <w:sz w:val="3"/>
                <w:szCs w:val="3"/>
                <w:color w:val="auto"/>
              </w:rPr>
            </w:pPr>
          </w:p>
        </w:tc>
        <w:tc>
          <w:tcPr>
            <w:tcW w:w="5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On 18 February 2012,unsuitabilityWRL’ Gaming Compliance Committee concludedfiliatesyear-long investigation after receiving an independent report by Freeh, Sporkin &amp; Sullivan, LLP (the “Freeh Report”) detailing</w:t>
            </w:r>
          </w:p>
        </w:tc>
        <w:tc>
          <w:tcPr>
            <w:tcW w:w="0" w:type="dxa"/>
            <w:vAlign w:val="bottom"/>
          </w:tcPr>
          <w:p>
            <w:pPr>
              <w:spacing w:after="0"/>
              <w:rPr>
                <w:sz w:val="1"/>
                <w:szCs w:val="1"/>
                <w:color w:val="auto"/>
              </w:rPr>
            </w:pPr>
          </w:p>
        </w:tc>
      </w:tr>
      <w:tr>
        <w:trPr>
          <w:trHeight w:val="41"/>
        </w:trPr>
        <w:tc>
          <w:tcPr>
            <w:tcW w:w="2420" w:type="dxa"/>
            <w:vAlign w:val="bottom"/>
            <w:gridSpan w:val="3"/>
          </w:tcPr>
          <w:p>
            <w:pPr>
              <w:spacing w:after="0"/>
              <w:rPr>
                <w:sz w:val="20"/>
                <w:szCs w:val="20"/>
                <w:color w:val="auto"/>
              </w:rPr>
            </w:pPr>
            <w:r>
              <w:rPr>
                <w:rFonts w:ascii="Arial" w:cs="Arial" w:eastAsia="Arial" w:hAnsi="Arial"/>
                <w:sz w:val="3"/>
                <w:szCs w:val="3"/>
                <w:color w:val="FFFFFF"/>
              </w:rPr>
              <w:t>pattern of misconduct by Aruze USA, Inc.,</w:t>
            </w:r>
          </w:p>
        </w:tc>
        <w:tc>
          <w:tcPr>
            <w:tcW w:w="1160" w:type="dxa"/>
            <w:vAlign w:val="bottom"/>
          </w:tcPr>
          <w:p>
            <w:pPr>
              <w:ind w:left="80"/>
              <w:spacing w:after="0"/>
              <w:rPr>
                <w:sz w:val="20"/>
                <w:szCs w:val="20"/>
                <w:color w:val="auto"/>
              </w:rPr>
            </w:pPr>
            <w:r>
              <w:rPr>
                <w:rFonts w:ascii="Arial" w:cs="Arial" w:eastAsia="Arial" w:hAnsi="Arial"/>
                <w:sz w:val="3"/>
                <w:szCs w:val="3"/>
                <w:color w:val="FFFFFF"/>
              </w:rPr>
              <w:t>the time a</w:t>
            </w:r>
          </w:p>
        </w:tc>
        <w:tc>
          <w:tcPr>
            <w:tcW w:w="1920" w:type="dxa"/>
            <w:vAlign w:val="bottom"/>
            <w:gridSpan w:val="2"/>
          </w:tcPr>
          <w:p>
            <w:pPr>
              <w:ind w:left="140"/>
              <w:spacing w:after="0"/>
              <w:rPr>
                <w:sz w:val="20"/>
                <w:szCs w:val="20"/>
                <w:color w:val="auto"/>
              </w:rPr>
            </w:pPr>
            <w:r>
              <w:rPr>
                <w:rFonts w:ascii="Arial" w:cs="Arial" w:eastAsia="Arial" w:hAnsi="Arial"/>
                <w:sz w:val="3"/>
                <w:szCs w:val="3"/>
                <w:color w:val="FFFFFF"/>
              </w:rPr>
              <w:t>of WRL, Universal</w:t>
            </w:r>
          </w:p>
        </w:tc>
        <w:tc>
          <w:tcPr>
            <w:tcW w:w="5880" w:type="dxa"/>
            <w:vAlign w:val="bottom"/>
          </w:tcPr>
          <w:p>
            <w:pPr>
              <w:ind w:left="100"/>
              <w:spacing w:after="0"/>
              <w:rPr>
                <w:sz w:val="20"/>
                <w:szCs w:val="20"/>
                <w:color w:val="auto"/>
              </w:rPr>
            </w:pPr>
            <w:r>
              <w:rPr>
                <w:rFonts w:ascii="Arial" w:cs="Arial" w:eastAsia="Arial" w:hAnsi="Arial"/>
                <w:sz w:val="3"/>
                <w:szCs w:val="3"/>
                <w:color w:val="FFFFFF"/>
              </w:rPr>
              <w:t>Corporation, Aruze USA, Inc.’s parent company, and Kazuo Okada, the majority shareholder of Universal</w:t>
            </w: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Entertainment Corporation, who is also a member of WRL’stockholderboardof directors and was atEntertainmentthetimeDirector of the Company. The factual record presented   the Freeh Report included evidence that Aruze</w:t>
            </w:r>
          </w:p>
        </w:tc>
        <w:tc>
          <w:tcPr>
            <w:tcW w:w="0" w:type="dxa"/>
            <w:vAlign w:val="bottom"/>
          </w:tcPr>
          <w:p>
            <w:pPr>
              <w:spacing w:after="0"/>
              <w:rPr>
                <w:sz w:val="1"/>
                <w:szCs w:val="1"/>
                <w:color w:val="auto"/>
              </w:rPr>
            </w:pPr>
          </w:p>
        </w:tc>
      </w:tr>
      <w:tr>
        <w:trPr>
          <w:trHeight w:val="0"/>
        </w:trPr>
        <w:tc>
          <w:tcPr>
            <w:tcW w:w="2420" w:type="dxa"/>
            <w:vAlign w:val="bottom"/>
            <w:gridSpan w:val="3"/>
          </w:tcPr>
          <w:p>
            <w:pPr>
              <w:spacing w:after="0"/>
              <w:rPr>
                <w:sz w:val="20"/>
                <w:szCs w:val="20"/>
                <w:color w:val="auto"/>
              </w:rPr>
            </w:pPr>
            <w:r>
              <w:rPr>
                <w:rFonts w:ascii="Arial" w:cs="Arial" w:eastAsia="Arial" w:hAnsi="Arial"/>
                <w:sz w:val="14"/>
                <w:szCs w:val="14"/>
                <w:color w:val="FFFFFF"/>
              </w:rPr>
              <w:t>USA, Inc., Universal Entertainment</w:t>
            </w:r>
          </w:p>
        </w:tc>
        <w:tc>
          <w:tcPr>
            <w:tcW w:w="8960" w:type="dxa"/>
            <w:vAlign w:val="bottom"/>
            <w:gridSpan w:val="4"/>
          </w:tcPr>
          <w:p>
            <w:pPr>
              <w:ind w:left="240"/>
              <w:spacing w:after="0"/>
              <w:rPr>
                <w:sz w:val="20"/>
                <w:szCs w:val="20"/>
                <w:color w:val="auto"/>
              </w:rPr>
            </w:pPr>
            <w:r>
              <w:rPr>
                <w:rFonts w:ascii="Arial" w:cs="Arial" w:eastAsia="Arial" w:hAnsi="Arial"/>
                <w:sz w:val="14"/>
                <w:szCs w:val="14"/>
                <w:color w:val="FFFFFF"/>
                <w:w w:val="91"/>
              </w:rPr>
              <w:t>and Mr. Okada had provided valuable items to certain foreign gaming officials who were responsible for regulating gaming in a jurisdiction in which entities</w:t>
            </w:r>
          </w:p>
        </w:tc>
        <w:tc>
          <w:tcPr>
            <w:tcW w:w="0" w:type="dxa"/>
            <w:vAlign w:val="bottom"/>
          </w:tcPr>
          <w:p>
            <w:pPr>
              <w:spacing w:after="0" w:line="20" w:lineRule="exact"/>
              <w:rPr>
                <w:sz w:val="1"/>
                <w:szCs w:val="1"/>
                <w:color w:val="auto"/>
              </w:rPr>
            </w:pPr>
          </w:p>
        </w:tc>
      </w:tr>
    </w:tbl>
    <w:p>
      <w:pPr>
        <w:ind w:right="220"/>
        <w:spacing w:after="0"/>
        <w:rPr>
          <w:sz w:val="20"/>
          <w:szCs w:val="20"/>
          <w:color w:val="auto"/>
        </w:rPr>
      </w:pPr>
      <w:r>
        <w:rPr>
          <w:rFonts w:ascii="Arial" w:cs="Arial" w:eastAsia="Arial" w:hAnsi="Arial"/>
          <w:sz w:val="3"/>
          <w:szCs w:val="3"/>
          <w:color w:val="FFFFFF"/>
        </w:rPr>
        <w:t>controlled by Mr. Okada were developingCorporationgaming resort. Mr. Okada has denied the impropriety of such conduct to members of the board of directors of WRL and Mr. Okada has refused to acknowledge or abide by WRL’s anti-bribery policies.</w:t>
      </w:r>
    </w:p>
    <w:p>
      <w:pPr>
        <w:spacing w:after="0" w:line="199" w:lineRule="auto"/>
        <w:rPr>
          <w:sz w:val="20"/>
          <w:szCs w:val="20"/>
          <w:color w:val="auto"/>
        </w:rPr>
      </w:pPr>
      <w:r>
        <w:rPr>
          <w:rFonts w:ascii="Arial" w:cs="Arial" w:eastAsia="Arial" w:hAnsi="Arial"/>
          <w:sz w:val="5"/>
          <w:szCs w:val="5"/>
          <w:color w:val="FFFFFF"/>
          <w:vertAlign w:val="subscript"/>
        </w:rPr>
        <w:t>incorporation</w:t>
      </w:r>
      <w:r>
        <w:rPr>
          <w:rFonts w:ascii="Arial" w:cs="Arial" w:eastAsia="Arial" w:hAnsi="Arial"/>
          <w:sz w:val="3"/>
          <w:szCs w:val="3"/>
          <w:color w:val="FFFFFF"/>
        </w:rPr>
        <w:t>Basedthe Freeh Report, the</w:t>
      </w:r>
      <w:r>
        <w:rPr>
          <w:rFonts w:ascii="Arial" w:cs="Arial" w:eastAsia="Arial" w:hAnsi="Arial"/>
          <w:sz w:val="5"/>
          <w:szCs w:val="5"/>
          <w:color w:val="FFFFFF"/>
          <w:vertAlign w:val="subscript"/>
        </w:rPr>
        <w:t>directors</w:t>
      </w:r>
      <w:r>
        <w:rPr>
          <w:rFonts w:ascii="Arial" w:cs="Arial" w:eastAsia="Arial" w:hAnsi="Arial"/>
          <w:sz w:val="3"/>
          <w:szCs w:val="3"/>
          <w:color w:val="FFFFFF"/>
        </w:rPr>
        <w:t>boa of directors of WRL determined that Aruze USA, Inc., Universal Entertainment Corporation and Mr. Okada are “unsuitable” under Article VII of the WRL articles of</w:t>
      </w:r>
    </w:p>
    <w:p>
      <w:pPr>
        <w:ind w:left="740"/>
        <w:spacing w:after="0"/>
        <w:tabs>
          <w:tab w:leader="none" w:pos="2020" w:val="left"/>
        </w:tabs>
        <w:rPr>
          <w:sz w:val="20"/>
          <w:szCs w:val="20"/>
          <w:color w:val="auto"/>
        </w:rPr>
      </w:pPr>
      <w:r>
        <w:rPr>
          <w:rFonts w:ascii="Arial" w:cs="Arial" w:eastAsia="Arial" w:hAnsi="Arial"/>
          <w:sz w:val="3"/>
          <w:szCs w:val="3"/>
          <w:color w:val="FFFFFF"/>
        </w:rPr>
        <w:t>. The board of</w:t>
      </w:r>
      <w:r>
        <w:rPr>
          <w:sz w:val="20"/>
          <w:szCs w:val="20"/>
          <w:color w:val="auto"/>
        </w:rPr>
        <w:tab/>
      </w:r>
      <w:r>
        <w:rPr>
          <w:rFonts w:ascii="Arial" w:cs="Arial" w:eastAsia="Arial" w:hAnsi="Arial"/>
          <w:sz w:val="3"/>
          <w:szCs w:val="3"/>
          <w:color w:val="FFFFFF"/>
        </w:rPr>
        <w:t>of WRL was unanimous (other than Mr.</w:t>
      </w:r>
    </w:p>
    <w:p>
      <w:pPr>
        <w:spacing w:after="0" w:line="194" w:lineRule="auto"/>
        <w:tabs>
          <w:tab w:leader="none" w:pos="560" w:val="left"/>
        </w:tabs>
        <w:rPr>
          <w:sz w:val="20"/>
          <w:szCs w:val="20"/>
          <w:color w:val="auto"/>
        </w:rPr>
      </w:pPr>
      <w:r>
        <w:rPr>
          <w:rFonts w:ascii="Arial" w:cs="Arial" w:eastAsia="Arial" w:hAnsi="Arial"/>
          <w:sz w:val="3"/>
          <w:szCs w:val="3"/>
          <w:color w:val="FFFFFF"/>
        </w:rPr>
        <w:t>Okada)</w:t>
      </w:r>
      <w:r>
        <w:rPr>
          <w:sz w:val="20"/>
          <w:szCs w:val="20"/>
          <w:color w:val="auto"/>
        </w:rPr>
        <w:tab/>
      </w:r>
      <w:r>
        <w:rPr>
          <w:rFonts w:ascii="Arial" w:cs="Arial" w:eastAsia="Arial" w:hAnsi="Arial"/>
          <w:sz w:val="3"/>
          <w:szCs w:val="3"/>
          <w:color w:val="FFFFFF"/>
        </w:rPr>
        <w:t>its determination. The board of directors of WRL also requested that Mr. Okada resign as a director of WRL and recommended that Mr.</w:t>
      </w:r>
      <w:r>
        <w:rPr>
          <w:rFonts w:ascii="Arial" w:cs="Arial" w:eastAsia="Arial" w:hAnsi="Arial"/>
          <w:sz w:val="5"/>
          <w:szCs w:val="5"/>
          <w:color w:val="FFFFFF"/>
          <w:vertAlign w:val="subscript"/>
        </w:rPr>
        <w:t>owned</w:t>
      </w:r>
      <w:r>
        <w:rPr>
          <w:rFonts w:ascii="Arial" w:cs="Arial" w:eastAsia="Arial" w:hAnsi="Arial"/>
          <w:sz w:val="3"/>
          <w:szCs w:val="3"/>
          <w:color w:val="FFFFFF"/>
        </w:rPr>
        <w:t>Okaa be removed as a member of the Board of Directors of</w:t>
      </w:r>
    </w:p>
    <w:p>
      <w:pPr>
        <w:spacing w:after="0"/>
        <w:tabs>
          <w:tab w:leader="none" w:pos="8260" w:val="left"/>
        </w:tabs>
        <w:rPr>
          <w:sz w:val="20"/>
          <w:szCs w:val="20"/>
          <w:color w:val="auto"/>
        </w:rPr>
      </w:pPr>
      <w:r>
        <w:rPr>
          <w:rFonts w:ascii="Arial" w:cs="Arial" w:eastAsia="Arial" w:hAnsi="Arial"/>
          <w:sz w:val="14"/>
          <w:szCs w:val="14"/>
          <w:color w:val="FFFFFF"/>
        </w:rPr>
        <w:t>the Company. In addition, on 18 February 2012, Mr. Okada was removed from the board of directors of Wynn Las Vegas Capital Corp., a wholly</w:t>
      </w:r>
      <w:r>
        <w:rPr>
          <w:sz w:val="20"/>
          <w:szCs w:val="20"/>
          <w:color w:val="auto"/>
        </w:rPr>
        <w:tab/>
      </w:r>
      <w:r>
        <w:rPr>
          <w:rFonts w:ascii="Arial" w:cs="Arial" w:eastAsia="Arial" w:hAnsi="Arial"/>
          <w:sz w:val="12"/>
          <w:szCs w:val="12"/>
          <w:color w:val="FFFFFF"/>
        </w:rPr>
        <w:t>subsidiary of WRL.</w:t>
      </w:r>
    </w:p>
    <w:p>
      <w:pPr>
        <w:sectPr>
          <w:pgSz w:w="11900" w:h="16838" w:orient="portrait"/>
          <w:cols w:equalWidth="0" w:num="1">
            <w:col w:w="11380"/>
          </w:cols>
          <w:pgMar w:left="240" w:top="1440" w:right="27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ReportFinancial2012Information69</w:t>
      </w:r>
    </w:p>
    <w:p>
      <w:pPr>
        <w:spacing w:after="0"/>
        <w:rPr>
          <w:sz w:val="20"/>
          <w:szCs w:val="20"/>
          <w:color w:val="auto"/>
        </w:rPr>
      </w:pPr>
      <w:r>
        <w:rPr>
          <w:rFonts w:ascii="Arial" w:cs="Arial" w:eastAsia="Arial" w:hAnsi="Arial"/>
          <w:sz w:val="3"/>
          <w:szCs w:val="3"/>
          <w:color w:val="FFFFFF"/>
        </w:rPr>
        <w:t>Notes to Interim Financial Information</w:t>
      </w:r>
    </w:p>
    <w:p>
      <w:pPr>
        <w:spacing w:after="0" w:line="181" w:lineRule="auto"/>
        <w:rPr>
          <w:sz w:val="20"/>
          <w:szCs w:val="20"/>
          <w:color w:val="auto"/>
        </w:rPr>
      </w:pPr>
      <w:r>
        <w:rPr>
          <w:rFonts w:ascii="Arial" w:cs="Arial" w:eastAsia="Arial" w:hAnsi="Arial"/>
          <w:sz w:val="10"/>
          <w:szCs w:val="10"/>
          <w:color w:val="FFFFFF"/>
        </w:rPr>
        <w:t>LITIGATIONForthesixmonths(continued)ended30 June 2012</w:t>
      </w:r>
    </w:p>
    <w:p>
      <w:pPr>
        <w:ind w:right="100"/>
        <w:spacing w:after="0" w:line="181" w:lineRule="auto"/>
        <w:rPr>
          <w:sz w:val="20"/>
          <w:szCs w:val="20"/>
          <w:color w:val="auto"/>
        </w:rPr>
      </w:pPr>
      <w:r>
        <w:rPr>
          <w:rFonts w:ascii="Arial" w:cs="Arial" w:eastAsia="Arial" w:hAnsi="Arial"/>
          <w:sz w:val="7"/>
          <w:szCs w:val="7"/>
          <w:color w:val="FFFFFF"/>
        </w:rPr>
        <w:t>redeemedDeterminationand canceledofunsuitabilityAruze USA,andredemptionInc.’s24,549,222ofAruzesharesUSA,ofInc.WRL’sand affiliatescommonandstock.related matters (continued) Based on the board of directors of WRL’s finding of “unsuitability”, on 18 February 2012, WRL Following finding of “unsuitability”, WRL’s articles of incorporation authorize redemptionappropriate“fairvalue” of the shares held by unsuitable persons. WRL engaged an independent financial advisor to assist in</w:t>
      </w:r>
    </w:p>
    <w:p>
      <w:pPr>
        <w:ind w:left="10940"/>
        <w:spacing w:after="0"/>
        <w:rPr>
          <w:sz w:val="20"/>
          <w:szCs w:val="20"/>
          <w:color w:val="auto"/>
        </w:rPr>
      </w:pPr>
      <w:r>
        <w:rPr>
          <w:rFonts w:ascii="Arial" w:cs="Arial" w:eastAsia="Arial" w:hAnsi="Arial"/>
          <w:sz w:val="1"/>
          <w:szCs w:val="1"/>
          <w:color w:val="FFFFFF"/>
        </w:rPr>
        <w:t>termshefairofvaluetheStockholderscalculationandAgreementconcluded(asthatdefinedadiscountbelow)to. Pursuantthethen-currenttothearticlestradingofpriceincorporation,was WRL becauseissuedtheof, among otherpricethings,promissoryrestrictionsnoteon(themost“RedemptionofthesharesNote”)held byto AruzeAruze USA,USA, Inc.Inc. inunderredemptionthe</w:t>
      </w:r>
    </w:p>
    <w:p>
      <w:pPr>
        <w:spacing w:after="0" w:line="187" w:lineRule="auto"/>
        <w:rPr>
          <w:sz w:val="20"/>
          <w:szCs w:val="20"/>
          <w:color w:val="auto"/>
        </w:rPr>
      </w:pPr>
      <w:r>
        <w:rPr>
          <w:rFonts w:ascii="Arial" w:cs="Arial" w:eastAsia="Arial" w:hAnsi="Arial"/>
          <w:sz w:val="7"/>
          <w:szCs w:val="7"/>
          <w:color w:val="FFFFFF"/>
        </w:rPr>
        <w:t>of the shar</w:t>
      </w:r>
      <w:r>
        <w:rPr>
          <w:rFonts w:ascii="Arial" w:cs="Arial" w:eastAsia="Arial" w:hAnsi="Arial"/>
          <w:sz w:val="9"/>
          <w:szCs w:val="9"/>
          <w:color w:val="FFFFFF"/>
          <w:vertAlign w:val="superscript"/>
        </w:rPr>
        <w:t>each</w:t>
      </w:r>
      <w:r>
        <w:rPr>
          <w:rFonts w:ascii="Arial" w:cs="Arial" w:eastAsia="Arial" w:hAnsi="Arial"/>
          <w:sz w:val="7"/>
          <w:szCs w:val="7"/>
          <w:color w:val="FFFFFF"/>
        </w:rPr>
        <w:t>s.The Redemption Note has a principal amount of US$1.94 billion (approximately HK$14.7 billion), maturesredemption18 February 2022 and bears interest at the rate of 2% per annum, payable annually in</w:t>
      </w:r>
    </w:p>
    <w:p>
      <w:pPr>
        <w:spacing w:after="0" w:line="217" w:lineRule="auto"/>
        <w:rPr>
          <w:sz w:val="20"/>
          <w:szCs w:val="20"/>
          <w:color w:val="auto"/>
        </w:rPr>
      </w:pPr>
      <w:r>
        <w:rPr>
          <w:rFonts w:ascii="Arial" w:cs="Arial" w:eastAsia="Arial" w:hAnsi="Arial"/>
          <w:sz w:val="9"/>
          <w:szCs w:val="9"/>
          <w:color w:val="FFFFFF"/>
        </w:rPr>
        <w:t>arrears on anniversary of the date of the Redemption Note. WRL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WRL or as specifically mandated by law. The indebtedness evidenced by the Redemption Note is and shall be subordinated in right of payment, to the extent and in the manner provided in the Redemption Note, to the prior payment in full of all existing and future obligations of WRL or any of its affiliates in respect of indebtedness for borrowed money of any kind or nature.</w:t>
      </w:r>
    </w:p>
    <w:p>
      <w:pPr>
        <w:sectPr>
          <w:pgSz w:w="11900" w:h="16838" w:orient="portrait"/>
          <w:cols w:equalWidth="0" w:num="1">
            <w:col w:w="11400"/>
          </w:cols>
          <w:pgMar w:left="240" w:top="1440" w:right="25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3"/>
          </w:tcPr>
          <w:p>
            <w:pPr>
              <w:spacing w:after="0"/>
              <w:rPr>
                <w:sz w:val="20"/>
                <w:szCs w:val="20"/>
                <w:color w:val="auto"/>
              </w:rPr>
            </w:pPr>
            <w:r>
              <w:rPr>
                <w:rFonts w:ascii="Arial" w:cs="Arial" w:eastAsia="Arial" w:hAnsi="Arial"/>
                <w:sz w:val="14"/>
                <w:szCs w:val="14"/>
                <w:color w:val="FFFFFF"/>
              </w:rPr>
              <w:t>70 Wynn Macau, Limited</w:t>
            </w:r>
          </w:p>
        </w:tc>
        <w:tc>
          <w:tcPr>
            <w:tcW w:w="2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41"/>
        </w:trPr>
        <w:tc>
          <w:tcPr>
            <w:tcW w:w="2220" w:type="dxa"/>
            <w:vAlign w:val="bottom"/>
            <w:gridSpan w:val="3"/>
          </w:tcPr>
          <w:p>
            <w:pPr>
              <w:spacing w:after="0"/>
              <w:rPr>
                <w:sz w:val="20"/>
                <w:szCs w:val="20"/>
                <w:color w:val="auto"/>
              </w:rPr>
            </w:pPr>
            <w:r>
              <w:rPr>
                <w:rFonts w:ascii="Arial" w:cs="Arial" w:eastAsia="Arial" w:hAnsi="Arial"/>
                <w:sz w:val="3"/>
                <w:szCs w:val="3"/>
                <w:color w:val="FFFFFF"/>
              </w:rPr>
              <w:t>Interim Financial Information</w:t>
            </w:r>
          </w:p>
        </w:tc>
        <w:tc>
          <w:tcPr>
            <w:tcW w:w="24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41"/>
        </w:trPr>
        <w:tc>
          <w:tcPr>
            <w:tcW w:w="222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c>
          <w:tcPr>
            <w:tcW w:w="24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41"/>
        </w:trPr>
        <w:tc>
          <w:tcPr>
            <w:tcW w:w="2220" w:type="dxa"/>
            <w:vAlign w:val="bottom"/>
            <w:gridSpan w:val="3"/>
          </w:tcPr>
          <w:p>
            <w:pPr>
              <w:spacing w:after="0"/>
              <w:rPr>
                <w:sz w:val="20"/>
                <w:szCs w:val="20"/>
                <w:color w:val="auto"/>
              </w:rPr>
            </w:pPr>
            <w:r>
              <w:rPr>
                <w:rFonts w:ascii="Arial" w:cs="Arial" w:eastAsia="Arial" w:hAnsi="Arial"/>
                <w:sz w:val="3"/>
                <w:szCs w:val="3"/>
                <w:color w:val="FFFFFF"/>
              </w:rPr>
              <w:t>For the six months ended 30 June 2012</w:t>
            </w:r>
          </w:p>
        </w:tc>
        <w:tc>
          <w:tcPr>
            <w:tcW w:w="24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41"/>
        </w:trPr>
        <w:tc>
          <w:tcPr>
            <w:tcW w:w="2220" w:type="dxa"/>
            <w:vAlign w:val="bottom"/>
            <w:gridSpan w:val="3"/>
          </w:tcPr>
          <w:p>
            <w:pPr>
              <w:spacing w:after="0"/>
              <w:rPr>
                <w:sz w:val="20"/>
                <w:szCs w:val="20"/>
                <w:color w:val="auto"/>
              </w:rPr>
            </w:pPr>
            <w:r>
              <w:rPr>
                <w:rFonts w:ascii="Arial" w:cs="Arial" w:eastAsia="Arial" w:hAnsi="Arial"/>
                <w:sz w:val="3"/>
                <w:szCs w:val="3"/>
                <w:color w:val="FFFFFF"/>
              </w:rPr>
              <w:t>LITIGATION (continued)</w:t>
            </w:r>
          </w:p>
        </w:tc>
        <w:tc>
          <w:tcPr>
            <w:tcW w:w="24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Determination of unsuitability and redemption of Aruze USA, Inc. and affiliates and related matters (continued) On 19 February 2012, WRL filed a complaint in the District Court of Clark County, Nevada</w:t>
            </w:r>
          </w:p>
        </w:tc>
      </w:tr>
      <w:tr>
        <w:trPr>
          <w:trHeight w:val="41"/>
        </w:trPr>
        <w:tc>
          <w:tcPr>
            <w:tcW w:w="2220" w:type="dxa"/>
            <w:vAlign w:val="bottom"/>
            <w:gridSpan w:val="3"/>
          </w:tcPr>
          <w:p>
            <w:pPr>
              <w:spacing w:after="0"/>
              <w:rPr>
                <w:sz w:val="20"/>
                <w:szCs w:val="20"/>
                <w:color w:val="auto"/>
              </w:rPr>
            </w:pPr>
            <w:r>
              <w:rPr>
                <w:rFonts w:ascii="Arial" w:cs="Arial" w:eastAsia="Arial" w:hAnsi="Arial"/>
                <w:sz w:val="3"/>
                <w:szCs w:val="3"/>
                <w:color w:val="FFFFFF"/>
              </w:rPr>
              <w:t>against Mr. Okada, Aruze USA, Inc. and</w:t>
            </w:r>
          </w:p>
        </w:tc>
        <w:tc>
          <w:tcPr>
            <w:tcW w:w="9180" w:type="dxa"/>
            <w:vAlign w:val="bottom"/>
            <w:gridSpan w:val="4"/>
          </w:tcPr>
          <w:p>
            <w:pPr>
              <w:jc w:val="right"/>
              <w:ind w:right="63"/>
              <w:spacing w:after="0"/>
              <w:rPr>
                <w:sz w:val="20"/>
                <w:szCs w:val="20"/>
                <w:color w:val="auto"/>
              </w:rPr>
            </w:pPr>
            <w:r>
              <w:rPr>
                <w:rFonts w:ascii="Arial" w:cs="Arial" w:eastAsia="Arial" w:hAnsi="Arial"/>
                <w:sz w:val="3"/>
                <w:szCs w:val="3"/>
                <w:color w:val="FFFFFF"/>
              </w:rPr>
              <w:t>Entertainment Corporation, companies controlled by Mr. Okada (the “Okada Parties”) alleging breaches of fiduciary duty and related claims. WRL is seeking</w:t>
            </w: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compensatory and special damages as wellUniversalasdeclaration that it acted lawfully and in full compliance with its articles of incorporation, bylaws and other governing documents. On 12 March 2012, Aruze USA,</w:t>
            </w: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Inc.</w:t>
            </w:r>
          </w:p>
        </w:tc>
        <w:tc>
          <w:tcPr>
            <w:tcW w:w="2000" w:type="dxa"/>
            <w:vAlign w:val="bottom"/>
            <w:gridSpan w:val="2"/>
          </w:tcPr>
          <w:p>
            <w:pPr>
              <w:ind w:left="260"/>
              <w:spacing w:after="0"/>
              <w:rPr>
                <w:sz w:val="20"/>
                <w:szCs w:val="20"/>
                <w:color w:val="auto"/>
              </w:rPr>
            </w:pPr>
            <w:r>
              <w:rPr>
                <w:rFonts w:ascii="Arial" w:cs="Arial" w:eastAsia="Arial" w:hAnsi="Arial"/>
                <w:sz w:val="3"/>
                <w:szCs w:val="3"/>
                <w:color w:val="FFFFFF"/>
              </w:rPr>
              <w:t>Universal Entertainment</w:t>
            </w:r>
          </w:p>
        </w:tc>
        <w:tc>
          <w:tcPr>
            <w:tcW w:w="7180" w:type="dxa"/>
            <w:vAlign w:val="bottom"/>
            <w:gridSpan w:val="3"/>
          </w:tcPr>
          <w:p>
            <w:pPr>
              <w:ind w:left="300"/>
              <w:spacing w:after="0"/>
              <w:rPr>
                <w:sz w:val="20"/>
                <w:szCs w:val="20"/>
                <w:color w:val="auto"/>
              </w:rPr>
            </w:pPr>
            <w:r>
              <w:rPr>
                <w:rFonts w:ascii="Arial" w:cs="Arial" w:eastAsia="Arial" w:hAnsi="Arial"/>
                <w:sz w:val="3"/>
                <w:szCs w:val="3"/>
                <w:color w:val="FFFFFF"/>
              </w:rPr>
              <w:t>removed the action to the United States District Court for the District of Nevada. On that same date, Aruze USA, Inc. and</w:t>
            </w:r>
          </w:p>
        </w:tc>
        <w:tc>
          <w:tcPr>
            <w:tcW w:w="2000" w:type="dxa"/>
            <w:vAlign w:val="bottom"/>
          </w:tcPr>
          <w:p>
            <w:pPr>
              <w:jc w:val="right"/>
              <w:ind w:right="243"/>
              <w:spacing w:after="0"/>
              <w:rPr>
                <w:sz w:val="20"/>
                <w:szCs w:val="20"/>
                <w:color w:val="auto"/>
              </w:rPr>
            </w:pPr>
            <w:r>
              <w:rPr>
                <w:rFonts w:ascii="Arial" w:cs="Arial" w:eastAsia="Arial" w:hAnsi="Arial"/>
                <w:sz w:val="3"/>
                <w:szCs w:val="3"/>
                <w:color w:val="FFFFFF"/>
              </w:rPr>
              <w:t>Entertainment Corporation</w:t>
            </w:r>
          </w:p>
        </w:tc>
      </w:tr>
      <w:tr>
        <w:trPr>
          <w:trHeight w:val="41"/>
        </w:trPr>
        <w:tc>
          <w:tcPr>
            <w:tcW w:w="2220" w:type="dxa"/>
            <w:vAlign w:val="bottom"/>
            <w:gridSpan w:val="3"/>
          </w:tcPr>
          <w:p>
            <w:pPr>
              <w:spacing w:after="0"/>
              <w:rPr>
                <w:sz w:val="20"/>
                <w:szCs w:val="20"/>
                <w:color w:val="auto"/>
              </w:rPr>
            </w:pPr>
            <w:r>
              <w:rPr>
                <w:rFonts w:ascii="Arial" w:cs="Arial" w:eastAsia="Arial" w:hAnsi="Arial"/>
                <w:sz w:val="3"/>
                <w:szCs w:val="3"/>
                <w:color w:val="FFFFFF"/>
              </w:rPr>
              <w:t>filedand answer denying the claims and</w:t>
            </w:r>
          </w:p>
        </w:tc>
        <w:tc>
          <w:tcPr>
            <w:tcW w:w="9180" w:type="dxa"/>
            <w:vAlign w:val="bottom"/>
            <w:gridSpan w:val="4"/>
          </w:tcPr>
          <w:p>
            <w:pPr>
              <w:ind w:left="20"/>
              <w:spacing w:after="0"/>
              <w:rPr>
                <w:sz w:val="20"/>
                <w:szCs w:val="20"/>
                <w:color w:val="auto"/>
              </w:rPr>
            </w:pPr>
            <w:r>
              <w:rPr>
                <w:rFonts w:ascii="Arial" w:cs="Arial" w:eastAsia="Arial" w:hAnsi="Arial"/>
                <w:sz w:val="3"/>
                <w:szCs w:val="3"/>
                <w:color w:val="FFFFFF"/>
              </w:rPr>
              <w:t>counterclaim that purports to assert claims against WRL, each of the members of WRL’s board of directors (other than Mr. Okada)Universaland senior executive of WRL.</w:t>
            </w: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Among other relief, the counterclaimCorporationseeksdeclaration that the redemption of Aruze USA, Inc.’s shares was void, an injunction restoring Aruze USA, Inc.’s share ownership, damages in an unspecified amount</w:t>
            </w:r>
          </w:p>
        </w:tc>
      </w:tr>
      <w:tr>
        <w:trPr>
          <w:trHeight w:val="41"/>
        </w:trPr>
        <w:tc>
          <w:tcPr>
            <w:tcW w:w="220" w:type="dxa"/>
            <w:vAlign w:val="bottom"/>
          </w:tcPr>
          <w:p>
            <w:pPr>
              <w:spacing w:after="0"/>
              <w:rPr>
                <w:sz w:val="3"/>
                <w:szCs w:val="3"/>
                <w:color w:val="auto"/>
              </w:rPr>
            </w:pPr>
          </w:p>
        </w:tc>
        <w:tc>
          <w:tcPr>
            <w:tcW w:w="920" w:type="dxa"/>
            <w:vAlign w:val="bottom"/>
          </w:tcPr>
          <w:p>
            <w:pPr>
              <w:ind w:left="20"/>
              <w:spacing w:after="0"/>
              <w:rPr>
                <w:sz w:val="20"/>
                <w:szCs w:val="20"/>
                <w:color w:val="auto"/>
              </w:rPr>
            </w:pPr>
            <w:r>
              <w:rPr>
                <w:rFonts w:ascii="Arial" w:cs="Arial" w:eastAsia="Arial" w:hAnsi="Arial"/>
                <w:sz w:val="3"/>
                <w:szCs w:val="3"/>
                <w:color w:val="FFFFFF"/>
              </w:rPr>
              <w:t>rescission of the</w:t>
            </w:r>
          </w:p>
        </w:tc>
        <w:tc>
          <w:tcPr>
            <w:tcW w:w="3500" w:type="dxa"/>
            <w:vAlign w:val="bottom"/>
            <w:gridSpan w:val="2"/>
          </w:tcPr>
          <w:p>
            <w:pPr>
              <w:ind w:left="740"/>
              <w:spacing w:after="0"/>
              <w:rPr>
                <w:sz w:val="20"/>
                <w:szCs w:val="20"/>
                <w:color w:val="auto"/>
              </w:rPr>
            </w:pPr>
            <w:r>
              <w:rPr>
                <w:rFonts w:ascii="Arial" w:cs="Arial" w:eastAsia="Arial" w:hAnsi="Arial"/>
                <w:sz w:val="3"/>
                <w:szCs w:val="3"/>
                <w:color w:val="FFFFFF"/>
              </w:rPr>
              <w:t>Agreement. WRL’s claim of 19 February 2012,</w:t>
            </w:r>
          </w:p>
        </w:tc>
        <w:tc>
          <w:tcPr>
            <w:tcW w:w="6760" w:type="dxa"/>
            <w:vAlign w:val="bottom"/>
            <w:gridSpan w:val="3"/>
          </w:tcPr>
          <w:p>
            <w:pPr>
              <w:jc w:val="right"/>
              <w:ind w:right="63"/>
              <w:spacing w:after="0"/>
              <w:rPr>
                <w:sz w:val="20"/>
                <w:szCs w:val="20"/>
                <w:color w:val="auto"/>
              </w:rPr>
            </w:pPr>
            <w:r>
              <w:rPr>
                <w:rFonts w:ascii="Arial" w:cs="Arial" w:eastAsia="Arial" w:hAnsi="Arial"/>
                <w:sz w:val="3"/>
                <w:szCs w:val="3"/>
                <w:color w:val="FFFFFF"/>
              </w:rPr>
              <w:t>removed to federal court by the Okada Parties. On 29 March 2012, WRL filed a motion to remand the action to state court</w:t>
            </w:r>
          </w:p>
        </w:tc>
      </w:tr>
      <w:tr>
        <w:trPr>
          <w:trHeight w:val="41"/>
        </w:trPr>
        <w:tc>
          <w:tcPr>
            <w:tcW w:w="1140" w:type="dxa"/>
            <w:vAlign w:val="bottom"/>
            <w:gridSpan w:val="2"/>
          </w:tcPr>
          <w:p>
            <w:pPr>
              <w:spacing w:after="0"/>
              <w:rPr>
                <w:sz w:val="20"/>
                <w:szCs w:val="20"/>
                <w:color w:val="auto"/>
              </w:rPr>
            </w:pPr>
            <w:r>
              <w:rPr>
                <w:rFonts w:ascii="Arial" w:cs="Arial" w:eastAsia="Arial" w:hAnsi="Arial"/>
                <w:sz w:val="3"/>
                <w:szCs w:val="3"/>
                <w:color w:val="FFFFFF"/>
              </w:rPr>
              <w:t>and to request an</w:t>
            </w:r>
          </w:p>
        </w:tc>
        <w:tc>
          <w:tcPr>
            <w:tcW w:w="5380" w:type="dxa"/>
            <w:vAlign w:val="bottom"/>
            <w:gridSpan w:val="3"/>
          </w:tcPr>
          <w:p>
            <w:pPr>
              <w:spacing w:after="0"/>
              <w:rPr>
                <w:sz w:val="20"/>
                <w:szCs w:val="20"/>
                <w:color w:val="auto"/>
              </w:rPr>
            </w:pPr>
            <w:r>
              <w:rPr>
                <w:rFonts w:ascii="Arial" w:cs="Arial" w:eastAsia="Arial" w:hAnsi="Arial"/>
                <w:sz w:val="3"/>
                <w:szCs w:val="3"/>
                <w:color w:val="FFFFFF"/>
              </w:rPr>
              <w:t>Stockholdersanswer. The motion to remand was granted and WRL’wasrequest for related attorneys’ fees</w:t>
            </w:r>
          </w:p>
        </w:tc>
        <w:tc>
          <w:tcPr>
            <w:tcW w:w="2880" w:type="dxa"/>
            <w:vAlign w:val="bottom"/>
          </w:tcPr>
          <w:p>
            <w:pPr>
              <w:ind w:left="100"/>
              <w:spacing w:after="0"/>
              <w:rPr>
                <w:sz w:val="20"/>
                <w:szCs w:val="20"/>
                <w:color w:val="auto"/>
              </w:rPr>
            </w:pPr>
            <w:r>
              <w:rPr>
                <w:rFonts w:ascii="Arial" w:cs="Arial" w:eastAsia="Arial" w:hAnsi="Arial"/>
                <w:sz w:val="3"/>
                <w:szCs w:val="3"/>
                <w:color w:val="FFFFFF"/>
              </w:rPr>
              <w:t>fully briefed and pending.</w:t>
            </w:r>
          </w:p>
        </w:tc>
        <w:tc>
          <w:tcPr>
            <w:tcW w:w="2000" w:type="dxa"/>
            <w:vAlign w:val="bottom"/>
          </w:tcPr>
          <w:p>
            <w:pPr>
              <w:spacing w:after="0"/>
              <w:rPr>
                <w:sz w:val="3"/>
                <w:szCs w:val="3"/>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When the court rulesextensionthe pending fee motion, the case will be sent back to the state court, which has determined that this action will be coordinated with Mr. Okada’s inspection action (discussed below). The</w:t>
            </w:r>
          </w:p>
        </w:tc>
      </w:tr>
      <w:tr>
        <w:trPr>
          <w:trHeight w:val="41"/>
        </w:trPr>
        <w:tc>
          <w:tcPr>
            <w:tcW w:w="4640" w:type="dxa"/>
            <w:vAlign w:val="bottom"/>
            <w:gridSpan w:val="4"/>
          </w:tcPr>
          <w:p>
            <w:pPr>
              <w:ind w:left="100"/>
              <w:spacing w:after="0"/>
              <w:rPr>
                <w:sz w:val="20"/>
                <w:szCs w:val="20"/>
                <w:color w:val="auto"/>
              </w:rPr>
            </w:pPr>
            <w:r>
              <w:rPr>
                <w:rFonts w:ascii="Arial" w:cs="Arial" w:eastAsia="Arial" w:hAnsi="Arial"/>
                <w:sz w:val="3"/>
                <w:szCs w:val="3"/>
                <w:color w:val="FFFFFF"/>
              </w:rPr>
              <w:t>kada Parties have filed a notice of intent to commence a separate federal securities</w:t>
            </w:r>
          </w:p>
        </w:tc>
        <w:tc>
          <w:tcPr>
            <w:tcW w:w="4760" w:type="dxa"/>
            <w:vAlign w:val="bottom"/>
            <w:gridSpan w:val="2"/>
          </w:tcPr>
          <w:p>
            <w:pPr>
              <w:ind w:left="320"/>
              <w:spacing w:after="0"/>
              <w:rPr>
                <w:sz w:val="20"/>
                <w:szCs w:val="20"/>
                <w:color w:val="auto"/>
              </w:rPr>
            </w:pPr>
            <w:r>
              <w:rPr>
                <w:rFonts w:ascii="Arial" w:cs="Arial" w:eastAsia="Arial" w:hAnsi="Arial"/>
                <w:sz w:val="3"/>
                <w:szCs w:val="3"/>
                <w:color w:val="FFFFFF"/>
              </w:rPr>
              <w:t>for the securities counterclaims previously asserted.</w:t>
            </w:r>
          </w:p>
        </w:tc>
        <w:tc>
          <w:tcPr>
            <w:tcW w:w="2000" w:type="dxa"/>
            <w:vAlign w:val="bottom"/>
          </w:tcPr>
          <w:p>
            <w:pPr>
              <w:spacing w:after="0"/>
              <w:rPr>
                <w:sz w:val="3"/>
                <w:szCs w:val="3"/>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On 19 June 2012, Elaine Wynn responded to Aruze USA’ Counterclaim and assertedactioncross claim against Steve Wynn and Kazuo Okada seeking a declaration that (1) any and all of Elaine Wynn’ duties under</w:t>
            </w:r>
          </w:p>
        </w:tc>
      </w:tr>
      <w:tr>
        <w:trPr>
          <w:trHeight w:val="41"/>
        </w:trPr>
        <w:tc>
          <w:tcPr>
            <w:tcW w:w="6520" w:type="dxa"/>
            <w:vAlign w:val="bottom"/>
            <w:gridSpan w:val="5"/>
          </w:tcPr>
          <w:p>
            <w:pPr>
              <w:spacing w:after="0"/>
              <w:rPr>
                <w:sz w:val="20"/>
                <w:szCs w:val="20"/>
                <w:color w:val="auto"/>
              </w:rPr>
            </w:pPr>
            <w:r>
              <w:rPr>
                <w:rFonts w:ascii="Arial" w:cs="Arial" w:eastAsia="Arial" w:hAnsi="Arial"/>
                <w:sz w:val="3"/>
                <w:szCs w:val="3"/>
                <w:color w:val="FFFFFF"/>
              </w:rPr>
              <w:t>the January 2010 Stockholders Agreement (the “Stockholders Agreement”) by and among Aruze USA, Steve Wynn,</w:t>
            </w:r>
          </w:p>
        </w:tc>
        <w:tc>
          <w:tcPr>
            <w:tcW w:w="4880" w:type="dxa"/>
            <w:vAlign w:val="bottom"/>
            <w:gridSpan w:val="2"/>
          </w:tcPr>
          <w:p>
            <w:pPr>
              <w:jc w:val="right"/>
              <w:ind w:right="63"/>
              <w:spacing w:after="0"/>
              <w:rPr>
                <w:sz w:val="20"/>
                <w:szCs w:val="20"/>
                <w:color w:val="auto"/>
              </w:rPr>
            </w:pPr>
            <w:r>
              <w:rPr>
                <w:rFonts w:ascii="Arial" w:cs="Arial" w:eastAsia="Arial" w:hAnsi="Arial"/>
                <w:sz w:val="3"/>
                <w:szCs w:val="3"/>
                <w:color w:val="FFFFFF"/>
              </w:rPr>
              <w:t>Elaine Wynn be discharged; (2) the Stockholders Agreement is subject to rescission and</w:t>
            </w: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is rescinded; (3) the Stockholders Agreement is an unreasonable restraint on alienation in violation of public policy; and/or (4) the restrictions on sale of shares shall be construed as inapplicable to Elaine Wynn.</w:t>
            </w:r>
          </w:p>
        </w:tc>
      </w:tr>
      <w:tr>
        <w:trPr>
          <w:trHeight w:val="41"/>
        </w:trPr>
        <w:tc>
          <w:tcPr>
            <w:tcW w:w="2220" w:type="dxa"/>
            <w:vAlign w:val="bottom"/>
            <w:gridSpan w:val="3"/>
          </w:tcPr>
          <w:p>
            <w:pPr>
              <w:spacing w:after="0"/>
              <w:rPr>
                <w:sz w:val="20"/>
                <w:szCs w:val="20"/>
                <w:color w:val="auto"/>
              </w:rPr>
            </w:pPr>
            <w:r>
              <w:rPr>
                <w:rFonts w:ascii="Arial" w:cs="Arial" w:eastAsia="Arial" w:hAnsi="Arial"/>
                <w:sz w:val="3"/>
                <w:szCs w:val="3"/>
                <w:color w:val="FFFFFF"/>
              </w:rPr>
              <w:t>By agreement of the parties, Mr. Wynn’</w:t>
            </w:r>
          </w:p>
        </w:tc>
        <w:tc>
          <w:tcPr>
            <w:tcW w:w="7180" w:type="dxa"/>
            <w:vAlign w:val="bottom"/>
            <w:gridSpan w:val="3"/>
          </w:tcPr>
          <w:p>
            <w:pPr>
              <w:ind w:left="20"/>
              <w:spacing w:after="0"/>
              <w:rPr>
                <w:sz w:val="20"/>
                <w:szCs w:val="20"/>
                <w:color w:val="auto"/>
              </w:rPr>
            </w:pPr>
            <w:r>
              <w:rPr>
                <w:rFonts w:ascii="Arial" w:cs="Arial" w:eastAsia="Arial" w:hAnsi="Arial"/>
                <w:sz w:val="3"/>
                <w:szCs w:val="3"/>
                <w:color w:val="FFFFFF"/>
              </w:rPr>
              <w:t>response to the cross claim is due within 14 days once the final order of remand is entered.</w:t>
            </w:r>
          </w:p>
        </w:tc>
        <w:tc>
          <w:tcPr>
            <w:tcW w:w="2000" w:type="dxa"/>
            <w:vAlign w:val="bottom"/>
          </w:tcPr>
          <w:p>
            <w:pPr>
              <w:spacing w:after="0"/>
              <w:rPr>
                <w:sz w:val="3"/>
                <w:szCs w:val="3"/>
                <w:color w:val="auto"/>
              </w:rPr>
            </w:pPr>
          </w:p>
        </w:tc>
      </w:tr>
      <w:tr>
        <w:trPr>
          <w:trHeight w:val="213"/>
        </w:trPr>
        <w:tc>
          <w:tcPr>
            <w:tcW w:w="6520" w:type="dxa"/>
            <w:vAlign w:val="bottom"/>
            <w:gridSpan w:val="5"/>
          </w:tcPr>
          <w:p>
            <w:pPr>
              <w:spacing w:after="0"/>
              <w:rPr>
                <w:sz w:val="20"/>
                <w:szCs w:val="20"/>
                <w:color w:val="auto"/>
              </w:rPr>
            </w:pPr>
            <w:r>
              <w:rPr>
                <w:rFonts w:ascii="Arial" w:cs="Arial" w:eastAsia="Arial" w:hAnsi="Arial"/>
                <w:sz w:val="14"/>
                <w:szCs w:val="14"/>
                <w:color w:val="FFFFFF"/>
                <w:w w:val="99"/>
              </w:rPr>
              <w:t>On 24 February 2012, the Board of Directors of the Company removed Mr. Kazuo Okada from the Board.</w:t>
            </w:r>
          </w:p>
        </w:tc>
        <w:tc>
          <w:tcPr>
            <w:tcW w:w="288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sectPr>
          <w:pgSz w:w="11900" w:h="16838" w:orient="portrait"/>
          <w:cols w:equalWidth="0" w:num="1">
            <w:col w:w="11400"/>
          </w:cols>
          <w:pgMar w:left="240" w:top="1440" w:right="25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FFFFFF"/>
              </w:rPr>
              <w:t>Report 2012 71</w:t>
            </w: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41"/>
        </w:trPr>
        <w:tc>
          <w:tcPr>
            <w:tcW w:w="254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2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41"/>
        </w:trPr>
        <w:tc>
          <w:tcPr>
            <w:tcW w:w="2540" w:type="dxa"/>
            <w:vAlign w:val="bottom"/>
            <w:gridSpan w:val="2"/>
          </w:tcPr>
          <w:p>
            <w:pPr>
              <w:spacing w:after="0"/>
              <w:rPr>
                <w:sz w:val="20"/>
                <w:szCs w:val="20"/>
                <w:color w:val="auto"/>
              </w:rPr>
            </w:pPr>
            <w:r>
              <w:rPr>
                <w:rFonts w:ascii="Arial" w:cs="Arial" w:eastAsia="Arial" w:hAnsi="Arial"/>
                <w:sz w:val="3"/>
                <w:szCs w:val="3"/>
                <w:color w:val="FFFFFF"/>
              </w:rPr>
              <w:t>Notes to Interim Financial Information</w:t>
            </w:r>
          </w:p>
        </w:tc>
        <w:tc>
          <w:tcPr>
            <w:tcW w:w="2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41"/>
        </w:trPr>
        <w:tc>
          <w:tcPr>
            <w:tcW w:w="2540" w:type="dxa"/>
            <w:vAlign w:val="bottom"/>
            <w:gridSpan w:val="2"/>
          </w:tcPr>
          <w:p>
            <w:pPr>
              <w:spacing w:after="0"/>
              <w:rPr>
                <w:sz w:val="20"/>
                <w:szCs w:val="20"/>
                <w:color w:val="auto"/>
              </w:rPr>
            </w:pPr>
            <w:r>
              <w:rPr>
                <w:rFonts w:ascii="Arial" w:cs="Arial" w:eastAsia="Arial" w:hAnsi="Arial"/>
                <w:sz w:val="3"/>
                <w:szCs w:val="3"/>
                <w:color w:val="FFFFFF"/>
              </w:rPr>
              <w:t>For the six months ended 30 June 2012</w:t>
            </w:r>
          </w:p>
        </w:tc>
        <w:tc>
          <w:tcPr>
            <w:tcW w:w="2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41"/>
        </w:trPr>
        <w:tc>
          <w:tcPr>
            <w:tcW w:w="2540" w:type="dxa"/>
            <w:vAlign w:val="bottom"/>
            <w:gridSpan w:val="2"/>
          </w:tcPr>
          <w:p>
            <w:pPr>
              <w:spacing w:after="0"/>
              <w:rPr>
                <w:sz w:val="20"/>
                <w:szCs w:val="20"/>
                <w:color w:val="auto"/>
              </w:rPr>
            </w:pPr>
            <w:r>
              <w:rPr>
                <w:rFonts w:ascii="Arial" w:cs="Arial" w:eastAsia="Arial" w:hAnsi="Arial"/>
                <w:sz w:val="3"/>
                <w:szCs w:val="3"/>
                <w:color w:val="FFFFFF"/>
              </w:rPr>
              <w:t>LITIGATION (continued)</w:t>
            </w:r>
          </w:p>
        </w:tc>
        <w:tc>
          <w:tcPr>
            <w:tcW w:w="2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Determination of unsuitability and redemption of Aruze USA, Inc. and affiliates and related matters (continued) WRL has provided the Freeh Report to applicable regulators and law enforcement agencies and</w:t>
            </w:r>
          </w:p>
        </w:tc>
      </w:tr>
      <w:tr>
        <w:trPr>
          <w:trHeight w:val="41"/>
        </w:trPr>
        <w:tc>
          <w:tcPr>
            <w:tcW w:w="8360" w:type="dxa"/>
            <w:vAlign w:val="bottom"/>
            <w:gridSpan w:val="5"/>
          </w:tcPr>
          <w:p>
            <w:pPr>
              <w:spacing w:after="0"/>
              <w:rPr>
                <w:sz w:val="20"/>
                <w:szCs w:val="20"/>
                <w:color w:val="auto"/>
              </w:rPr>
            </w:pPr>
            <w:r>
              <w:rPr>
                <w:rFonts w:ascii="Arial" w:cs="Arial" w:eastAsia="Arial" w:hAnsi="Arial"/>
                <w:sz w:val="3"/>
                <w:szCs w:val="3"/>
                <w:color w:val="FFFFFF"/>
              </w:rPr>
              <w:t>intends to cooperate with any related investigation that such regulators or agencies may undertake. The conduct of the Okada Parties and any resulting</w:t>
            </w:r>
          </w:p>
        </w:tc>
        <w:tc>
          <w:tcPr>
            <w:tcW w:w="3060" w:type="dxa"/>
            <w:vAlign w:val="bottom"/>
            <w:gridSpan w:val="2"/>
          </w:tcPr>
          <w:p>
            <w:pPr>
              <w:ind w:left="400"/>
              <w:spacing w:after="0"/>
              <w:rPr>
                <w:sz w:val="20"/>
                <w:szCs w:val="20"/>
                <w:color w:val="auto"/>
              </w:rPr>
            </w:pPr>
            <w:r>
              <w:rPr>
                <w:rFonts w:ascii="Arial" w:cs="Arial" w:eastAsia="Arial" w:hAnsi="Arial"/>
                <w:sz w:val="3"/>
                <w:szCs w:val="3"/>
                <w:color w:val="FFFFFF"/>
              </w:rPr>
              <w:t>investigations could have adverse</w:t>
            </w:r>
          </w:p>
        </w:tc>
      </w:tr>
      <w:tr>
        <w:trPr>
          <w:trHeight w:val="41"/>
        </w:trPr>
        <w:tc>
          <w:tcPr>
            <w:tcW w:w="5620" w:type="dxa"/>
            <w:vAlign w:val="bottom"/>
            <w:gridSpan w:val="4"/>
          </w:tcPr>
          <w:p>
            <w:pPr>
              <w:spacing w:after="0"/>
              <w:rPr>
                <w:sz w:val="20"/>
                <w:szCs w:val="20"/>
                <w:color w:val="auto"/>
              </w:rPr>
            </w:pPr>
            <w:r>
              <w:rPr>
                <w:rFonts w:ascii="Arial" w:cs="Arial" w:eastAsia="Arial" w:hAnsi="Arial"/>
                <w:sz w:val="3"/>
                <w:szCs w:val="3"/>
                <w:color w:val="FFFFFF"/>
              </w:rPr>
              <w:t>to WRL and its subsidiaries. A finding by regulatory authorities that Mr. Okada violated anti-</w:t>
            </w:r>
          </w:p>
        </w:tc>
        <w:tc>
          <w:tcPr>
            <w:tcW w:w="5800" w:type="dxa"/>
            <w:vAlign w:val="bottom"/>
            <w:gridSpan w:val="3"/>
          </w:tcPr>
          <w:p>
            <w:pPr>
              <w:ind w:left="40"/>
              <w:spacing w:after="0"/>
              <w:rPr>
                <w:sz w:val="20"/>
                <w:szCs w:val="20"/>
                <w:color w:val="auto"/>
              </w:rPr>
            </w:pPr>
            <w:r>
              <w:rPr>
                <w:rFonts w:ascii="Arial" w:cs="Arial" w:eastAsia="Arial" w:hAnsi="Arial"/>
                <w:sz w:val="3"/>
                <w:szCs w:val="3"/>
                <w:color w:val="FFFFFF"/>
              </w:rPr>
              <w:t>statutes and/or other laws or regulations applicableregulatorypersons affiliated with a gaming licenseeconsequences</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property of WRL or its subsidiaries and/or otherwise involved WRL or its subsidiaries in criminalcorruptioncivil violations could result in actions by regulatory authorities against WRL or its subsidiaries. Relatedly, as</w:t>
            </w: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described below, the Salt Lake Regional Office of the SEC has commenced</w:t>
            </w:r>
          </w:p>
        </w:tc>
        <w:tc>
          <w:tcPr>
            <w:tcW w:w="3800" w:type="dxa"/>
            <w:vAlign w:val="bottom"/>
            <w:gridSpan w:val="2"/>
          </w:tcPr>
          <w:p>
            <w:pPr>
              <w:ind w:left="220"/>
              <w:spacing w:after="0"/>
              <w:rPr>
                <w:sz w:val="20"/>
                <w:szCs w:val="20"/>
                <w:color w:val="auto"/>
              </w:rPr>
            </w:pPr>
            <w:r>
              <w:rPr>
                <w:rFonts w:ascii="Arial" w:cs="Arial" w:eastAsia="Arial" w:hAnsi="Arial"/>
                <w:sz w:val="3"/>
                <w:szCs w:val="3"/>
                <w:color w:val="FFFFFF"/>
              </w:rPr>
              <w:t>inquiry into, and other regulators could pursue separate</w:t>
            </w:r>
          </w:p>
        </w:tc>
        <w:tc>
          <w:tcPr>
            <w:tcW w:w="1540" w:type="dxa"/>
            <w:vAlign w:val="bottom"/>
          </w:tcPr>
          <w:p>
            <w:pPr>
              <w:ind w:left="220"/>
              <w:spacing w:after="0"/>
              <w:rPr>
                <w:sz w:val="20"/>
                <w:szCs w:val="20"/>
                <w:color w:val="auto"/>
              </w:rPr>
            </w:pPr>
            <w:r>
              <w:rPr>
                <w:rFonts w:ascii="Arial" w:cs="Arial" w:eastAsia="Arial" w:hAnsi="Arial"/>
                <w:sz w:val="3"/>
                <w:szCs w:val="3"/>
                <w:color w:val="FFFFFF"/>
              </w:rPr>
              <w:t>into, WRL and its</w:t>
            </w:r>
          </w:p>
        </w:tc>
        <w:tc>
          <w:tcPr>
            <w:tcW w:w="1520" w:type="dxa"/>
            <w:vAlign w:val="bottom"/>
          </w:tcPr>
          <w:p>
            <w:pPr>
              <w:ind w:left="360"/>
              <w:spacing w:after="0"/>
              <w:rPr>
                <w:sz w:val="20"/>
                <w:szCs w:val="20"/>
                <w:color w:val="auto"/>
              </w:rPr>
            </w:pPr>
            <w:r>
              <w:rPr>
                <w:rFonts w:ascii="Arial" w:cs="Arial" w:eastAsia="Arial" w:hAnsi="Arial"/>
                <w:sz w:val="3"/>
                <w:szCs w:val="3"/>
                <w:color w:val="FFFFFF"/>
              </w:rPr>
              <w:t>compliance with</w:t>
            </w:r>
          </w:p>
        </w:tc>
      </w:tr>
      <w:tr>
        <w:trPr>
          <w:trHeight w:val="41"/>
        </w:trPr>
        <w:tc>
          <w:tcPr>
            <w:tcW w:w="2540" w:type="dxa"/>
            <w:vAlign w:val="bottom"/>
            <w:gridSpan w:val="2"/>
          </w:tcPr>
          <w:p>
            <w:pPr>
              <w:spacing w:after="0"/>
              <w:rPr>
                <w:sz w:val="20"/>
                <w:szCs w:val="20"/>
                <w:color w:val="auto"/>
              </w:rPr>
            </w:pPr>
            <w:r>
              <w:rPr>
                <w:rFonts w:ascii="Arial" w:cs="Arial" w:eastAsia="Arial" w:hAnsi="Arial"/>
                <w:sz w:val="3"/>
                <w:szCs w:val="3"/>
                <w:color w:val="FFFFFF"/>
              </w:rPr>
              <w:t>applicable laws  rising from the allegations in</w:t>
            </w:r>
          </w:p>
        </w:tc>
        <w:tc>
          <w:tcPr>
            <w:tcW w:w="8880" w:type="dxa"/>
            <w:vAlign w:val="bottom"/>
            <w:gridSpan w:val="5"/>
          </w:tcPr>
          <w:p>
            <w:pPr>
              <w:ind w:left="40"/>
              <w:spacing w:after="0"/>
              <w:rPr>
                <w:sz w:val="20"/>
                <w:szCs w:val="20"/>
                <w:color w:val="auto"/>
              </w:rPr>
            </w:pPr>
            <w:r>
              <w:rPr>
                <w:rFonts w:ascii="Arial" w:cs="Arial" w:eastAsia="Arial" w:hAnsi="Arial"/>
                <w:sz w:val="3"/>
                <w:szCs w:val="3"/>
                <w:color w:val="FFFFFF"/>
              </w:rPr>
              <w:t>he matters described above and informalresponse to litigation filed by Mr. Okada suggesting improprietiesinvestigationsconnection with the WynnsubsidiariesMacau’donation to the</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University of Macau. While WRL believes that it is in full compliance with all applicable laws, any such investigations could result in actions by regulators against the WRL or its subsidiaries.</w:t>
            </w: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Litigation commenced by Mr. Okada and related matters</w:t>
            </w:r>
          </w:p>
        </w:tc>
        <w:tc>
          <w:tcPr>
            <w:tcW w:w="10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On 11 January 2012, Mr. Okada commenced litigation in the District Court of Clark County, Nevada seeking to compel WRL to produce information relating to a donation to the University of Macau, among</w:t>
            </w:r>
          </w:p>
        </w:tc>
      </w:tr>
      <w:tr>
        <w:trPr>
          <w:trHeight w:val="41"/>
        </w:trPr>
        <w:tc>
          <w:tcPr>
            <w:tcW w:w="2540" w:type="dxa"/>
            <w:vAlign w:val="bottom"/>
            <w:gridSpan w:val="2"/>
          </w:tcPr>
          <w:p>
            <w:pPr>
              <w:spacing w:after="0"/>
              <w:rPr>
                <w:sz w:val="20"/>
                <w:szCs w:val="20"/>
                <w:color w:val="auto"/>
              </w:rPr>
            </w:pPr>
            <w:r>
              <w:rPr>
                <w:rFonts w:ascii="Arial" w:cs="Arial" w:eastAsia="Arial" w:hAnsi="Arial"/>
                <w:sz w:val="3"/>
                <w:szCs w:val="3"/>
                <w:color w:val="FFFFFF"/>
              </w:rPr>
              <w:t>other things.</w:t>
            </w:r>
          </w:p>
        </w:tc>
        <w:tc>
          <w:tcPr>
            <w:tcW w:w="2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In May</w:t>
            </w:r>
          </w:p>
        </w:tc>
        <w:tc>
          <w:tcPr>
            <w:tcW w:w="11000" w:type="dxa"/>
            <w:vAlign w:val="bottom"/>
            <w:gridSpan w:val="6"/>
          </w:tcPr>
          <w:p>
            <w:pPr>
              <w:ind w:left="220"/>
              <w:spacing w:after="0"/>
              <w:rPr>
                <w:sz w:val="20"/>
                <w:szCs w:val="20"/>
                <w:color w:val="auto"/>
              </w:rPr>
            </w:pPr>
            <w:r>
              <w:rPr>
                <w:rFonts w:ascii="Arial" w:cs="Arial" w:eastAsia="Arial" w:hAnsi="Arial"/>
                <w:sz w:val="3"/>
                <w:szCs w:val="3"/>
                <w:color w:val="FFFFFF"/>
              </w:rPr>
              <w:t>1, the Company made a commitment to the University of Macau Development Foundation in support of the new Asia-Pacific Academy of Economics and Management. This contribution consists of a</w:t>
            </w: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MOP200.201 million (equivalent to HK$194.2 million) payment made in May 2011</w:t>
            </w:r>
          </w:p>
        </w:tc>
        <w:tc>
          <w:tcPr>
            <w:tcW w:w="6860" w:type="dxa"/>
            <w:vAlign w:val="bottom"/>
            <w:gridSpan w:val="4"/>
          </w:tcPr>
          <w:p>
            <w:pPr>
              <w:ind w:left="120"/>
              <w:spacing w:after="0"/>
              <w:rPr>
                <w:sz w:val="20"/>
                <w:szCs w:val="20"/>
                <w:color w:val="auto"/>
              </w:rPr>
            </w:pPr>
            <w:r>
              <w:rPr>
                <w:rFonts w:ascii="Arial" w:cs="Arial" w:eastAsia="Arial" w:hAnsi="Arial"/>
                <w:sz w:val="3"/>
                <w:szCs w:val="3"/>
                <w:color w:val="FFFFFF"/>
              </w:rPr>
              <w:t>a commitment for additional donations of MOP80.0 million (equivalent to HK$77.7 million) each year for the calendar</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years 2012 through 2022 inclusive. The pledge was consistent with WRL’s long-standing practice of providing philanthropic support for deserving institutions in the markets in which it operates. The pledge was</w:t>
            </w:r>
          </w:p>
        </w:tc>
      </w:tr>
      <w:tr>
        <w:trPr>
          <w:trHeight w:val="41"/>
        </w:trPr>
        <w:tc>
          <w:tcPr>
            <w:tcW w:w="2540" w:type="dxa"/>
            <w:vAlign w:val="bottom"/>
            <w:gridSpan w:val="2"/>
          </w:tcPr>
          <w:p>
            <w:pPr>
              <w:spacing w:after="0"/>
              <w:rPr>
                <w:sz w:val="20"/>
                <w:szCs w:val="20"/>
                <w:color w:val="auto"/>
              </w:rPr>
            </w:pPr>
            <w:r>
              <w:rPr>
                <w:rFonts w:ascii="Arial" w:cs="Arial" w:eastAsia="Arial" w:hAnsi="Arial"/>
                <w:sz w:val="3"/>
                <w:szCs w:val="3"/>
                <w:color w:val="FFFFFF"/>
              </w:rPr>
              <w:t>made following an extensive analysis which</w:t>
            </w:r>
          </w:p>
        </w:tc>
        <w:tc>
          <w:tcPr>
            <w:tcW w:w="8880" w:type="dxa"/>
            <w:vAlign w:val="bottom"/>
            <w:gridSpan w:val="5"/>
          </w:tcPr>
          <w:p>
            <w:pPr>
              <w:ind w:left="480"/>
              <w:spacing w:after="0"/>
              <w:rPr>
                <w:sz w:val="20"/>
                <w:szCs w:val="20"/>
                <w:color w:val="auto"/>
              </w:rPr>
            </w:pPr>
            <w:r>
              <w:rPr>
                <w:rFonts w:ascii="Arial" w:cs="Arial" w:eastAsia="Arial" w:hAnsi="Arial"/>
                <w:sz w:val="3"/>
                <w:szCs w:val="3"/>
                <w:color w:val="FFFFFF"/>
              </w:rPr>
              <w:t>that the gift was made   accordance wi h all applicable laws. The pledge was considered by the boards of directors of both WRL and the Company and</w:t>
            </w:r>
          </w:p>
        </w:tc>
      </w:tr>
      <w:tr>
        <w:trPr>
          <w:trHeight w:val="41"/>
        </w:trPr>
        <w:tc>
          <w:tcPr>
            <w:tcW w:w="5620" w:type="dxa"/>
            <w:vAlign w:val="bottom"/>
            <w:gridSpan w:val="4"/>
          </w:tcPr>
          <w:p>
            <w:pPr>
              <w:spacing w:after="0"/>
              <w:rPr>
                <w:sz w:val="20"/>
                <w:szCs w:val="20"/>
                <w:color w:val="auto"/>
              </w:rPr>
            </w:pPr>
            <w:r>
              <w:rPr>
                <w:rFonts w:ascii="Arial" w:cs="Arial" w:eastAsia="Arial" w:hAnsi="Arial"/>
                <w:sz w:val="3"/>
                <w:szCs w:val="3"/>
                <w:color w:val="FFFFFF"/>
              </w:rPr>
              <w:t>approved by 15 of the 16 directors who serveconcludedthoseboards. The sole dissenting vote was cast by Mr.</w:t>
            </w:r>
          </w:p>
        </w:tc>
        <w:tc>
          <w:tcPr>
            <w:tcW w:w="27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73"/>
        </w:trPr>
        <w:tc>
          <w:tcPr>
            <w:tcW w:w="8360" w:type="dxa"/>
            <w:vAlign w:val="bottom"/>
            <w:gridSpan w:val="5"/>
          </w:tcPr>
          <w:p>
            <w:pPr>
              <w:spacing w:after="0"/>
              <w:rPr>
                <w:sz w:val="20"/>
                <w:szCs w:val="20"/>
                <w:color w:val="auto"/>
              </w:rPr>
            </w:pPr>
            <w:r>
              <w:rPr>
                <w:rFonts w:ascii="Arial" w:cs="Arial" w:eastAsia="Arial" w:hAnsi="Arial"/>
                <w:sz w:val="14"/>
                <w:szCs w:val="14"/>
                <w:color w:val="FFFFFF"/>
              </w:rPr>
              <w:t>Okada whose stated objection was to the length of time over which the donation would occur, not its propriety.</w:t>
            </w: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r>
    </w:tbl>
    <w:p>
      <w:pPr>
        <w:sectPr>
          <w:pgSz w:w="11900" w:h="16838" w:orient="portrait"/>
          <w:cols w:equalWidth="0" w:num="1">
            <w:col w:w="11420"/>
          </w:cols>
          <w:pgMar w:left="240" w:top="1440" w:right="23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2"/>
          </w:tcPr>
          <w:p>
            <w:pPr>
              <w:spacing w:after="0"/>
              <w:rPr>
                <w:sz w:val="20"/>
                <w:szCs w:val="20"/>
                <w:color w:val="auto"/>
              </w:rPr>
            </w:pPr>
            <w:r>
              <w:rPr>
                <w:rFonts w:ascii="Arial" w:cs="Arial" w:eastAsia="Arial" w:hAnsi="Arial"/>
                <w:sz w:val="14"/>
                <w:szCs w:val="14"/>
                <w:color w:val="FFFFFF"/>
              </w:rPr>
              <w:t>72 Wynn Macau, Limited</w:t>
            </w:r>
          </w:p>
        </w:tc>
        <w:tc>
          <w:tcPr>
            <w:tcW w:w="2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78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25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8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c>
          <w:tcPr>
            <w:tcW w:w="25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80" w:type="dxa"/>
            <w:vAlign w:val="bottom"/>
            <w:gridSpan w:val="3"/>
          </w:tcPr>
          <w:p>
            <w:pPr>
              <w:spacing w:after="0"/>
              <w:rPr>
                <w:sz w:val="20"/>
                <w:szCs w:val="20"/>
                <w:color w:val="auto"/>
              </w:rPr>
            </w:pPr>
            <w:r>
              <w:rPr>
                <w:rFonts w:ascii="Arial" w:cs="Arial" w:eastAsia="Arial" w:hAnsi="Arial"/>
                <w:sz w:val="3"/>
                <w:szCs w:val="3"/>
                <w:color w:val="FFFFFF"/>
              </w:rPr>
              <w:t>For the six months ended 30 June 2012</w:t>
            </w:r>
          </w:p>
        </w:tc>
        <w:tc>
          <w:tcPr>
            <w:tcW w:w="25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80" w:type="dxa"/>
            <w:vAlign w:val="bottom"/>
            <w:gridSpan w:val="2"/>
          </w:tcPr>
          <w:p>
            <w:pPr>
              <w:ind w:left="100"/>
              <w:spacing w:after="0"/>
              <w:rPr>
                <w:sz w:val="20"/>
                <w:szCs w:val="20"/>
                <w:color w:val="auto"/>
              </w:rPr>
            </w:pPr>
            <w:r>
              <w:rPr>
                <w:rFonts w:ascii="Arial" w:cs="Arial" w:eastAsia="Arial" w:hAnsi="Arial"/>
                <w:sz w:val="3"/>
                <w:szCs w:val="3"/>
                <w:color w:val="FFFFFF"/>
              </w:rPr>
              <w:t>ITIGATION (continued)</w:t>
            </w:r>
          </w:p>
        </w:tc>
        <w:tc>
          <w:tcPr>
            <w:tcW w:w="25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80" w:type="dxa"/>
            <w:vAlign w:val="bottom"/>
            <w:gridSpan w:val="3"/>
          </w:tcPr>
          <w:p>
            <w:pPr>
              <w:spacing w:after="0"/>
              <w:rPr>
                <w:sz w:val="20"/>
                <w:szCs w:val="20"/>
                <w:color w:val="auto"/>
              </w:rPr>
            </w:pPr>
            <w:r>
              <w:rPr>
                <w:rFonts w:ascii="Arial" w:cs="Arial" w:eastAsia="Arial" w:hAnsi="Arial"/>
                <w:sz w:val="3"/>
                <w:szCs w:val="3"/>
                <w:color w:val="FFFFFF"/>
              </w:rPr>
              <w:t>Litigation commenced by Mr. Okada and related matters (continued)</w:t>
            </w:r>
          </w:p>
        </w:tc>
        <w:tc>
          <w:tcPr>
            <w:tcW w:w="25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On 8 February 2012, following Mr. Okada’ lawsuit, WRL received a letter from the Salt Lake Regional Office of the SEC requesting that,   connection with an informal inquiry by the SEC, WRL preserve</w:t>
            </w:r>
          </w:p>
        </w:tc>
        <w:tc>
          <w:tcPr>
            <w:tcW w:w="0" w:type="dxa"/>
            <w:vAlign w:val="bottom"/>
          </w:tcPr>
          <w:p>
            <w:pPr>
              <w:spacing w:after="0"/>
              <w:rPr>
                <w:sz w:val="1"/>
                <w:szCs w:val="1"/>
                <w:color w:val="auto"/>
              </w:rPr>
            </w:pPr>
          </w:p>
        </w:tc>
      </w:tr>
      <w:tr>
        <w:trPr>
          <w:trHeight w:val="41"/>
        </w:trPr>
        <w:tc>
          <w:tcPr>
            <w:tcW w:w="520" w:type="dxa"/>
            <w:vAlign w:val="bottom"/>
            <w:vMerge w:val="restart"/>
          </w:tcPr>
          <w:p>
            <w:pPr>
              <w:spacing w:after="0" w:line="81" w:lineRule="exact"/>
              <w:rPr>
                <w:sz w:val="20"/>
                <w:szCs w:val="20"/>
                <w:color w:val="auto"/>
              </w:rPr>
            </w:pPr>
            <w:r>
              <w:rPr>
                <w:rFonts w:ascii="Arial" w:cs="Arial" w:eastAsia="Arial" w:hAnsi="Arial"/>
                <w:sz w:val="9"/>
                <w:szCs w:val="9"/>
                <w:color w:val="FFFFFF"/>
              </w:rPr>
              <w:t>casino</w:t>
            </w:r>
          </w:p>
        </w:tc>
        <w:tc>
          <w:tcPr>
            <w:tcW w:w="10780" w:type="dxa"/>
            <w:vAlign w:val="bottom"/>
            <w:gridSpan w:val="4"/>
          </w:tcPr>
          <w:p>
            <w:pPr>
              <w:ind w:left="160"/>
              <w:spacing w:after="0"/>
              <w:rPr>
                <w:sz w:val="20"/>
                <w:szCs w:val="20"/>
                <w:color w:val="auto"/>
              </w:rPr>
            </w:pPr>
            <w:r>
              <w:rPr>
                <w:rFonts w:ascii="Arial" w:cs="Arial" w:eastAsia="Arial" w:hAnsi="Arial"/>
                <w:sz w:val="3"/>
                <w:szCs w:val="3"/>
                <w:color w:val="FFFFFF"/>
              </w:rPr>
              <w:t>relating to the donation to the University of Macau, any donations by WRL to any other educational charitable institutions, including the University of Macau Development Foundation, and WRL’s</w:t>
            </w:r>
          </w:p>
        </w:tc>
        <w:tc>
          <w:tcPr>
            <w:tcW w:w="0" w:type="dxa"/>
            <w:vAlign w:val="bottom"/>
          </w:tcPr>
          <w:p>
            <w:pPr>
              <w:spacing w:after="0"/>
              <w:rPr>
                <w:sz w:val="1"/>
                <w:szCs w:val="1"/>
                <w:color w:val="auto"/>
              </w:rPr>
            </w:pPr>
          </w:p>
        </w:tc>
      </w:tr>
      <w:tr>
        <w:trPr>
          <w:trHeight w:val="41"/>
        </w:trPr>
        <w:tc>
          <w:tcPr>
            <w:tcW w:w="520" w:type="dxa"/>
            <w:vAlign w:val="bottom"/>
            <w:vMerge w:val="continue"/>
          </w:tcPr>
          <w:p>
            <w:pPr>
              <w:spacing w:after="0"/>
              <w:rPr>
                <w:sz w:val="3"/>
                <w:szCs w:val="3"/>
                <w:color w:val="auto"/>
              </w:rPr>
            </w:pPr>
          </w:p>
        </w:tc>
        <w:tc>
          <w:tcPr>
            <w:tcW w:w="3760" w:type="dxa"/>
            <w:vAlign w:val="bottom"/>
            <w:gridSpan w:val="2"/>
          </w:tcPr>
          <w:p>
            <w:pPr>
              <w:ind w:left="640"/>
              <w:spacing w:after="0"/>
              <w:rPr>
                <w:sz w:val="20"/>
                <w:szCs w:val="20"/>
                <w:color w:val="auto"/>
              </w:rPr>
            </w:pPr>
            <w:r>
              <w:rPr>
                <w:rFonts w:ascii="Arial" w:cs="Arial" w:eastAsia="Arial" w:hAnsi="Arial"/>
                <w:sz w:val="3"/>
                <w:szCs w:val="3"/>
                <w:color w:val="FFFFFF"/>
              </w:rPr>
              <w:t>gaming licenses or renewals in Macau. WRL is</w:t>
            </w:r>
          </w:p>
        </w:tc>
        <w:tc>
          <w:tcPr>
            <w:tcW w:w="7020" w:type="dxa"/>
            <w:vAlign w:val="bottom"/>
            <w:gridSpan w:val="2"/>
          </w:tcPr>
          <w:p>
            <w:pPr>
              <w:ind w:left="140"/>
              <w:spacing w:after="0"/>
              <w:rPr>
                <w:sz w:val="20"/>
                <w:szCs w:val="20"/>
                <w:color w:val="auto"/>
              </w:rPr>
            </w:pPr>
            <w:r>
              <w:rPr>
                <w:rFonts w:ascii="Arial" w:cs="Arial" w:eastAsia="Arial" w:hAnsi="Arial"/>
                <w:sz w:val="3"/>
                <w:szCs w:val="3"/>
                <w:color w:val="FFFFFF"/>
              </w:rPr>
              <w:t>with the Salt Lake Regional Office staff and intends to fully comply with the SEC’s request.</w:t>
            </w:r>
          </w:p>
        </w:tc>
        <w:tc>
          <w:tcPr>
            <w:tcW w:w="0" w:type="dxa"/>
            <w:vAlign w:val="bottom"/>
          </w:tcPr>
          <w:p>
            <w:pPr>
              <w:spacing w:after="0"/>
              <w:rPr>
                <w:sz w:val="1"/>
                <w:szCs w:val="1"/>
                <w:color w:val="auto"/>
              </w:rPr>
            </w:pPr>
          </w:p>
        </w:tc>
      </w:tr>
      <w:tr>
        <w:trPr>
          <w:trHeight w:val="41"/>
        </w:trPr>
        <w:tc>
          <w:tcPr>
            <w:tcW w:w="6860" w:type="dxa"/>
            <w:vAlign w:val="bottom"/>
            <w:gridSpan w:val="4"/>
          </w:tcPr>
          <w:p>
            <w:pPr>
              <w:spacing w:after="0"/>
              <w:rPr>
                <w:sz w:val="20"/>
                <w:szCs w:val="20"/>
                <w:color w:val="auto"/>
              </w:rPr>
            </w:pPr>
            <w:r>
              <w:rPr>
                <w:rFonts w:ascii="Arial" w:cs="Arial" w:eastAsia="Arial" w:hAnsi="Arial"/>
                <w:sz w:val="3"/>
                <w:szCs w:val="3"/>
                <w:color w:val="FFFFFF"/>
              </w:rPr>
              <w:t>informationAthearingconcession9February 2012, the Nevada state court held that, as cooperatingdirectorof WRL, Mr.</w:t>
            </w:r>
          </w:p>
        </w:tc>
        <w:tc>
          <w:tcPr>
            <w:tcW w:w="4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60" w:type="dxa"/>
            <w:vAlign w:val="bottom"/>
            <w:gridSpan w:val="4"/>
          </w:tcPr>
          <w:p>
            <w:pPr>
              <w:spacing w:after="0"/>
              <w:rPr>
                <w:sz w:val="20"/>
                <w:szCs w:val="20"/>
                <w:color w:val="auto"/>
              </w:rPr>
            </w:pPr>
            <w:r>
              <w:rPr>
                <w:rFonts w:ascii="Arial" w:cs="Arial" w:eastAsia="Arial" w:hAnsi="Arial"/>
                <w:sz w:val="3"/>
                <w:szCs w:val="3"/>
                <w:color w:val="FFFFFF"/>
              </w:rPr>
              <w:t>Okada had the right to make a reasonable inspection of WRL’ corporate books and records.</w:t>
            </w:r>
          </w:p>
        </w:tc>
        <w:tc>
          <w:tcPr>
            <w:tcW w:w="4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60" w:type="dxa"/>
            <w:vAlign w:val="bottom"/>
            <w:gridSpan w:val="4"/>
          </w:tcPr>
          <w:p>
            <w:pPr>
              <w:spacing w:after="0"/>
              <w:rPr>
                <w:sz w:val="20"/>
                <w:szCs w:val="20"/>
                <w:color w:val="auto"/>
              </w:rPr>
            </w:pPr>
            <w:r>
              <w:rPr>
                <w:rFonts w:ascii="Arial" w:cs="Arial" w:eastAsia="Arial" w:hAnsi="Arial"/>
                <w:sz w:val="3"/>
                <w:szCs w:val="3"/>
                <w:color w:val="FFFFFF"/>
              </w:rPr>
              <w:t>Following the hearing, WRL released certain WRL documents to Mr. Okada for his inspection.</w:t>
            </w:r>
          </w:p>
        </w:tc>
        <w:tc>
          <w:tcPr>
            <w:tcW w:w="4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80" w:type="dxa"/>
            <w:vAlign w:val="bottom"/>
            <w:gridSpan w:val="3"/>
          </w:tcPr>
          <w:p>
            <w:pPr>
              <w:spacing w:after="0"/>
              <w:rPr>
                <w:sz w:val="20"/>
                <w:szCs w:val="20"/>
                <w:color w:val="auto"/>
              </w:rPr>
            </w:pPr>
            <w:r>
              <w:rPr>
                <w:rFonts w:ascii="Arial" w:cs="Arial" w:eastAsia="Arial" w:hAnsi="Arial"/>
                <w:sz w:val="3"/>
                <w:szCs w:val="3"/>
                <w:color w:val="FFFFFF"/>
              </w:rPr>
              <w:t>At  subsequent hearing on 8 March 2012, the court considered Mr. Okada’s</w:t>
            </w:r>
          </w:p>
        </w:tc>
        <w:tc>
          <w:tcPr>
            <w:tcW w:w="7020" w:type="dxa"/>
            <w:vAlign w:val="bottom"/>
            <w:gridSpan w:val="2"/>
          </w:tcPr>
          <w:p>
            <w:pPr>
              <w:ind w:left="320"/>
              <w:spacing w:after="0"/>
              <w:rPr>
                <w:sz w:val="20"/>
                <w:szCs w:val="20"/>
                <w:color w:val="auto"/>
              </w:rPr>
            </w:pPr>
            <w:r>
              <w:rPr>
                <w:rFonts w:ascii="Arial" w:cs="Arial" w:eastAsia="Arial" w:hAnsi="Arial"/>
                <w:sz w:val="3"/>
                <w:szCs w:val="3"/>
                <w:color w:val="FFFFFF"/>
              </w:rPr>
              <w:t>that WRL’s board make additional documents available to him, and ruled that Mr. Okada was entitled to inspect two</w:t>
            </w:r>
          </w:p>
        </w:tc>
        <w:tc>
          <w:tcPr>
            <w:tcW w:w="0" w:type="dxa"/>
            <w:vAlign w:val="bottom"/>
          </w:tcPr>
          <w:p>
            <w:pPr>
              <w:spacing w:after="0"/>
              <w:rPr>
                <w:sz w:val="1"/>
                <w:szCs w:val="1"/>
                <w:color w:val="auto"/>
              </w:rPr>
            </w:pPr>
          </w:p>
        </w:tc>
      </w:tr>
      <w:tr>
        <w:trPr>
          <w:trHeight w:val="41"/>
        </w:trPr>
        <w:tc>
          <w:tcPr>
            <w:tcW w:w="1780" w:type="dxa"/>
            <w:vAlign w:val="bottom"/>
            <w:gridSpan w:val="2"/>
          </w:tcPr>
          <w:p>
            <w:pPr>
              <w:spacing w:after="0"/>
              <w:rPr>
                <w:sz w:val="20"/>
                <w:szCs w:val="20"/>
                <w:color w:val="auto"/>
              </w:rPr>
            </w:pPr>
            <w:r>
              <w:rPr>
                <w:rFonts w:ascii="Arial" w:cs="Arial" w:eastAsia="Arial" w:hAnsi="Arial"/>
                <w:sz w:val="3"/>
                <w:szCs w:val="3"/>
                <w:color w:val="FFFFFF"/>
              </w:rPr>
              <w:t>additional pages of WRL docu</w:t>
            </w:r>
          </w:p>
        </w:tc>
        <w:tc>
          <w:tcPr>
            <w:tcW w:w="5080" w:type="dxa"/>
            <w:vAlign w:val="bottom"/>
            <w:gridSpan w:val="2"/>
          </w:tcPr>
          <w:p>
            <w:pPr>
              <w:ind w:left="120"/>
              <w:spacing w:after="0"/>
              <w:rPr>
                <w:sz w:val="20"/>
                <w:szCs w:val="20"/>
                <w:color w:val="auto"/>
              </w:rPr>
            </w:pPr>
            <w:r>
              <w:rPr>
                <w:rFonts w:ascii="Arial" w:cs="Arial" w:eastAsia="Arial" w:hAnsi="Arial"/>
                <w:sz w:val="3"/>
                <w:szCs w:val="3"/>
                <w:color w:val="FFFFFF"/>
              </w:rPr>
              <w:t>ts. WRL promptly complied with the court’requestruling.</w:t>
            </w:r>
          </w:p>
        </w:tc>
        <w:tc>
          <w:tcPr>
            <w:tcW w:w="4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60" w:type="dxa"/>
            <w:vAlign w:val="bottom"/>
            <w:gridSpan w:val="4"/>
          </w:tcPr>
          <w:p>
            <w:pPr>
              <w:spacing w:after="0"/>
              <w:rPr>
                <w:sz w:val="20"/>
                <w:szCs w:val="20"/>
                <w:color w:val="auto"/>
              </w:rPr>
            </w:pPr>
            <w:r>
              <w:rPr>
                <w:rFonts w:ascii="Arial" w:cs="Arial" w:eastAsia="Arial" w:hAnsi="Arial"/>
                <w:sz w:val="3"/>
                <w:szCs w:val="3"/>
                <w:color w:val="FFFFFF"/>
              </w:rPr>
              <w:t>On 25 May 2012, Mr. Okada amended his petition to request inspection of additional records.</w:t>
            </w:r>
          </w:p>
        </w:tc>
        <w:tc>
          <w:tcPr>
            <w:tcW w:w="4440" w:type="dxa"/>
            <w:vAlign w:val="bottom"/>
            <w:vMerge w:val="restart"/>
          </w:tcPr>
          <w:p>
            <w:pPr>
              <w:ind w:left="240"/>
              <w:spacing w:after="0"/>
              <w:rPr>
                <w:sz w:val="20"/>
                <w:szCs w:val="20"/>
                <w:color w:val="auto"/>
              </w:rPr>
            </w:pPr>
            <w:r>
              <w:rPr>
                <w:rFonts w:ascii="Arial" w:cs="Arial" w:eastAsia="Arial" w:hAnsi="Arial"/>
                <w:sz w:val="3"/>
                <w:szCs w:val="3"/>
                <w:color w:val="FFFFFF"/>
              </w:rPr>
              <w:t>of WRL, and WRL was to respond by filing  supplemental brief on the</w:t>
            </w:r>
          </w:p>
        </w:tc>
        <w:tc>
          <w:tcPr>
            <w:tcW w:w="0" w:type="dxa"/>
            <w:vAlign w:val="bottom"/>
          </w:tcPr>
          <w:p>
            <w:pPr>
              <w:spacing w:after="0"/>
              <w:rPr>
                <w:sz w:val="1"/>
                <w:szCs w:val="1"/>
                <w:color w:val="auto"/>
              </w:rPr>
            </w:pPr>
          </w:p>
        </w:tc>
      </w:tr>
      <w:tr>
        <w:trPr>
          <w:trHeight w:val="0"/>
        </w:trPr>
        <w:tc>
          <w:tcPr>
            <w:tcW w:w="6860" w:type="dxa"/>
            <w:vAlign w:val="bottom"/>
            <w:gridSpan w:val="4"/>
          </w:tcPr>
          <w:p>
            <w:pPr>
              <w:spacing w:after="0" w:line="80" w:lineRule="exact"/>
              <w:rPr>
                <w:sz w:val="20"/>
                <w:szCs w:val="20"/>
                <w:color w:val="auto"/>
              </w:rPr>
            </w:pPr>
            <w:r>
              <w:rPr>
                <w:rFonts w:ascii="Arial" w:cs="Arial" w:eastAsia="Arial" w:hAnsi="Arial"/>
                <w:sz w:val="9"/>
                <w:szCs w:val="9"/>
                <w:color w:val="FFFFFF"/>
              </w:rPr>
              <w:t>The Nevada state court ordered Mr. Okada to file a supplemental brief addressing how his requests relate to his duties as a</w:t>
            </w:r>
          </w:p>
        </w:tc>
        <w:tc>
          <w:tcPr>
            <w:tcW w:w="4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auto"/>
        <w:rPr>
          <w:sz w:val="20"/>
          <w:szCs w:val="20"/>
          <w:color w:val="auto"/>
        </w:rPr>
      </w:pPr>
      <w:r>
        <w:rPr>
          <w:rFonts w:ascii="Arial" w:cs="Arial" w:eastAsia="Arial" w:hAnsi="Arial"/>
          <w:sz w:val="2"/>
          <w:szCs w:val="2"/>
          <w:color w:val="FFFFFF"/>
        </w:rPr>
        <w:t>reasonableness of Mr. Okad</w:t>
      </w:r>
      <w:r>
        <w:rPr>
          <w:rFonts w:ascii="Arial" w:cs="Arial" w:eastAsia="Arial" w:hAnsi="Arial"/>
          <w:sz w:val="4"/>
          <w:szCs w:val="4"/>
          <w:color w:val="FFFFFF"/>
          <w:vertAlign w:val="subscript"/>
        </w:rPr>
        <w:t>appear</w:t>
      </w:r>
      <w:r>
        <w:rPr>
          <w:rFonts w:ascii="Arial" w:cs="Arial" w:eastAsia="Arial" w:hAnsi="Arial"/>
          <w:sz w:val="2"/>
          <w:szCs w:val="2"/>
          <w:color w:val="FFFFFF"/>
        </w:rPr>
        <w:t>’srequests. After Mr. Okada filed his supplemental brief, WRL moved to depose Mr. Okada priordirectorhaving to file its supplemental brief. At a hearing on 28 June 2012, the state</w:t>
      </w:r>
    </w:p>
    <w:p>
      <w:pPr>
        <w:spacing w:after="0"/>
        <w:tabs>
          <w:tab w:leader="none" w:pos="1880" w:val="left"/>
        </w:tabs>
        <w:rPr>
          <w:sz w:val="20"/>
          <w:szCs w:val="20"/>
          <w:color w:val="auto"/>
        </w:rPr>
      </w:pPr>
      <w:r>
        <w:rPr>
          <w:rFonts w:ascii="Arial" w:cs="Arial" w:eastAsia="Arial" w:hAnsi="Arial"/>
          <w:sz w:val="3"/>
          <w:szCs w:val="3"/>
          <w:color w:val="FFFFFF"/>
        </w:rPr>
        <w:t>RelatedcourtorderedlitigationMr. Okada to</w:t>
      </w:r>
      <w:r>
        <w:rPr>
          <w:sz w:val="20"/>
          <w:szCs w:val="20"/>
          <w:color w:val="auto"/>
        </w:rPr>
        <w:tab/>
      </w:r>
      <w:r>
        <w:rPr>
          <w:rFonts w:ascii="Arial" w:cs="Arial" w:eastAsia="Arial" w:hAnsi="Arial"/>
          <w:sz w:val="3"/>
          <w:szCs w:val="3"/>
          <w:color w:val="FFFFFF"/>
        </w:rPr>
        <w:t>for a deposition in Las Vegas, Nevada. The deposition is scheduled for September 2012.</w:t>
      </w:r>
    </w:p>
    <w:p>
      <w:pPr>
        <w:spacing w:after="0" w:line="6" w:lineRule="exact"/>
        <w:rPr>
          <w:sz w:val="20"/>
          <w:szCs w:val="20"/>
          <w:color w:val="auto"/>
        </w:rPr>
      </w:pPr>
    </w:p>
    <w:p>
      <w:pPr>
        <w:ind w:right="40"/>
        <w:spacing w:after="0" w:line="187" w:lineRule="auto"/>
        <w:rPr>
          <w:sz w:val="20"/>
          <w:szCs w:val="20"/>
          <w:color w:val="auto"/>
        </w:rPr>
      </w:pPr>
      <w:r>
        <w:rPr>
          <w:rFonts w:ascii="Arial" w:cs="Arial" w:eastAsia="Arial" w:hAnsi="Arial"/>
          <w:sz w:val="9"/>
          <w:szCs w:val="9"/>
          <w:color w:val="FFFFFF"/>
        </w:rPr>
        <w:t>Six derivative actions have been commenced against WRL and all members of its board of directors: four in the United States District Court, District of Nevada, and two in the Eighth Judicial District Court of Clark County, Nevada.</w:t>
      </w:r>
    </w:p>
    <w:p>
      <w:pPr>
        <w:ind w:right="640"/>
        <w:spacing w:after="0" w:line="190" w:lineRule="auto"/>
        <w:rPr>
          <w:sz w:val="20"/>
          <w:szCs w:val="20"/>
          <w:color w:val="auto"/>
        </w:rPr>
      </w:pPr>
      <w:r>
        <w:rPr>
          <w:rFonts w:ascii="Arial" w:cs="Arial" w:eastAsia="Arial" w:hAnsi="Arial"/>
          <w:sz w:val="11"/>
          <w:szCs w:val="11"/>
          <w:color w:val="FFFFFF"/>
        </w:rPr>
        <w:t>The four pending federal actions brought by the following plaintiffs have been consolidated: (1) The Louisiana Municipal Police Employees’ Retirement System (“LMPERS”), (2) Maryanne Solak, (3) Excavators Union Local 731 Welfare Fund, and (4) Boilermakers Lodge No. 154 Retirement Fund.</w:t>
      </w:r>
    </w:p>
    <w:p>
      <w:pPr>
        <w:sectPr>
          <w:pgSz w:w="11900" w:h="16838" w:orient="portrait"/>
          <w:cols w:equalWidth="0" w:num="1">
            <w:col w:w="11300"/>
          </w:cols>
          <w:pgMar w:left="240" w:top="1440" w:right="35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tcPr>
          <w:p>
            <w:pPr>
              <w:ind w:left="440"/>
              <w:spacing w:after="0"/>
              <w:rPr>
                <w:sz w:val="20"/>
                <w:szCs w:val="20"/>
                <w:color w:val="auto"/>
              </w:rPr>
            </w:pPr>
            <w:r>
              <w:rPr>
                <w:rFonts w:ascii="Arial" w:cs="Arial" w:eastAsia="Arial" w:hAnsi="Arial"/>
                <w:sz w:val="14"/>
                <w:szCs w:val="14"/>
                <w:color w:val="FFFFFF"/>
              </w:rPr>
              <w:t>Report 2012 73</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74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8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c>
          <w:tcPr>
            <w:tcW w:w="7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80" w:type="dxa"/>
            <w:vAlign w:val="bottom"/>
            <w:gridSpan w:val="3"/>
          </w:tcPr>
          <w:p>
            <w:pPr>
              <w:spacing w:after="0"/>
              <w:rPr>
                <w:sz w:val="20"/>
                <w:szCs w:val="20"/>
                <w:color w:val="auto"/>
              </w:rPr>
            </w:pPr>
            <w:r>
              <w:rPr>
                <w:rFonts w:ascii="Arial" w:cs="Arial" w:eastAsia="Arial" w:hAnsi="Arial"/>
                <w:sz w:val="3"/>
                <w:szCs w:val="3"/>
                <w:color w:val="FFFFFF"/>
              </w:rPr>
              <w:t>For the six months ended 30 June 2012</w:t>
            </w:r>
          </w:p>
        </w:tc>
        <w:tc>
          <w:tcPr>
            <w:tcW w:w="7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40" w:type="dxa"/>
            <w:vAlign w:val="bottom"/>
            <w:gridSpan w:val="2"/>
          </w:tcPr>
          <w:p>
            <w:pPr>
              <w:spacing w:after="0"/>
              <w:rPr>
                <w:sz w:val="20"/>
                <w:szCs w:val="20"/>
                <w:color w:val="auto"/>
              </w:rPr>
            </w:pPr>
            <w:r>
              <w:rPr>
                <w:rFonts w:ascii="Arial" w:cs="Arial" w:eastAsia="Arial" w:hAnsi="Arial"/>
                <w:sz w:val="3"/>
                <w:szCs w:val="3"/>
                <w:color w:val="FFFFFF"/>
              </w:rPr>
              <w:t>LITIGATION (continued)</w:t>
            </w: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40" w:type="dxa"/>
            <w:vAlign w:val="bottom"/>
            <w:gridSpan w:val="2"/>
          </w:tcPr>
          <w:p>
            <w:pPr>
              <w:spacing w:after="0"/>
              <w:rPr>
                <w:sz w:val="20"/>
                <w:szCs w:val="20"/>
                <w:color w:val="auto"/>
              </w:rPr>
            </w:pPr>
            <w:r>
              <w:rPr>
                <w:rFonts w:ascii="Arial" w:cs="Arial" w:eastAsia="Arial" w:hAnsi="Arial"/>
                <w:sz w:val="3"/>
                <w:szCs w:val="3"/>
                <w:color w:val="FFFFFF"/>
              </w:rPr>
              <w:t>Related litigation (continued)</w:t>
            </w: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The plaintiffs in the federal derivative actions ?led a consolidated complaint on 6 August 2012, asserting claims for (1) breach of fiduciary duty; (2) waste of corporate assets; (3) injunctive relief; and (4) unjust</w:t>
            </w:r>
          </w:p>
        </w:tc>
        <w:tc>
          <w:tcPr>
            <w:tcW w:w="0" w:type="dxa"/>
            <w:vAlign w:val="bottom"/>
          </w:tcPr>
          <w:p>
            <w:pPr>
              <w:spacing w:after="0"/>
              <w:rPr>
                <w:sz w:val="1"/>
                <w:szCs w:val="1"/>
                <w:color w:val="auto"/>
              </w:rPr>
            </w:pPr>
          </w:p>
        </w:tc>
      </w:tr>
      <w:tr>
        <w:trPr>
          <w:trHeight w:val="41"/>
        </w:trPr>
        <w:tc>
          <w:tcPr>
            <w:tcW w:w="5460" w:type="dxa"/>
            <w:vAlign w:val="bottom"/>
            <w:gridSpan w:val="5"/>
          </w:tcPr>
          <w:p>
            <w:pPr>
              <w:spacing w:after="0"/>
              <w:rPr>
                <w:sz w:val="20"/>
                <w:szCs w:val="20"/>
                <w:color w:val="auto"/>
              </w:rPr>
            </w:pPr>
            <w:r>
              <w:rPr>
                <w:rFonts w:ascii="Arial" w:cs="Arial" w:eastAsia="Arial" w:hAnsi="Arial"/>
                <w:sz w:val="3"/>
                <w:szCs w:val="3"/>
                <w:color w:val="FFFFFF"/>
              </w:rPr>
              <w:t>enrichment. The claims are against all WRL directors, including Mr. Okada.</w:t>
            </w:r>
          </w:p>
        </w:tc>
        <w:tc>
          <w:tcPr>
            <w:tcW w:w="2880" w:type="dxa"/>
            <w:vAlign w:val="bottom"/>
          </w:tcPr>
          <w:p>
            <w:pPr>
              <w:spacing w:after="0"/>
              <w:rPr>
                <w:sz w:val="3"/>
                <w:szCs w:val="3"/>
                <w:color w:val="auto"/>
              </w:rPr>
            </w:pPr>
          </w:p>
        </w:tc>
        <w:tc>
          <w:tcPr>
            <w:tcW w:w="3060" w:type="dxa"/>
            <w:vAlign w:val="bottom"/>
            <w:vMerge w:val="restart"/>
          </w:tcPr>
          <w:p>
            <w:pPr>
              <w:ind w:left="160"/>
              <w:spacing w:after="0" w:line="81" w:lineRule="exact"/>
              <w:rPr>
                <w:sz w:val="20"/>
                <w:szCs w:val="20"/>
                <w:color w:val="auto"/>
              </w:rPr>
            </w:pPr>
            <w:r>
              <w:rPr>
                <w:rFonts w:ascii="Arial" w:cs="Arial" w:eastAsia="Arial" w:hAnsi="Arial"/>
                <w:sz w:val="9"/>
                <w:szCs w:val="9"/>
                <w:color w:val="FFFFFF"/>
              </w:rPr>
              <w:t>and directors complied with federal and state laws</w:t>
            </w:r>
          </w:p>
        </w:tc>
        <w:tc>
          <w:tcPr>
            <w:tcW w:w="0" w:type="dxa"/>
            <w:vAlign w:val="bottom"/>
          </w:tcPr>
          <w:p>
            <w:pPr>
              <w:spacing w:after="0"/>
              <w:rPr>
                <w:sz w:val="1"/>
                <w:szCs w:val="1"/>
                <w:color w:val="auto"/>
              </w:rPr>
            </w:pPr>
          </w:p>
        </w:tc>
      </w:tr>
      <w:tr>
        <w:trPr>
          <w:trHeight w:val="41"/>
        </w:trPr>
        <w:tc>
          <w:tcPr>
            <w:tcW w:w="3400" w:type="dxa"/>
            <w:vAlign w:val="bottom"/>
            <w:gridSpan w:val="4"/>
          </w:tcPr>
          <w:p>
            <w:pPr>
              <w:spacing w:after="0"/>
              <w:rPr>
                <w:sz w:val="20"/>
                <w:szCs w:val="20"/>
                <w:color w:val="auto"/>
              </w:rPr>
            </w:pPr>
            <w:r>
              <w:rPr>
                <w:rFonts w:ascii="Arial" w:cs="Arial" w:eastAsia="Arial" w:hAnsi="Arial"/>
                <w:sz w:val="3"/>
                <w:szCs w:val="3"/>
                <w:color w:val="FFFFFF"/>
              </w:rPr>
              <w:t>The federal derivative plaintiffs claim that the individual</w:t>
            </w:r>
          </w:p>
        </w:tc>
        <w:tc>
          <w:tcPr>
            <w:tcW w:w="4940" w:type="dxa"/>
            <w:vAlign w:val="bottom"/>
            <w:gridSpan w:val="2"/>
          </w:tcPr>
          <w:p>
            <w:pPr>
              <w:ind w:left="320"/>
              <w:spacing w:after="0"/>
              <w:rPr>
                <w:sz w:val="20"/>
                <w:szCs w:val="20"/>
                <w:color w:val="auto"/>
              </w:rPr>
            </w:pPr>
            <w:r>
              <w:rPr>
                <w:rFonts w:ascii="Arial" w:cs="Arial" w:eastAsia="Arial" w:hAnsi="Arial"/>
                <w:sz w:val="3"/>
                <w:szCs w:val="3"/>
                <w:color w:val="FFFFFF"/>
              </w:rPr>
              <w:t>breached their fiduciary duties and wasted assets by (a) failing to ensure WRL’s of</w:t>
            </w:r>
          </w:p>
        </w:tc>
        <w:tc>
          <w:tcPr>
            <w:tcW w:w="3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and WRL’s Code of Conduct; (b) voting to allow the WRL’defendantssubsidiary to make the donation to the University of Macau; and (c) redeeming Aruze USA’ficersstock such that WRL incurs the debt associated with the</w:t>
            </w:r>
          </w:p>
        </w:tc>
        <w:tc>
          <w:tcPr>
            <w:tcW w:w="0" w:type="dxa"/>
            <w:vAlign w:val="bottom"/>
          </w:tcPr>
          <w:p>
            <w:pPr>
              <w:spacing w:after="0"/>
              <w:rPr>
                <w:sz w:val="1"/>
                <w:szCs w:val="1"/>
                <w:color w:val="auto"/>
              </w:rPr>
            </w:pPr>
          </w:p>
        </w:tc>
      </w:tr>
      <w:tr>
        <w:trPr>
          <w:trHeight w:val="41"/>
        </w:trPr>
        <w:tc>
          <w:tcPr>
            <w:tcW w:w="5460" w:type="dxa"/>
            <w:vAlign w:val="bottom"/>
            <w:gridSpan w:val="5"/>
          </w:tcPr>
          <w:p>
            <w:pPr>
              <w:ind w:left="120"/>
              <w:spacing w:after="0"/>
              <w:rPr>
                <w:sz w:val="20"/>
                <w:szCs w:val="20"/>
                <w:color w:val="auto"/>
              </w:rPr>
            </w:pPr>
            <w:r>
              <w:rPr>
                <w:rFonts w:ascii="Arial" w:cs="Arial" w:eastAsia="Arial" w:hAnsi="Arial"/>
                <w:sz w:val="3"/>
                <w:szCs w:val="3"/>
                <w:color w:val="FFFFFF"/>
              </w:rPr>
              <w:t>demption. The federal plaintiffs seek unspecified compensatory damages, restitution in the form of</w:t>
            </w:r>
          </w:p>
        </w:tc>
        <w:tc>
          <w:tcPr>
            <w:tcW w:w="5940" w:type="dxa"/>
            <w:vAlign w:val="bottom"/>
            <w:gridSpan w:val="2"/>
          </w:tcPr>
          <w:p>
            <w:pPr>
              <w:ind w:left="360"/>
              <w:spacing w:after="0"/>
              <w:rPr>
                <w:sz w:val="20"/>
                <w:szCs w:val="20"/>
                <w:color w:val="auto"/>
              </w:rPr>
            </w:pPr>
            <w:r>
              <w:rPr>
                <w:rFonts w:ascii="Arial" w:cs="Arial" w:eastAsia="Arial" w:hAnsi="Arial"/>
                <w:sz w:val="3"/>
                <w:szCs w:val="3"/>
                <w:color w:val="FFFFFF"/>
              </w:rPr>
              <w:t>gement, reformation of corporate governance procedures, an injunction against all future payments</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related to the donation/ pledge, and all fees (attorneys, accountants, and experts) and costs. Per the court’disgor5 July 2012 Case Management Order, the parties are to confer regarding a deadline for WRL and the</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20"/>
                <w:szCs w:val="20"/>
                <w:color w:val="auto"/>
              </w:rPr>
            </w:pPr>
            <w:r>
              <w:rPr>
                <w:rFonts w:ascii="Arial" w:cs="Arial" w:eastAsia="Arial" w:hAnsi="Arial"/>
                <w:sz w:val="3"/>
                <w:szCs w:val="3"/>
                <w:color w:val="FFFFFF"/>
              </w:rPr>
              <w:t>dir ctors to respond.</w:t>
            </w: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The two state court actions brought by the following plaintiffs have also been consolidated: (1) IBEW Local 98 Pension Fund and (2) Danny Hinson. Through a coordination of efforts by all parties, the directors</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20"/>
                <w:szCs w:val="20"/>
                <w:color w:val="auto"/>
              </w:rPr>
            </w:pPr>
            <w:r>
              <w:rPr>
                <w:rFonts w:ascii="Arial" w:cs="Arial" w:eastAsia="Arial" w:hAnsi="Arial"/>
                <w:sz w:val="3"/>
                <w:szCs w:val="3"/>
                <w:color w:val="FFFFFF"/>
              </w:rPr>
              <w:t>and WRL (a</w:t>
            </w:r>
          </w:p>
        </w:tc>
        <w:tc>
          <w:tcPr>
            <w:tcW w:w="4300" w:type="dxa"/>
            <w:vAlign w:val="bottom"/>
            <w:gridSpan w:val="4"/>
          </w:tcPr>
          <w:p>
            <w:pPr>
              <w:ind w:left="20"/>
              <w:spacing w:after="0"/>
              <w:rPr>
                <w:sz w:val="20"/>
                <w:szCs w:val="20"/>
                <w:color w:val="auto"/>
              </w:rPr>
            </w:pPr>
            <w:r>
              <w:rPr>
                <w:rFonts w:ascii="Arial" w:cs="Arial" w:eastAsia="Arial" w:hAnsi="Arial"/>
                <w:sz w:val="3"/>
                <w:szCs w:val="3"/>
                <w:color w:val="FFFFFF"/>
              </w:rPr>
              <w:t>defendant) have been served in all of the actions.</w:t>
            </w:r>
          </w:p>
        </w:tc>
        <w:tc>
          <w:tcPr>
            <w:tcW w:w="5940" w:type="dxa"/>
            <w:vAlign w:val="bottom"/>
            <w:gridSpan w:val="2"/>
            <w:vMerge w:val="restart"/>
          </w:tcPr>
          <w:p>
            <w:pPr>
              <w:spacing w:after="0" w:line="81" w:lineRule="exact"/>
              <w:rPr>
                <w:sz w:val="20"/>
                <w:szCs w:val="20"/>
                <w:color w:val="auto"/>
              </w:rPr>
            </w:pPr>
            <w:r>
              <w:rPr>
                <w:rFonts w:ascii="Arial" w:cs="Arial" w:eastAsia="Arial" w:hAnsi="Arial"/>
                <w:sz w:val="9"/>
                <w:szCs w:val="9"/>
                <w:color w:val="FFFFFF"/>
              </w:rPr>
              <w:t>claims for (1) breach of fiduciary duty; (2) abuse of control; (3) gross mismanagement; and (4) unjust</w:t>
            </w:r>
          </w:p>
        </w:tc>
        <w:tc>
          <w:tcPr>
            <w:tcW w:w="0" w:type="dxa"/>
            <w:vAlign w:val="bottom"/>
          </w:tcPr>
          <w:p>
            <w:pPr>
              <w:spacing w:after="0"/>
              <w:rPr>
                <w:sz w:val="1"/>
                <w:szCs w:val="1"/>
                <w:color w:val="auto"/>
              </w:rPr>
            </w:pPr>
          </w:p>
        </w:tc>
      </w:tr>
      <w:tr>
        <w:trPr>
          <w:trHeight w:val="41"/>
        </w:trPr>
        <w:tc>
          <w:tcPr>
            <w:tcW w:w="5460" w:type="dxa"/>
            <w:vAlign w:val="bottom"/>
            <w:gridSpan w:val="5"/>
          </w:tcPr>
          <w:p>
            <w:pPr>
              <w:spacing w:after="0"/>
              <w:rPr>
                <w:sz w:val="20"/>
                <w:szCs w:val="20"/>
                <w:color w:val="auto"/>
              </w:rPr>
            </w:pPr>
            <w:r>
              <w:rPr>
                <w:rFonts w:ascii="Arial" w:cs="Arial" w:eastAsia="Arial" w:hAnsi="Arial"/>
                <w:sz w:val="3"/>
                <w:szCs w:val="3"/>
                <w:color w:val="FFFFFF"/>
              </w:rPr>
              <w:t>The plaintiffsnominalthestate derivative actions filed a consolidated complaint on 20 July 2012</w:t>
            </w:r>
          </w:p>
        </w:tc>
        <w:tc>
          <w:tcPr>
            <w:tcW w:w="5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80" w:type="dxa"/>
            <w:vAlign w:val="bottom"/>
            <w:gridSpan w:val="3"/>
          </w:tcPr>
          <w:p>
            <w:pPr>
              <w:spacing w:after="0"/>
              <w:rPr>
                <w:sz w:val="20"/>
                <w:szCs w:val="20"/>
                <w:color w:val="auto"/>
              </w:rPr>
            </w:pPr>
            <w:r>
              <w:rPr>
                <w:rFonts w:ascii="Arial" w:cs="Arial" w:eastAsia="Arial" w:hAnsi="Arial"/>
                <w:sz w:val="3"/>
                <w:szCs w:val="3"/>
                <w:color w:val="FFFFFF"/>
              </w:rPr>
              <w:t>enrichment. The claims are against all WRL</w:t>
            </w:r>
          </w:p>
        </w:tc>
        <w:tc>
          <w:tcPr>
            <w:tcW w:w="8720" w:type="dxa"/>
            <w:vAlign w:val="bottom"/>
            <w:gridSpan w:val="4"/>
          </w:tcPr>
          <w:p>
            <w:pPr>
              <w:ind w:left="300"/>
              <w:spacing w:after="0"/>
              <w:rPr>
                <w:sz w:val="20"/>
                <w:szCs w:val="20"/>
                <w:color w:val="auto"/>
              </w:rPr>
            </w:pPr>
            <w:r>
              <w:rPr>
                <w:rFonts w:ascii="Arial" w:cs="Arial" w:eastAsia="Arial" w:hAnsi="Arial"/>
                <w:sz w:val="3"/>
                <w:szCs w:val="3"/>
                <w:color w:val="FFFFFF"/>
              </w:rPr>
              <w:t>including Mr. Okada, as well as the WRL’assertingChief Financial Officer, who signs financial disclosures filed with the SEC. The state derivative plaintiffs claim</w:t>
            </w:r>
          </w:p>
        </w:tc>
        <w:tc>
          <w:tcPr>
            <w:tcW w:w="0" w:type="dxa"/>
            <w:vAlign w:val="bottom"/>
          </w:tcPr>
          <w:p>
            <w:pPr>
              <w:spacing w:after="0"/>
              <w:rPr>
                <w:sz w:val="1"/>
                <w:szCs w:val="1"/>
                <w:color w:val="auto"/>
              </w:rPr>
            </w:pPr>
          </w:p>
        </w:tc>
      </w:tr>
      <w:tr>
        <w:trPr>
          <w:trHeight w:val="41"/>
        </w:trPr>
        <w:tc>
          <w:tcPr>
            <w:tcW w:w="11400" w:type="dxa"/>
            <w:vAlign w:val="bottom"/>
            <w:gridSpan w:val="7"/>
          </w:tcPr>
          <w:p>
            <w:pPr>
              <w:ind w:left="40"/>
              <w:spacing w:after="0"/>
              <w:rPr>
                <w:sz w:val="20"/>
                <w:szCs w:val="20"/>
                <w:color w:val="auto"/>
              </w:rPr>
            </w:pPr>
            <w:r>
              <w:rPr>
                <w:rFonts w:ascii="Arial" w:cs="Arial" w:eastAsia="Arial" w:hAnsi="Arial"/>
                <w:sz w:val="3"/>
                <w:szCs w:val="3"/>
                <w:color w:val="FFFFFF"/>
              </w:rPr>
              <w:t>hat the individual defendants failed to disclosedirectors,itsshareholders the investigation into, and the dispute with director Okada as well as the alleged potential violations of the Foreign Corrupt Practices Act related</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to, the University of Macau Development Foundation donation. Plaintiffs seek unspecified monetary damages (compensatory and punitive), disgorgement, reformation of corporate governance procedures, an</w:t>
            </w:r>
          </w:p>
        </w:tc>
        <w:tc>
          <w:tcPr>
            <w:tcW w:w="0" w:type="dxa"/>
            <w:vAlign w:val="bottom"/>
          </w:tcPr>
          <w:p>
            <w:pPr>
              <w:spacing w:after="0"/>
              <w:rPr>
                <w:sz w:val="1"/>
                <w:szCs w:val="1"/>
                <w:color w:val="auto"/>
              </w:rPr>
            </w:pPr>
          </w:p>
        </w:tc>
      </w:tr>
      <w:tr>
        <w:trPr>
          <w:trHeight w:val="0"/>
        </w:trPr>
        <w:tc>
          <w:tcPr>
            <w:tcW w:w="1740" w:type="dxa"/>
            <w:vAlign w:val="bottom"/>
            <w:gridSpan w:val="2"/>
          </w:tcPr>
          <w:p>
            <w:pPr>
              <w:spacing w:after="0" w:line="80" w:lineRule="exact"/>
              <w:rPr>
                <w:sz w:val="20"/>
                <w:szCs w:val="20"/>
                <w:color w:val="auto"/>
              </w:rPr>
            </w:pPr>
            <w:r>
              <w:rPr>
                <w:rFonts w:ascii="Arial" w:cs="Arial" w:eastAsia="Arial" w:hAnsi="Arial"/>
                <w:sz w:val="9"/>
                <w:szCs w:val="9"/>
                <w:color w:val="FFFFFF"/>
              </w:rPr>
              <w:t>order directing WRL to</w:t>
            </w:r>
          </w:p>
        </w:tc>
        <w:tc>
          <w:tcPr>
            <w:tcW w:w="9660" w:type="dxa"/>
            <w:vAlign w:val="bottom"/>
            <w:gridSpan w:val="5"/>
          </w:tcPr>
          <w:p>
            <w:pPr>
              <w:ind w:left="120"/>
              <w:spacing w:after="0" w:line="80" w:lineRule="exact"/>
              <w:rPr>
                <w:sz w:val="20"/>
                <w:szCs w:val="20"/>
                <w:color w:val="auto"/>
              </w:rPr>
            </w:pPr>
            <w:r>
              <w:rPr>
                <w:rFonts w:ascii="Arial" w:cs="Arial" w:eastAsia="Arial" w:hAnsi="Arial"/>
                <w:sz w:val="9"/>
                <w:szCs w:val="9"/>
                <w:color w:val="FFFFFF"/>
              </w:rPr>
              <w:t>investigate the donation, as well as attorneys’ fees and costs. WRL and individual defendants will respond to the consolidated complaint by 31 August 2012.</w:t>
            </w:r>
          </w:p>
        </w:tc>
        <w:tc>
          <w:tcPr>
            <w:tcW w:w="0" w:type="dxa"/>
            <w:vAlign w:val="bottom"/>
          </w:tcPr>
          <w:p>
            <w:pPr>
              <w:spacing w:after="0" w:line="20" w:lineRule="exact"/>
              <w:rPr>
                <w:sz w:val="1"/>
                <w:szCs w:val="1"/>
                <w:color w:val="auto"/>
              </w:rPr>
            </w:pPr>
          </w:p>
        </w:tc>
      </w:tr>
    </w:tbl>
    <w:p>
      <w:pPr>
        <w:ind w:left="1320"/>
        <w:spacing w:after="0"/>
        <w:rPr>
          <w:sz w:val="20"/>
          <w:szCs w:val="20"/>
          <w:color w:val="auto"/>
        </w:rPr>
      </w:pPr>
      <w:r>
        <w:rPr>
          <w:rFonts w:ascii="Arial" w:cs="Arial" w:eastAsia="Arial" w:hAnsi="Arial"/>
          <w:sz w:val="3"/>
          <w:szCs w:val="3"/>
          <w:color w:val="FFFFFF"/>
        </w:rPr>
        <w:t>internally</w:t>
      </w:r>
    </w:p>
    <w:p>
      <w:pPr>
        <w:spacing w:after="0"/>
        <w:tabs>
          <w:tab w:leader="none" w:pos="1800" w:val="left"/>
        </w:tabs>
        <w:rPr>
          <w:sz w:val="20"/>
          <w:szCs w:val="20"/>
          <w:color w:val="auto"/>
        </w:rPr>
      </w:pPr>
      <w:r>
        <w:rPr>
          <w:rFonts w:ascii="Arial" w:cs="Arial" w:eastAsia="Arial" w:hAnsi="Arial"/>
          <w:sz w:val="2"/>
          <w:szCs w:val="2"/>
          <w:color w:val="FFFFFF"/>
        </w:rPr>
        <w:t>The consolidated actions</w:t>
      </w:r>
      <w:r>
        <w:rPr>
          <w:rFonts w:ascii="Arial" w:cs="Arial" w:eastAsia="Arial" w:hAnsi="Arial"/>
          <w:sz w:val="4"/>
          <w:szCs w:val="4"/>
          <w:color w:val="FFFFFF"/>
          <w:vertAlign w:val="subscript"/>
        </w:rPr>
        <w:t>possible</w:t>
      </w:r>
      <w:r>
        <w:rPr>
          <w:rFonts w:ascii="Arial" w:cs="Arial" w:eastAsia="Arial" w:hAnsi="Arial"/>
          <w:sz w:val="2"/>
          <w:szCs w:val="2"/>
          <w:color w:val="FFFFFF"/>
        </w:rPr>
        <w:t>are</w:t>
      </w:r>
      <w:r>
        <w:rPr>
          <w:sz w:val="20"/>
          <w:szCs w:val="20"/>
          <w:color w:val="auto"/>
        </w:rPr>
        <w:tab/>
      </w:r>
      <w:r>
        <w:rPr>
          <w:rFonts w:ascii="Arial" w:cs="Arial" w:eastAsia="Arial" w:hAnsi="Arial"/>
          <w:sz w:val="3"/>
          <w:szCs w:val="3"/>
          <w:color w:val="FFFFFF"/>
        </w:rPr>
        <w:t>preliminary stage and WRL management has determined that based on proceedings to date, it is currently unable to determine the probability of the outcome of this matter or the</w:t>
      </w:r>
    </w:p>
    <w:p>
      <w:pPr>
        <w:spacing w:after="0"/>
        <w:tabs>
          <w:tab w:leader="none" w:pos="1560" w:val="left"/>
        </w:tabs>
        <w:rPr>
          <w:sz w:val="20"/>
          <w:szCs w:val="20"/>
          <w:color w:val="auto"/>
        </w:rPr>
      </w:pPr>
      <w:r>
        <w:rPr>
          <w:rFonts w:ascii="Arial" w:cs="Arial" w:eastAsia="Arial" w:hAnsi="Arial"/>
          <w:sz w:val="14"/>
          <w:szCs w:val="14"/>
          <w:color w:val="FFFFFF"/>
        </w:rPr>
        <w:t>range of reasonably</w:t>
      </w:r>
      <w:r>
        <w:rPr>
          <w:sz w:val="20"/>
          <w:szCs w:val="20"/>
          <w:color w:val="auto"/>
        </w:rPr>
        <w:tab/>
      </w:r>
      <w:r>
        <w:rPr>
          <w:rFonts w:ascii="Arial" w:cs="Arial" w:eastAsia="Arial" w:hAnsi="Arial"/>
          <w:sz w:val="12"/>
          <w:szCs w:val="12"/>
          <w:color w:val="FFFFFF"/>
        </w:rPr>
        <w:t>loss, if any.</w:t>
      </w:r>
    </w:p>
    <w:p>
      <w:pPr>
        <w:sectPr>
          <w:pgSz w:w="11900" w:h="16838" w:orient="portrait"/>
          <w:cols w:equalWidth="0" w:num="1">
            <w:col w:w="11400"/>
          </w:cols>
          <w:pgMar w:left="240" w:top="1440" w:right="259"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Interim74WynnFinancialMacau, LimitedInformation</w:t>
      </w:r>
    </w:p>
    <w:p>
      <w:pPr>
        <w:spacing w:after="0"/>
        <w:rPr>
          <w:sz w:val="20"/>
          <w:szCs w:val="20"/>
          <w:color w:val="auto"/>
        </w:rPr>
      </w:pPr>
      <w:r>
        <w:rPr>
          <w:rFonts w:ascii="Arial" w:cs="Arial" w:eastAsia="Arial" w:hAnsi="Arial"/>
          <w:sz w:val="3"/>
          <w:szCs w:val="3"/>
          <w:color w:val="FFFFFF"/>
        </w:rPr>
        <w:t>ForNotesthetosixInterimmonthsFinancialended30InformationJune2012</w:t>
      </w:r>
    </w:p>
    <w:p>
      <w:pPr>
        <w:spacing w:after="0" w:line="181" w:lineRule="auto"/>
        <w:rPr>
          <w:sz w:val="20"/>
          <w:szCs w:val="20"/>
          <w:color w:val="auto"/>
        </w:rPr>
      </w:pPr>
      <w:r>
        <w:rPr>
          <w:rFonts w:ascii="Arial" w:cs="Arial" w:eastAsia="Arial" w:hAnsi="Arial"/>
          <w:sz w:val="10"/>
          <w:szCs w:val="10"/>
          <w:color w:val="FFFFFF"/>
        </w:rPr>
        <w:t>RELATED PARTY DISCLOSURES</w:t>
      </w:r>
    </w:p>
    <w:p>
      <w:pPr>
        <w:spacing w:after="0" w:line="212" w:lineRule="auto"/>
        <w:rPr>
          <w:sz w:val="20"/>
          <w:szCs w:val="20"/>
          <w:color w:val="auto"/>
        </w:rPr>
      </w:pPr>
      <w:r>
        <w:rPr>
          <w:rFonts w:ascii="Arial" w:cs="Arial" w:eastAsia="Arial" w:hAnsi="Arial"/>
          <w:sz w:val="8"/>
          <w:szCs w:val="8"/>
          <w:color w:val="FFFFFF"/>
        </w:rPr>
        <w:t>TheAsatGrouptheendhadofthethefollowingperiod,amountsmaterialduetransactionsfrom/(to) relatedwithrelatedcompaniescompanies:areunsecured, interest- free and repayable on demand.</w:t>
      </w:r>
    </w:p>
    <w:p>
      <w:pPr>
        <w:spacing w:after="0"/>
        <w:rPr>
          <w:sz w:val="20"/>
          <w:szCs w:val="20"/>
          <w:color w:val="auto"/>
        </w:rPr>
      </w:pPr>
      <w:r>
        <w:rPr>
          <w:rFonts w:ascii="Arial" w:cs="Arial" w:eastAsia="Arial" w:hAnsi="Arial"/>
          <w:sz w:val="3"/>
          <w:szCs w:val="3"/>
          <w:color w:val="FFFFFF"/>
        </w:rPr>
        <w:t>30ForJunethe Six Months Ended</w:t>
      </w:r>
    </w:p>
    <w:p>
      <w:pPr>
        <w:spacing w:after="0" w:line="181" w:lineRule="auto"/>
        <w:rPr>
          <w:sz w:val="20"/>
          <w:szCs w:val="20"/>
          <w:color w:val="auto"/>
        </w:rPr>
      </w:pPr>
      <w:r>
        <w:rPr>
          <w:rFonts w:ascii="Arial" w:cs="Arial" w:eastAsia="Arial" w:hAnsi="Arial"/>
          <w:sz w:val="10"/>
          <w:szCs w:val="10"/>
          <w:color w:val="FFFFFF"/>
        </w:rPr>
        <w:t>Name of Relation to Primary Nature 2012 2011</w:t>
      </w:r>
    </w:p>
    <w:p>
      <w:pPr>
        <w:spacing w:after="0" w:line="213" w:lineRule="auto"/>
        <w:rPr>
          <w:sz w:val="20"/>
          <w:szCs w:val="20"/>
          <w:color w:val="auto"/>
        </w:rPr>
      </w:pPr>
      <w:r>
        <w:rPr>
          <w:rFonts w:ascii="Arial" w:cs="Arial" w:eastAsia="Arial" w:hAnsi="Arial"/>
          <w:sz w:val="4"/>
          <w:szCs w:val="4"/>
          <w:color w:val="FFFFFF"/>
          <w:vertAlign w:val="subscript"/>
        </w:rPr>
        <w:t>(unaudited)</w:t>
      </w:r>
      <w:r>
        <w:rPr>
          <w:rFonts w:ascii="Arial" w:cs="Arial" w:eastAsia="Arial" w:hAnsi="Arial"/>
          <w:sz w:val="2"/>
          <w:szCs w:val="2"/>
          <w:color w:val="FFFFFF"/>
        </w:rPr>
        <w:t>Relatedinthousands)Company the Company of Transactions HK$ HK$</w:t>
      </w:r>
    </w:p>
    <w:p>
      <w:pPr>
        <w:ind w:left="660"/>
        <w:spacing w:after="0" w:line="187" w:lineRule="auto"/>
        <w:rPr>
          <w:sz w:val="20"/>
          <w:szCs w:val="20"/>
          <w:color w:val="auto"/>
        </w:rPr>
      </w:pPr>
      <w:r>
        <w:rPr>
          <w:rFonts w:ascii="Arial" w:cs="Arial" w:eastAsia="Arial" w:hAnsi="Arial"/>
          <w:sz w:val="9"/>
          <w:szCs w:val="9"/>
          <w:color w:val="FFFFFF"/>
        </w:rPr>
        <w:t>(unaudited)</w:t>
      </w:r>
    </w:p>
    <w:p>
      <w:pPr>
        <w:spacing w:after="0" w:line="188" w:lineRule="auto"/>
        <w:rPr>
          <w:sz w:val="20"/>
          <w:szCs w:val="20"/>
          <w:color w:val="auto"/>
        </w:rPr>
      </w:pPr>
      <w:r>
        <w:rPr>
          <w:rFonts w:ascii="Arial" w:cs="Arial" w:eastAsia="Arial" w:hAnsi="Arial"/>
          <w:sz w:val="9"/>
          <w:szCs w:val="9"/>
          <w:color w:val="FFFFFF"/>
        </w:rPr>
        <w:t>companyWynnResorts,577,752Limited574,131Ultimate parent Royalty fees (i)</w:t>
      </w:r>
    </w:p>
    <w:p>
      <w:pPr>
        <w:spacing w:after="0"/>
        <w:rPr>
          <w:sz w:val="20"/>
          <w:szCs w:val="20"/>
          <w:color w:val="auto"/>
        </w:rPr>
      </w:pPr>
      <w:r>
        <w:rPr>
          <w:rFonts w:ascii="Arial" w:cs="Arial" w:eastAsia="Arial" w:hAnsi="Arial"/>
          <w:sz w:val="3"/>
          <w:szCs w:val="3"/>
          <w:color w:val="FFFFFF"/>
        </w:rPr>
        <w:t>companyWynnResorts,supportLimited Ultimate parent Corporate</w:t>
      </w:r>
    </w:p>
    <w:p>
      <w:pPr>
        <w:spacing w:after="0" w:line="181" w:lineRule="auto"/>
        <w:rPr>
          <w:sz w:val="20"/>
          <w:szCs w:val="20"/>
          <w:color w:val="auto"/>
        </w:rPr>
      </w:pPr>
      <w:r>
        <w:rPr>
          <w:rFonts w:ascii="Arial" w:cs="Arial" w:eastAsia="Arial" w:hAnsi="Arial"/>
          <w:sz w:val="10"/>
          <w:szCs w:val="10"/>
          <w:color w:val="FFFFFF"/>
        </w:rPr>
        <w:t>services (ii) 80,662 82,765</w:t>
      </w:r>
    </w:p>
    <w:p>
      <w:pPr>
        <w:spacing w:after="0"/>
        <w:rPr>
          <w:sz w:val="20"/>
          <w:szCs w:val="20"/>
          <w:color w:val="auto"/>
        </w:rPr>
      </w:pPr>
      <w:r>
        <w:rPr>
          <w:rFonts w:ascii="Arial" w:cs="Arial" w:eastAsia="Arial" w:hAnsi="Arial"/>
          <w:sz w:val="3"/>
          <w:szCs w:val="3"/>
          <w:color w:val="FFFFFF"/>
        </w:rPr>
        <w:t>companyWynnResorts,paymentLimited Ultimate parent Share-based</w:t>
      </w:r>
    </w:p>
    <w:p>
      <w:pPr>
        <w:spacing w:after="0" w:line="194" w:lineRule="auto"/>
        <w:rPr>
          <w:sz w:val="20"/>
          <w:szCs w:val="20"/>
          <w:color w:val="auto"/>
        </w:rPr>
      </w:pPr>
      <w:r>
        <w:rPr>
          <w:rFonts w:ascii="Arial" w:cs="Arial" w:eastAsia="Arial" w:hAnsi="Arial"/>
          <w:sz w:val="5"/>
          <w:szCs w:val="5"/>
          <w:color w:val="FFFFFF"/>
        </w:rPr>
        <w:t>expenses (2,629) 23,992</w:t>
      </w:r>
    </w:p>
    <w:p>
      <w:pPr>
        <w:spacing w:after="0" w:line="211" w:lineRule="auto"/>
        <w:rPr>
          <w:sz w:val="20"/>
          <w:szCs w:val="20"/>
          <w:color w:val="auto"/>
        </w:rPr>
      </w:pPr>
      <w:r>
        <w:rPr>
          <w:rFonts w:ascii="Arial" w:cs="Arial" w:eastAsia="Arial" w:hAnsi="Arial"/>
          <w:sz w:val="4"/>
          <w:szCs w:val="4"/>
          <w:color w:val="FFFFFF"/>
          <w:vertAlign w:val="superscript"/>
        </w:rPr>
        <w:t>W</w:t>
      </w:r>
    </w:p>
    <w:p>
      <w:pPr>
        <w:ind w:left="120"/>
        <w:spacing w:after="0" w:line="188" w:lineRule="auto"/>
        <w:rPr>
          <w:sz w:val="20"/>
          <w:szCs w:val="20"/>
          <w:color w:val="auto"/>
        </w:rPr>
      </w:pPr>
      <w:r>
        <w:rPr>
          <w:rFonts w:ascii="Arial" w:cs="Arial" w:eastAsia="Arial" w:hAnsi="Arial"/>
          <w:sz w:val="9"/>
          <w:szCs w:val="9"/>
          <w:color w:val="FFFFFF"/>
        </w:rPr>
        <w:t>ynnIMLResorts,SubsidiarymarketingofInternational</w:t>
      </w:r>
    </w:p>
    <w:p>
      <w:pPr>
        <w:spacing w:after="0" w:line="188" w:lineRule="auto"/>
        <w:rPr>
          <w:sz w:val="20"/>
          <w:szCs w:val="20"/>
          <w:color w:val="auto"/>
        </w:rPr>
      </w:pPr>
      <w:r>
        <w:rPr>
          <w:rFonts w:ascii="Arial" w:cs="Arial" w:eastAsia="Arial" w:hAnsi="Arial"/>
          <w:sz w:val="9"/>
          <w:szCs w:val="9"/>
          <w:color w:val="FFFFFF"/>
          <w:vertAlign w:val="superscript"/>
        </w:rPr>
        <w:t>W</w:t>
      </w:r>
      <w:r>
        <w:rPr>
          <w:rFonts w:ascii="Arial" w:cs="Arial" w:eastAsia="Arial" w:hAnsi="Arial"/>
          <w:sz w:val="7"/>
          <w:szCs w:val="7"/>
          <w:color w:val="FFFFFF"/>
        </w:rPr>
        <w:t>LimitedorldwideexpensesWynn (iii)Subsidiary17,713 of43,657Staff</w:t>
      </w:r>
    </w:p>
    <w:p>
      <w:pPr>
        <w:spacing w:after="0"/>
        <w:rPr>
          <w:sz w:val="20"/>
          <w:szCs w:val="20"/>
          <w:color w:val="auto"/>
        </w:rPr>
      </w:pPr>
      <w:r>
        <w:rPr>
          <w:rFonts w:ascii="Arial" w:cs="Arial" w:eastAsia="Arial" w:hAnsi="Arial"/>
          <w:sz w:val="3"/>
          <w:szCs w:val="3"/>
          <w:color w:val="FFFFFF"/>
        </w:rPr>
        <w:t>LimitedynnResorts,payrollsecondment</w:t>
      </w:r>
    </w:p>
    <w:p>
      <w:pPr>
        <w:spacing w:after="0" w:line="194" w:lineRule="auto"/>
        <w:rPr>
          <w:sz w:val="20"/>
          <w:szCs w:val="20"/>
          <w:color w:val="auto"/>
        </w:rPr>
      </w:pPr>
      <w:r>
        <w:rPr>
          <w:rFonts w:ascii="Arial" w:cs="Arial" w:eastAsia="Arial" w:hAnsi="Arial"/>
          <w:sz w:val="5"/>
          <w:szCs w:val="5"/>
          <w:color w:val="FFFFFF"/>
        </w:rPr>
        <w:t>charges (iv) 54,181 21,659</w:t>
      </w:r>
    </w:p>
    <w:p>
      <w:pPr>
        <w:spacing w:after="0" w:line="188" w:lineRule="auto"/>
        <w:rPr>
          <w:sz w:val="20"/>
          <w:szCs w:val="20"/>
          <w:color w:val="auto"/>
        </w:rPr>
      </w:pPr>
      <w:r>
        <w:rPr>
          <w:rFonts w:ascii="Arial" w:cs="Arial" w:eastAsia="Arial" w:hAnsi="Arial"/>
          <w:sz w:val="9"/>
          <w:szCs w:val="9"/>
          <w:color w:val="FFFFFF"/>
        </w:rPr>
        <w:t>Wynn Design Subsidiary of Design/</w:t>
      </w:r>
    </w:p>
    <w:p>
      <w:pPr>
        <w:spacing w:after="0" w:line="187" w:lineRule="auto"/>
        <w:rPr>
          <w:sz w:val="20"/>
          <w:szCs w:val="20"/>
          <w:color w:val="auto"/>
        </w:rPr>
      </w:pPr>
      <w:r>
        <w:rPr>
          <w:rFonts w:ascii="Arial" w:cs="Arial" w:eastAsia="Arial" w:hAnsi="Arial"/>
          <w:sz w:val="9"/>
          <w:szCs w:val="9"/>
          <w:color w:val="FFFFFF"/>
          <w:vertAlign w:val="superscript"/>
        </w:rPr>
        <w:t>Las</w:t>
      </w:r>
      <w:r>
        <w:rPr>
          <w:rFonts w:ascii="Arial" w:cs="Arial" w:eastAsia="Arial" w:hAnsi="Arial"/>
          <w:sz w:val="7"/>
          <w:szCs w:val="7"/>
          <w:color w:val="FFFFFF"/>
        </w:rPr>
        <w:t>&amp;imitedDevelopmentpayroll (v)Wynn30,838Resorts,12,303development</w:t>
      </w:r>
    </w:p>
    <w:p>
      <w:pPr>
        <w:spacing w:after="0"/>
        <w:rPr>
          <w:sz w:val="20"/>
          <w:szCs w:val="20"/>
          <w:color w:val="auto"/>
        </w:rPr>
      </w:pPr>
      <w:r>
        <w:rPr>
          <w:rFonts w:ascii="Arial" w:cs="Arial" w:eastAsia="Arial" w:hAnsi="Arial"/>
          <w:sz w:val="3"/>
          <w:szCs w:val="3"/>
          <w:color w:val="FFFFFF"/>
        </w:rPr>
        <w:t>WynnVegasResorts,Jet, LLCchargesSubsidiary(ii) of Airplane usage</w:t>
      </w:r>
    </w:p>
    <w:p>
      <w:pPr>
        <w:spacing w:after="0" w:line="194" w:lineRule="auto"/>
        <w:rPr>
          <w:sz w:val="20"/>
          <w:szCs w:val="20"/>
          <w:color w:val="auto"/>
        </w:rPr>
      </w:pPr>
      <w:r>
        <w:rPr>
          <w:rFonts w:ascii="Arial" w:cs="Arial" w:eastAsia="Arial" w:hAnsi="Arial"/>
          <w:sz w:val="5"/>
          <w:szCs w:val="5"/>
          <w:color w:val="FFFFFF"/>
        </w:rPr>
        <w:t>Limited 14,193 7,902</w:t>
      </w:r>
    </w:p>
    <w:p>
      <w:pPr>
        <w:spacing w:after="0"/>
        <w:rPr>
          <w:sz w:val="20"/>
          <w:szCs w:val="20"/>
          <w:color w:val="auto"/>
        </w:rPr>
      </w:pPr>
      <w:r>
        <w:rPr>
          <w:rFonts w:ascii="Arial" w:cs="Arial" w:eastAsia="Arial" w:hAnsi="Arial"/>
          <w:sz w:val="14"/>
          <w:szCs w:val="14"/>
          <w:color w:val="FFFFFF"/>
        </w:rPr>
        <w:t>All of the above transactions are noted as continuing related party transactions.</w:t>
      </w:r>
    </w:p>
    <w:p>
      <w:pPr>
        <w:sectPr>
          <w:pgSz w:w="11900" w:h="16838" w:orient="portrait"/>
          <w:cols w:equalWidth="0" w:num="1">
            <w:col w:w="10219"/>
          </w:cols>
          <w:pgMar w:left="240" w:top="1440" w:right="1440"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color w:val="FFFFFF"/>
                <w:w w:val="93"/>
              </w:rPr>
              <w:t>Interim</w:t>
            </w:r>
          </w:p>
        </w:tc>
        <w:tc>
          <w:tcPr>
            <w:tcW w:w="1780" w:type="dxa"/>
            <w:vAlign w:val="bottom"/>
            <w:gridSpan w:val="2"/>
          </w:tcPr>
          <w:p>
            <w:pPr>
              <w:ind w:left="20"/>
              <w:spacing w:after="0"/>
              <w:rPr>
                <w:sz w:val="20"/>
                <w:szCs w:val="20"/>
                <w:color w:val="auto"/>
              </w:rPr>
            </w:pPr>
            <w:r>
              <w:rPr>
                <w:rFonts w:ascii="Arial" w:cs="Arial" w:eastAsia="Arial" w:hAnsi="Arial"/>
                <w:sz w:val="14"/>
                <w:szCs w:val="14"/>
                <w:color w:val="FFFFFF"/>
              </w:rPr>
              <w:t>Report 2012 75</w:t>
            </w:r>
          </w:p>
        </w:tc>
        <w:tc>
          <w:tcPr>
            <w:tcW w:w="3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20" w:type="dxa"/>
            <w:vAlign w:val="bottom"/>
            <w:vMerge w:val="continue"/>
          </w:tcPr>
          <w:p>
            <w:pPr>
              <w:spacing w:after="0"/>
              <w:rPr>
                <w:sz w:val="3"/>
                <w:szCs w:val="3"/>
                <w:color w:val="auto"/>
              </w:rPr>
            </w:pPr>
          </w:p>
        </w:tc>
        <w:tc>
          <w:tcPr>
            <w:tcW w:w="1780" w:type="dxa"/>
            <w:vAlign w:val="bottom"/>
            <w:gridSpan w:val="2"/>
          </w:tcPr>
          <w:p>
            <w:pPr>
              <w:ind w:left="20"/>
              <w:spacing w:after="0"/>
              <w:rPr>
                <w:sz w:val="20"/>
                <w:szCs w:val="20"/>
                <w:color w:val="auto"/>
              </w:rPr>
            </w:pPr>
            <w:r>
              <w:rPr>
                <w:rFonts w:ascii="Arial" w:cs="Arial" w:eastAsia="Arial" w:hAnsi="Arial"/>
                <w:sz w:val="3"/>
                <w:szCs w:val="3"/>
                <w:color w:val="FFFFFF"/>
              </w:rPr>
              <w:t>Financial Information</w:t>
            </w:r>
          </w:p>
        </w:tc>
        <w:tc>
          <w:tcPr>
            <w:tcW w:w="3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c>
          <w:tcPr>
            <w:tcW w:w="3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0" w:type="dxa"/>
            <w:vAlign w:val="bottom"/>
            <w:gridSpan w:val="3"/>
          </w:tcPr>
          <w:p>
            <w:pPr>
              <w:spacing w:after="0"/>
              <w:rPr>
                <w:sz w:val="20"/>
                <w:szCs w:val="20"/>
                <w:color w:val="auto"/>
              </w:rPr>
            </w:pPr>
            <w:r>
              <w:rPr>
                <w:rFonts w:ascii="Arial" w:cs="Arial" w:eastAsia="Arial" w:hAnsi="Arial"/>
                <w:sz w:val="3"/>
                <w:szCs w:val="3"/>
                <w:color w:val="FFFFFF"/>
              </w:rPr>
              <w:t>For the six months ended 30 June 2012</w:t>
            </w:r>
          </w:p>
        </w:tc>
        <w:tc>
          <w:tcPr>
            <w:tcW w:w="3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18.</w:t>
            </w:r>
          </w:p>
        </w:tc>
        <w:tc>
          <w:tcPr>
            <w:tcW w:w="4860" w:type="dxa"/>
            <w:vAlign w:val="bottom"/>
            <w:gridSpan w:val="3"/>
          </w:tcPr>
          <w:p>
            <w:pPr>
              <w:ind w:left="40"/>
              <w:spacing w:after="0"/>
              <w:rPr>
                <w:sz w:val="20"/>
                <w:szCs w:val="20"/>
                <w:color w:val="auto"/>
              </w:rPr>
            </w:pPr>
            <w:r>
              <w:rPr>
                <w:rFonts w:ascii="Arial" w:cs="Arial" w:eastAsia="Arial" w:hAnsi="Arial"/>
                <w:sz w:val="3"/>
                <w:szCs w:val="3"/>
                <w:color w:val="FFFFFF"/>
              </w:rPr>
              <w:t>RELATED PARTY DISCLOSURES (continued)</w:t>
            </w:r>
          </w:p>
        </w:tc>
        <w:tc>
          <w:tcPr>
            <w:tcW w:w="1060" w:type="dxa"/>
            <w:vAlign w:val="bottom"/>
          </w:tcPr>
          <w:p>
            <w:pPr>
              <w:spacing w:after="0"/>
              <w:rPr>
                <w:sz w:val="3"/>
                <w:szCs w:val="3"/>
                <w:color w:val="auto"/>
              </w:rPr>
            </w:pPr>
          </w:p>
        </w:tc>
        <w:tc>
          <w:tcPr>
            <w:tcW w:w="4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420" w:type="dxa"/>
            <w:vAlign w:val="bottom"/>
          </w:tcPr>
          <w:p>
            <w:pPr>
              <w:spacing w:after="0" w:line="54" w:lineRule="exact"/>
              <w:rPr>
                <w:sz w:val="20"/>
                <w:szCs w:val="20"/>
                <w:color w:val="auto"/>
              </w:rPr>
            </w:pPr>
            <w:r>
              <w:rPr>
                <w:rFonts w:ascii="Arial" w:cs="Arial" w:eastAsia="Arial" w:hAnsi="Arial"/>
                <w:sz w:val="6"/>
                <w:szCs w:val="6"/>
                <w:color w:val="FFFFFF"/>
              </w:rPr>
              <w:t>Notes:</w:t>
            </w:r>
          </w:p>
        </w:tc>
        <w:tc>
          <w:tcPr>
            <w:tcW w:w="3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800" w:type="dxa"/>
            <w:vAlign w:val="bottom"/>
            <w:gridSpan w:val="2"/>
          </w:tcPr>
          <w:p>
            <w:pPr>
              <w:spacing w:after="0"/>
              <w:rPr>
                <w:sz w:val="20"/>
                <w:szCs w:val="20"/>
                <w:color w:val="auto"/>
              </w:rPr>
            </w:pPr>
            <w:r>
              <w:rPr>
                <w:rFonts w:ascii="Arial" w:cs="Arial" w:eastAsia="Arial" w:hAnsi="Arial"/>
                <w:sz w:val="3"/>
                <w:szCs w:val="3"/>
                <w:color w:val="FFFFFF"/>
              </w:rPr>
              <w:t>Royalty fees</w:t>
            </w:r>
          </w:p>
        </w:tc>
        <w:tc>
          <w:tcPr>
            <w:tcW w:w="5540" w:type="dxa"/>
            <w:vAlign w:val="bottom"/>
            <w:gridSpan w:val="3"/>
            <w:vMerge w:val="restart"/>
          </w:tcPr>
          <w:p>
            <w:pPr>
              <w:ind w:left="100"/>
              <w:spacing w:after="0" w:line="81" w:lineRule="exact"/>
              <w:rPr>
                <w:sz w:val="20"/>
                <w:szCs w:val="20"/>
                <w:color w:val="auto"/>
              </w:rPr>
            </w:pPr>
            <w:r>
              <w:rPr>
                <w:rFonts w:ascii="Arial" w:cs="Arial" w:eastAsia="Arial" w:hAnsi="Arial"/>
                <w:sz w:val="9"/>
                <w:szCs w:val="9"/>
                <w:color w:val="FFFFFF"/>
              </w:rPr>
              <w:t>WRM had an arrangement with Wynn Resorts, Limited and Wynn Resorts Holdings, LLC</w:t>
            </w:r>
          </w:p>
        </w:tc>
        <w:tc>
          <w:tcPr>
            <w:tcW w:w="4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Prior</w:t>
            </w:r>
          </w:p>
        </w:tc>
        <w:tc>
          <w:tcPr>
            <w:tcW w:w="380" w:type="dxa"/>
            <w:vAlign w:val="bottom"/>
          </w:tcPr>
          <w:p>
            <w:pPr>
              <w:spacing w:after="0"/>
              <w:rPr>
                <w:sz w:val="3"/>
                <w:szCs w:val="3"/>
                <w:color w:val="auto"/>
              </w:rPr>
            </w:pPr>
          </w:p>
        </w:tc>
        <w:tc>
          <w:tcPr>
            <w:tcW w:w="5540" w:type="dxa"/>
            <w:vAlign w:val="bottom"/>
            <w:gridSpan w:val="3"/>
            <w:vMerge w:val="continue"/>
          </w:tcPr>
          <w:p>
            <w:pPr>
              <w:spacing w:after="0"/>
              <w:rPr>
                <w:sz w:val="3"/>
                <w:szCs w:val="3"/>
                <w:color w:val="auto"/>
              </w:rPr>
            </w:pPr>
          </w:p>
        </w:tc>
        <w:tc>
          <w:tcPr>
            <w:tcW w:w="4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6"/>
          </w:tcPr>
          <w:p>
            <w:pPr>
              <w:spacing w:after="0"/>
              <w:rPr>
                <w:sz w:val="20"/>
                <w:szCs w:val="20"/>
                <w:color w:val="auto"/>
              </w:rPr>
            </w:pPr>
            <w:r>
              <w:rPr>
                <w:rFonts w:ascii="Arial" w:cs="Arial" w:eastAsia="Arial" w:hAnsi="Arial"/>
                <w:sz w:val="3"/>
                <w:szCs w:val="3"/>
                <w:color w:val="FFFFFF"/>
              </w:rPr>
              <w:t>(togetherListing,the“Licensors”) under which the Licensors licensed to WRM certain trademarks and service marks, other marks and works, domain names, and hotel casino design, development and management</w:t>
            </w:r>
          </w:p>
        </w:tc>
        <w:tc>
          <w:tcPr>
            <w:tcW w:w="0" w:type="dxa"/>
            <w:vAlign w:val="bottom"/>
          </w:tcPr>
          <w:p>
            <w:pPr>
              <w:spacing w:after="0"/>
              <w:rPr>
                <w:sz w:val="1"/>
                <w:szCs w:val="1"/>
                <w:color w:val="auto"/>
              </w:rPr>
            </w:pPr>
          </w:p>
        </w:tc>
      </w:tr>
      <w:tr>
        <w:trPr>
          <w:trHeight w:val="41"/>
        </w:trPr>
        <w:tc>
          <w:tcPr>
            <w:tcW w:w="2200" w:type="dxa"/>
            <w:vAlign w:val="bottom"/>
            <w:gridSpan w:val="3"/>
          </w:tcPr>
          <w:p>
            <w:pPr>
              <w:spacing w:after="0"/>
              <w:rPr>
                <w:sz w:val="20"/>
                <w:szCs w:val="20"/>
                <w:color w:val="auto"/>
              </w:rPr>
            </w:pPr>
            <w:r>
              <w:rPr>
                <w:rFonts w:ascii="Arial" w:cs="Arial" w:eastAsia="Arial" w:hAnsi="Arial"/>
                <w:sz w:val="3"/>
                <w:szCs w:val="3"/>
                <w:color w:val="FFFFFF"/>
              </w:rPr>
              <w:t>know-how (collectively, the</w:t>
            </w:r>
          </w:p>
        </w:tc>
        <w:tc>
          <w:tcPr>
            <w:tcW w:w="9120" w:type="dxa"/>
            <w:vAlign w:val="bottom"/>
            <w:gridSpan w:val="3"/>
          </w:tcPr>
          <w:p>
            <w:pPr>
              <w:ind w:left="60"/>
              <w:spacing w:after="0"/>
              <w:rPr>
                <w:sz w:val="20"/>
                <w:szCs w:val="20"/>
                <w:color w:val="auto"/>
              </w:rPr>
            </w:pPr>
            <w:r>
              <w:rPr>
                <w:rFonts w:ascii="Arial" w:cs="Arial" w:eastAsia="Arial" w:hAnsi="Arial"/>
                <w:sz w:val="3"/>
                <w:szCs w:val="3"/>
                <w:color w:val="FFFFFF"/>
              </w:rPr>
              <w:t>Property Rights”). On 19 September 2009, each of the Company and WRM entered into an intellectual property license agreement with the Licensors (together, the “IP</w:t>
            </w:r>
          </w:p>
        </w:tc>
        <w:tc>
          <w:tcPr>
            <w:tcW w:w="0" w:type="dxa"/>
            <w:vAlign w:val="bottom"/>
          </w:tcPr>
          <w:p>
            <w:pPr>
              <w:spacing w:after="0"/>
              <w:rPr>
                <w:sz w:val="1"/>
                <w:szCs w:val="1"/>
                <w:color w:val="auto"/>
              </w:rPr>
            </w:pPr>
          </w:p>
        </w:tc>
      </w:tr>
      <w:tr>
        <w:trPr>
          <w:trHeight w:val="41"/>
        </w:trPr>
        <w:tc>
          <w:tcPr>
            <w:tcW w:w="11320" w:type="dxa"/>
            <w:vAlign w:val="bottom"/>
            <w:gridSpan w:val="6"/>
          </w:tcPr>
          <w:p>
            <w:pPr>
              <w:spacing w:after="0"/>
              <w:rPr>
                <w:sz w:val="20"/>
                <w:szCs w:val="20"/>
                <w:color w:val="auto"/>
              </w:rPr>
            </w:pPr>
            <w:r>
              <w:rPr>
                <w:rFonts w:ascii="Arial" w:cs="Arial" w:eastAsia="Arial" w:hAnsi="Arial"/>
                <w:sz w:val="3"/>
                <w:szCs w:val="3"/>
                <w:color w:val="FFFFFF"/>
              </w:rPr>
              <w:t>License Arrangement”), which“Intellectualhasperpetual term. Pursuant to the IP License Arrangement, the Licensors licensed to each of the Company and WRM the right to use the Intellectual Property Rights using the</w:t>
            </w:r>
          </w:p>
        </w:tc>
        <w:tc>
          <w:tcPr>
            <w:tcW w:w="0" w:type="dxa"/>
            <w:vAlign w:val="bottom"/>
          </w:tcPr>
          <w:p>
            <w:pPr>
              <w:spacing w:after="0"/>
              <w:rPr>
                <w:sz w:val="1"/>
                <w:szCs w:val="1"/>
                <w:color w:val="auto"/>
              </w:rPr>
            </w:pPr>
          </w:p>
        </w:tc>
      </w:tr>
      <w:tr>
        <w:trPr>
          <w:trHeight w:val="41"/>
        </w:trPr>
        <w:tc>
          <w:tcPr>
            <w:tcW w:w="11320" w:type="dxa"/>
            <w:vAlign w:val="bottom"/>
            <w:gridSpan w:val="6"/>
          </w:tcPr>
          <w:p>
            <w:pPr>
              <w:spacing w:after="0"/>
              <w:rPr>
                <w:sz w:val="20"/>
                <w:szCs w:val="20"/>
                <w:color w:val="auto"/>
              </w:rPr>
            </w:pPr>
            <w:r>
              <w:rPr>
                <w:rFonts w:ascii="Arial" w:cs="Arial" w:eastAsia="Arial" w:hAnsi="Arial"/>
                <w:sz w:val="3"/>
                <w:szCs w:val="3"/>
                <w:color w:val="FFFFFF"/>
              </w:rPr>
              <w:t>same pricing basis as described below. The IP License Arrangement is also subject to restrictions in the agreements between Wynn Resorts Holdings, LLC or Wynn Resorts, Limited and any third parties,</w:t>
            </w:r>
          </w:p>
        </w:tc>
        <w:tc>
          <w:tcPr>
            <w:tcW w:w="0" w:type="dxa"/>
            <w:vAlign w:val="bottom"/>
          </w:tcPr>
          <w:p>
            <w:pPr>
              <w:spacing w:after="0"/>
              <w:rPr>
                <w:sz w:val="1"/>
                <w:szCs w:val="1"/>
                <w:color w:val="auto"/>
              </w:rPr>
            </w:pPr>
          </w:p>
        </w:tc>
      </w:tr>
      <w:tr>
        <w:trPr>
          <w:trHeight w:val="41"/>
        </w:trPr>
        <w:tc>
          <w:tcPr>
            <w:tcW w:w="11320" w:type="dxa"/>
            <w:vAlign w:val="bottom"/>
            <w:gridSpan w:val="6"/>
          </w:tcPr>
          <w:p>
            <w:pPr>
              <w:spacing w:after="0"/>
              <w:rPr>
                <w:sz w:val="20"/>
                <w:szCs w:val="20"/>
                <w:color w:val="auto"/>
              </w:rPr>
            </w:pPr>
            <w:r>
              <w:rPr>
                <w:rFonts w:ascii="Arial" w:cs="Arial" w:eastAsia="Arial" w:hAnsi="Arial"/>
                <w:sz w:val="3"/>
                <w:szCs w:val="3"/>
                <w:color w:val="FFFFFF"/>
              </w:rPr>
              <w:t>including Mr. Stephen A. Wynn, in respect of a third party’ intellectual property, including any applicable limitations on the scope of the license, limitations on sub-licensing, termination (including change of</w:t>
            </w: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4860" w:type="dxa"/>
            <w:vAlign w:val="bottom"/>
            <w:gridSpan w:val="3"/>
          </w:tcPr>
          <w:p>
            <w:pPr>
              <w:ind w:left="40"/>
              <w:spacing w:after="0"/>
              <w:rPr>
                <w:sz w:val="20"/>
                <w:szCs w:val="20"/>
                <w:color w:val="auto"/>
              </w:rPr>
            </w:pPr>
            <w:r>
              <w:rPr>
                <w:rFonts w:ascii="Arial" w:cs="Arial" w:eastAsia="Arial" w:hAnsi="Arial"/>
                <w:sz w:val="3"/>
                <w:szCs w:val="3"/>
                <w:color w:val="FFFFFF"/>
              </w:rPr>
              <w:t>under certain circumstances and other standard provisions.</w:t>
            </w:r>
          </w:p>
        </w:tc>
        <w:tc>
          <w:tcPr>
            <w:tcW w:w="6040" w:type="dxa"/>
            <w:vAlign w:val="bottom"/>
            <w:gridSpan w:val="2"/>
            <w:vMerge w:val="restart"/>
          </w:tcPr>
          <w:p>
            <w:pPr>
              <w:ind w:left="180"/>
              <w:spacing w:after="0" w:line="81" w:lineRule="exact"/>
              <w:rPr>
                <w:sz w:val="20"/>
                <w:szCs w:val="20"/>
                <w:color w:val="auto"/>
              </w:rPr>
            </w:pPr>
            <w:r>
              <w:rPr>
                <w:rFonts w:ascii="Arial" w:cs="Arial" w:eastAsia="Arial" w:hAnsi="Arial"/>
                <w:sz w:val="9"/>
                <w:szCs w:val="9"/>
                <w:color w:val="FFFFFF"/>
              </w:rPr>
              <w:t>monthly revenues, and (2) US$1.5 million (approximately HK$11.6 million) per month. For the purposes of</w:t>
            </w:r>
          </w:p>
        </w:tc>
        <w:tc>
          <w:tcPr>
            <w:tcW w:w="0" w:type="dxa"/>
            <w:vAlign w:val="bottom"/>
          </w:tcPr>
          <w:p>
            <w:pPr>
              <w:spacing w:after="0"/>
              <w:rPr>
                <w:sz w:val="1"/>
                <w:szCs w:val="1"/>
                <w:color w:val="auto"/>
              </w:rPr>
            </w:pPr>
          </w:p>
        </w:tc>
      </w:tr>
      <w:tr>
        <w:trPr>
          <w:trHeight w:val="41"/>
        </w:trPr>
        <w:tc>
          <w:tcPr>
            <w:tcW w:w="5280" w:type="dxa"/>
            <w:vAlign w:val="bottom"/>
            <w:gridSpan w:val="4"/>
          </w:tcPr>
          <w:p>
            <w:pPr>
              <w:spacing w:after="0"/>
              <w:rPr>
                <w:sz w:val="20"/>
                <w:szCs w:val="20"/>
                <w:color w:val="auto"/>
              </w:rPr>
            </w:pPr>
            <w:r>
              <w:rPr>
                <w:rFonts w:ascii="Arial" w:cs="Arial" w:eastAsia="Arial" w:hAnsi="Arial"/>
                <w:sz w:val="3"/>
                <w:szCs w:val="3"/>
                <w:color w:val="FFFFFF"/>
              </w:rPr>
              <w:t>control)Thecense fee payable to Wynn Resorts Holdings, LLC equals the greater of (1) 3% of the IP</w:t>
            </w:r>
          </w:p>
        </w:tc>
        <w:tc>
          <w:tcPr>
            <w:tcW w:w="60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6340" w:type="dxa"/>
            <w:vAlign w:val="bottom"/>
            <w:gridSpan w:val="5"/>
          </w:tcPr>
          <w:p>
            <w:pPr>
              <w:spacing w:after="0" w:line="80" w:lineRule="exact"/>
              <w:rPr>
                <w:sz w:val="20"/>
                <w:szCs w:val="20"/>
                <w:color w:val="auto"/>
              </w:rPr>
            </w:pPr>
            <w:r>
              <w:rPr>
                <w:rFonts w:ascii="Arial" w:cs="Arial" w:eastAsia="Arial" w:hAnsi="Arial"/>
                <w:sz w:val="9"/>
                <w:szCs w:val="9"/>
                <w:color w:val="FFFFFF"/>
              </w:rPr>
              <w:t>each intellectual property license agreement, the term “IP gross revenues” refers to the licensee’grosstotal operating</w:t>
            </w:r>
          </w:p>
        </w:tc>
        <w:tc>
          <w:tcPr>
            <w:tcW w:w="4980" w:type="dxa"/>
            <w:vAlign w:val="bottom"/>
          </w:tcPr>
          <w:p>
            <w:pPr>
              <w:ind w:left="260"/>
              <w:spacing w:after="0" w:line="80" w:lineRule="exact"/>
              <w:rPr>
                <w:sz w:val="20"/>
                <w:szCs w:val="20"/>
                <w:color w:val="auto"/>
              </w:rPr>
            </w:pPr>
            <w:r>
              <w:rPr>
                <w:rFonts w:ascii="Arial" w:cs="Arial" w:eastAsia="Arial" w:hAnsi="Arial"/>
                <w:sz w:val="9"/>
                <w:szCs w:val="9"/>
                <w:color w:val="FFFFFF"/>
              </w:rPr>
              <w:t>as adjusted by adding back (1) commissions and discounts which were netted  gainst</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bscript"/>
        </w:rPr>
        <w:t>licensee’</w:t>
      </w:r>
      <w:r>
        <w:rPr>
          <w:rFonts w:ascii="Arial" w:cs="Arial" w:eastAsia="Arial" w:hAnsi="Arial"/>
          <w:sz w:val="1"/>
          <w:szCs w:val="1"/>
          <w:color w:val="FFFFFF"/>
        </w:rPr>
        <w:t>oprating revenues, and (2) promotional allowances, and the term “IP gross monthly revenues” refers to the licensee’revenuesIPgross revenues accrued at the end of each calendar month. The calculation of each</w:t>
      </w:r>
    </w:p>
    <w:p>
      <w:pPr>
        <w:ind w:right="40" w:firstLine="472"/>
        <w:spacing w:after="0"/>
        <w:rPr>
          <w:sz w:val="20"/>
          <w:szCs w:val="20"/>
          <w:color w:val="auto"/>
        </w:rPr>
      </w:pPr>
      <w:r>
        <w:rPr>
          <w:rFonts w:ascii="Arial" w:cs="Arial" w:eastAsia="Arial" w:hAnsi="Arial"/>
          <w:sz w:val="7"/>
          <w:szCs w:val="7"/>
          <w:color w:val="FFFFFF"/>
        </w:rPr>
        <w:t>s operating revenues, promotional allowances, and commissions and discounts in connection with the IP gross revenues stated in the intellectual property license agreements shall always be consistent with the Group’s accounting policies and prepared in accordance with IFRSs as in effect from 31 December 2008. If any other subsidiary of the Company (other than WRM) acquires the Intellectual Property Rights under the intellectual property license agreement between the Company and the Licensors, “IP gross revenues” and “IP monthly gross revenues” will be interpreted to include the gross revenues of such relevant subsidiary.</w:t>
      </w:r>
    </w:p>
    <w:p>
      <w:pPr>
        <w:spacing w:after="0" w:line="1" w:lineRule="exact"/>
        <w:rPr>
          <w:sz w:val="20"/>
          <w:szCs w:val="20"/>
          <w:color w:val="auto"/>
        </w:rPr>
      </w:pPr>
    </w:p>
    <w:p>
      <w:pPr>
        <w:ind w:right="620"/>
        <w:spacing w:after="0" w:line="190" w:lineRule="auto"/>
        <w:rPr>
          <w:sz w:val="20"/>
          <w:szCs w:val="20"/>
          <w:color w:val="auto"/>
        </w:rPr>
      </w:pPr>
      <w:r>
        <w:rPr>
          <w:rFonts w:ascii="Arial" w:cs="Arial" w:eastAsia="Arial" w:hAnsi="Arial"/>
          <w:sz w:val="11"/>
          <w:szCs w:val="11"/>
          <w:color w:val="FFFFFF"/>
        </w:rPr>
        <w:t>The following table presents a reconciliation of total operating revenues (as reported in the Group’s interim financial information) to WRM’s IP gross revenues as used for purposes of the IP License Arrangement between WRM and the Licensors.</w:t>
      </w:r>
    </w:p>
    <w:p>
      <w:pPr>
        <w:sectPr>
          <w:pgSz w:w="11900" w:h="16838" w:orient="portrait"/>
          <w:cols w:equalWidth="0" w:num="1">
            <w:col w:w="11320"/>
          </w:cols>
          <w:pgMar w:left="240" w:top="1440" w:right="33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3"/>
          </w:tcPr>
          <w:p>
            <w:pPr>
              <w:spacing w:after="0"/>
              <w:rPr>
                <w:sz w:val="20"/>
                <w:szCs w:val="20"/>
                <w:color w:val="auto"/>
              </w:rPr>
            </w:pPr>
            <w:r>
              <w:rPr>
                <w:rFonts w:ascii="Arial" w:cs="Arial" w:eastAsia="Arial" w:hAnsi="Arial"/>
                <w:sz w:val="14"/>
                <w:szCs w:val="14"/>
                <w:color w:val="FFFFFF"/>
              </w:rPr>
              <w:t>76 Wynn Macau, Limited</w:t>
            </w:r>
          </w:p>
        </w:tc>
        <w:tc>
          <w:tcPr>
            <w:tcW w:w="39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360" w:type="dxa"/>
            <w:vAlign w:val="bottom"/>
            <w:gridSpan w:val="3"/>
          </w:tcPr>
          <w:p>
            <w:pPr>
              <w:spacing w:after="0"/>
              <w:rPr>
                <w:sz w:val="20"/>
                <w:szCs w:val="20"/>
                <w:color w:val="auto"/>
              </w:rPr>
            </w:pPr>
            <w:r>
              <w:rPr>
                <w:rFonts w:ascii="Arial" w:cs="Arial" w:eastAsia="Arial" w:hAnsi="Arial"/>
                <w:sz w:val="3"/>
                <w:szCs w:val="3"/>
                <w:color w:val="FFFFFF"/>
              </w:rPr>
              <w:t>Interim Financial Information</w:t>
            </w:r>
          </w:p>
        </w:tc>
        <w:tc>
          <w:tcPr>
            <w:tcW w:w="3900" w:type="dxa"/>
            <w:vAlign w:val="bottom"/>
          </w:tcPr>
          <w:p>
            <w:pPr>
              <w:spacing w:after="0"/>
              <w:rPr>
                <w:sz w:val="3"/>
                <w:szCs w:val="3"/>
                <w:color w:val="auto"/>
              </w:rPr>
            </w:pP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6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c>
          <w:tcPr>
            <w:tcW w:w="3900" w:type="dxa"/>
            <w:vAlign w:val="bottom"/>
          </w:tcPr>
          <w:p>
            <w:pPr>
              <w:spacing w:after="0"/>
              <w:rPr>
                <w:sz w:val="3"/>
                <w:szCs w:val="3"/>
                <w:color w:val="auto"/>
              </w:rPr>
            </w:pP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60" w:type="dxa"/>
            <w:vAlign w:val="bottom"/>
            <w:gridSpan w:val="3"/>
          </w:tcPr>
          <w:p>
            <w:pPr>
              <w:spacing w:after="0"/>
              <w:rPr>
                <w:sz w:val="20"/>
                <w:szCs w:val="20"/>
                <w:color w:val="auto"/>
              </w:rPr>
            </w:pPr>
            <w:r>
              <w:rPr>
                <w:rFonts w:ascii="Arial" w:cs="Arial" w:eastAsia="Arial" w:hAnsi="Arial"/>
                <w:sz w:val="3"/>
                <w:szCs w:val="3"/>
                <w:color w:val="FFFFFF"/>
              </w:rPr>
              <w:t>For the six months ended 30 June 2012</w:t>
            </w:r>
          </w:p>
        </w:tc>
        <w:tc>
          <w:tcPr>
            <w:tcW w:w="3900" w:type="dxa"/>
            <w:vAlign w:val="bottom"/>
          </w:tcPr>
          <w:p>
            <w:pPr>
              <w:spacing w:after="0"/>
              <w:rPr>
                <w:sz w:val="3"/>
                <w:szCs w:val="3"/>
                <w:color w:val="auto"/>
              </w:rPr>
            </w:pP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18.</w:t>
            </w:r>
          </w:p>
        </w:tc>
        <w:tc>
          <w:tcPr>
            <w:tcW w:w="140" w:type="dxa"/>
            <w:vAlign w:val="bottom"/>
          </w:tcPr>
          <w:p>
            <w:pPr>
              <w:spacing w:after="0"/>
              <w:rPr>
                <w:sz w:val="3"/>
                <w:szCs w:val="3"/>
                <w:color w:val="auto"/>
              </w:rPr>
            </w:pPr>
          </w:p>
        </w:tc>
        <w:tc>
          <w:tcPr>
            <w:tcW w:w="2920" w:type="dxa"/>
            <w:vAlign w:val="bottom"/>
          </w:tcPr>
          <w:p>
            <w:pPr>
              <w:ind w:left="20"/>
              <w:spacing w:after="0"/>
              <w:rPr>
                <w:sz w:val="20"/>
                <w:szCs w:val="20"/>
                <w:color w:val="auto"/>
              </w:rPr>
            </w:pPr>
            <w:r>
              <w:rPr>
                <w:rFonts w:ascii="Arial" w:cs="Arial" w:eastAsia="Arial" w:hAnsi="Arial"/>
                <w:sz w:val="3"/>
                <w:szCs w:val="3"/>
                <w:color w:val="FFFFFF"/>
              </w:rPr>
              <w:t>RELATED PARTY DISCLOSURES (continued)</w:t>
            </w:r>
          </w:p>
        </w:tc>
        <w:tc>
          <w:tcPr>
            <w:tcW w:w="3900" w:type="dxa"/>
            <w:vAlign w:val="bottom"/>
          </w:tcPr>
          <w:p>
            <w:pPr>
              <w:spacing w:after="0"/>
              <w:rPr>
                <w:sz w:val="3"/>
                <w:szCs w:val="3"/>
                <w:color w:val="auto"/>
              </w:rPr>
            </w:pP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3360" w:type="dxa"/>
            <w:vAlign w:val="bottom"/>
            <w:gridSpan w:val="3"/>
          </w:tcPr>
          <w:p>
            <w:pPr>
              <w:spacing w:after="0" w:line="54" w:lineRule="exact"/>
              <w:rPr>
                <w:sz w:val="20"/>
                <w:szCs w:val="20"/>
                <w:color w:val="auto"/>
              </w:rPr>
            </w:pPr>
            <w:r>
              <w:rPr>
                <w:rFonts w:ascii="Arial" w:cs="Arial" w:eastAsia="Arial" w:hAnsi="Arial"/>
                <w:sz w:val="6"/>
                <w:szCs w:val="6"/>
                <w:color w:val="FFFFFF"/>
              </w:rPr>
              <w:t>Notes: (continued)</w:t>
            </w:r>
          </w:p>
        </w:tc>
        <w:tc>
          <w:tcPr>
            <w:tcW w:w="3900" w:type="dxa"/>
            <w:vAlign w:val="bottom"/>
          </w:tcPr>
          <w:p>
            <w:pPr>
              <w:spacing w:after="0"/>
              <w:rPr>
                <w:sz w:val="4"/>
                <w:szCs w:val="4"/>
                <w:color w:val="auto"/>
              </w:rPr>
            </w:pPr>
          </w:p>
        </w:tc>
        <w:tc>
          <w:tcPr>
            <w:tcW w:w="4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(i)</w:t>
            </w:r>
          </w:p>
        </w:tc>
        <w:tc>
          <w:tcPr>
            <w:tcW w:w="140" w:type="dxa"/>
            <w:vAlign w:val="bottom"/>
          </w:tcPr>
          <w:p>
            <w:pPr>
              <w:spacing w:after="0"/>
              <w:rPr>
                <w:sz w:val="3"/>
                <w:szCs w:val="3"/>
                <w:color w:val="auto"/>
              </w:rPr>
            </w:pPr>
          </w:p>
        </w:tc>
        <w:tc>
          <w:tcPr>
            <w:tcW w:w="2920" w:type="dxa"/>
            <w:vAlign w:val="bottom"/>
          </w:tcPr>
          <w:p>
            <w:pPr>
              <w:ind w:left="20"/>
              <w:spacing w:after="0"/>
              <w:rPr>
                <w:sz w:val="20"/>
                <w:szCs w:val="20"/>
                <w:color w:val="auto"/>
              </w:rPr>
            </w:pPr>
            <w:r>
              <w:rPr>
                <w:rFonts w:ascii="Arial" w:cs="Arial" w:eastAsia="Arial" w:hAnsi="Arial"/>
                <w:sz w:val="3"/>
                <w:szCs w:val="3"/>
                <w:color w:val="FFFFFF"/>
              </w:rPr>
              <w:t>Royalty fees (continued)</w:t>
            </w:r>
          </w:p>
        </w:tc>
        <w:tc>
          <w:tcPr>
            <w:tcW w:w="3900" w:type="dxa"/>
            <w:vAlign w:val="bottom"/>
          </w:tcPr>
          <w:p>
            <w:pPr>
              <w:spacing w:after="0"/>
              <w:rPr>
                <w:sz w:val="3"/>
                <w:szCs w:val="3"/>
                <w:color w:val="auto"/>
              </w:rPr>
            </w:pP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3360" w:type="dxa"/>
            <w:vAlign w:val="bottom"/>
            <w:gridSpan w:val="3"/>
          </w:tcPr>
          <w:p>
            <w:pPr>
              <w:spacing w:after="0" w:line="54" w:lineRule="exact"/>
              <w:rPr>
                <w:sz w:val="20"/>
                <w:szCs w:val="20"/>
                <w:color w:val="auto"/>
              </w:rPr>
            </w:pPr>
            <w:r>
              <w:rPr>
                <w:rFonts w:ascii="Arial" w:cs="Arial" w:eastAsia="Arial" w:hAnsi="Arial"/>
                <w:sz w:val="6"/>
                <w:szCs w:val="6"/>
                <w:color w:val="FFFFFF"/>
              </w:rPr>
              <w:t>For the six months ended</w:t>
            </w:r>
          </w:p>
        </w:tc>
        <w:tc>
          <w:tcPr>
            <w:tcW w:w="3900" w:type="dxa"/>
            <w:vAlign w:val="bottom"/>
          </w:tcPr>
          <w:p>
            <w:pPr>
              <w:spacing w:after="0"/>
              <w:rPr>
                <w:sz w:val="4"/>
                <w:szCs w:val="4"/>
                <w:color w:val="auto"/>
              </w:rPr>
            </w:pPr>
          </w:p>
        </w:tc>
        <w:tc>
          <w:tcPr>
            <w:tcW w:w="4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40" w:type="dxa"/>
            <w:vAlign w:val="bottom"/>
            <w:gridSpan w:val="2"/>
          </w:tcPr>
          <w:p>
            <w:pPr>
              <w:spacing w:after="0"/>
              <w:rPr>
                <w:sz w:val="20"/>
                <w:szCs w:val="20"/>
                <w:color w:val="auto"/>
              </w:rPr>
            </w:pPr>
            <w:r>
              <w:rPr>
                <w:rFonts w:ascii="Arial" w:cs="Arial" w:eastAsia="Arial" w:hAnsi="Arial"/>
                <w:sz w:val="3"/>
                <w:szCs w:val="3"/>
                <w:color w:val="FFFFFF"/>
              </w:rPr>
              <w:t>30 June</w:t>
            </w:r>
          </w:p>
        </w:tc>
        <w:tc>
          <w:tcPr>
            <w:tcW w:w="29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2012</w:t>
            </w:r>
          </w:p>
        </w:tc>
        <w:tc>
          <w:tcPr>
            <w:tcW w:w="3060" w:type="dxa"/>
            <w:vAlign w:val="bottom"/>
            <w:gridSpan w:val="2"/>
          </w:tcPr>
          <w:p>
            <w:pPr>
              <w:jc w:val="right"/>
              <w:ind w:right="2754"/>
              <w:spacing w:after="0"/>
              <w:rPr>
                <w:sz w:val="20"/>
                <w:szCs w:val="20"/>
                <w:color w:val="auto"/>
              </w:rPr>
            </w:pPr>
            <w:r>
              <w:rPr>
                <w:rFonts w:ascii="Arial" w:cs="Arial" w:eastAsia="Arial" w:hAnsi="Arial"/>
                <w:sz w:val="3"/>
                <w:szCs w:val="3"/>
                <w:color w:val="FFFFFF"/>
              </w:rPr>
              <w:t>2011</w:t>
            </w:r>
          </w:p>
        </w:tc>
        <w:tc>
          <w:tcPr>
            <w:tcW w:w="3900" w:type="dxa"/>
            <w:vAlign w:val="bottom"/>
          </w:tcPr>
          <w:p>
            <w:pPr>
              <w:spacing w:after="0"/>
              <w:rPr>
                <w:sz w:val="3"/>
                <w:szCs w:val="3"/>
                <w:color w:val="auto"/>
              </w:rPr>
            </w:pP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60" w:type="dxa"/>
            <w:vAlign w:val="bottom"/>
            <w:gridSpan w:val="3"/>
          </w:tcPr>
          <w:p>
            <w:pPr>
              <w:spacing w:after="0"/>
              <w:rPr>
                <w:sz w:val="20"/>
                <w:szCs w:val="20"/>
                <w:color w:val="auto"/>
              </w:rPr>
            </w:pPr>
            <w:r>
              <w:rPr>
                <w:rFonts w:ascii="Arial" w:cs="Arial" w:eastAsia="Arial" w:hAnsi="Arial"/>
                <w:sz w:val="3"/>
                <w:szCs w:val="3"/>
                <w:color w:val="FFFFFF"/>
              </w:rPr>
              <w:t>HK$ HK$</w:t>
            </w:r>
          </w:p>
        </w:tc>
        <w:tc>
          <w:tcPr>
            <w:tcW w:w="3900" w:type="dxa"/>
            <w:vAlign w:val="bottom"/>
          </w:tcPr>
          <w:p>
            <w:pPr>
              <w:spacing w:after="0"/>
              <w:rPr>
                <w:sz w:val="3"/>
                <w:szCs w:val="3"/>
                <w:color w:val="auto"/>
              </w:rPr>
            </w:pP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60" w:type="dxa"/>
            <w:vAlign w:val="bottom"/>
            <w:gridSpan w:val="3"/>
          </w:tcPr>
          <w:p>
            <w:pPr>
              <w:ind w:left="60"/>
              <w:spacing w:after="0"/>
              <w:rPr>
                <w:sz w:val="20"/>
                <w:szCs w:val="20"/>
                <w:color w:val="auto"/>
              </w:rPr>
            </w:pPr>
            <w:r>
              <w:rPr>
                <w:rFonts w:ascii="Arial" w:cs="Arial" w:eastAsia="Arial" w:hAnsi="Arial"/>
                <w:sz w:val="3"/>
                <w:szCs w:val="3"/>
                <w:color w:val="FFFFFF"/>
              </w:rPr>
              <w:t>in thousands)</w:t>
            </w:r>
          </w:p>
        </w:tc>
        <w:tc>
          <w:tcPr>
            <w:tcW w:w="3900" w:type="dxa"/>
            <w:vAlign w:val="bottom"/>
          </w:tcPr>
          <w:p>
            <w:pPr>
              <w:spacing w:after="0"/>
              <w:rPr>
                <w:sz w:val="3"/>
                <w:szCs w:val="3"/>
                <w:color w:val="auto"/>
              </w:rPr>
            </w:pP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60" w:type="dxa"/>
            <w:vAlign w:val="bottom"/>
            <w:gridSpan w:val="3"/>
          </w:tcPr>
          <w:p>
            <w:pPr>
              <w:spacing w:after="0"/>
              <w:rPr>
                <w:sz w:val="20"/>
                <w:szCs w:val="20"/>
                <w:color w:val="auto"/>
              </w:rPr>
            </w:pPr>
            <w:r>
              <w:rPr>
                <w:rFonts w:ascii="Arial" w:cs="Arial" w:eastAsia="Arial" w:hAnsi="Arial"/>
                <w:sz w:val="3"/>
                <w:szCs w:val="3"/>
                <w:color w:val="FFFFFF"/>
              </w:rPr>
              <w:t>(unaudited) (unaudited)</w:t>
            </w:r>
          </w:p>
        </w:tc>
        <w:tc>
          <w:tcPr>
            <w:tcW w:w="3900" w:type="dxa"/>
            <w:vAlign w:val="bottom"/>
          </w:tcPr>
          <w:p>
            <w:pPr>
              <w:spacing w:after="0"/>
              <w:rPr>
                <w:sz w:val="3"/>
                <w:szCs w:val="3"/>
                <w:color w:val="auto"/>
              </w:rPr>
            </w:pP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60" w:type="dxa"/>
            <w:vAlign w:val="bottom"/>
            <w:gridSpan w:val="3"/>
          </w:tcPr>
          <w:p>
            <w:pPr>
              <w:spacing w:after="0"/>
              <w:rPr>
                <w:sz w:val="20"/>
                <w:szCs w:val="20"/>
                <w:color w:val="auto"/>
              </w:rPr>
            </w:pPr>
            <w:r>
              <w:rPr>
                <w:rFonts w:ascii="Arial" w:cs="Arial" w:eastAsia="Arial" w:hAnsi="Arial"/>
                <w:sz w:val="3"/>
                <w:szCs w:val="3"/>
                <w:color w:val="FFFFFF"/>
              </w:rPr>
              <w:t>Total operating revenues 14,424,899 14,337,783</w:t>
            </w:r>
          </w:p>
        </w:tc>
        <w:tc>
          <w:tcPr>
            <w:tcW w:w="3900" w:type="dxa"/>
            <w:vAlign w:val="bottom"/>
          </w:tcPr>
          <w:p>
            <w:pPr>
              <w:spacing w:after="0"/>
              <w:rPr>
                <w:sz w:val="3"/>
                <w:szCs w:val="3"/>
                <w:color w:val="auto"/>
              </w:rPr>
            </w:pP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60" w:type="dxa"/>
            <w:vAlign w:val="bottom"/>
            <w:gridSpan w:val="4"/>
          </w:tcPr>
          <w:p>
            <w:pPr>
              <w:spacing w:after="0"/>
              <w:rPr>
                <w:sz w:val="20"/>
                <w:szCs w:val="20"/>
                <w:color w:val="auto"/>
              </w:rPr>
            </w:pPr>
            <w:r>
              <w:rPr>
                <w:rFonts w:ascii="Arial" w:cs="Arial" w:eastAsia="Arial" w:hAnsi="Arial"/>
                <w:sz w:val="3"/>
                <w:szCs w:val="3"/>
                <w:color w:val="FFFFFF"/>
              </w:rPr>
              <w:t>Commissions and discounts included in operating revenues 4,127,352 4,160,280</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60" w:type="dxa"/>
            <w:vAlign w:val="bottom"/>
            <w:gridSpan w:val="3"/>
          </w:tcPr>
          <w:p>
            <w:pPr>
              <w:spacing w:after="0"/>
              <w:rPr>
                <w:sz w:val="20"/>
                <w:szCs w:val="20"/>
                <w:color w:val="auto"/>
              </w:rPr>
            </w:pPr>
            <w:r>
              <w:rPr>
                <w:rFonts w:ascii="Arial" w:cs="Arial" w:eastAsia="Arial" w:hAnsi="Arial"/>
                <w:sz w:val="3"/>
                <w:szCs w:val="3"/>
                <w:color w:val="FFFFFF"/>
              </w:rPr>
              <w:t>Promotional allowances 706,546 641,535</w:t>
            </w:r>
          </w:p>
        </w:tc>
        <w:tc>
          <w:tcPr>
            <w:tcW w:w="3900" w:type="dxa"/>
            <w:vAlign w:val="bottom"/>
          </w:tcPr>
          <w:p>
            <w:pPr>
              <w:spacing w:after="0"/>
              <w:rPr>
                <w:sz w:val="3"/>
                <w:szCs w:val="3"/>
                <w:color w:val="auto"/>
              </w:rPr>
            </w:pP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60" w:type="dxa"/>
            <w:vAlign w:val="bottom"/>
            <w:gridSpan w:val="3"/>
          </w:tcPr>
          <w:p>
            <w:pPr>
              <w:spacing w:after="0"/>
              <w:rPr>
                <w:sz w:val="20"/>
                <w:szCs w:val="20"/>
                <w:color w:val="auto"/>
              </w:rPr>
            </w:pPr>
            <w:r>
              <w:rPr>
                <w:rFonts w:ascii="Arial" w:cs="Arial" w:eastAsia="Arial" w:hAnsi="Arial"/>
                <w:sz w:val="3"/>
                <w:szCs w:val="3"/>
                <w:color w:val="FFFFFF"/>
              </w:rPr>
              <w:t>IP gross revenues 19,258,797 19,139,598</w:t>
            </w:r>
          </w:p>
        </w:tc>
        <w:tc>
          <w:tcPr>
            <w:tcW w:w="3900" w:type="dxa"/>
            <w:vAlign w:val="bottom"/>
          </w:tcPr>
          <w:p>
            <w:pPr>
              <w:spacing w:after="0"/>
              <w:rPr>
                <w:sz w:val="3"/>
                <w:szCs w:val="3"/>
                <w:color w:val="auto"/>
              </w:rPr>
            </w:pP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60" w:type="dxa"/>
            <w:vAlign w:val="bottom"/>
            <w:gridSpan w:val="3"/>
          </w:tcPr>
          <w:p>
            <w:pPr>
              <w:spacing w:after="0"/>
              <w:rPr>
                <w:sz w:val="20"/>
                <w:szCs w:val="20"/>
                <w:color w:val="auto"/>
              </w:rPr>
            </w:pPr>
            <w:r>
              <w:rPr>
                <w:rFonts w:ascii="Arial" w:cs="Arial" w:eastAsia="Arial" w:hAnsi="Arial"/>
                <w:sz w:val="3"/>
                <w:szCs w:val="3"/>
                <w:color w:val="FFFFFF"/>
              </w:rPr>
              <w:t>Corporate support services</w:t>
            </w:r>
          </w:p>
        </w:tc>
        <w:tc>
          <w:tcPr>
            <w:tcW w:w="8060" w:type="dxa"/>
            <w:vAlign w:val="bottom"/>
            <w:gridSpan w:val="2"/>
            <w:vMerge w:val="restart"/>
          </w:tcPr>
          <w:p>
            <w:pPr>
              <w:ind w:left="20"/>
              <w:spacing w:after="0" w:line="81" w:lineRule="exact"/>
              <w:rPr>
                <w:sz w:val="20"/>
                <w:szCs w:val="20"/>
                <w:color w:val="auto"/>
              </w:rPr>
            </w:pPr>
            <w:r>
              <w:rPr>
                <w:rFonts w:ascii="Arial" w:cs="Arial" w:eastAsia="Arial" w:hAnsi="Arial"/>
                <w:sz w:val="9"/>
                <w:szCs w:val="9"/>
                <w:color w:val="FFFFFF"/>
              </w:rPr>
              <w:t>the Group. These services consist of a limited number of executives in relevant areas assisting the Group on certain matters. The assistance includes</w:t>
            </w:r>
          </w:p>
        </w:tc>
        <w:tc>
          <w:tcPr>
            <w:tcW w:w="0" w:type="dxa"/>
            <w:vAlign w:val="bottom"/>
          </w:tcPr>
          <w:p>
            <w:pPr>
              <w:spacing w:after="0"/>
              <w:rPr>
                <w:sz w:val="1"/>
                <w:szCs w:val="1"/>
                <w:color w:val="auto"/>
              </w:rPr>
            </w:pPr>
          </w:p>
        </w:tc>
      </w:tr>
      <w:tr>
        <w:trPr>
          <w:trHeight w:val="41"/>
        </w:trPr>
        <w:tc>
          <w:tcPr>
            <w:tcW w:w="3360" w:type="dxa"/>
            <w:vAlign w:val="bottom"/>
            <w:gridSpan w:val="3"/>
          </w:tcPr>
          <w:p>
            <w:pPr>
              <w:spacing w:after="0"/>
              <w:rPr>
                <w:sz w:val="20"/>
                <w:szCs w:val="20"/>
                <w:color w:val="auto"/>
              </w:rPr>
            </w:pPr>
            <w:r>
              <w:rPr>
                <w:rFonts w:ascii="Arial" w:cs="Arial" w:eastAsia="Arial" w:hAnsi="Arial"/>
                <w:sz w:val="3"/>
                <w:szCs w:val="3"/>
                <w:color w:val="FFFFFF"/>
              </w:rPr>
              <w:t>Wynn Resorts, Limited provi es corporate support services</w:t>
            </w:r>
          </w:p>
        </w:tc>
        <w:tc>
          <w:tcPr>
            <w:tcW w:w="80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guidance on certain issues and ensuring that, from a regulatory standpoint, Wynn Resorts, Limited’ standard operating procedures are followed and maintained by the Group. The annual fee for the services</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provided by Wynn Resorts, Limited is based on   allocation of the actual proportion of Wynn Resorts, Limited’s annual corporate departments’ costs (including salaries and benefits for such employees during</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the period in which such services are rendered) and overhead expense related to the provision of such services, and in any event, such annual fee shall not exceed 50% of the aggregate annual corporate</w:t>
            </w:r>
          </w:p>
        </w:tc>
        <w:tc>
          <w:tcPr>
            <w:tcW w:w="0" w:type="dxa"/>
            <w:vAlign w:val="bottom"/>
          </w:tcPr>
          <w:p>
            <w:pPr>
              <w:spacing w:after="0"/>
              <w:rPr>
                <w:sz w:val="1"/>
                <w:szCs w:val="1"/>
                <w:color w:val="auto"/>
              </w:rPr>
            </w:pPr>
          </w:p>
        </w:tc>
      </w:tr>
      <w:tr>
        <w:trPr>
          <w:trHeight w:val="41"/>
        </w:trPr>
        <w:tc>
          <w:tcPr>
            <w:tcW w:w="7260" w:type="dxa"/>
            <w:vAlign w:val="bottom"/>
            <w:gridSpan w:val="4"/>
          </w:tcPr>
          <w:p>
            <w:pPr>
              <w:spacing w:after="0"/>
              <w:rPr>
                <w:sz w:val="20"/>
                <w:szCs w:val="20"/>
                <w:color w:val="auto"/>
              </w:rPr>
            </w:pPr>
            <w:r>
              <w:rPr>
                <w:rFonts w:ascii="Arial" w:cs="Arial" w:eastAsia="Arial" w:hAnsi="Arial"/>
                <w:sz w:val="3"/>
                <w:szCs w:val="3"/>
                <w:color w:val="FFFFFF"/>
              </w:rPr>
              <w:t>departments’ costs and overhead expense incurred by Wynn Resorts, Limited during any financial year.</w:t>
            </w: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Similarly, WML and WRM had reciprocal arrangements to allow Wynn Resorts, Limited or its subsidiaries (other than the Group) to have access to the services of any of the Group’s employees provided that</w:t>
            </w:r>
          </w:p>
        </w:tc>
        <w:tc>
          <w:tcPr>
            <w:tcW w:w="0" w:type="dxa"/>
            <w:vAlign w:val="bottom"/>
          </w:tcPr>
          <w:p>
            <w:pPr>
              <w:spacing w:after="0"/>
              <w:rPr>
                <w:sz w:val="1"/>
                <w:szCs w:val="1"/>
                <w:color w:val="auto"/>
              </w:rPr>
            </w:pPr>
          </w:p>
        </w:tc>
      </w:tr>
      <w:tr>
        <w:trPr>
          <w:trHeight w:val="41"/>
        </w:trPr>
        <w:tc>
          <w:tcPr>
            <w:tcW w:w="3360" w:type="dxa"/>
            <w:vAlign w:val="bottom"/>
            <w:gridSpan w:val="3"/>
          </w:tcPr>
          <w:p>
            <w:pPr>
              <w:ind w:left="60"/>
              <w:spacing w:after="0"/>
              <w:rPr>
                <w:sz w:val="20"/>
                <w:szCs w:val="20"/>
                <w:color w:val="auto"/>
              </w:rPr>
            </w:pPr>
            <w:r>
              <w:rPr>
                <w:rFonts w:ascii="Arial" w:cs="Arial" w:eastAsia="Arial" w:hAnsi="Arial"/>
                <w:sz w:val="3"/>
                <w:szCs w:val="3"/>
                <w:color w:val="FFFFFF"/>
              </w:rPr>
              <w:t>uch services do not materially interfere with such employee’</w:t>
            </w:r>
          </w:p>
        </w:tc>
        <w:tc>
          <w:tcPr>
            <w:tcW w:w="8060" w:type="dxa"/>
            <w:vAlign w:val="bottom"/>
            <w:gridSpan w:val="2"/>
          </w:tcPr>
          <w:p>
            <w:pPr>
              <w:ind w:left="40"/>
              <w:spacing w:after="0"/>
              <w:rPr>
                <w:sz w:val="20"/>
                <w:szCs w:val="20"/>
                <w:color w:val="auto"/>
              </w:rPr>
            </w:pPr>
            <w:r>
              <w:rPr>
                <w:rFonts w:ascii="Arial" w:cs="Arial" w:eastAsia="Arial" w:hAnsi="Arial"/>
                <w:sz w:val="3"/>
                <w:szCs w:val="3"/>
                <w:color w:val="FFFFFF"/>
              </w:rPr>
              <w:t>obligations to, and responsibilities with, the Group. For services provided by the Group’ employees, Wynn Resorts, Limited shall pay for the</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services based on an actual cost (including salaries and benefits for such employees during the period when such services are being rendered) and expense on a reimbursement basis.</w:t>
            </w:r>
          </w:p>
        </w:tc>
        <w:tc>
          <w:tcPr>
            <w:tcW w:w="0" w:type="dxa"/>
            <w:vAlign w:val="bottom"/>
          </w:tcPr>
          <w:p>
            <w:pPr>
              <w:spacing w:after="0"/>
              <w:rPr>
                <w:sz w:val="1"/>
                <w:szCs w:val="1"/>
                <w:color w:val="auto"/>
              </w:rPr>
            </w:pPr>
          </w:p>
        </w:tc>
      </w:tr>
      <w:tr>
        <w:trPr>
          <w:trHeight w:val="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20" w:type="dxa"/>
            <w:vAlign w:val="bottom"/>
            <w:gridSpan w:val="2"/>
          </w:tcPr>
          <w:p>
            <w:pPr>
              <w:ind w:left="860"/>
              <w:spacing w:after="0" w:line="80" w:lineRule="exact"/>
              <w:rPr>
                <w:sz w:val="20"/>
                <w:szCs w:val="20"/>
                <w:color w:val="auto"/>
              </w:rPr>
            </w:pPr>
            <w:r>
              <w:rPr>
                <w:rFonts w:ascii="Arial" w:cs="Arial" w:eastAsia="Arial" w:hAnsi="Arial"/>
                <w:sz w:val="9"/>
                <w:szCs w:val="9"/>
                <w:color w:val="FFFFFF"/>
              </w:rPr>
              <w:t>allows WRM and its employees to use aircraft assets owned by Wynn Resorts, Limited and its subsidiaries</w:t>
            </w:r>
          </w:p>
        </w:tc>
        <w:tc>
          <w:tcPr>
            <w:tcW w:w="4160" w:type="dxa"/>
            <w:vAlign w:val="bottom"/>
          </w:tcPr>
          <w:p>
            <w:pPr>
              <w:ind w:left="200"/>
              <w:spacing w:after="0" w:line="80" w:lineRule="exact"/>
              <w:rPr>
                <w:sz w:val="20"/>
                <w:szCs w:val="20"/>
                <w:color w:val="auto"/>
              </w:rPr>
            </w:pPr>
            <w:r>
              <w:rPr>
                <w:rFonts w:ascii="Arial" w:cs="Arial" w:eastAsia="Arial" w:hAnsi="Arial"/>
                <w:sz w:val="9"/>
                <w:szCs w:val="9"/>
                <w:color w:val="FFFFFF"/>
              </w:rPr>
              <w:t>than the Group) at hourly rates set by Las Vegas Jet, LLC, a subsidiary of</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Wynn Resorts, Limited. Similarly, WRM has reciprocal arrangements to allow Wynn Resorts, Limited or its subsidiaries (other than(otherGroup) to use any aircraft assets that the Group could own in the future.</w:t>
      </w:r>
    </w:p>
    <w:p>
      <w:pPr>
        <w:sectPr>
          <w:pgSz w:w="11900" w:h="16838" w:orient="portrait"/>
          <w:cols w:equalWidth="0" w:num="1">
            <w:col w:w="11420"/>
          </w:cols>
          <w:pgMar w:left="240" w:top="1440" w:right="23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color w:val="FFFFFF"/>
                <w:w w:val="93"/>
              </w:rPr>
              <w:t>Interim</w:t>
            </w:r>
          </w:p>
        </w:tc>
        <w:tc>
          <w:tcPr>
            <w:tcW w:w="920" w:type="dxa"/>
            <w:vAlign w:val="bottom"/>
          </w:tcPr>
          <w:p>
            <w:pPr>
              <w:ind w:left="20"/>
              <w:spacing w:after="0"/>
              <w:rPr>
                <w:sz w:val="20"/>
                <w:szCs w:val="20"/>
                <w:color w:val="auto"/>
              </w:rPr>
            </w:pPr>
            <w:r>
              <w:rPr>
                <w:rFonts w:ascii="Arial" w:cs="Arial" w:eastAsia="Arial" w:hAnsi="Arial"/>
                <w:sz w:val="14"/>
                <w:szCs w:val="14"/>
                <w:color w:val="FFFFFF"/>
                <w:w w:val="91"/>
              </w:rPr>
              <w:t>Report 2012 77</w:t>
            </w:r>
          </w:p>
        </w:tc>
        <w:tc>
          <w:tcPr>
            <w:tcW w:w="23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20" w:type="dxa"/>
            <w:vAlign w:val="bottom"/>
            <w:vMerge w:val="continue"/>
          </w:tcPr>
          <w:p>
            <w:pPr>
              <w:spacing w:after="0"/>
              <w:rPr>
                <w:sz w:val="3"/>
                <w:szCs w:val="3"/>
                <w:color w:val="auto"/>
              </w:rPr>
            </w:pPr>
          </w:p>
        </w:tc>
        <w:tc>
          <w:tcPr>
            <w:tcW w:w="3240" w:type="dxa"/>
            <w:vAlign w:val="bottom"/>
            <w:gridSpan w:val="2"/>
          </w:tcPr>
          <w:p>
            <w:pPr>
              <w:ind w:left="20"/>
              <w:spacing w:after="0"/>
              <w:rPr>
                <w:sz w:val="20"/>
                <w:szCs w:val="20"/>
                <w:color w:val="auto"/>
              </w:rPr>
            </w:pPr>
            <w:r>
              <w:rPr>
                <w:rFonts w:ascii="Arial" w:cs="Arial" w:eastAsia="Arial" w:hAnsi="Arial"/>
                <w:sz w:val="3"/>
                <w:szCs w:val="3"/>
                <w:color w:val="FFFFFF"/>
              </w:rPr>
              <w:t>Financial Information</w:t>
            </w:r>
          </w:p>
        </w:tc>
        <w:tc>
          <w:tcPr>
            <w:tcW w:w="6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6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c>
          <w:tcPr>
            <w:tcW w:w="6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60" w:type="dxa"/>
            <w:vAlign w:val="bottom"/>
            <w:gridSpan w:val="3"/>
          </w:tcPr>
          <w:p>
            <w:pPr>
              <w:spacing w:after="0"/>
              <w:rPr>
                <w:sz w:val="20"/>
                <w:szCs w:val="20"/>
                <w:color w:val="auto"/>
              </w:rPr>
            </w:pPr>
            <w:r>
              <w:rPr>
                <w:rFonts w:ascii="Arial" w:cs="Arial" w:eastAsia="Arial" w:hAnsi="Arial"/>
                <w:sz w:val="3"/>
                <w:szCs w:val="3"/>
                <w:color w:val="FFFFFF"/>
              </w:rPr>
              <w:t>For the six months ended 30 June 2012</w:t>
            </w:r>
          </w:p>
        </w:tc>
        <w:tc>
          <w:tcPr>
            <w:tcW w:w="6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18.</w:t>
            </w:r>
          </w:p>
        </w:tc>
        <w:tc>
          <w:tcPr>
            <w:tcW w:w="3240" w:type="dxa"/>
            <w:vAlign w:val="bottom"/>
            <w:gridSpan w:val="2"/>
          </w:tcPr>
          <w:p>
            <w:pPr>
              <w:ind w:left="40"/>
              <w:spacing w:after="0"/>
              <w:rPr>
                <w:sz w:val="20"/>
                <w:szCs w:val="20"/>
                <w:color w:val="auto"/>
              </w:rPr>
            </w:pPr>
            <w:r>
              <w:rPr>
                <w:rFonts w:ascii="Arial" w:cs="Arial" w:eastAsia="Arial" w:hAnsi="Arial"/>
                <w:sz w:val="3"/>
                <w:szCs w:val="3"/>
                <w:color w:val="FFFFFF"/>
              </w:rPr>
              <w:t>RELATED PARTY DISCLOSURES (continued)</w:t>
            </w:r>
          </w:p>
        </w:tc>
        <w:tc>
          <w:tcPr>
            <w:tcW w:w="6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340" w:type="dxa"/>
            <w:vAlign w:val="bottom"/>
            <w:gridSpan w:val="2"/>
          </w:tcPr>
          <w:p>
            <w:pPr>
              <w:spacing w:after="0" w:line="54" w:lineRule="exact"/>
              <w:rPr>
                <w:sz w:val="20"/>
                <w:szCs w:val="20"/>
                <w:color w:val="auto"/>
              </w:rPr>
            </w:pPr>
            <w:r>
              <w:rPr>
                <w:rFonts w:ascii="Arial" w:cs="Arial" w:eastAsia="Arial" w:hAnsi="Arial"/>
                <w:sz w:val="6"/>
                <w:szCs w:val="6"/>
                <w:color w:val="FFFFFF"/>
              </w:rPr>
              <w:t>Notes: (continued)</w:t>
            </w:r>
          </w:p>
        </w:tc>
        <w:tc>
          <w:tcPr>
            <w:tcW w:w="2320" w:type="dxa"/>
            <w:vAlign w:val="bottom"/>
          </w:tcPr>
          <w:p>
            <w:pPr>
              <w:spacing w:after="0"/>
              <w:rPr>
                <w:sz w:val="4"/>
                <w:szCs w:val="4"/>
                <w:color w:val="auto"/>
              </w:rPr>
            </w:pPr>
          </w:p>
        </w:tc>
        <w:tc>
          <w:tcPr>
            <w:tcW w:w="6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3240" w:type="dxa"/>
            <w:vAlign w:val="bottom"/>
            <w:gridSpan w:val="2"/>
          </w:tcPr>
          <w:p>
            <w:pPr>
              <w:jc w:val="right"/>
              <w:ind w:right="1843"/>
              <w:spacing w:after="0"/>
              <w:rPr>
                <w:sz w:val="20"/>
                <w:szCs w:val="20"/>
                <w:color w:val="auto"/>
              </w:rPr>
            </w:pPr>
            <w:r>
              <w:rPr>
                <w:rFonts w:ascii="Arial" w:cs="Arial" w:eastAsia="Arial" w:hAnsi="Arial"/>
                <w:sz w:val="3"/>
                <w:szCs w:val="3"/>
                <w:color w:val="FFFFFF"/>
              </w:rPr>
              <w:t>marketing expenses</w:t>
            </w:r>
          </w:p>
        </w:tc>
        <w:tc>
          <w:tcPr>
            <w:tcW w:w="7680" w:type="dxa"/>
            <w:vAlign w:val="bottom"/>
            <w:gridSpan w:val="2"/>
            <w:vMerge w:val="restart"/>
          </w:tcPr>
          <w:p>
            <w:pPr>
              <w:ind w:left="440"/>
              <w:spacing w:after="0" w:line="81" w:lineRule="exact"/>
              <w:rPr>
                <w:sz w:val="20"/>
                <w:szCs w:val="20"/>
                <w:color w:val="auto"/>
              </w:rPr>
            </w:pPr>
            <w:r>
              <w:rPr>
                <w:rFonts w:ascii="Arial" w:cs="Arial" w:eastAsia="Arial" w:hAnsi="Arial"/>
                <w:sz w:val="9"/>
                <w:szCs w:val="9"/>
                <w:color w:val="FFFFFF"/>
              </w:rPr>
              <w:t>promotional, and marketing services as well as a limited number of marketing executives to attract and introduce customers to WRM,</w:t>
            </w:r>
          </w:p>
        </w:tc>
        <w:tc>
          <w:tcPr>
            <w:tcW w:w="0" w:type="dxa"/>
            <w:vAlign w:val="bottom"/>
          </w:tcPr>
          <w:p>
            <w:pPr>
              <w:spacing w:after="0"/>
              <w:rPr>
                <w:sz w:val="1"/>
                <w:szCs w:val="1"/>
                <w:color w:val="auto"/>
              </w:rPr>
            </w:pPr>
          </w:p>
        </w:tc>
      </w:tr>
      <w:tr>
        <w:trPr>
          <w:trHeight w:val="41"/>
        </w:trPr>
        <w:tc>
          <w:tcPr>
            <w:tcW w:w="3660" w:type="dxa"/>
            <w:vAlign w:val="bottom"/>
            <w:gridSpan w:val="3"/>
          </w:tcPr>
          <w:p>
            <w:pPr>
              <w:spacing w:after="0"/>
              <w:rPr>
                <w:sz w:val="20"/>
                <w:szCs w:val="20"/>
                <w:color w:val="auto"/>
              </w:rPr>
            </w:pPr>
            <w:r>
              <w:rPr>
                <w:rFonts w:ascii="Arial" w:cs="Arial" w:eastAsia="Arial" w:hAnsi="Arial"/>
                <w:sz w:val="3"/>
                <w:szCs w:val="3"/>
                <w:color w:val="FFFFFF"/>
              </w:rPr>
              <w:t>InternationalWIML,subsidiary of Wynn Resorts, Limited, (i) provides</w:t>
            </w:r>
          </w:p>
        </w:tc>
        <w:tc>
          <w:tcPr>
            <w:tcW w:w="76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520" w:type="dxa"/>
            <w:vAlign w:val="bottom"/>
            <w:gridSpan w:val="4"/>
          </w:tcPr>
          <w:p>
            <w:pPr>
              <w:spacing w:after="0"/>
              <w:rPr>
                <w:sz w:val="20"/>
                <w:szCs w:val="20"/>
                <w:color w:val="auto"/>
              </w:rPr>
            </w:pPr>
            <w:r>
              <w:rPr>
                <w:rFonts w:ascii="Arial" w:cs="Arial" w:eastAsia="Arial" w:hAnsi="Arial"/>
                <w:sz w:val="3"/>
                <w:szCs w:val="3"/>
                <w:color w:val="FFFFFF"/>
              </w:rPr>
              <w:t>and (ii) employs certain non-Macau residents based in or to beadministrative,basedMacau (“Foreign Resident Staff”) on the Company’s behalf and seconds the Foreign Resident Staff to the Group.</w:t>
            </w: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These administrative, promotional and marketing services are provided through branch offices located   various cities around the world under the direction and supervision provided by WIML. For the services</w:t>
            </w:r>
          </w:p>
        </w:tc>
        <w:tc>
          <w:tcPr>
            <w:tcW w:w="0" w:type="dxa"/>
            <w:vAlign w:val="bottom"/>
          </w:tcPr>
          <w:p>
            <w:pPr>
              <w:spacing w:after="0"/>
              <w:rPr>
                <w:sz w:val="1"/>
                <w:szCs w:val="1"/>
                <w:color w:val="auto"/>
              </w:rPr>
            </w:pPr>
          </w:p>
        </w:tc>
      </w:tr>
      <w:tr>
        <w:trPr>
          <w:trHeight w:val="41"/>
        </w:trPr>
        <w:tc>
          <w:tcPr>
            <w:tcW w:w="10520" w:type="dxa"/>
            <w:vAlign w:val="bottom"/>
            <w:gridSpan w:val="4"/>
          </w:tcPr>
          <w:p>
            <w:pPr>
              <w:spacing w:after="0"/>
              <w:rPr>
                <w:sz w:val="20"/>
                <w:szCs w:val="20"/>
                <w:color w:val="auto"/>
              </w:rPr>
            </w:pPr>
            <w:r>
              <w:rPr>
                <w:rFonts w:ascii="Arial" w:cs="Arial" w:eastAsia="Arial" w:hAnsi="Arial"/>
                <w:sz w:val="3"/>
                <w:szCs w:val="3"/>
                <w:color w:val="FFFFFF"/>
              </w:rPr>
              <w:t>provided under this arrangement, WIML charges a service fee equal to the total costs it incurs in rendering the services plus 5%.</w:t>
            </w: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40" w:type="dxa"/>
            <w:vAlign w:val="bottom"/>
            <w:gridSpan w:val="2"/>
          </w:tcPr>
          <w:p>
            <w:pPr>
              <w:spacing w:after="0"/>
              <w:rPr>
                <w:sz w:val="20"/>
                <w:szCs w:val="20"/>
                <w:color w:val="auto"/>
              </w:rPr>
            </w:pPr>
            <w:r>
              <w:rPr>
                <w:rFonts w:ascii="Arial" w:cs="Arial" w:eastAsia="Arial" w:hAnsi="Arial"/>
                <w:sz w:val="3"/>
                <w:szCs w:val="3"/>
                <w:color w:val="FFFFFF"/>
              </w:rPr>
              <w:t>Staff secondment</w:t>
            </w:r>
          </w:p>
        </w:tc>
        <w:tc>
          <w:tcPr>
            <w:tcW w:w="2320" w:type="dxa"/>
            <w:vAlign w:val="bottom"/>
          </w:tcPr>
          <w:p>
            <w:pPr>
              <w:jc w:val="right"/>
              <w:ind w:right="1843"/>
              <w:spacing w:after="0"/>
              <w:rPr>
                <w:sz w:val="20"/>
                <w:szCs w:val="20"/>
                <w:color w:val="auto"/>
              </w:rPr>
            </w:pPr>
            <w:r>
              <w:rPr>
                <w:rFonts w:ascii="Arial" w:cs="Arial" w:eastAsia="Arial" w:hAnsi="Arial"/>
                <w:sz w:val="3"/>
                <w:szCs w:val="3"/>
                <w:color w:val="FFFFFF"/>
              </w:rPr>
              <w:t>charges</w:t>
            </w:r>
          </w:p>
        </w:tc>
        <w:tc>
          <w:tcPr>
            <w:tcW w:w="6860" w:type="dxa"/>
            <w:vAlign w:val="bottom"/>
          </w:tcPr>
          <w:p>
            <w:pPr>
              <w:spacing w:after="0"/>
              <w:rPr>
                <w:sz w:val="3"/>
                <w:szCs w:val="3"/>
                <w:color w:val="auto"/>
              </w:rPr>
            </w:pPr>
          </w:p>
        </w:tc>
        <w:tc>
          <w:tcPr>
            <w:tcW w:w="820" w:type="dxa"/>
            <w:vAlign w:val="bottom"/>
            <w:vMerge w:val="restart"/>
          </w:tcPr>
          <w:p>
            <w:pPr>
              <w:ind w:left="220"/>
              <w:spacing w:after="0"/>
              <w:rPr>
                <w:sz w:val="20"/>
                <w:szCs w:val="20"/>
                <w:color w:val="auto"/>
              </w:rPr>
            </w:pPr>
            <w:r>
              <w:rPr>
                <w:rFonts w:ascii="Arial" w:cs="Arial" w:eastAsia="Arial" w:hAnsi="Arial"/>
                <w:sz w:val="3"/>
                <w:szCs w:val="3"/>
                <w:color w:val="FFFFFF"/>
              </w:rPr>
              <w:t>the</w:t>
            </w:r>
          </w:p>
        </w:tc>
        <w:tc>
          <w:tcPr>
            <w:tcW w:w="0" w:type="dxa"/>
            <w:vAlign w:val="bottom"/>
          </w:tcPr>
          <w:p>
            <w:pPr>
              <w:spacing w:after="0"/>
              <w:rPr>
                <w:sz w:val="1"/>
                <w:szCs w:val="1"/>
                <w:color w:val="auto"/>
              </w:rPr>
            </w:pPr>
          </w:p>
        </w:tc>
      </w:tr>
      <w:tr>
        <w:trPr>
          <w:trHeight w:val="0"/>
        </w:trPr>
        <w:tc>
          <w:tcPr>
            <w:tcW w:w="10520" w:type="dxa"/>
            <w:vAlign w:val="bottom"/>
            <w:gridSpan w:val="4"/>
          </w:tcPr>
          <w:p>
            <w:pPr>
              <w:spacing w:after="0" w:line="80" w:lineRule="exact"/>
              <w:rPr>
                <w:sz w:val="20"/>
                <w:szCs w:val="20"/>
                <w:color w:val="auto"/>
              </w:rPr>
            </w:pPr>
            <w:r>
              <w:rPr>
                <w:rFonts w:ascii="Arial" w:cs="Arial" w:eastAsia="Arial" w:hAnsi="Arial"/>
                <w:sz w:val="9"/>
                <w:szCs w:val="9"/>
                <w:color w:val="FFFFFF"/>
              </w:rPr>
              <w:t>Worldwide Wynn,payrollsubsidiary of Wynn Resorts, Limited, is responsible for supplying management personnel to WRM for pre-determined lengths of time through secondment arrangements.</w:t>
            </w: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40"/>
        <w:spacing w:after="0"/>
        <w:rPr>
          <w:sz w:val="20"/>
          <w:szCs w:val="20"/>
          <w:color w:val="auto"/>
        </w:rPr>
      </w:pPr>
      <w:r>
        <w:rPr>
          <w:rFonts w:ascii="Arial" w:cs="Arial" w:eastAsia="Arial" w:hAnsi="Arial"/>
          <w:sz w:val="5"/>
          <w:szCs w:val="5"/>
          <w:color w:val="FFFFFF"/>
        </w:rPr>
        <w:t>secondment period, employees are expected to devote their efforts and all of their business time and attention to the operations and functions of WRM. The seconded employees live and workDuringMacau for the duration of the secondment periods. Worldwide Wynn was compensated for these services with a service fee equal to its aggregate costs plus 5% to Worldwide Wynn of the seconded employees during the periods of secondment to WRM, including:</w:t>
      </w:r>
    </w:p>
    <w:p>
      <w:pPr>
        <w:spacing w:after="0" w:line="183" w:lineRule="auto"/>
        <w:rPr>
          <w:sz w:val="20"/>
          <w:szCs w:val="20"/>
          <w:color w:val="auto"/>
        </w:rPr>
      </w:pPr>
      <w:r>
        <w:rPr>
          <w:rFonts w:ascii="Arial" w:cs="Arial" w:eastAsia="Arial" w:hAnsi="Arial"/>
          <w:sz w:val="12"/>
          <w:szCs w:val="12"/>
          <w:color w:val="FFFFFF"/>
        </w:rPr>
        <w:t>Wages-regular and overtime;</w:t>
      </w:r>
    </w:p>
    <w:p>
      <w:pPr>
        <w:spacing w:after="0" w:line="189" w:lineRule="auto"/>
        <w:rPr>
          <w:sz w:val="20"/>
          <w:szCs w:val="20"/>
          <w:color w:val="auto"/>
        </w:rPr>
      </w:pPr>
      <w:r>
        <w:rPr>
          <w:rFonts w:ascii="Arial" w:cs="Arial" w:eastAsia="Arial" w:hAnsi="Arial"/>
          <w:sz w:val="9"/>
          <w:szCs w:val="9"/>
          <w:color w:val="FFFFFF"/>
        </w:rPr>
        <w:t>VacationBonuses andpay commissions;andsickleave;</w:t>
      </w:r>
    </w:p>
    <w:p>
      <w:pPr>
        <w:spacing w:after="0" w:line="188" w:lineRule="auto"/>
        <w:rPr>
          <w:sz w:val="20"/>
          <w:szCs w:val="20"/>
          <w:color w:val="auto"/>
        </w:rPr>
      </w:pPr>
      <w:r>
        <w:rPr>
          <w:rFonts w:ascii="Arial" w:cs="Arial" w:eastAsia="Arial" w:hAnsi="Arial"/>
          <w:sz w:val="9"/>
          <w:szCs w:val="9"/>
          <w:color w:val="FFFFFF"/>
          <w:vertAlign w:val="subscript"/>
        </w:rPr>
        <w:t>Employer</w:t>
      </w:r>
      <w:r>
        <w:rPr>
          <w:rFonts w:ascii="Arial" w:cs="Arial" w:eastAsia="Arial" w:hAnsi="Arial"/>
          <w:sz w:val="7"/>
          <w:szCs w:val="7"/>
          <w:color w:val="FFFFFF"/>
        </w:rPr>
        <w:t>e</w:t>
      </w:r>
      <w:r>
        <w:rPr>
          <w:rFonts w:ascii="Arial" w:cs="Arial" w:eastAsia="Arial" w:hAnsi="Arial"/>
          <w:sz w:val="9"/>
          <w:szCs w:val="9"/>
          <w:color w:val="FFFFFF"/>
          <w:vertAlign w:val="subscript"/>
        </w:rPr>
        <w:t>-paid</w:t>
      </w:r>
      <w:r>
        <w:rPr>
          <w:rFonts w:ascii="Arial" w:cs="Arial" w:eastAsia="Arial" w:hAnsi="Arial"/>
          <w:sz w:val="7"/>
          <w:szCs w:val="7"/>
          <w:color w:val="FFFFFF"/>
        </w:rPr>
        <w:t>benefitfederal,plans,stateincludingorlocalhealthtaxesinsurance,orworkers’lifecompensationinsurance,andcostsotherandinsuranceunemploymentor401ktaxes;plans;and</w:t>
      </w:r>
    </w:p>
    <w:p>
      <w:pPr>
        <w:spacing w:after="0" w:line="211" w:lineRule="auto"/>
        <w:rPr>
          <w:sz w:val="20"/>
          <w:szCs w:val="20"/>
          <w:color w:val="auto"/>
        </w:rPr>
      </w:pPr>
      <w:r>
        <w:rPr>
          <w:rFonts w:ascii="Arial" w:cs="Arial" w:eastAsia="Arial" w:hAnsi="Arial"/>
          <w:sz w:val="2"/>
          <w:szCs w:val="2"/>
          <w:color w:val="FFFFFF"/>
        </w:rPr>
        <w:t>Design/developmentbusiness</w:t>
      </w:r>
      <w:r>
        <w:rPr>
          <w:rFonts w:ascii="Arial" w:cs="Arial" w:eastAsia="Arial" w:hAnsi="Arial"/>
          <w:sz w:val="4"/>
          <w:szCs w:val="4"/>
          <w:color w:val="FFFFFF"/>
          <w:vertAlign w:val="superscript"/>
        </w:rPr>
        <w:t>payroll</w:t>
      </w:r>
      <w:r>
        <w:rPr>
          <w:rFonts w:ascii="Arial" w:cs="Arial" w:eastAsia="Arial" w:hAnsi="Arial"/>
          <w:sz w:val="2"/>
          <w:szCs w:val="2"/>
          <w:color w:val="FFFFFF"/>
        </w:rPr>
        <w:t>expenses and employee international allowances.</w:t>
      </w:r>
    </w:p>
    <w:p>
      <w:pPr>
        <w:spacing w:after="0" w:line="190" w:lineRule="auto"/>
        <w:rPr>
          <w:sz w:val="20"/>
          <w:szCs w:val="20"/>
          <w:color w:val="auto"/>
        </w:rPr>
      </w:pPr>
      <w:r>
        <w:rPr>
          <w:rFonts w:ascii="Arial" w:cs="Arial" w:eastAsia="Arial" w:hAnsi="Arial"/>
          <w:sz w:val="11"/>
          <w:szCs w:val="11"/>
          <w:color w:val="FFFFFF"/>
        </w:rPr>
        <w:t>Wynn and Development provides design and development services to the Group in connection with the Group’s project in Cotai. Service fee is charged at cost incurred by Wynn Design and Development to the Group for the services provided.</w:t>
      </w:r>
    </w:p>
    <w:p>
      <w:pPr>
        <w:sectPr>
          <w:pgSz w:w="11900" w:h="16838" w:orient="portrait"/>
          <w:cols w:equalWidth="0" w:num="1">
            <w:col w:w="11400"/>
          </w:cols>
          <w:pgMar w:left="240" w:top="1440" w:right="25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Interim78WynnFinancialMacau, LimitedInformation</w:t>
      </w:r>
    </w:p>
    <w:p>
      <w:pPr>
        <w:spacing w:after="0" w:line="187" w:lineRule="auto"/>
        <w:rPr>
          <w:sz w:val="20"/>
          <w:szCs w:val="20"/>
          <w:color w:val="auto"/>
        </w:rPr>
      </w:pPr>
      <w:r>
        <w:rPr>
          <w:rFonts w:ascii="Arial" w:cs="Arial" w:eastAsia="Arial" w:hAnsi="Arial"/>
          <w:sz w:val="9"/>
          <w:szCs w:val="9"/>
          <w:color w:val="FFFFFF"/>
        </w:rPr>
        <w:t>Notes to Interim Financial Information</w:t>
      </w:r>
    </w:p>
    <w:p>
      <w:pPr>
        <w:spacing w:after="0" w:line="213" w:lineRule="auto"/>
        <w:rPr>
          <w:sz w:val="20"/>
          <w:szCs w:val="20"/>
          <w:color w:val="auto"/>
        </w:rPr>
      </w:pPr>
      <w:r>
        <w:rPr>
          <w:rFonts w:ascii="Arial" w:cs="Arial" w:eastAsia="Arial" w:hAnsi="Arial"/>
          <w:sz w:val="2"/>
          <w:szCs w:val="2"/>
          <w:color w:val="FFFFFF"/>
        </w:rPr>
        <w:t>RELATEDForthesix monthsPARTYendedDISCLOSURES30June2012</w:t>
      </w:r>
      <w:r>
        <w:rPr>
          <w:rFonts w:ascii="Arial" w:cs="Arial" w:eastAsia="Arial" w:hAnsi="Arial"/>
          <w:sz w:val="4"/>
          <w:szCs w:val="4"/>
          <w:color w:val="FFFFFF"/>
          <w:vertAlign w:val="subscript"/>
        </w:rPr>
        <w:t>(continued)</w:t>
      </w:r>
    </w:p>
    <w:p>
      <w:pPr>
        <w:spacing w:after="0" w:line="181" w:lineRule="auto"/>
        <w:rPr>
          <w:sz w:val="20"/>
          <w:szCs w:val="20"/>
          <w:color w:val="auto"/>
        </w:rPr>
      </w:pPr>
      <w:r>
        <w:rPr>
          <w:rFonts w:ascii="Arial" w:cs="Arial" w:eastAsia="Arial" w:hAnsi="Arial"/>
          <w:sz w:val="7"/>
          <w:szCs w:val="7"/>
          <w:color w:val="FFFFFF"/>
        </w:rPr>
        <w:t>The above transactions were carried out terms mutually agreed between the Group and the related companies. There were no significant charges from the Group to the related companies during the six months ended 30 June 2012 and 2011. In the opinion of the Directors, the related party transactions were conducted in the ordinary and usual course of the Group’s business.</w:t>
      </w:r>
    </w:p>
    <w:p>
      <w:pPr>
        <w:spacing w:after="0"/>
        <w:rPr>
          <w:sz w:val="20"/>
          <w:szCs w:val="20"/>
          <w:color w:val="auto"/>
        </w:rPr>
      </w:pPr>
      <w:r>
        <w:rPr>
          <w:rFonts w:ascii="Arial" w:cs="Arial" w:eastAsia="Arial" w:hAnsi="Arial"/>
          <w:sz w:val="3"/>
          <w:szCs w:val="3"/>
          <w:color w:val="FFFFFF"/>
        </w:rPr>
        <w:t>HomeAllsuchPurchaseoutstanding balances between the Group and the related companies are deemed to be trade in nature.</w:t>
      </w:r>
    </w:p>
    <w:p>
      <w:pPr>
        <w:spacing w:after="0" w:line="6" w:lineRule="exact"/>
        <w:rPr>
          <w:sz w:val="20"/>
          <w:szCs w:val="20"/>
          <w:color w:val="auto"/>
        </w:rPr>
      </w:pPr>
    </w:p>
    <w:p>
      <w:pPr>
        <w:ind w:right="60"/>
        <w:spacing w:after="0"/>
        <w:rPr>
          <w:sz w:val="20"/>
          <w:szCs w:val="20"/>
          <w:color w:val="auto"/>
        </w:rPr>
      </w:pPr>
      <w:r>
        <w:rPr>
          <w:rFonts w:ascii="Arial" w:cs="Arial" w:eastAsia="Arial" w:hAnsi="Arial"/>
          <w:sz w:val="10"/>
          <w:szCs w:val="10"/>
          <w:color w:val="FFFFFF"/>
        </w:rPr>
        <w:t>In May 2010, Worldwide Wynn entered into a new employment agreement with Linda Chen, who is also a director of Wynn Macau, Limited and Wynn Resorts, Limited. Under the terms of the employment agreement, Worldwide Wynn caused WRM to purchase a house in Macau for use by Ms. Chen. As at 30 June 2012, the net carrying amount of the house together with improvements and its land lease right was HK$63.8 million (31 December 2011: HK$58.6 million).</w:t>
      </w:r>
    </w:p>
    <w:p>
      <w:pPr>
        <w:sectPr>
          <w:pgSz w:w="11900" w:h="16838" w:orient="portrait"/>
          <w:cols w:equalWidth="0" w:num="1">
            <w:col w:w="11400"/>
          </w:cols>
          <w:pgMar w:left="240" w:top="1440" w:right="25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FFFFFF"/>
        </w:rPr>
        <w:t>DefinitionsInterimReport 2012 79</w:t>
      </w:r>
    </w:p>
    <w:p>
      <w:pPr>
        <w:spacing w:after="0" w:line="187" w:lineRule="auto"/>
        <w:rPr>
          <w:sz w:val="20"/>
          <w:szCs w:val="20"/>
          <w:color w:val="auto"/>
        </w:rPr>
      </w:pPr>
      <w:r>
        <w:rPr>
          <w:rFonts w:ascii="Arial" w:cs="Arial" w:eastAsia="Arial" w:hAnsi="Arial"/>
          <w:sz w:val="9"/>
          <w:szCs w:val="9"/>
          <w:color w:val="FFFFFF"/>
        </w:rPr>
        <w:t>“Amended Wynn Macau together, the HK$5.8 billion (equivalent) fully-funded senior</w:t>
      </w:r>
    </w:p>
    <w:p>
      <w:pPr>
        <w:spacing w:after="0"/>
        <w:rPr>
          <w:sz w:val="20"/>
          <w:szCs w:val="20"/>
          <w:color w:val="auto"/>
        </w:rPr>
      </w:pPr>
      <w:r>
        <w:rPr>
          <w:rFonts w:ascii="Arial" w:cs="Arial" w:eastAsia="Arial" w:hAnsi="Arial"/>
          <w:sz w:val="3"/>
          <w:szCs w:val="3"/>
          <w:color w:val="FFFFFF"/>
        </w:rPr>
        <w:t>revolvingCreditFacilities”creditfacilitiestermloanextendedfacilitiestoandWRMthe HK$12.1 billion (equivalent) senior</w:t>
      </w:r>
    </w:p>
    <w:p>
      <w:pPr>
        <w:spacing w:after="0" w:line="194" w:lineRule="auto"/>
        <w:rPr>
          <w:sz w:val="20"/>
          <w:szCs w:val="20"/>
          <w:color w:val="auto"/>
        </w:rPr>
      </w:pPr>
      <w:r>
        <w:rPr>
          <w:rFonts w:ascii="Arial" w:cs="Arial" w:eastAsia="Arial" w:hAnsi="Arial"/>
          <w:sz w:val="5"/>
          <w:szCs w:val="5"/>
          <w:color w:val="FFFFFF"/>
          <w:vertAlign w:val="subscript"/>
        </w:rPr>
        <w:t>“Code”</w:t>
      </w:r>
      <w:r>
        <w:rPr>
          <w:rFonts w:ascii="Arial" w:cs="Arial" w:eastAsia="Arial" w:hAnsi="Arial"/>
          <w:sz w:val="3"/>
          <w:szCs w:val="3"/>
          <w:color w:val="FFFFFF"/>
        </w:rPr>
        <w:t>Bard of Directors”</w:t>
      </w:r>
      <w:r>
        <w:rPr>
          <w:rFonts w:ascii="Arial" w:cs="Arial" w:eastAsia="Arial" w:hAnsi="Arial"/>
          <w:sz w:val="5"/>
          <w:szCs w:val="5"/>
          <w:color w:val="FFFFFF"/>
          <w:vertAlign w:val="subscript"/>
        </w:rPr>
        <w:t>Corporate</w:t>
      </w:r>
      <w:r>
        <w:rPr>
          <w:rFonts w:ascii="Arial" w:cs="Arial" w:eastAsia="Arial" w:hAnsi="Arial"/>
          <w:sz w:val="3"/>
          <w:szCs w:val="3"/>
          <w:color w:val="FFFFFF"/>
        </w:rPr>
        <w:t>“Board” the board of Directors of our Company</w:t>
      </w:r>
    </w:p>
    <w:p>
      <w:pPr>
        <w:ind w:left="440"/>
        <w:spacing w:after="0" w:line="188" w:lineRule="auto"/>
        <w:tabs>
          <w:tab w:leader="none" w:pos="1680" w:val="left"/>
        </w:tabs>
        <w:rPr>
          <w:sz w:val="20"/>
          <w:szCs w:val="20"/>
          <w:color w:val="auto"/>
        </w:rPr>
      </w:pPr>
      <w:r>
        <w:rPr>
          <w:rFonts w:ascii="Arial" w:cs="Arial" w:eastAsia="Arial" w:hAnsi="Arial"/>
          <w:sz w:val="9"/>
          <w:szCs w:val="9"/>
          <w:color w:val="FFFFFF"/>
        </w:rPr>
        <w:t>the Code on</w:t>
      </w:r>
      <w:r>
        <w:rPr>
          <w:sz w:val="20"/>
          <w:szCs w:val="20"/>
          <w:color w:val="auto"/>
        </w:rPr>
        <w:tab/>
      </w:r>
      <w:r>
        <w:rPr>
          <w:rFonts w:ascii="Arial" w:cs="Arial" w:eastAsia="Arial" w:hAnsi="Arial"/>
          <w:sz w:val="9"/>
          <w:szCs w:val="9"/>
          <w:color w:val="FFFFFF"/>
        </w:rPr>
        <w:t>Governance Practices prior to 1 April</w:t>
      </w:r>
    </w:p>
    <w:p>
      <w:pPr>
        <w:spacing w:after="0" w:line="187" w:lineRule="auto"/>
        <w:rPr>
          <w:sz w:val="20"/>
          <w:szCs w:val="20"/>
          <w:color w:val="auto"/>
        </w:rPr>
      </w:pPr>
      <w:r>
        <w:rPr>
          <w:rFonts w:ascii="Arial" w:cs="Arial" w:eastAsia="Arial" w:hAnsi="Arial"/>
          <w:sz w:val="9"/>
          <w:szCs w:val="9"/>
          <w:color w:val="FFFFFF"/>
        </w:rPr>
        <w:t>Governance2012andtheReportCorporateonandGovernanceafter1AprilCode2012and Corporate</w:t>
      </w:r>
    </w:p>
    <w:p>
      <w:pPr>
        <w:spacing w:after="0"/>
        <w:rPr>
          <w:sz w:val="20"/>
          <w:szCs w:val="20"/>
          <w:color w:val="auto"/>
        </w:rPr>
      </w:pPr>
      <w:r>
        <w:rPr>
          <w:rFonts w:ascii="Arial" w:cs="Arial" w:eastAsia="Arial" w:hAnsi="Arial"/>
          <w:sz w:val="3"/>
          <w:szCs w:val="3"/>
          <w:color w:val="FFFFFF"/>
        </w:rPr>
        <w:t>Practices”“CodeonCorporateAppendix Governance14oftheListingtheCodeRulesonwhichCorporatewaseffectiveGovernancepriorPracticesto1 set out in</w:t>
      </w:r>
    </w:p>
    <w:p>
      <w:pPr>
        <w:spacing w:after="0" w:line="194" w:lineRule="auto"/>
        <w:rPr>
          <w:sz w:val="20"/>
          <w:szCs w:val="20"/>
          <w:color w:val="auto"/>
        </w:rPr>
      </w:pPr>
      <w:r>
        <w:rPr>
          <w:rFonts w:ascii="Arial" w:cs="Arial" w:eastAsia="Arial" w:hAnsi="Arial"/>
          <w:sz w:val="5"/>
          <w:szCs w:val="5"/>
          <w:color w:val="FFFFFF"/>
        </w:rPr>
        <w:t>April 2012</w:t>
      </w:r>
    </w:p>
    <w:p>
      <w:pPr>
        <w:ind w:right="5019"/>
        <w:spacing w:after="0"/>
        <w:rPr>
          <w:sz w:val="20"/>
          <w:szCs w:val="20"/>
          <w:color w:val="auto"/>
        </w:rPr>
      </w:pPr>
      <w:r>
        <w:rPr>
          <w:rFonts w:ascii="Arial" w:cs="Arial" w:eastAsia="Arial" w:hAnsi="Arial"/>
          <w:sz w:val="10"/>
          <w:szCs w:val="10"/>
          <w:color w:val="FFFFFF"/>
          <w:vertAlign w:val="subscript"/>
        </w:rPr>
        <w:t>“Company”</w:t>
      </w:r>
      <w:r>
        <w:rPr>
          <w:rFonts w:ascii="Arial" w:cs="Arial" w:eastAsia="Arial" w:hAnsi="Arial"/>
          <w:sz w:val="7"/>
          <w:szCs w:val="7"/>
          <w:color w:val="FFFFFF"/>
        </w:rPr>
        <w:t xml:space="preserve"> or “our Company” Wynn Macau, Limited, a company incorporated on 4 September 2009 as exempted company with limited liability under the</w:t>
      </w:r>
    </w:p>
    <w:p>
      <w:pPr>
        <w:spacing w:after="0" w:line="182" w:lineRule="auto"/>
        <w:rPr>
          <w:sz w:val="20"/>
          <w:szCs w:val="20"/>
          <w:color w:val="auto"/>
        </w:rPr>
      </w:pPr>
      <w:r>
        <w:rPr>
          <w:rFonts w:ascii="Arial" w:cs="Arial" w:eastAsia="Arial" w:hAnsi="Arial"/>
          <w:sz w:val="10"/>
          <w:szCs w:val="10"/>
          <w:color w:val="FFFFFF"/>
        </w:rPr>
        <w:t>Resorts,lawsoftheLimitedCayman Islands and an indirect subsidiary of Wynn</w:t>
      </w:r>
    </w:p>
    <w:p>
      <w:pPr>
        <w:spacing w:after="0" w:line="188" w:lineRule="auto"/>
        <w:rPr>
          <w:sz w:val="20"/>
          <w:szCs w:val="20"/>
          <w:color w:val="auto"/>
        </w:rPr>
      </w:pPr>
      <w:r>
        <w:rPr>
          <w:rFonts w:ascii="Arial" w:cs="Arial" w:eastAsia="Arial" w:hAnsi="Arial"/>
          <w:sz w:val="7"/>
          <w:szCs w:val="7"/>
          <w:color w:val="FFFFFF"/>
        </w:rPr>
        <w:t>or“ConcessionOtherGamesAgreement”</w:t>
      </w:r>
      <w:r>
        <w:rPr>
          <w:rFonts w:ascii="Arial" w:cs="Arial" w:eastAsia="Arial" w:hAnsi="Arial"/>
          <w:sz w:val="9"/>
          <w:szCs w:val="9"/>
          <w:color w:val="FFFFFF"/>
          <w:vertAlign w:val="superscript"/>
        </w:rPr>
        <w:t>into</w:t>
      </w:r>
      <w:r>
        <w:rPr>
          <w:rFonts w:ascii="Arial" w:cs="Arial" w:eastAsia="Arial" w:hAnsi="Arial"/>
          <w:sz w:val="7"/>
          <w:szCs w:val="7"/>
          <w:color w:val="FFFFFF"/>
        </w:rPr>
        <w:t>Casinosthein ConcessiontheM</w:t>
      </w:r>
      <w:r>
        <w:rPr>
          <w:rFonts w:ascii="Arial" w:cs="Arial" w:eastAsia="Arial" w:hAnsi="Arial"/>
          <w:sz w:val="9"/>
          <w:szCs w:val="9"/>
          <w:color w:val="FFFFFF"/>
          <w:vertAlign w:val="superscript"/>
        </w:rPr>
        <w:t>and</w:t>
      </w:r>
      <w:r>
        <w:rPr>
          <w:rFonts w:ascii="Arial" w:cs="Arial" w:eastAsia="Arial" w:hAnsi="Arial"/>
          <w:sz w:val="7"/>
          <w:szCs w:val="7"/>
          <w:color w:val="FFFFFF"/>
        </w:rPr>
        <w:t>cau SpecialContractAdministrativefortheOperation of Games of Chance</w:t>
      </w:r>
    </w:p>
    <w:p>
      <w:pPr>
        <w:spacing w:after="0"/>
        <w:tabs>
          <w:tab w:leader="none" w:pos="1080" w:val="left"/>
          <w:tab w:leader="none" w:pos="2180" w:val="left"/>
        </w:tabs>
        <w:rPr>
          <w:sz w:val="20"/>
          <w:szCs w:val="20"/>
          <w:color w:val="auto"/>
        </w:rPr>
      </w:pPr>
      <w:r>
        <w:rPr>
          <w:rFonts w:ascii="Arial" w:cs="Arial" w:eastAsia="Arial" w:hAnsi="Arial"/>
          <w:sz w:val="4"/>
          <w:szCs w:val="4"/>
          <w:color w:val="FFFFFF"/>
          <w:vertAlign w:val="subscript"/>
        </w:rPr>
        <w:t>Region</w:t>
      </w:r>
      <w:r>
        <w:rPr>
          <w:rFonts w:ascii="Arial" w:cs="Arial" w:eastAsia="Arial" w:hAnsi="Arial"/>
          <w:sz w:val="2"/>
          <w:szCs w:val="2"/>
          <w:color w:val="FFFFFF"/>
        </w:rPr>
        <w:t>24Juneentered2002</w:t>
      </w:r>
      <w:r>
        <w:rPr>
          <w:sz w:val="20"/>
          <w:szCs w:val="20"/>
          <w:color w:val="auto"/>
        </w:rPr>
        <w:tab/>
      </w:r>
      <w:r>
        <w:rPr>
          <w:rFonts w:ascii="Arial" w:cs="Arial" w:eastAsia="Arial" w:hAnsi="Arial"/>
          <w:sz w:val="3"/>
          <w:szCs w:val="3"/>
          <w:color w:val="FFFFFF"/>
        </w:rPr>
        <w:t>between WRM</w:t>
      </w:r>
      <w:r>
        <w:rPr>
          <w:sz w:val="20"/>
          <w:szCs w:val="20"/>
          <w:color w:val="auto"/>
        </w:rPr>
        <w:tab/>
      </w:r>
      <w:r>
        <w:rPr>
          <w:rFonts w:ascii="Arial" w:cs="Arial" w:eastAsia="Arial" w:hAnsi="Arial"/>
          <w:sz w:val="3"/>
          <w:szCs w:val="3"/>
          <w:color w:val="FFFFFF"/>
        </w:rPr>
        <w:t>the Macau government</w:t>
      </w:r>
    </w:p>
    <w:p>
      <w:pPr>
        <w:spacing w:after="0" w:line="188" w:lineRule="auto"/>
        <w:rPr>
          <w:sz w:val="20"/>
          <w:szCs w:val="20"/>
          <w:color w:val="auto"/>
        </w:rPr>
      </w:pPr>
      <w:r>
        <w:rPr>
          <w:rFonts w:ascii="Arial" w:cs="Arial" w:eastAsia="Arial" w:hAnsi="Arial"/>
          <w:sz w:val="7"/>
          <w:szCs w:val="7"/>
          <w:color w:val="FFFFFF"/>
        </w:rPr>
        <w:t xml:space="preserve">“Corporate Governance Code the Corporate </w:t>
      </w:r>
      <w:r>
        <w:rPr>
          <w:rFonts w:ascii="Arial" w:cs="Arial" w:eastAsia="Arial" w:hAnsi="Arial"/>
          <w:sz w:val="9"/>
          <w:szCs w:val="9"/>
          <w:color w:val="FFFFFF"/>
          <w:vertAlign w:val="subscript"/>
        </w:rPr>
        <w:t>Appendix</w:t>
      </w:r>
      <w:r>
        <w:rPr>
          <w:rFonts w:ascii="Arial" w:cs="Arial" w:eastAsia="Arial" w:hAnsi="Arial"/>
          <w:sz w:val="7"/>
          <w:szCs w:val="7"/>
          <w:color w:val="FFFFFF"/>
        </w:rPr>
        <w:t>Govrnance Code and Corporate Governance</w:t>
      </w:r>
    </w:p>
    <w:p>
      <w:pPr>
        <w:spacing w:after="0" w:line="187" w:lineRule="auto"/>
        <w:tabs>
          <w:tab w:leader="none" w:pos="2960" w:val="left"/>
        </w:tabs>
        <w:rPr>
          <w:sz w:val="20"/>
          <w:szCs w:val="20"/>
          <w:color w:val="auto"/>
        </w:rPr>
      </w:pPr>
      <w:r>
        <w:rPr>
          <w:rFonts w:ascii="Arial" w:cs="Arial" w:eastAsia="Arial" w:hAnsi="Arial"/>
          <w:sz w:val="9"/>
          <w:szCs w:val="9"/>
          <w:color w:val="FFFFFF"/>
        </w:rPr>
        <w:t>Report”andCorporate Governance Report set out in</w:t>
      </w:r>
      <w:r>
        <w:rPr>
          <w:sz w:val="20"/>
          <w:szCs w:val="20"/>
          <w:color w:val="auto"/>
        </w:rPr>
        <w:tab/>
      </w:r>
      <w:r>
        <w:rPr>
          <w:rFonts w:ascii="Arial" w:cs="Arial" w:eastAsia="Arial" w:hAnsi="Arial"/>
          <w:sz w:val="9"/>
          <w:szCs w:val="9"/>
          <w:color w:val="FFFFFF"/>
        </w:rPr>
        <w:t>14 of the Listing Rules</w:t>
      </w:r>
    </w:p>
    <w:p>
      <w:pPr>
        <w:spacing w:after="0"/>
        <w:rPr>
          <w:sz w:val="20"/>
          <w:szCs w:val="20"/>
          <w:color w:val="auto"/>
        </w:rPr>
      </w:pPr>
      <w:r>
        <w:rPr>
          <w:rFonts w:ascii="Arial" w:cs="Arial" w:eastAsia="Arial" w:hAnsi="Arial"/>
          <w:sz w:val="3"/>
          <w:szCs w:val="3"/>
          <w:color w:val="FFFFFF"/>
        </w:rPr>
        <w:t>Agreement”“CotaiLand andConcessiontheMacauthe governmentlandconcessionforapproximatelycontractentered51 intoacresbetweenofland WRM, Palo</w:t>
      </w:r>
    </w:p>
    <w:p>
      <w:pPr>
        <w:spacing w:after="0" w:line="181" w:lineRule="auto"/>
        <w:rPr>
          <w:sz w:val="20"/>
          <w:szCs w:val="20"/>
          <w:color w:val="auto"/>
        </w:rPr>
      </w:pPr>
      <w:r>
        <w:rPr>
          <w:rFonts w:ascii="Arial" w:cs="Arial" w:eastAsia="Arial" w:hAnsi="Arial"/>
          <w:sz w:val="10"/>
          <w:szCs w:val="10"/>
          <w:color w:val="FFFFFF"/>
        </w:rPr>
        <w:t>in the Cotai area of Macau, and for which formal approval from</w:t>
      </w:r>
    </w:p>
    <w:p>
      <w:pPr>
        <w:spacing w:after="0"/>
        <w:rPr>
          <w:sz w:val="20"/>
          <w:szCs w:val="20"/>
          <w:color w:val="auto"/>
        </w:rPr>
      </w:pPr>
      <w:r>
        <w:rPr>
          <w:rFonts w:ascii="Arial" w:cs="Arial" w:eastAsia="Arial" w:hAnsi="Arial"/>
          <w:sz w:val="3"/>
          <w:szCs w:val="3"/>
          <w:color w:val="FFFFFF"/>
        </w:rPr>
        <w:t>MacautheMacauon 2governmentMay2012 was published in the official gazette of</w:t>
      </w:r>
    </w:p>
    <w:p>
      <w:pPr>
        <w:spacing w:after="0" w:line="194" w:lineRule="auto"/>
        <w:rPr>
          <w:sz w:val="20"/>
          <w:szCs w:val="20"/>
          <w:color w:val="auto"/>
        </w:rPr>
      </w:pPr>
      <w:r>
        <w:rPr>
          <w:rFonts w:ascii="Arial" w:cs="Arial" w:eastAsia="Arial" w:hAnsi="Arial"/>
          <w:sz w:val="5"/>
          <w:szCs w:val="5"/>
          <w:color w:val="FFFFFF"/>
        </w:rPr>
        <w:t>“Director(s)”</w:t>
      </w:r>
    </w:p>
    <w:p>
      <w:pPr>
        <w:spacing w:after="0"/>
        <w:rPr>
          <w:sz w:val="20"/>
          <w:szCs w:val="20"/>
          <w:color w:val="auto"/>
        </w:rPr>
      </w:pPr>
      <w:r>
        <w:rPr>
          <w:rFonts w:ascii="Arial" w:cs="Arial" w:eastAsia="Arial" w:hAnsi="Arial"/>
          <w:sz w:val="14"/>
          <w:szCs w:val="14"/>
          <w:color w:val="FFFFFF"/>
        </w:rPr>
        <w:t>the director(s) of our Company</w:t>
      </w:r>
    </w:p>
    <w:p>
      <w:pPr>
        <w:sectPr>
          <w:pgSz w:w="11900" w:h="16838" w:orient="portrait"/>
          <w:cols w:equalWidth="0" w:num="1">
            <w:col w:w="10219"/>
          </w:cols>
          <w:pgMar w:left="240" w:top="1440" w:right="1440"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gridSpan w:val="2"/>
          </w:tcPr>
          <w:p>
            <w:pPr>
              <w:spacing w:after="0"/>
              <w:rPr>
                <w:sz w:val="20"/>
                <w:szCs w:val="20"/>
                <w:color w:val="auto"/>
              </w:rPr>
            </w:pPr>
            <w:r>
              <w:rPr>
                <w:rFonts w:ascii="Arial" w:cs="Arial" w:eastAsia="Arial" w:hAnsi="Arial"/>
                <w:sz w:val="14"/>
                <w:szCs w:val="14"/>
                <w:color w:val="FFFFFF"/>
              </w:rPr>
              <w:t>80 Wynn Macau, Limited</w:t>
            </w:r>
          </w:p>
        </w:tc>
        <w:tc>
          <w:tcPr>
            <w:tcW w:w="0" w:type="dxa"/>
            <w:vAlign w:val="bottom"/>
          </w:tcPr>
          <w:p>
            <w:pPr>
              <w:spacing w:after="0"/>
              <w:rPr>
                <w:sz w:val="1"/>
                <w:szCs w:val="1"/>
                <w:color w:val="auto"/>
              </w:rPr>
            </w:pPr>
          </w:p>
        </w:tc>
      </w:tr>
      <w:tr>
        <w:trPr>
          <w:trHeight w:val="41"/>
        </w:trPr>
        <w:tc>
          <w:tcPr>
            <w:tcW w:w="1260" w:type="dxa"/>
            <w:vAlign w:val="bottom"/>
          </w:tcPr>
          <w:p>
            <w:pPr>
              <w:spacing w:after="0"/>
              <w:rPr>
                <w:sz w:val="20"/>
                <w:szCs w:val="20"/>
                <w:color w:val="auto"/>
              </w:rPr>
            </w:pPr>
            <w:r>
              <w:rPr>
                <w:rFonts w:ascii="Arial" w:cs="Arial" w:eastAsia="Arial" w:hAnsi="Arial"/>
                <w:sz w:val="3"/>
                <w:szCs w:val="3"/>
                <w:color w:val="FFFFFF"/>
              </w:rPr>
              <w:t>Definitions</w:t>
            </w:r>
          </w:p>
        </w:tc>
        <w:tc>
          <w:tcPr>
            <w:tcW w:w="3060" w:type="dxa"/>
            <w:vAlign w:val="bottom"/>
            <w:vMerge w:val="restart"/>
          </w:tcPr>
          <w:p>
            <w:pPr>
              <w:ind w:left="140"/>
              <w:spacing w:after="0"/>
              <w:rPr>
                <w:sz w:val="20"/>
                <w:szCs w:val="20"/>
                <w:color w:val="auto"/>
              </w:rPr>
            </w:pPr>
            <w:r>
              <w:rPr>
                <w:rFonts w:ascii="Arial" w:cs="Arial" w:eastAsia="Arial" w:hAnsi="Arial"/>
                <w:sz w:val="3"/>
                <w:szCs w:val="3"/>
                <w:color w:val="FFFFFF"/>
              </w:rPr>
              <w:t>casino resort located in Macau, connected to and fully</w:t>
            </w:r>
          </w:p>
        </w:tc>
        <w:tc>
          <w:tcPr>
            <w:tcW w:w="0" w:type="dxa"/>
            <w:vAlign w:val="bottom"/>
          </w:tcPr>
          <w:p>
            <w:pPr>
              <w:spacing w:after="0"/>
              <w:rPr>
                <w:sz w:val="1"/>
                <w:szCs w:val="1"/>
                <w:color w:val="auto"/>
              </w:rPr>
            </w:pPr>
          </w:p>
        </w:tc>
      </w:tr>
      <w:tr>
        <w:trPr>
          <w:trHeight w:val="0"/>
        </w:trPr>
        <w:tc>
          <w:tcPr>
            <w:tcW w:w="1260" w:type="dxa"/>
            <w:vAlign w:val="bottom"/>
          </w:tcPr>
          <w:p>
            <w:pPr>
              <w:spacing w:after="0" w:line="80" w:lineRule="exact"/>
              <w:rPr>
                <w:sz w:val="20"/>
                <w:szCs w:val="20"/>
                <w:color w:val="auto"/>
              </w:rPr>
            </w:pPr>
            <w:r>
              <w:rPr>
                <w:rFonts w:ascii="Arial" w:cs="Arial" w:eastAsia="Arial" w:hAnsi="Arial"/>
                <w:sz w:val="9"/>
                <w:szCs w:val="9"/>
                <w:color w:val="FFFFFF"/>
              </w:rPr>
              <w:t>“Encore” or “Encore</w:t>
            </w:r>
          </w:p>
        </w:tc>
        <w:tc>
          <w:tcPr>
            <w:tcW w:w="3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tabs>
          <w:tab w:leader="none" w:pos="800" w:val="left"/>
        </w:tabs>
        <w:rPr>
          <w:sz w:val="20"/>
          <w:szCs w:val="20"/>
          <w:color w:val="auto"/>
        </w:rPr>
      </w:pPr>
      <w:r>
        <w:rPr>
          <w:rFonts w:ascii="Arial" w:cs="Arial" w:eastAsia="Arial" w:hAnsi="Arial"/>
          <w:sz w:val="1"/>
          <w:szCs w:val="1"/>
          <w:color w:val="FFFFFF"/>
          <w:vertAlign w:val="superscript"/>
        </w:rPr>
        <w:t>WRM,</w:t>
      </w:r>
      <w:r>
        <w:rPr>
          <w:sz w:val="20"/>
          <w:szCs w:val="20"/>
          <w:color w:val="auto"/>
        </w:rPr>
        <w:tab/>
      </w:r>
      <w:r>
        <w:rPr>
          <w:rFonts w:ascii="Arial" w:cs="Arial" w:eastAsia="Arial" w:hAnsi="Arial"/>
          <w:sz w:val="1"/>
          <w:szCs w:val="1"/>
          <w:color w:val="FFFFFF"/>
        </w:rPr>
        <w:t>integrated</w:t>
      </w:r>
    </w:p>
    <w:p>
      <w:pPr>
        <w:ind w:left="120"/>
        <w:spacing w:after="0" w:line="187" w:lineRule="auto"/>
        <w:rPr>
          <w:sz w:val="20"/>
          <w:szCs w:val="20"/>
          <w:color w:val="auto"/>
        </w:rPr>
      </w:pPr>
      <w:r>
        <w:rPr>
          <w:rFonts w:ascii="Arial" w:cs="Arial" w:eastAsia="Arial" w:hAnsi="Arial"/>
          <w:sz w:val="9"/>
          <w:szCs w:val="9"/>
          <w:color w:val="FFFFFF"/>
        </w:rPr>
        <w:t>ynn Macau”whichopened on 21withAprilWynn2010Macau, owned and operated directly by</w:t>
      </w:r>
    </w:p>
    <w:p>
      <w:pPr>
        <w:spacing w:after="0" w:line="188" w:lineRule="auto"/>
        <w:rPr>
          <w:sz w:val="20"/>
          <w:szCs w:val="20"/>
          <w:color w:val="auto"/>
        </w:rPr>
      </w:pPr>
      <w:r>
        <w:rPr>
          <w:rFonts w:ascii="Arial" w:cs="Arial" w:eastAsia="Arial" w:hAnsi="Arial"/>
          <w:sz w:val="9"/>
          <w:szCs w:val="9"/>
          <w:color w:val="FFFFFF"/>
        </w:rPr>
        <w:t>and“Galaxy”oneofGalaxythethreeCasino,concessionairesS.A.,oneof the six gaming operators in Macau</w:t>
      </w:r>
    </w:p>
    <w:p>
      <w:pPr>
        <w:spacing w:after="0"/>
        <w:rPr>
          <w:sz w:val="20"/>
          <w:szCs w:val="20"/>
          <w:color w:val="auto"/>
        </w:rPr>
      </w:pPr>
      <w:r>
        <w:rPr>
          <w:rFonts w:ascii="Arial" w:cs="Arial" w:eastAsia="Arial" w:hAnsi="Arial"/>
          <w:sz w:val="7"/>
          <w:szCs w:val="7"/>
          <w:color w:val="FFFFFF"/>
        </w:rPr>
        <w:t>businesses“Group,”“we,”carried“us”on orby“our”such oursubsidiaries,Companyexceptanditswheresubsidiaries,the or any of them, and the</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itselfcontextandmakesnottoittheclearGroupthat the reference is only to the Company</w:t>
      </w:r>
    </w:p>
    <w:p>
      <w:pPr>
        <w:ind w:left="160"/>
        <w:spacing w:after="0" w:line="194" w:lineRule="auto"/>
        <w:rPr>
          <w:sz w:val="20"/>
          <w:szCs w:val="20"/>
          <w:color w:val="auto"/>
        </w:rPr>
      </w:pPr>
      <w:r>
        <w:rPr>
          <w:rFonts w:ascii="Arial" w:cs="Arial" w:eastAsia="Arial" w:hAnsi="Arial"/>
          <w:sz w:val="5"/>
          <w:szCs w:val="5"/>
          <w:color w:val="FFFFFF"/>
          <w:vertAlign w:val="superscript"/>
        </w:rPr>
        <w:t>K</w:t>
      </w:r>
      <w:r>
        <w:rPr>
          <w:rFonts w:ascii="Arial" w:cs="Arial" w:eastAsia="Arial" w:hAnsi="Arial"/>
          <w:sz w:val="3"/>
          <w:szCs w:val="3"/>
          <w:color w:val="FFFFFF"/>
        </w:rPr>
        <w:t>IBOR”</w:t>
      </w:r>
      <w:r>
        <w:rPr>
          <w:rFonts w:ascii="Arial" w:cs="Arial" w:eastAsia="Arial" w:hAnsi="Arial"/>
          <w:sz w:val="5"/>
          <w:szCs w:val="5"/>
          <w:color w:val="FFFFFF"/>
          <w:vertAlign w:val="superscript"/>
        </w:rPr>
        <w:t>$”</w:t>
      </w:r>
      <w:r>
        <w:rPr>
          <w:rFonts w:ascii="Arial" w:cs="Arial" w:eastAsia="Arial" w:hAnsi="Arial"/>
          <w:sz w:val="3"/>
          <w:szCs w:val="3"/>
          <w:color w:val="FFFFFF"/>
        </w:rPr>
        <w:t xml:space="preserve"> Hong Kong Interbank Offered Rate</w:t>
      </w:r>
    </w:p>
    <w:p>
      <w:pPr>
        <w:ind w:left="420"/>
        <w:spacing w:after="0"/>
        <w:rPr>
          <w:sz w:val="20"/>
          <w:szCs w:val="20"/>
          <w:color w:val="auto"/>
        </w:rPr>
      </w:pPr>
      <w:r>
        <w:rPr>
          <w:rFonts w:ascii="Arial" w:cs="Arial" w:eastAsia="Arial" w:hAnsi="Arial"/>
          <w:sz w:val="3"/>
          <w:szCs w:val="3"/>
          <w:color w:val="FFFFFF"/>
        </w:rPr>
        <w:t>Hong Kong dollars, the lawful currency of Hong Kong</w:t>
      </w:r>
    </w:p>
    <w:p>
      <w:pPr>
        <w:ind w:left="60"/>
        <w:spacing w:after="0" w:line="194" w:lineRule="auto"/>
        <w:rPr>
          <w:sz w:val="20"/>
          <w:szCs w:val="20"/>
          <w:color w:val="auto"/>
        </w:rPr>
      </w:pPr>
      <w:r>
        <w:rPr>
          <w:rFonts w:ascii="Arial" w:cs="Arial" w:eastAsia="Arial" w:hAnsi="Arial"/>
          <w:sz w:val="5"/>
          <w:szCs w:val="5"/>
          <w:color w:val="FFFFFF"/>
          <w:vertAlign w:val="superscript"/>
        </w:rPr>
        <w:t>Hong Kong</w:t>
      </w:r>
      <w:r>
        <w:rPr>
          <w:rFonts w:ascii="Arial" w:cs="Arial" w:eastAsia="Arial" w:hAnsi="Arial"/>
          <w:sz w:val="3"/>
          <w:szCs w:val="3"/>
          <w:color w:val="FFFFFF"/>
        </w:rPr>
        <w:t>” the Hong Kong Special Administrative Region of the PRC</w:t>
      </w:r>
    </w:p>
    <w:p>
      <w:pPr>
        <w:ind w:left="60"/>
        <w:spacing w:after="0" w:line="211" w:lineRule="auto"/>
        <w:rPr>
          <w:sz w:val="20"/>
          <w:szCs w:val="20"/>
          <w:color w:val="auto"/>
        </w:rPr>
      </w:pPr>
      <w:r>
        <w:rPr>
          <w:rFonts w:ascii="Arial" w:cs="Arial" w:eastAsia="Arial" w:hAnsi="Arial"/>
          <w:sz w:val="4"/>
          <w:szCs w:val="4"/>
          <w:color w:val="FFFFFF"/>
          <w:vertAlign w:val="superscript"/>
        </w:rPr>
        <w:t>IFRS”</w:t>
      </w:r>
    </w:p>
    <w:p>
      <w:pPr>
        <w:spacing w:after="0" w:line="188" w:lineRule="auto"/>
        <w:tabs>
          <w:tab w:leader="none" w:pos="420" w:val="left"/>
        </w:tabs>
        <w:rPr>
          <w:sz w:val="20"/>
          <w:szCs w:val="20"/>
          <w:color w:val="auto"/>
        </w:rPr>
      </w:pPr>
      <w:r>
        <w:rPr>
          <w:rFonts w:ascii="Arial" w:cs="Arial" w:eastAsia="Arial" w:hAnsi="Arial"/>
          <w:sz w:val="9"/>
          <w:szCs w:val="9"/>
          <w:color w:val="FFFFFF"/>
          <w:vertAlign w:val="superscript"/>
        </w:rPr>
        <w:t>“Las</w:t>
      </w:r>
      <w:r>
        <w:rPr>
          <w:sz w:val="20"/>
          <w:szCs w:val="20"/>
          <w:color w:val="auto"/>
        </w:rPr>
        <w:tab/>
      </w:r>
      <w:r>
        <w:rPr>
          <w:rFonts w:ascii="Arial" w:cs="Arial" w:eastAsia="Arial" w:hAnsi="Arial"/>
          <w:sz w:val="7"/>
          <w:szCs w:val="7"/>
          <w:color w:val="FFFFFF"/>
        </w:rPr>
        <w:t xml:space="preserve">InternationalStockExchange”Financial TheReportingStock </w:t>
      </w:r>
      <w:r>
        <w:rPr>
          <w:rFonts w:ascii="Arial" w:cs="Arial" w:eastAsia="Arial" w:hAnsi="Arial"/>
          <w:sz w:val="9"/>
          <w:szCs w:val="9"/>
          <w:color w:val="FFFFFF"/>
          <w:vertAlign w:val="superscript"/>
        </w:rPr>
        <w:t>Standards</w:t>
      </w:r>
      <w:r>
        <w:rPr>
          <w:rFonts w:ascii="Arial" w:cs="Arial" w:eastAsia="Arial" w:hAnsi="Arial"/>
          <w:sz w:val="7"/>
          <w:szCs w:val="7"/>
          <w:color w:val="FFFFFF"/>
        </w:rPr>
        <w:t>Exchange of Hong Kong Limited</w:t>
      </w:r>
    </w:p>
    <w:p>
      <w:pPr>
        <w:spacing w:after="0"/>
        <w:rPr>
          <w:sz w:val="20"/>
          <w:szCs w:val="20"/>
          <w:color w:val="auto"/>
        </w:rPr>
      </w:pPr>
      <w:r>
        <w:rPr>
          <w:rFonts w:ascii="Arial" w:cs="Arial" w:eastAsia="Arial" w:hAnsi="Arial"/>
          <w:sz w:val="3"/>
          <w:szCs w:val="3"/>
          <w:color w:val="FFFFFF"/>
        </w:rPr>
        <w:t>State VegasofNevada,Jet,LLC”UnitedLasStatesVegasandJet,a whollyLLC, ownedcompanysubsidiaryformed under the laws of the</w:t>
      </w:r>
    </w:p>
    <w:p>
      <w:pPr>
        <w:spacing w:after="0" w:line="194" w:lineRule="auto"/>
        <w:rPr>
          <w:sz w:val="20"/>
          <w:szCs w:val="20"/>
          <w:color w:val="auto"/>
        </w:rPr>
      </w:pPr>
      <w:r>
        <w:rPr>
          <w:rFonts w:ascii="Arial" w:cs="Arial" w:eastAsia="Arial" w:hAnsi="Arial"/>
          <w:sz w:val="5"/>
          <w:szCs w:val="5"/>
          <w:color w:val="FFFFFF"/>
        </w:rPr>
        <w:t>of Wynn Resorts, Limited.</w:t>
      </w:r>
    </w:p>
    <w:p>
      <w:pPr>
        <w:spacing w:after="0" w:line="211" w:lineRule="auto"/>
        <w:rPr>
          <w:sz w:val="20"/>
          <w:szCs w:val="20"/>
          <w:color w:val="auto"/>
        </w:rPr>
      </w:pPr>
      <w:r>
        <w:rPr>
          <w:rFonts w:ascii="Arial" w:cs="Arial" w:eastAsia="Arial" w:hAnsi="Arial"/>
          <w:sz w:val="4"/>
          <w:szCs w:val="4"/>
          <w:color w:val="FFFFFF"/>
          <w:vertAlign w:val="subscript"/>
        </w:rPr>
        <w:t>“Listing”</w:t>
      </w:r>
      <w:r>
        <w:rPr>
          <w:rFonts w:ascii="Arial" w:cs="Arial" w:eastAsia="Arial" w:hAnsi="Arial"/>
          <w:sz w:val="2"/>
          <w:szCs w:val="2"/>
          <w:color w:val="FFFFFF"/>
        </w:rPr>
        <w:t>IBOR” London Interbank Offered Rate</w:t>
      </w:r>
    </w:p>
    <w:p>
      <w:pPr>
        <w:ind w:left="540"/>
        <w:spacing w:after="0" w:line="212" w:lineRule="auto"/>
        <w:rPr>
          <w:sz w:val="20"/>
          <w:szCs w:val="20"/>
          <w:color w:val="auto"/>
        </w:rPr>
      </w:pPr>
      <w:r>
        <w:rPr>
          <w:rFonts w:ascii="Arial" w:cs="Arial" w:eastAsia="Arial" w:hAnsi="Arial"/>
          <w:sz w:val="2"/>
          <w:szCs w:val="2"/>
          <w:color w:val="FFFFFF"/>
        </w:rPr>
        <w:t>the</w:t>
      </w:r>
      <w:r>
        <w:rPr>
          <w:rFonts w:ascii="Arial" w:cs="Arial" w:eastAsia="Arial" w:hAnsi="Arial"/>
          <w:sz w:val="4"/>
          <w:szCs w:val="4"/>
          <w:color w:val="FFFFFF"/>
          <w:vertAlign w:val="subscript"/>
        </w:rPr>
        <w:t>Exchange</w:t>
      </w:r>
      <w:r>
        <w:rPr>
          <w:rFonts w:ascii="Arial" w:cs="Arial" w:eastAsia="Arial" w:hAnsi="Arial"/>
          <w:sz w:val="2"/>
          <w:szCs w:val="2"/>
          <w:color w:val="FFFFFF"/>
        </w:rPr>
        <w:t>initillisting of the Shares on the Main Board of the Hong</w:t>
      </w:r>
    </w:p>
    <w:p>
      <w:pPr>
        <w:spacing w:after="0" w:line="187" w:lineRule="auto"/>
        <w:tabs>
          <w:tab w:leader="none" w:pos="1220" w:val="left"/>
        </w:tabs>
        <w:rPr>
          <w:sz w:val="20"/>
          <w:szCs w:val="20"/>
          <w:color w:val="auto"/>
        </w:rPr>
      </w:pPr>
      <w:r>
        <w:rPr>
          <w:rFonts w:ascii="Arial" w:cs="Arial" w:eastAsia="Arial" w:hAnsi="Arial"/>
          <w:sz w:val="9"/>
          <w:szCs w:val="9"/>
          <w:color w:val="FFFFFF"/>
        </w:rPr>
        <w:t>Kong Stock</w:t>
      </w:r>
      <w:r>
        <w:rPr>
          <w:sz w:val="20"/>
          <w:szCs w:val="20"/>
          <w:color w:val="auto"/>
        </w:rPr>
        <w:tab/>
      </w:r>
      <w:r>
        <w:rPr>
          <w:rFonts w:ascii="Arial" w:cs="Arial" w:eastAsia="Arial" w:hAnsi="Arial"/>
          <w:sz w:val="9"/>
          <w:szCs w:val="9"/>
          <w:color w:val="FFFFFF"/>
        </w:rPr>
        <w:t>on 9 October 2009</w:t>
      </w:r>
    </w:p>
    <w:p>
      <w:pPr>
        <w:spacing w:after="0" w:line="212" w:lineRule="auto"/>
        <w:rPr>
          <w:sz w:val="20"/>
          <w:szCs w:val="20"/>
          <w:color w:val="auto"/>
        </w:rPr>
      </w:pPr>
      <w:r>
        <w:rPr>
          <w:rFonts w:ascii="Arial" w:cs="Arial" w:eastAsia="Arial" w:hAnsi="Arial"/>
          <w:sz w:val="8"/>
          <w:szCs w:val="8"/>
          <w:color w:val="FFFFFF"/>
        </w:rPr>
        <w:t>Stock“ListingExchangeRules” the(as RulesamendedGoverningfromtimethetoListingtime) of Securities on the Hong Kong</w:t>
      </w:r>
    </w:p>
    <w:p>
      <w:pPr>
        <w:spacing w:after="0"/>
        <w:rPr>
          <w:sz w:val="20"/>
          <w:szCs w:val="20"/>
          <w:color w:val="auto"/>
        </w:rPr>
      </w:pPr>
      <w:r>
        <w:rPr>
          <w:rFonts w:ascii="Arial" w:cs="Arial" w:eastAsia="Arial" w:hAnsi="Arial"/>
          <w:sz w:val="12"/>
          <w:szCs w:val="12"/>
          <w:color w:val="FFFFFF"/>
        </w:rPr>
        <w:t>resort“Macau Operations” the fully integrated Wynn Macau and Encore at Wynn Macau</w:t>
      </w:r>
    </w:p>
    <w:p>
      <w:pPr>
        <w:sectPr>
          <w:pgSz w:w="11900" w:h="16838" w:orient="portrait"/>
          <w:cols w:equalWidth="0" w:num="1">
            <w:col w:w="10219"/>
          </w:cols>
          <w:pgMar w:left="240" w:top="1440" w:right="1440"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Arial" w:cs="Arial" w:eastAsia="Arial" w:hAnsi="Arial"/>
                <w:sz w:val="14"/>
                <w:szCs w:val="14"/>
                <w:color w:val="FFFFFF"/>
              </w:rPr>
              <w:t>Interim Report 2012 81</w:t>
            </w:r>
          </w:p>
        </w:tc>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Definitions</w:t>
            </w:r>
          </w:p>
        </w:tc>
        <w:tc>
          <w:tcPr>
            <w:tcW w:w="84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41"/>
        </w:trPr>
        <w:tc>
          <w:tcPr>
            <w:tcW w:w="4980" w:type="dxa"/>
            <w:vAlign w:val="bottom"/>
            <w:gridSpan w:val="4"/>
          </w:tcPr>
          <w:p>
            <w:pPr>
              <w:spacing w:after="0"/>
              <w:rPr>
                <w:sz w:val="20"/>
                <w:szCs w:val="20"/>
                <w:color w:val="auto"/>
              </w:rPr>
            </w:pPr>
            <w:r>
              <w:rPr>
                <w:rFonts w:ascii="Arial" w:cs="Arial" w:eastAsia="Arial" w:hAnsi="Arial"/>
                <w:sz w:val="3"/>
                <w:szCs w:val="3"/>
                <w:color w:val="FFFFFF"/>
              </w:rPr>
              <w:t>“Macau” or “Macau Special the Macau Special Administrative Region of the PRC</w:t>
            </w: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Administrative Region”</w:t>
            </w:r>
          </w:p>
        </w:tc>
        <w:tc>
          <w:tcPr>
            <w:tcW w:w="84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41"/>
        </w:trPr>
        <w:tc>
          <w:tcPr>
            <w:tcW w:w="4980" w:type="dxa"/>
            <w:vAlign w:val="bottom"/>
            <w:gridSpan w:val="4"/>
          </w:tcPr>
          <w:p>
            <w:pPr>
              <w:spacing w:after="0"/>
              <w:rPr>
                <w:sz w:val="20"/>
                <w:szCs w:val="20"/>
                <w:color w:val="auto"/>
              </w:rPr>
            </w:pPr>
            <w:r>
              <w:rPr>
                <w:rFonts w:ascii="Arial" w:cs="Arial" w:eastAsia="Arial" w:hAnsi="Arial"/>
                <w:sz w:val="3"/>
                <w:szCs w:val="3"/>
                <w:color w:val="FFFFFF"/>
              </w:rPr>
              <w:t>“Melco Crown” Melco Crown Gaming (Macau) Limited, one of the six gaming</w:t>
            </w:r>
          </w:p>
        </w:tc>
      </w:tr>
      <w:tr>
        <w:trPr>
          <w:trHeight w:val="41"/>
        </w:trPr>
        <w:tc>
          <w:tcPr>
            <w:tcW w:w="4980" w:type="dxa"/>
            <w:vAlign w:val="bottom"/>
            <w:gridSpan w:val="4"/>
          </w:tcPr>
          <w:p>
            <w:pPr>
              <w:spacing w:after="0"/>
              <w:rPr>
                <w:sz w:val="20"/>
                <w:szCs w:val="20"/>
                <w:color w:val="auto"/>
              </w:rPr>
            </w:pPr>
            <w:r>
              <w:rPr>
                <w:rFonts w:ascii="Arial" w:cs="Arial" w:eastAsia="Arial" w:hAnsi="Arial"/>
                <w:sz w:val="3"/>
                <w:szCs w:val="3"/>
                <w:color w:val="FFFFFF"/>
              </w:rPr>
              <w:t>operators in Macau and one of the three sub-concessionaires</w:t>
            </w:r>
          </w:p>
        </w:tc>
      </w:tr>
      <w:tr>
        <w:trPr>
          <w:trHeight w:val="41"/>
        </w:trPr>
        <w:tc>
          <w:tcPr>
            <w:tcW w:w="4980" w:type="dxa"/>
            <w:vAlign w:val="bottom"/>
            <w:gridSpan w:val="4"/>
          </w:tcPr>
          <w:p>
            <w:pPr>
              <w:spacing w:after="0"/>
              <w:rPr>
                <w:sz w:val="20"/>
                <w:szCs w:val="20"/>
                <w:color w:val="auto"/>
              </w:rPr>
            </w:pPr>
            <w:r>
              <w:rPr>
                <w:rFonts w:ascii="Arial" w:cs="Arial" w:eastAsia="Arial" w:hAnsi="Arial"/>
                <w:sz w:val="3"/>
                <w:szCs w:val="3"/>
                <w:color w:val="FFFFFF"/>
              </w:rPr>
              <w:t>“MGM Macau” MGM Grand Paradise Limited, one of the six gaming operators</w:t>
            </w:r>
          </w:p>
        </w:tc>
      </w:tr>
      <w:tr>
        <w:trPr>
          <w:trHeight w:val="41"/>
        </w:trPr>
        <w:tc>
          <w:tcPr>
            <w:tcW w:w="4980" w:type="dxa"/>
            <w:vAlign w:val="bottom"/>
            <w:gridSpan w:val="4"/>
          </w:tcPr>
          <w:p>
            <w:pPr>
              <w:spacing w:after="0"/>
              <w:rPr>
                <w:sz w:val="20"/>
                <w:szCs w:val="20"/>
                <w:color w:val="auto"/>
              </w:rPr>
            </w:pPr>
            <w:r>
              <w:rPr>
                <w:rFonts w:ascii="Arial" w:cs="Arial" w:eastAsia="Arial" w:hAnsi="Arial"/>
                <w:sz w:val="3"/>
                <w:szCs w:val="3"/>
                <w:color w:val="FFFFFF"/>
              </w:rPr>
              <w:t>in Macau and one of the three sub-concessionaires</w:t>
            </w:r>
          </w:p>
        </w:tc>
      </w:tr>
      <w:tr>
        <w:trPr>
          <w:trHeight w:val="41"/>
        </w:trPr>
        <w:tc>
          <w:tcPr>
            <w:tcW w:w="4980" w:type="dxa"/>
            <w:vAlign w:val="bottom"/>
            <w:gridSpan w:val="4"/>
          </w:tcPr>
          <w:p>
            <w:pPr>
              <w:spacing w:after="0"/>
              <w:rPr>
                <w:sz w:val="20"/>
                <w:szCs w:val="20"/>
                <w:color w:val="auto"/>
              </w:rPr>
            </w:pPr>
            <w:r>
              <w:rPr>
                <w:rFonts w:ascii="Arial" w:cs="Arial" w:eastAsia="Arial" w:hAnsi="Arial"/>
                <w:sz w:val="3"/>
                <w:szCs w:val="3"/>
                <w:color w:val="FFFFFF"/>
              </w:rPr>
              <w:t>“Model Code” the Model Code for Securities Transactions by Directors of</w:t>
            </w:r>
          </w:p>
        </w:tc>
      </w:tr>
      <w:tr>
        <w:trPr>
          <w:trHeight w:val="41"/>
        </w:trPr>
        <w:tc>
          <w:tcPr>
            <w:tcW w:w="4980" w:type="dxa"/>
            <w:vAlign w:val="bottom"/>
            <w:gridSpan w:val="4"/>
          </w:tcPr>
          <w:p>
            <w:pPr>
              <w:spacing w:after="0"/>
              <w:rPr>
                <w:sz w:val="20"/>
                <w:szCs w:val="20"/>
                <w:color w:val="auto"/>
              </w:rPr>
            </w:pPr>
            <w:r>
              <w:rPr>
                <w:rFonts w:ascii="Arial" w:cs="Arial" w:eastAsia="Arial" w:hAnsi="Arial"/>
                <w:sz w:val="3"/>
                <w:szCs w:val="3"/>
                <w:color w:val="FFFFFF"/>
              </w:rPr>
              <w:t>Listed Issuers set out in Appendix 10 of the Listing Rules</w:t>
            </w:r>
          </w:p>
        </w:tc>
      </w:tr>
      <w:tr>
        <w:trPr>
          <w:trHeight w:val="41"/>
        </w:trPr>
        <w:tc>
          <w:tcPr>
            <w:tcW w:w="4980" w:type="dxa"/>
            <w:vAlign w:val="bottom"/>
            <w:gridSpan w:val="4"/>
          </w:tcPr>
          <w:p>
            <w:pPr>
              <w:ind w:left="60"/>
              <w:spacing w:after="0"/>
              <w:rPr>
                <w:sz w:val="20"/>
                <w:szCs w:val="20"/>
                <w:color w:val="auto"/>
              </w:rPr>
            </w:pPr>
            <w:r>
              <w:rPr>
                <w:rFonts w:ascii="Arial" w:cs="Arial" w:eastAsia="Arial" w:hAnsi="Arial"/>
                <w:sz w:val="3"/>
                <w:szCs w:val="3"/>
                <w:color w:val="FFFFFF"/>
              </w:rPr>
              <w:t>MOP” or “pataca” Macau pataca, the lawful currency of Macau</w:t>
            </w:r>
          </w:p>
        </w:tc>
      </w:tr>
      <w:tr>
        <w:trPr>
          <w:trHeight w:val="41"/>
        </w:trPr>
        <w:tc>
          <w:tcPr>
            <w:tcW w:w="4980" w:type="dxa"/>
            <w:vAlign w:val="bottom"/>
            <w:gridSpan w:val="4"/>
          </w:tcPr>
          <w:p>
            <w:pPr>
              <w:spacing w:after="0"/>
              <w:rPr>
                <w:sz w:val="20"/>
                <w:szCs w:val="20"/>
                <w:color w:val="auto"/>
              </w:rPr>
            </w:pPr>
            <w:r>
              <w:rPr>
                <w:rFonts w:ascii="Arial" w:cs="Arial" w:eastAsia="Arial" w:hAnsi="Arial"/>
                <w:sz w:val="3"/>
                <w:szCs w:val="3"/>
                <w:color w:val="FFFFFF"/>
              </w:rPr>
              <w:t>“Offshore RMB” RMB maintained outside mainland China, primarily in Hong</w:t>
            </w:r>
          </w:p>
        </w:tc>
      </w:tr>
      <w:tr>
        <w:trPr>
          <w:trHeight w:val="41"/>
        </w:trPr>
        <w:tc>
          <w:tcPr>
            <w:tcW w:w="4980" w:type="dxa"/>
            <w:vAlign w:val="bottom"/>
            <w:gridSpan w:val="4"/>
          </w:tcPr>
          <w:p>
            <w:pPr>
              <w:spacing w:after="0"/>
              <w:rPr>
                <w:sz w:val="20"/>
                <w:szCs w:val="20"/>
                <w:color w:val="auto"/>
              </w:rPr>
            </w:pPr>
            <w:r>
              <w:rPr>
                <w:rFonts w:ascii="Arial" w:cs="Arial" w:eastAsia="Arial" w:hAnsi="Arial"/>
                <w:sz w:val="3"/>
                <w:szCs w:val="3"/>
                <w:color w:val="FFFFFF"/>
              </w:rPr>
              <w:t>Kong where RMB trading is officially sanctioned and regulated,</w:t>
            </w:r>
          </w:p>
        </w:tc>
      </w:tr>
      <w:tr>
        <w:trPr>
          <w:trHeight w:val="41"/>
        </w:trPr>
        <w:tc>
          <w:tcPr>
            <w:tcW w:w="4980" w:type="dxa"/>
            <w:vAlign w:val="bottom"/>
            <w:gridSpan w:val="4"/>
          </w:tcPr>
          <w:p>
            <w:pPr>
              <w:spacing w:after="0"/>
              <w:rPr>
                <w:sz w:val="20"/>
                <w:szCs w:val="20"/>
                <w:color w:val="auto"/>
              </w:rPr>
            </w:pPr>
            <w:r>
              <w:rPr>
                <w:rFonts w:ascii="Arial" w:cs="Arial" w:eastAsia="Arial" w:hAnsi="Arial"/>
                <w:sz w:val="3"/>
                <w:szCs w:val="3"/>
                <w:color w:val="FFFFFF"/>
              </w:rPr>
              <w:t>that is largely “convertible and transferable”. It is also known</w:t>
            </w:r>
          </w:p>
        </w:tc>
      </w:tr>
      <w:tr>
        <w:trPr>
          <w:trHeight w:val="41"/>
        </w:trPr>
        <w:tc>
          <w:tcPr>
            <w:tcW w:w="4980" w:type="dxa"/>
            <w:vAlign w:val="bottom"/>
            <w:gridSpan w:val="4"/>
          </w:tcPr>
          <w:p>
            <w:pPr>
              <w:spacing w:after="0"/>
              <w:rPr>
                <w:sz w:val="20"/>
                <w:szCs w:val="20"/>
                <w:color w:val="auto"/>
              </w:rPr>
            </w:pPr>
            <w:r>
              <w:rPr>
                <w:rFonts w:ascii="Arial" w:cs="Arial" w:eastAsia="Arial" w:hAnsi="Arial"/>
                <w:sz w:val="3"/>
                <w:szCs w:val="3"/>
                <w:color w:val="FFFFFF"/>
              </w:rPr>
              <w:t>as CNH, which refers to offshore RMB primarily traded in Hong</w:t>
            </w: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Kong (hence the “H”)</w:t>
            </w:r>
          </w:p>
        </w:tc>
        <w:tc>
          <w:tcPr>
            <w:tcW w:w="84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41"/>
        </w:trPr>
        <w:tc>
          <w:tcPr>
            <w:tcW w:w="4980" w:type="dxa"/>
            <w:vAlign w:val="bottom"/>
            <w:gridSpan w:val="4"/>
          </w:tcPr>
          <w:p>
            <w:pPr>
              <w:spacing w:after="0"/>
              <w:rPr>
                <w:sz w:val="20"/>
                <w:szCs w:val="20"/>
                <w:color w:val="auto"/>
              </w:rPr>
            </w:pPr>
            <w:r>
              <w:rPr>
                <w:rFonts w:ascii="Arial" w:cs="Arial" w:eastAsia="Arial" w:hAnsi="Arial"/>
                <w:sz w:val="3"/>
                <w:szCs w:val="3"/>
                <w:color w:val="FFFFFF"/>
              </w:rPr>
              <w:t>“Palo Real Estate Company Palo Real Estate Company Limited, a limited liability company</w:t>
            </w:r>
          </w:p>
        </w:tc>
      </w:tr>
      <w:tr>
        <w:trPr>
          <w:trHeight w:val="41"/>
        </w:trPr>
        <w:tc>
          <w:tcPr>
            <w:tcW w:w="2520" w:type="dxa"/>
            <w:vAlign w:val="bottom"/>
            <w:gridSpan w:val="3"/>
          </w:tcPr>
          <w:p>
            <w:pPr>
              <w:spacing w:after="0"/>
              <w:rPr>
                <w:sz w:val="20"/>
                <w:szCs w:val="20"/>
                <w:color w:val="auto"/>
              </w:rPr>
            </w:pPr>
            <w:r>
              <w:rPr>
                <w:rFonts w:ascii="Arial" w:cs="Arial" w:eastAsia="Arial" w:hAnsi="Arial"/>
                <w:sz w:val="3"/>
                <w:szCs w:val="3"/>
                <w:color w:val="FFFFFF"/>
              </w:rPr>
              <w:t>Limited” or “Palo” incorporated under the</w:t>
            </w:r>
          </w:p>
        </w:tc>
        <w:tc>
          <w:tcPr>
            <w:tcW w:w="2460" w:type="dxa"/>
            <w:vAlign w:val="bottom"/>
          </w:tcPr>
          <w:p>
            <w:pPr>
              <w:ind w:left="80"/>
              <w:spacing w:after="0"/>
              <w:rPr>
                <w:sz w:val="20"/>
                <w:szCs w:val="20"/>
                <w:color w:val="auto"/>
              </w:rPr>
            </w:pPr>
            <w:r>
              <w:rPr>
                <w:rFonts w:ascii="Arial" w:cs="Arial" w:eastAsia="Arial" w:hAnsi="Arial"/>
                <w:sz w:val="3"/>
                <w:szCs w:val="3"/>
                <w:color w:val="FFFFFF"/>
              </w:rPr>
              <w:t>of Macau and an indirect wholly</w:t>
            </w:r>
          </w:p>
        </w:tc>
      </w:tr>
      <w:tr>
        <w:trPr>
          <w:trHeight w:val="41"/>
        </w:trPr>
        <w:tc>
          <w:tcPr>
            <w:tcW w:w="4980" w:type="dxa"/>
            <w:vAlign w:val="bottom"/>
            <w:gridSpan w:val="4"/>
          </w:tcPr>
          <w:p>
            <w:pPr>
              <w:spacing w:after="0"/>
              <w:rPr>
                <w:sz w:val="20"/>
                <w:szCs w:val="20"/>
                <w:color w:val="auto"/>
              </w:rPr>
            </w:pPr>
            <w:r>
              <w:rPr>
                <w:rFonts w:ascii="Arial" w:cs="Arial" w:eastAsia="Arial" w:hAnsi="Arial"/>
                <w:sz w:val="3"/>
                <w:szCs w:val="3"/>
                <w:color w:val="FFFFFF"/>
              </w:rPr>
              <w:t>owned subsidiary of the Company, subject lawsto10% social and</w:t>
            </w:r>
          </w:p>
        </w:tc>
      </w:tr>
      <w:tr>
        <w:trPr>
          <w:trHeight w:val="41"/>
        </w:trPr>
        <w:tc>
          <w:tcPr>
            <w:tcW w:w="4980" w:type="dxa"/>
            <w:vAlign w:val="bottom"/>
            <w:gridSpan w:val="4"/>
          </w:tcPr>
          <w:p>
            <w:pPr>
              <w:spacing w:after="0"/>
              <w:rPr>
                <w:sz w:val="20"/>
                <w:szCs w:val="20"/>
                <w:color w:val="auto"/>
              </w:rPr>
            </w:pPr>
            <w:r>
              <w:rPr>
                <w:rFonts w:ascii="Arial" w:cs="Arial" w:eastAsia="Arial" w:hAnsi="Arial"/>
                <w:sz w:val="3"/>
                <w:szCs w:val="3"/>
                <w:color w:val="FFFFFF"/>
              </w:rPr>
              <w:t>voting interest and MOP1.00 economic interest held by Mr.</w:t>
            </w: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Wong Chi Seng (a Macau</w:t>
            </w:r>
          </w:p>
        </w:tc>
        <w:tc>
          <w:tcPr>
            <w:tcW w:w="840" w:type="dxa"/>
            <w:vAlign w:val="bottom"/>
          </w:tcPr>
          <w:p>
            <w:pPr>
              <w:ind w:left="260"/>
              <w:spacing w:after="0"/>
              <w:rPr>
                <w:sz w:val="20"/>
                <w:szCs w:val="20"/>
                <w:color w:val="auto"/>
              </w:rPr>
            </w:pPr>
            <w:r>
              <w:rPr>
                <w:rFonts w:ascii="Arial" w:cs="Arial" w:eastAsia="Arial" w:hAnsi="Arial"/>
                <w:sz w:val="3"/>
                <w:szCs w:val="3"/>
                <w:color w:val="FFFFFF"/>
              </w:rPr>
              <w:t>in WRM</w:t>
            </w:r>
          </w:p>
        </w:tc>
        <w:tc>
          <w:tcPr>
            <w:tcW w:w="2460" w:type="dxa"/>
            <w:vAlign w:val="bottom"/>
          </w:tcPr>
          <w:p>
            <w:pPr>
              <w:spacing w:after="0"/>
              <w:rPr>
                <w:sz w:val="3"/>
                <w:szCs w:val="3"/>
                <w:color w:val="auto"/>
              </w:rPr>
            </w:pPr>
          </w:p>
        </w:tc>
      </w:tr>
      <w:tr>
        <w:trPr>
          <w:trHeight w:val="41"/>
        </w:trPr>
        <w:tc>
          <w:tcPr>
            <w:tcW w:w="4980" w:type="dxa"/>
            <w:vAlign w:val="bottom"/>
            <w:gridSpan w:val="4"/>
          </w:tcPr>
          <w:p>
            <w:pPr>
              <w:ind w:left="60"/>
              <w:spacing w:after="0"/>
              <w:rPr>
                <w:sz w:val="20"/>
                <w:szCs w:val="20"/>
                <w:color w:val="auto"/>
              </w:rPr>
            </w:pPr>
            <w:r>
              <w:rPr>
                <w:rFonts w:ascii="Arial" w:cs="Arial" w:eastAsia="Arial" w:hAnsi="Arial"/>
                <w:sz w:val="3"/>
                <w:szCs w:val="3"/>
                <w:color w:val="FFFFFF"/>
              </w:rPr>
              <w:t>PRC”, “China” or the People’resident)Republic of China and, except where the context</w:t>
            </w:r>
          </w:p>
        </w:tc>
      </w:tr>
      <w:tr>
        <w:trPr>
          <w:trHeight w:val="41"/>
        </w:trPr>
        <w:tc>
          <w:tcPr>
            <w:tcW w:w="4980" w:type="dxa"/>
            <w:vAlign w:val="bottom"/>
            <w:gridSpan w:val="4"/>
          </w:tcPr>
          <w:p>
            <w:pPr>
              <w:spacing w:after="0"/>
              <w:rPr>
                <w:sz w:val="20"/>
                <w:szCs w:val="20"/>
                <w:color w:val="auto"/>
              </w:rPr>
            </w:pPr>
            <w:r>
              <w:rPr>
                <w:rFonts w:ascii="Arial" w:cs="Arial" w:eastAsia="Arial" w:hAnsi="Arial"/>
                <w:sz w:val="3"/>
                <w:szCs w:val="3"/>
                <w:color w:val="FFFFFF"/>
              </w:rPr>
              <w:t>“mainland China” requires and only for the purpose of this report, references in</w:t>
            </w:r>
          </w:p>
        </w:tc>
      </w:tr>
      <w:tr>
        <w:trPr>
          <w:trHeight w:val="0"/>
        </w:trPr>
        <w:tc>
          <w:tcPr>
            <w:tcW w:w="400" w:type="dxa"/>
            <w:vAlign w:val="bottom"/>
          </w:tcPr>
          <w:p>
            <w:pPr>
              <w:spacing w:after="0" w:line="80" w:lineRule="exact"/>
              <w:rPr>
                <w:sz w:val="20"/>
                <w:szCs w:val="20"/>
                <w:color w:val="auto"/>
              </w:rPr>
            </w:pPr>
            <w:r>
              <w:rPr>
                <w:rFonts w:ascii="Arial" w:cs="Arial" w:eastAsia="Arial" w:hAnsi="Arial"/>
                <w:sz w:val="9"/>
                <w:szCs w:val="9"/>
                <w:color w:val="FFFFFF"/>
              </w:rPr>
              <w:t>this</w:t>
            </w:r>
          </w:p>
        </w:tc>
        <w:tc>
          <w:tcPr>
            <w:tcW w:w="4580" w:type="dxa"/>
            <w:vAlign w:val="bottom"/>
            <w:gridSpan w:val="3"/>
          </w:tcPr>
          <w:p>
            <w:pPr>
              <w:ind w:left="200"/>
              <w:spacing w:after="0" w:line="80" w:lineRule="exact"/>
              <w:rPr>
                <w:sz w:val="20"/>
                <w:szCs w:val="20"/>
                <w:color w:val="auto"/>
              </w:rPr>
            </w:pPr>
            <w:r>
              <w:rPr>
                <w:rFonts w:ascii="Arial" w:cs="Arial" w:eastAsia="Arial" w:hAnsi="Arial"/>
                <w:sz w:val="9"/>
                <w:szCs w:val="9"/>
                <w:color w:val="FFFFFF"/>
              </w:rPr>
              <w:t>to the PRC or China do not include Taiwan, Hong</w:t>
            </w:r>
          </w:p>
        </w:tc>
      </w:tr>
    </w:tbl>
    <w:p>
      <w:pPr>
        <w:ind w:left="240"/>
        <w:spacing w:after="0" w:line="25" w:lineRule="auto"/>
        <w:rPr>
          <w:sz w:val="20"/>
          <w:szCs w:val="20"/>
          <w:color w:val="auto"/>
        </w:rPr>
      </w:pPr>
      <w:r>
        <w:rPr>
          <w:rFonts w:ascii="Arial" w:cs="Arial" w:eastAsia="Arial" w:hAnsi="Arial"/>
          <w:sz w:val="1"/>
          <w:szCs w:val="1"/>
          <w:color w:val="FFFFFF"/>
        </w:rPr>
        <w:t>report</w:t>
      </w:r>
    </w:p>
    <w:p>
      <w:pPr>
        <w:spacing w:after="0" w:line="187" w:lineRule="auto"/>
        <w:rPr>
          <w:sz w:val="20"/>
          <w:szCs w:val="20"/>
          <w:color w:val="auto"/>
        </w:rPr>
      </w:pPr>
      <w:r>
        <w:rPr>
          <w:rFonts w:ascii="Arial" w:cs="Arial" w:eastAsia="Arial" w:hAnsi="Arial"/>
          <w:sz w:val="9"/>
          <w:szCs w:val="9"/>
          <w:color w:val="FFFFFF"/>
          <w:vertAlign w:val="subscript"/>
        </w:rPr>
        <w:t>“SEC”</w:t>
      </w:r>
      <w:r>
        <w:rPr>
          <w:rFonts w:ascii="Arial" w:cs="Arial" w:eastAsia="Arial" w:hAnsi="Arial"/>
          <w:sz w:val="7"/>
          <w:szCs w:val="7"/>
          <w:color w:val="FFFFFF"/>
        </w:rPr>
        <w:t>KongRMB” Renminbi,Macau;thethetermlawful“Chinese”currencyhasofa PRCsimilar meaning</w:t>
      </w:r>
    </w:p>
    <w:p>
      <w:pPr>
        <w:spacing w:after="0"/>
        <w:rPr>
          <w:sz w:val="20"/>
          <w:szCs w:val="20"/>
          <w:color w:val="auto"/>
        </w:rPr>
      </w:pPr>
      <w:r>
        <w:rPr>
          <w:rFonts w:ascii="Arial" w:cs="Arial" w:eastAsia="Arial" w:hAnsi="Arial"/>
          <w:sz w:val="14"/>
          <w:szCs w:val="14"/>
          <w:color w:val="FFFFFF"/>
        </w:rPr>
        <w:t>Americathe Securities and Exchange Commission in the United States of</w:t>
      </w:r>
    </w:p>
    <w:p>
      <w:pPr>
        <w:sectPr>
          <w:pgSz w:w="11900" w:h="16838" w:orient="portrait"/>
          <w:cols w:equalWidth="0" w:num="1">
            <w:col w:w="10219"/>
          </w:cols>
          <w:pgMar w:left="240" w:top="1440" w:right="1440"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4"/>
          </w:tcPr>
          <w:p>
            <w:pPr>
              <w:spacing w:after="0"/>
              <w:rPr>
                <w:sz w:val="20"/>
                <w:szCs w:val="20"/>
                <w:color w:val="auto"/>
              </w:rPr>
            </w:pPr>
            <w:r>
              <w:rPr>
                <w:rFonts w:ascii="Arial" w:cs="Arial" w:eastAsia="Arial" w:hAnsi="Arial"/>
                <w:sz w:val="14"/>
                <w:szCs w:val="14"/>
                <w:color w:val="FFFFFF"/>
                <w:w w:val="94"/>
              </w:rPr>
              <w:t>82 Wynn Macau, Limited</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300" w:type="dxa"/>
            <w:vAlign w:val="bottom"/>
            <w:gridSpan w:val="3"/>
          </w:tcPr>
          <w:p>
            <w:pPr>
              <w:spacing w:after="0"/>
              <w:rPr>
                <w:sz w:val="20"/>
                <w:szCs w:val="20"/>
                <w:color w:val="auto"/>
              </w:rPr>
            </w:pPr>
            <w:r>
              <w:rPr>
                <w:rFonts w:ascii="Arial" w:cs="Arial" w:eastAsia="Arial" w:hAnsi="Arial"/>
                <w:sz w:val="3"/>
                <w:szCs w:val="3"/>
                <w:color w:val="FFFFFF"/>
              </w:rPr>
              <w:t>Definitions</w:t>
            </w: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40" w:type="dxa"/>
            <w:vAlign w:val="bottom"/>
            <w:gridSpan w:val="7"/>
          </w:tcPr>
          <w:p>
            <w:pPr>
              <w:spacing w:after="0"/>
              <w:rPr>
                <w:sz w:val="20"/>
                <w:szCs w:val="20"/>
                <w:color w:val="auto"/>
              </w:rPr>
            </w:pPr>
            <w:r>
              <w:rPr>
                <w:rFonts w:ascii="Arial" w:cs="Arial" w:eastAsia="Arial" w:hAnsi="Arial"/>
                <w:sz w:val="3"/>
                <w:szCs w:val="3"/>
                <w:color w:val="FFFFFF"/>
              </w:rPr>
              <w:t>“SFO” the Securities and Futures Ordinance (Chapter 571 of the Laws</w:t>
            </w:r>
          </w:p>
        </w:tc>
        <w:tc>
          <w:tcPr>
            <w:tcW w:w="0" w:type="dxa"/>
            <w:vAlign w:val="bottom"/>
          </w:tcPr>
          <w:p>
            <w:pPr>
              <w:spacing w:after="0"/>
              <w:rPr>
                <w:sz w:val="1"/>
                <w:szCs w:val="1"/>
                <w:color w:val="auto"/>
              </w:rPr>
            </w:pPr>
          </w:p>
        </w:tc>
      </w:tr>
      <w:tr>
        <w:trPr>
          <w:trHeight w:val="41"/>
        </w:trPr>
        <w:tc>
          <w:tcPr>
            <w:tcW w:w="1300" w:type="dxa"/>
            <w:vAlign w:val="bottom"/>
            <w:gridSpan w:val="3"/>
          </w:tcPr>
          <w:p>
            <w:pPr>
              <w:spacing w:after="0"/>
              <w:rPr>
                <w:sz w:val="20"/>
                <w:szCs w:val="20"/>
                <w:color w:val="auto"/>
              </w:rPr>
            </w:pPr>
            <w:r>
              <w:rPr>
                <w:rFonts w:ascii="Arial" w:cs="Arial" w:eastAsia="Arial" w:hAnsi="Arial"/>
                <w:sz w:val="3"/>
                <w:szCs w:val="3"/>
                <w:color w:val="FFFFFF"/>
              </w:rPr>
              <w:t>of Hong Kong)</w:t>
            </w: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40" w:type="dxa"/>
            <w:vAlign w:val="bottom"/>
            <w:gridSpan w:val="7"/>
          </w:tcPr>
          <w:p>
            <w:pPr>
              <w:spacing w:after="0"/>
              <w:rPr>
                <w:sz w:val="20"/>
                <w:szCs w:val="20"/>
                <w:color w:val="auto"/>
              </w:rPr>
            </w:pPr>
            <w:r>
              <w:rPr>
                <w:rFonts w:ascii="Arial" w:cs="Arial" w:eastAsia="Arial" w:hAnsi="Arial"/>
                <w:sz w:val="3"/>
                <w:szCs w:val="3"/>
                <w:color w:val="FFFFFF"/>
              </w:rPr>
              <w:t>“Share(s)” ordinary share(s) with a nominal value of HK$0.001 each in the</w:t>
            </w:r>
          </w:p>
        </w:tc>
        <w:tc>
          <w:tcPr>
            <w:tcW w:w="0" w:type="dxa"/>
            <w:vAlign w:val="bottom"/>
          </w:tcPr>
          <w:p>
            <w:pPr>
              <w:spacing w:after="0"/>
              <w:rPr>
                <w:sz w:val="1"/>
                <w:szCs w:val="1"/>
                <w:color w:val="auto"/>
              </w:rPr>
            </w:pPr>
          </w:p>
        </w:tc>
      </w:tr>
      <w:tr>
        <w:trPr>
          <w:trHeight w:val="41"/>
        </w:trPr>
        <w:tc>
          <w:tcPr>
            <w:tcW w:w="1860" w:type="dxa"/>
            <w:vAlign w:val="bottom"/>
            <w:gridSpan w:val="5"/>
          </w:tcPr>
          <w:p>
            <w:pPr>
              <w:spacing w:after="0"/>
              <w:rPr>
                <w:sz w:val="20"/>
                <w:szCs w:val="20"/>
                <w:color w:val="auto"/>
              </w:rPr>
            </w:pPr>
            <w:r>
              <w:rPr>
                <w:rFonts w:ascii="Arial" w:cs="Arial" w:eastAsia="Arial" w:hAnsi="Arial"/>
                <w:sz w:val="3"/>
                <w:szCs w:val="3"/>
                <w:color w:val="FFFFFF"/>
              </w:rPr>
              <w:t>share capital of our Company</w:t>
            </w:r>
          </w:p>
        </w:tc>
        <w:tc>
          <w:tcPr>
            <w:tcW w:w="3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1180" w:type="dxa"/>
            <w:vAlign w:val="bottom"/>
            <w:gridSpan w:val="2"/>
          </w:tcPr>
          <w:p>
            <w:pPr>
              <w:ind w:left="20"/>
              <w:spacing w:after="0"/>
              <w:rPr>
                <w:sz w:val="20"/>
                <w:szCs w:val="20"/>
                <w:color w:val="auto"/>
              </w:rPr>
            </w:pPr>
            <w:r>
              <w:rPr>
                <w:rFonts w:ascii="Arial" w:cs="Arial" w:eastAsia="Arial" w:hAnsi="Arial"/>
                <w:sz w:val="3"/>
                <w:szCs w:val="3"/>
                <w:color w:val="FFFFFF"/>
              </w:rPr>
              <w:t>hareholder(s)”</w:t>
            </w:r>
          </w:p>
        </w:tc>
        <w:tc>
          <w:tcPr>
            <w:tcW w:w="180" w:type="dxa"/>
            <w:vAlign w:val="bottom"/>
          </w:tcPr>
          <w:p>
            <w:pPr>
              <w:spacing w:after="0"/>
              <w:rPr>
                <w:sz w:val="3"/>
                <w:szCs w:val="3"/>
                <w:color w:val="auto"/>
              </w:rPr>
            </w:pPr>
          </w:p>
        </w:tc>
        <w:tc>
          <w:tcPr>
            <w:tcW w:w="3360" w:type="dxa"/>
            <w:vAlign w:val="bottom"/>
            <w:gridSpan w:val="3"/>
          </w:tcPr>
          <w:p>
            <w:pPr>
              <w:spacing w:after="0"/>
              <w:rPr>
                <w:sz w:val="20"/>
                <w:szCs w:val="20"/>
                <w:color w:val="auto"/>
              </w:rPr>
            </w:pPr>
            <w:r>
              <w:rPr>
                <w:rFonts w:ascii="Arial" w:cs="Arial" w:eastAsia="Arial" w:hAnsi="Arial"/>
                <w:sz w:val="3"/>
                <w:szCs w:val="3"/>
                <w:color w:val="FFFFFF"/>
              </w:rPr>
              <w:t>of Share(s) of the Company from time to time</w:t>
            </w:r>
          </w:p>
        </w:tc>
        <w:tc>
          <w:tcPr>
            <w:tcW w:w="0" w:type="dxa"/>
            <w:vAlign w:val="bottom"/>
          </w:tcPr>
          <w:p>
            <w:pPr>
              <w:spacing w:after="0"/>
              <w:rPr>
                <w:sz w:val="1"/>
                <w:szCs w:val="1"/>
                <w:color w:val="auto"/>
              </w:rPr>
            </w:pPr>
          </w:p>
        </w:tc>
      </w:tr>
      <w:tr>
        <w:trPr>
          <w:trHeight w:val="41"/>
        </w:trPr>
        <w:tc>
          <w:tcPr>
            <w:tcW w:w="4840" w:type="dxa"/>
            <w:vAlign w:val="bottom"/>
            <w:gridSpan w:val="7"/>
          </w:tcPr>
          <w:p>
            <w:pPr>
              <w:spacing w:after="0"/>
              <w:rPr>
                <w:sz w:val="20"/>
                <w:szCs w:val="20"/>
                <w:color w:val="auto"/>
              </w:rPr>
            </w:pPr>
            <w:r>
              <w:rPr>
                <w:rFonts w:ascii="Arial" w:cs="Arial" w:eastAsia="Arial" w:hAnsi="Arial"/>
                <w:sz w:val="3"/>
                <w:szCs w:val="3"/>
                <w:color w:val="FFFFFF"/>
              </w:rPr>
              <w:t>“SJM” Sociedadeholder(s)Jogos de Macau S.A., one of the six gaming</w:t>
            </w:r>
          </w:p>
        </w:tc>
        <w:tc>
          <w:tcPr>
            <w:tcW w:w="0" w:type="dxa"/>
            <w:vAlign w:val="bottom"/>
          </w:tcPr>
          <w:p>
            <w:pPr>
              <w:spacing w:after="0"/>
              <w:rPr>
                <w:sz w:val="1"/>
                <w:szCs w:val="1"/>
                <w:color w:val="auto"/>
              </w:rPr>
            </w:pPr>
          </w:p>
        </w:tc>
      </w:tr>
      <w:tr>
        <w:trPr>
          <w:trHeight w:val="41"/>
        </w:trPr>
        <w:tc>
          <w:tcPr>
            <w:tcW w:w="4840" w:type="dxa"/>
            <w:vAlign w:val="bottom"/>
            <w:gridSpan w:val="7"/>
          </w:tcPr>
          <w:p>
            <w:pPr>
              <w:spacing w:after="0"/>
              <w:rPr>
                <w:sz w:val="20"/>
                <w:szCs w:val="20"/>
                <w:color w:val="auto"/>
              </w:rPr>
            </w:pPr>
            <w:r>
              <w:rPr>
                <w:rFonts w:ascii="Arial" w:cs="Arial" w:eastAsia="Arial" w:hAnsi="Arial"/>
                <w:sz w:val="3"/>
                <w:szCs w:val="3"/>
                <w:color w:val="FFFFFF"/>
              </w:rPr>
              <w:t>operators in Macau and one of the three concessionaires</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40" w:type="dxa"/>
            <w:vAlign w:val="bottom"/>
            <w:gridSpan w:val="5"/>
          </w:tcPr>
          <w:p>
            <w:pPr>
              <w:spacing w:after="0"/>
              <w:rPr>
                <w:sz w:val="20"/>
                <w:szCs w:val="20"/>
                <w:color w:val="auto"/>
              </w:rPr>
            </w:pPr>
            <w:r>
              <w:rPr>
                <w:rFonts w:ascii="Arial" w:cs="Arial" w:eastAsia="Arial" w:hAnsi="Arial"/>
                <w:sz w:val="3"/>
                <w:szCs w:val="3"/>
                <w:color w:val="FFFFFF"/>
              </w:rPr>
              <w:t>United States dollars, the lawful currency of the United States</w:t>
            </w:r>
          </w:p>
        </w:tc>
        <w:tc>
          <w:tcPr>
            <w:tcW w:w="0" w:type="dxa"/>
            <w:vAlign w:val="bottom"/>
          </w:tcPr>
          <w:p>
            <w:pPr>
              <w:spacing w:after="0"/>
              <w:rPr>
                <w:sz w:val="1"/>
                <w:szCs w:val="1"/>
                <w:color w:val="auto"/>
              </w:rPr>
            </w:pPr>
          </w:p>
        </w:tc>
      </w:tr>
      <w:tr>
        <w:trPr>
          <w:trHeight w:val="41"/>
        </w:trPr>
        <w:tc>
          <w:tcPr>
            <w:tcW w:w="4840" w:type="dxa"/>
            <w:vAlign w:val="bottom"/>
            <w:gridSpan w:val="7"/>
          </w:tcPr>
          <w:p>
            <w:pPr>
              <w:spacing w:after="0"/>
              <w:rPr>
                <w:sz w:val="20"/>
                <w:szCs w:val="20"/>
                <w:color w:val="auto"/>
              </w:rPr>
            </w:pPr>
            <w:r>
              <w:rPr>
                <w:rFonts w:ascii="Arial" w:cs="Arial" w:eastAsia="Arial" w:hAnsi="Arial"/>
                <w:sz w:val="3"/>
                <w:szCs w:val="3"/>
                <w:color w:val="FFFFFF"/>
              </w:rPr>
              <w:t>“US.$.”GAAP” the Generally Accepted Accounting Principles of the United</w:t>
            </w: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States</w:t>
            </w: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40" w:type="dxa"/>
            <w:vAlign w:val="bottom"/>
            <w:gridSpan w:val="7"/>
          </w:tcPr>
          <w:p>
            <w:pPr>
              <w:spacing w:after="0"/>
              <w:rPr>
                <w:sz w:val="20"/>
                <w:szCs w:val="20"/>
                <w:color w:val="auto"/>
              </w:rPr>
            </w:pPr>
            <w:r>
              <w:rPr>
                <w:rFonts w:ascii="Arial" w:cs="Arial" w:eastAsia="Arial" w:hAnsi="Arial"/>
                <w:sz w:val="3"/>
                <w:szCs w:val="3"/>
                <w:color w:val="FFFFFF"/>
              </w:rPr>
              <w:t>“Venetian Macau” Venetian Macau S.A., one of the six gaming operators in Macau</w:t>
            </w:r>
          </w:p>
        </w:tc>
        <w:tc>
          <w:tcPr>
            <w:tcW w:w="0" w:type="dxa"/>
            <w:vAlign w:val="bottom"/>
          </w:tcPr>
          <w:p>
            <w:pPr>
              <w:spacing w:after="0"/>
              <w:rPr>
                <w:sz w:val="1"/>
                <w:szCs w:val="1"/>
                <w:color w:val="auto"/>
              </w:rPr>
            </w:pPr>
          </w:p>
        </w:tc>
      </w:tr>
      <w:tr>
        <w:trPr>
          <w:trHeight w:val="41"/>
        </w:trPr>
        <w:tc>
          <w:tcPr>
            <w:tcW w:w="2220" w:type="dxa"/>
            <w:vAlign w:val="bottom"/>
            <w:gridSpan w:val="6"/>
          </w:tcPr>
          <w:p>
            <w:pPr>
              <w:spacing w:after="0"/>
              <w:rPr>
                <w:sz w:val="20"/>
                <w:szCs w:val="20"/>
                <w:color w:val="auto"/>
              </w:rPr>
            </w:pPr>
            <w:r>
              <w:rPr>
                <w:rFonts w:ascii="Arial" w:cs="Arial" w:eastAsia="Arial" w:hAnsi="Arial"/>
                <w:sz w:val="3"/>
                <w:szCs w:val="3"/>
                <w:color w:val="FFFFFF"/>
              </w:rPr>
              <w:t>and one of the three sub-concessionaires</w:t>
            </w:r>
          </w:p>
        </w:tc>
        <w:tc>
          <w:tcPr>
            <w:tcW w:w="262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Ltd., a company incorporated</w:t>
            </w:r>
          </w:p>
        </w:tc>
        <w:tc>
          <w:tcPr>
            <w:tcW w:w="0" w:type="dxa"/>
            <w:vAlign w:val="bottom"/>
          </w:tcPr>
          <w:p>
            <w:pPr>
              <w:spacing w:after="0"/>
              <w:rPr>
                <w:sz w:val="1"/>
                <w:szCs w:val="1"/>
                <w:color w:val="auto"/>
              </w:rPr>
            </w:pPr>
          </w:p>
        </w:tc>
      </w:tr>
      <w:tr>
        <w:trPr>
          <w:trHeight w:val="41"/>
        </w:trPr>
        <w:tc>
          <w:tcPr>
            <w:tcW w:w="1860" w:type="dxa"/>
            <w:vAlign w:val="bottom"/>
            <w:gridSpan w:val="5"/>
          </w:tcPr>
          <w:p>
            <w:pPr>
              <w:spacing w:after="0"/>
              <w:rPr>
                <w:sz w:val="20"/>
                <w:szCs w:val="20"/>
                <w:color w:val="auto"/>
              </w:rPr>
            </w:pPr>
            <w:r>
              <w:rPr>
                <w:rFonts w:ascii="Arial" w:cs="Arial" w:eastAsia="Arial" w:hAnsi="Arial"/>
                <w:sz w:val="3"/>
                <w:szCs w:val="3"/>
                <w:color w:val="FFFFFF"/>
              </w:rPr>
              <w:t>“WIML” Wynn International</w:t>
            </w:r>
          </w:p>
        </w:tc>
        <w:tc>
          <w:tcPr>
            <w:tcW w:w="360" w:type="dxa"/>
            <w:vAlign w:val="bottom"/>
          </w:tcPr>
          <w:p>
            <w:pPr>
              <w:spacing w:after="0"/>
              <w:rPr>
                <w:sz w:val="3"/>
                <w:szCs w:val="3"/>
                <w:color w:val="auto"/>
              </w:rPr>
            </w:pPr>
          </w:p>
        </w:tc>
        <w:tc>
          <w:tcPr>
            <w:tcW w:w="2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40" w:type="dxa"/>
            <w:vAlign w:val="bottom"/>
            <w:gridSpan w:val="7"/>
          </w:tcPr>
          <w:p>
            <w:pPr>
              <w:spacing w:after="0"/>
              <w:rPr>
                <w:sz w:val="20"/>
                <w:szCs w:val="20"/>
                <w:color w:val="auto"/>
              </w:rPr>
            </w:pPr>
            <w:r>
              <w:rPr>
                <w:rFonts w:ascii="Arial" w:cs="Arial" w:eastAsia="Arial" w:hAnsi="Arial"/>
                <w:sz w:val="3"/>
                <w:szCs w:val="3"/>
                <w:color w:val="FFFFFF"/>
              </w:rPr>
              <w:t>under the laws of Isle of Man Marketing,andwholly owned subsidiary of</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1180" w:type="dxa"/>
            <w:vAlign w:val="bottom"/>
            <w:gridSpan w:val="2"/>
          </w:tcPr>
          <w:p>
            <w:pPr>
              <w:spacing w:after="0"/>
              <w:rPr>
                <w:sz w:val="20"/>
                <w:szCs w:val="20"/>
                <w:color w:val="auto"/>
              </w:rPr>
            </w:pPr>
            <w:r>
              <w:rPr>
                <w:rFonts w:ascii="Arial" w:cs="Arial" w:eastAsia="Arial" w:hAnsi="Arial"/>
                <w:sz w:val="3"/>
                <w:szCs w:val="3"/>
                <w:color w:val="FFFFFF"/>
              </w:rPr>
              <w:t>ynn Resorts, Limited</w:t>
            </w: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40" w:type="dxa"/>
            <w:vAlign w:val="bottom"/>
            <w:gridSpan w:val="7"/>
          </w:tcPr>
          <w:p>
            <w:pPr>
              <w:spacing w:after="0"/>
              <w:rPr>
                <w:sz w:val="20"/>
                <w:szCs w:val="20"/>
                <w:color w:val="auto"/>
              </w:rPr>
            </w:pPr>
            <w:r>
              <w:rPr>
                <w:rFonts w:ascii="Arial" w:cs="Arial" w:eastAsia="Arial" w:hAnsi="Arial"/>
                <w:sz w:val="3"/>
                <w:szCs w:val="3"/>
                <w:color w:val="FFFFFF"/>
              </w:rPr>
              <w:t>“WM Cayman Holdings WM Cayman Holdings Limited I, a company incorporated on 7</w:t>
            </w:r>
          </w:p>
        </w:tc>
        <w:tc>
          <w:tcPr>
            <w:tcW w:w="0" w:type="dxa"/>
            <w:vAlign w:val="bottom"/>
          </w:tcPr>
          <w:p>
            <w:pPr>
              <w:spacing w:after="0"/>
              <w:rPr>
                <w:sz w:val="1"/>
                <w:szCs w:val="1"/>
                <w:color w:val="auto"/>
              </w:rPr>
            </w:pPr>
          </w:p>
        </w:tc>
      </w:tr>
      <w:tr>
        <w:trPr>
          <w:trHeight w:val="41"/>
        </w:trPr>
        <w:tc>
          <w:tcPr>
            <w:tcW w:w="1300" w:type="dxa"/>
            <w:vAlign w:val="bottom"/>
            <w:gridSpan w:val="3"/>
          </w:tcPr>
          <w:p>
            <w:pPr>
              <w:spacing w:after="0"/>
              <w:rPr>
                <w:sz w:val="20"/>
                <w:szCs w:val="20"/>
                <w:color w:val="auto"/>
              </w:rPr>
            </w:pPr>
            <w:r>
              <w:rPr>
                <w:rFonts w:ascii="Arial" w:cs="Arial" w:eastAsia="Arial" w:hAnsi="Arial"/>
                <w:sz w:val="3"/>
                <w:szCs w:val="3"/>
                <w:color w:val="FFFFFF"/>
              </w:rPr>
              <w:t>Limited I” July 2009 as</w:t>
            </w:r>
          </w:p>
        </w:tc>
        <w:tc>
          <w:tcPr>
            <w:tcW w:w="180" w:type="dxa"/>
            <w:vAlign w:val="bottom"/>
          </w:tcPr>
          <w:p>
            <w:pPr>
              <w:spacing w:after="0"/>
              <w:rPr>
                <w:sz w:val="3"/>
                <w:szCs w:val="3"/>
                <w:color w:val="auto"/>
              </w:rPr>
            </w:pPr>
          </w:p>
        </w:tc>
        <w:tc>
          <w:tcPr>
            <w:tcW w:w="3360" w:type="dxa"/>
            <w:vAlign w:val="bottom"/>
            <w:gridSpan w:val="3"/>
          </w:tcPr>
          <w:p>
            <w:pPr>
              <w:spacing w:after="0"/>
              <w:rPr>
                <w:sz w:val="20"/>
                <w:szCs w:val="20"/>
                <w:color w:val="auto"/>
              </w:rPr>
            </w:pPr>
            <w:r>
              <w:rPr>
                <w:rFonts w:ascii="Arial" w:cs="Arial" w:eastAsia="Arial" w:hAnsi="Arial"/>
                <w:sz w:val="3"/>
                <w:szCs w:val="3"/>
                <w:color w:val="FFFFFF"/>
              </w:rPr>
              <w:t>exempted company with limited liability under</w:t>
            </w:r>
          </w:p>
        </w:tc>
        <w:tc>
          <w:tcPr>
            <w:tcW w:w="0" w:type="dxa"/>
            <w:vAlign w:val="bottom"/>
          </w:tcPr>
          <w:p>
            <w:pPr>
              <w:spacing w:after="0"/>
              <w:rPr>
                <w:sz w:val="1"/>
                <w:szCs w:val="1"/>
                <w:color w:val="auto"/>
              </w:rPr>
            </w:pPr>
          </w:p>
        </w:tc>
      </w:tr>
      <w:tr>
        <w:trPr>
          <w:trHeight w:val="41"/>
        </w:trPr>
        <w:tc>
          <w:tcPr>
            <w:tcW w:w="1300" w:type="dxa"/>
            <w:vAlign w:val="bottom"/>
            <w:gridSpan w:val="3"/>
          </w:tcPr>
          <w:p>
            <w:pPr>
              <w:spacing w:after="0"/>
              <w:rPr>
                <w:sz w:val="20"/>
                <w:szCs w:val="20"/>
                <w:color w:val="auto"/>
              </w:rPr>
            </w:pPr>
            <w:r>
              <w:rPr>
                <w:rFonts w:ascii="Arial" w:cs="Arial" w:eastAsia="Arial" w:hAnsi="Arial"/>
                <w:sz w:val="3"/>
                <w:szCs w:val="3"/>
                <w:color w:val="FFFFFF"/>
              </w:rPr>
              <w:t>the laws of the Cayman</w:t>
            </w:r>
          </w:p>
        </w:tc>
        <w:tc>
          <w:tcPr>
            <w:tcW w:w="3540" w:type="dxa"/>
            <w:vAlign w:val="bottom"/>
            <w:gridSpan w:val="4"/>
          </w:tcPr>
          <w:p>
            <w:pPr>
              <w:ind w:left="20"/>
              <w:spacing w:after="0"/>
              <w:rPr>
                <w:sz w:val="20"/>
                <w:szCs w:val="20"/>
                <w:color w:val="auto"/>
              </w:rPr>
            </w:pPr>
            <w:r>
              <w:rPr>
                <w:rFonts w:ascii="Arial" w:cs="Arial" w:eastAsia="Arial" w:hAnsi="Arial"/>
                <w:sz w:val="3"/>
                <w:szCs w:val="3"/>
                <w:color w:val="FFFFFF"/>
              </w:rPr>
              <w:t>Islands and a wholly owned subsidiary</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of</w:t>
            </w:r>
          </w:p>
        </w:tc>
        <w:tc>
          <w:tcPr>
            <w:tcW w:w="1360" w:type="dxa"/>
            <w:vAlign w:val="bottom"/>
            <w:gridSpan w:val="3"/>
          </w:tcPr>
          <w:p>
            <w:pPr>
              <w:ind w:left="160"/>
              <w:spacing w:after="0"/>
              <w:rPr>
                <w:sz w:val="20"/>
                <w:szCs w:val="20"/>
                <w:color w:val="auto"/>
              </w:rPr>
            </w:pPr>
            <w:r>
              <w:rPr>
                <w:rFonts w:ascii="Arial" w:cs="Arial" w:eastAsia="Arial" w:hAnsi="Arial"/>
                <w:sz w:val="3"/>
                <w:szCs w:val="3"/>
                <w:color w:val="FFFFFF"/>
              </w:rPr>
              <w:t>ynn Group Asia, Inc.</w:t>
            </w:r>
          </w:p>
        </w:tc>
        <w:tc>
          <w:tcPr>
            <w:tcW w:w="380" w:type="dxa"/>
            <w:vAlign w:val="bottom"/>
          </w:tcPr>
          <w:p>
            <w:pPr>
              <w:spacing w:after="0"/>
              <w:rPr>
                <w:sz w:val="3"/>
                <w:szCs w:val="3"/>
                <w:color w:val="auto"/>
              </w:rPr>
            </w:pPr>
          </w:p>
        </w:tc>
        <w:tc>
          <w:tcPr>
            <w:tcW w:w="2980" w:type="dxa"/>
            <w:vAlign w:val="bottom"/>
            <w:gridSpan w:val="2"/>
            <w:vMerge w:val="restart"/>
          </w:tcPr>
          <w:p>
            <w:pPr>
              <w:ind w:left="260"/>
              <w:spacing w:after="0" w:line="81" w:lineRule="exact"/>
              <w:rPr>
                <w:sz w:val="20"/>
                <w:szCs w:val="20"/>
                <w:color w:val="auto"/>
              </w:rPr>
            </w:pPr>
            <w:r>
              <w:rPr>
                <w:rFonts w:ascii="Arial" w:cs="Arial" w:eastAsia="Arial" w:hAnsi="Arial"/>
                <w:sz w:val="9"/>
                <w:szCs w:val="9"/>
                <w:color w:val="FFFFFF"/>
              </w:rPr>
              <w:t>Holdings Limited II, a company incorporated on 8</w:t>
            </w:r>
          </w:p>
        </w:tc>
        <w:tc>
          <w:tcPr>
            <w:tcW w:w="0" w:type="dxa"/>
            <w:vAlign w:val="bottom"/>
          </w:tcPr>
          <w:p>
            <w:pPr>
              <w:spacing w:after="0"/>
              <w:rPr>
                <w:sz w:val="1"/>
                <w:szCs w:val="1"/>
                <w:color w:val="auto"/>
              </w:rPr>
            </w:pPr>
          </w:p>
        </w:tc>
      </w:tr>
      <w:tr>
        <w:trPr>
          <w:trHeight w:val="41"/>
        </w:trPr>
        <w:tc>
          <w:tcPr>
            <w:tcW w:w="1860" w:type="dxa"/>
            <w:vAlign w:val="bottom"/>
            <w:gridSpan w:val="5"/>
          </w:tcPr>
          <w:p>
            <w:pPr>
              <w:spacing w:after="0"/>
              <w:rPr>
                <w:sz w:val="20"/>
                <w:szCs w:val="20"/>
                <w:color w:val="auto"/>
              </w:rPr>
            </w:pPr>
            <w:r>
              <w:rPr>
                <w:rFonts w:ascii="Arial" w:cs="Arial" w:eastAsia="Arial" w:hAnsi="Arial"/>
                <w:sz w:val="3"/>
                <w:szCs w:val="3"/>
                <w:color w:val="FFFFFF"/>
              </w:rPr>
              <w:t>“WM Cayman Holdings WM</w:t>
            </w:r>
          </w:p>
        </w:tc>
        <w:tc>
          <w:tcPr>
            <w:tcW w:w="2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40" w:type="dxa"/>
            <w:vAlign w:val="bottom"/>
            <w:gridSpan w:val="7"/>
          </w:tcPr>
          <w:p>
            <w:pPr>
              <w:spacing w:after="0"/>
              <w:rPr>
                <w:sz w:val="20"/>
                <w:szCs w:val="20"/>
                <w:color w:val="auto"/>
              </w:rPr>
            </w:pPr>
            <w:r>
              <w:rPr>
                <w:rFonts w:ascii="Arial" w:cs="Arial" w:eastAsia="Arial" w:hAnsi="Arial"/>
                <w:sz w:val="3"/>
                <w:szCs w:val="3"/>
                <w:color w:val="FFFFFF"/>
              </w:rPr>
              <w:t>Limited II” September 2009 asCaymanexempted company with limited liability</w:t>
            </w:r>
          </w:p>
        </w:tc>
        <w:tc>
          <w:tcPr>
            <w:tcW w:w="0" w:type="dxa"/>
            <w:vAlign w:val="bottom"/>
          </w:tcPr>
          <w:p>
            <w:pPr>
              <w:spacing w:after="0"/>
              <w:rPr>
                <w:sz w:val="1"/>
                <w:szCs w:val="1"/>
                <w:color w:val="auto"/>
              </w:rPr>
            </w:pPr>
          </w:p>
        </w:tc>
      </w:tr>
      <w:tr>
        <w:trPr>
          <w:trHeight w:val="41"/>
        </w:trPr>
        <w:tc>
          <w:tcPr>
            <w:tcW w:w="4840" w:type="dxa"/>
            <w:vAlign w:val="bottom"/>
            <w:gridSpan w:val="7"/>
          </w:tcPr>
          <w:p>
            <w:pPr>
              <w:spacing w:after="0"/>
              <w:rPr>
                <w:sz w:val="20"/>
                <w:szCs w:val="20"/>
                <w:color w:val="auto"/>
              </w:rPr>
            </w:pPr>
            <w:r>
              <w:rPr>
                <w:rFonts w:ascii="Arial" w:cs="Arial" w:eastAsia="Arial" w:hAnsi="Arial"/>
                <w:sz w:val="3"/>
                <w:szCs w:val="3"/>
                <w:color w:val="FFFFFF"/>
              </w:rPr>
              <w:t>under the laws of the Cayman Islands and a wholly owned</w:t>
            </w:r>
          </w:p>
        </w:tc>
        <w:tc>
          <w:tcPr>
            <w:tcW w:w="0" w:type="dxa"/>
            <w:vAlign w:val="bottom"/>
          </w:tcPr>
          <w:p>
            <w:pPr>
              <w:spacing w:after="0"/>
              <w:rPr>
                <w:sz w:val="1"/>
                <w:szCs w:val="1"/>
                <w:color w:val="auto"/>
              </w:rPr>
            </w:pPr>
          </w:p>
        </w:tc>
      </w:tr>
      <w:tr>
        <w:trPr>
          <w:trHeight w:val="41"/>
        </w:trPr>
        <w:tc>
          <w:tcPr>
            <w:tcW w:w="1480" w:type="dxa"/>
            <w:vAlign w:val="bottom"/>
            <w:gridSpan w:val="4"/>
          </w:tcPr>
          <w:p>
            <w:pPr>
              <w:spacing w:after="0"/>
              <w:rPr>
                <w:sz w:val="20"/>
                <w:szCs w:val="20"/>
                <w:color w:val="auto"/>
              </w:rPr>
            </w:pPr>
            <w:r>
              <w:rPr>
                <w:rFonts w:ascii="Arial" w:cs="Arial" w:eastAsia="Arial" w:hAnsi="Arial"/>
                <w:sz w:val="3"/>
                <w:szCs w:val="3"/>
                <w:color w:val="FFFFFF"/>
              </w:rPr>
              <w:t>subsidiary of the Company</w:t>
            </w: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40" w:type="dxa"/>
            <w:vAlign w:val="bottom"/>
            <w:gridSpan w:val="7"/>
          </w:tcPr>
          <w:p>
            <w:pPr>
              <w:spacing w:after="0"/>
              <w:rPr>
                <w:sz w:val="20"/>
                <w:szCs w:val="20"/>
                <w:color w:val="auto"/>
              </w:rPr>
            </w:pPr>
            <w:r>
              <w:rPr>
                <w:rFonts w:ascii="Arial" w:cs="Arial" w:eastAsia="Arial" w:hAnsi="Arial"/>
                <w:sz w:val="3"/>
                <w:szCs w:val="3"/>
                <w:color w:val="FFFFFF"/>
              </w:rPr>
              <w:t>“Worldwide Wynn” Worldwide Wynn, LLC, a company formed under the laws of the</w:t>
            </w:r>
          </w:p>
        </w:tc>
        <w:tc>
          <w:tcPr>
            <w:tcW w:w="0" w:type="dxa"/>
            <w:vAlign w:val="bottom"/>
          </w:tcPr>
          <w:p>
            <w:pPr>
              <w:spacing w:after="0"/>
              <w:rPr>
                <w:sz w:val="1"/>
                <w:szCs w:val="1"/>
                <w:color w:val="auto"/>
              </w:rPr>
            </w:pPr>
          </w:p>
        </w:tc>
      </w:tr>
      <w:tr>
        <w:trPr>
          <w:trHeight w:val="41"/>
        </w:trPr>
        <w:tc>
          <w:tcPr>
            <w:tcW w:w="4840" w:type="dxa"/>
            <w:vAlign w:val="bottom"/>
            <w:gridSpan w:val="7"/>
          </w:tcPr>
          <w:p>
            <w:pPr>
              <w:spacing w:after="0"/>
              <w:rPr>
                <w:sz w:val="20"/>
                <w:szCs w:val="20"/>
                <w:color w:val="auto"/>
              </w:rPr>
            </w:pPr>
            <w:r>
              <w:rPr>
                <w:rFonts w:ascii="Arial" w:cs="Arial" w:eastAsia="Arial" w:hAnsi="Arial"/>
                <w:sz w:val="3"/>
                <w:szCs w:val="3"/>
                <w:color w:val="FFFFFF"/>
              </w:rPr>
              <w:t>State of Nevada, United States and a wholly owned subsidiary</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of</w:t>
            </w:r>
          </w:p>
        </w:tc>
        <w:tc>
          <w:tcPr>
            <w:tcW w:w="1360" w:type="dxa"/>
            <w:vAlign w:val="bottom"/>
            <w:gridSpan w:val="3"/>
          </w:tcPr>
          <w:p>
            <w:pPr>
              <w:ind w:left="160"/>
              <w:spacing w:after="0"/>
              <w:rPr>
                <w:sz w:val="20"/>
                <w:szCs w:val="20"/>
                <w:color w:val="auto"/>
              </w:rPr>
            </w:pPr>
            <w:r>
              <w:rPr>
                <w:rFonts w:ascii="Arial" w:cs="Arial" w:eastAsia="Arial" w:hAnsi="Arial"/>
                <w:sz w:val="3"/>
                <w:szCs w:val="3"/>
                <w:color w:val="FFFFFF"/>
              </w:rPr>
              <w:t>ynn Resorts, Limited</w:t>
            </w: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“WRL</w:t>
            </w:r>
          </w:p>
        </w:tc>
        <w:tc>
          <w:tcPr>
            <w:tcW w:w="4440" w:type="dxa"/>
            <w:vAlign w:val="bottom"/>
            <w:gridSpan w:val="5"/>
          </w:tcPr>
          <w:p>
            <w:pPr>
              <w:spacing w:after="0"/>
              <w:rPr>
                <w:sz w:val="20"/>
                <w:szCs w:val="20"/>
                <w:color w:val="auto"/>
              </w:rPr>
            </w:pPr>
            <w:r>
              <w:rPr>
                <w:rFonts w:ascii="Arial" w:cs="Arial" w:eastAsia="Arial" w:hAnsi="Arial"/>
                <w:sz w:val="3"/>
                <w:szCs w:val="3"/>
                <w:color w:val="FFFFFF"/>
              </w:rPr>
              <w:t>Group” Wynn Resorts, Limited and its subsidiaries (other than the</w:t>
            </w:r>
          </w:p>
        </w:tc>
        <w:tc>
          <w:tcPr>
            <w:tcW w:w="0" w:type="dxa"/>
            <w:vAlign w:val="bottom"/>
          </w:tcPr>
          <w:p>
            <w:pPr>
              <w:spacing w:after="0"/>
              <w:rPr>
                <w:sz w:val="1"/>
                <w:szCs w:val="1"/>
                <w:color w:val="auto"/>
              </w:rPr>
            </w:pPr>
          </w:p>
        </w:tc>
      </w:tr>
      <w:tr>
        <w:trPr>
          <w:trHeight w:val="172"/>
        </w:trPr>
        <w:tc>
          <w:tcPr>
            <w:tcW w:w="400" w:type="dxa"/>
            <w:vAlign w:val="bottom"/>
            <w:gridSpan w:val="2"/>
          </w:tcPr>
          <w:p>
            <w:pPr>
              <w:spacing w:after="0"/>
              <w:rPr>
                <w:sz w:val="20"/>
                <w:szCs w:val="20"/>
                <w:color w:val="auto"/>
              </w:rPr>
            </w:pPr>
            <w:r>
              <w:rPr>
                <w:rFonts w:ascii="Arial" w:cs="Arial" w:eastAsia="Arial" w:hAnsi="Arial"/>
                <w:sz w:val="14"/>
                <w:szCs w:val="14"/>
                <w:color w:val="FFFFFF"/>
                <w:w w:val="87"/>
              </w:rPr>
              <w:t>Group)</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4"/>
                <w:szCs w:val="14"/>
                <w:color w:val="FFFFFF"/>
              </w:rPr>
              <w:t>Interim Report 2012 83</w:t>
            </w: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Definitions</w:t>
            </w: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80" w:type="dxa"/>
            <w:vAlign w:val="bottom"/>
            <w:gridSpan w:val="2"/>
          </w:tcPr>
          <w:p>
            <w:pPr>
              <w:spacing w:after="0"/>
              <w:rPr>
                <w:sz w:val="20"/>
                <w:szCs w:val="20"/>
                <w:color w:val="auto"/>
              </w:rPr>
            </w:pPr>
            <w:r>
              <w:rPr>
                <w:rFonts w:ascii="Arial" w:cs="Arial" w:eastAsia="Arial" w:hAnsi="Arial"/>
                <w:sz w:val="3"/>
                <w:szCs w:val="3"/>
                <w:color w:val="FFFFFF"/>
              </w:rPr>
              <w:t>“WRM” Wynn Resorts (Macau) S.A.,  company incorporated under the</w:t>
            </w:r>
          </w:p>
        </w:tc>
        <w:tc>
          <w:tcPr>
            <w:tcW w:w="0" w:type="dxa"/>
            <w:vAlign w:val="bottom"/>
          </w:tcPr>
          <w:p>
            <w:pPr>
              <w:spacing w:after="0"/>
              <w:rPr>
                <w:sz w:val="1"/>
                <w:szCs w:val="1"/>
                <w:color w:val="auto"/>
              </w:rPr>
            </w:pPr>
          </w:p>
        </w:tc>
      </w:tr>
      <w:tr>
        <w:trPr>
          <w:trHeight w:val="41"/>
        </w:trPr>
        <w:tc>
          <w:tcPr>
            <w:tcW w:w="4980" w:type="dxa"/>
            <w:vAlign w:val="bottom"/>
            <w:gridSpan w:val="2"/>
          </w:tcPr>
          <w:p>
            <w:pPr>
              <w:spacing w:after="0"/>
              <w:rPr>
                <w:sz w:val="20"/>
                <w:szCs w:val="20"/>
                <w:color w:val="auto"/>
              </w:rPr>
            </w:pPr>
            <w:r>
              <w:rPr>
                <w:rFonts w:ascii="Arial" w:cs="Arial" w:eastAsia="Arial" w:hAnsi="Arial"/>
                <w:sz w:val="3"/>
                <w:szCs w:val="3"/>
                <w:color w:val="FFFFFF"/>
              </w:rPr>
              <w:t>laws of Macau and a wholly owned subsidiary of the Company</w:t>
            </w:r>
          </w:p>
        </w:tc>
        <w:tc>
          <w:tcPr>
            <w:tcW w:w="0" w:type="dxa"/>
            <w:vAlign w:val="bottom"/>
          </w:tcPr>
          <w:p>
            <w:pPr>
              <w:spacing w:after="0"/>
              <w:rPr>
                <w:sz w:val="1"/>
                <w:szCs w:val="1"/>
                <w:color w:val="auto"/>
              </w:rPr>
            </w:pPr>
          </w:p>
        </w:tc>
      </w:tr>
      <w:tr>
        <w:trPr>
          <w:trHeight w:val="41"/>
        </w:trPr>
        <w:tc>
          <w:tcPr>
            <w:tcW w:w="4980" w:type="dxa"/>
            <w:vAlign w:val="bottom"/>
            <w:gridSpan w:val="2"/>
          </w:tcPr>
          <w:p>
            <w:pPr>
              <w:spacing w:after="0"/>
              <w:rPr>
                <w:sz w:val="20"/>
                <w:szCs w:val="20"/>
                <w:color w:val="auto"/>
              </w:rPr>
            </w:pPr>
            <w:r>
              <w:rPr>
                <w:rFonts w:ascii="Arial" w:cs="Arial" w:eastAsia="Arial" w:hAnsi="Arial"/>
                <w:sz w:val="3"/>
                <w:szCs w:val="3"/>
                <w:color w:val="FFFFFF"/>
              </w:rPr>
              <w:t>“WRM Shareholder Dividend the agreements, entered into during June 2009 and July 2011,</w:t>
            </w:r>
          </w:p>
        </w:tc>
        <w:tc>
          <w:tcPr>
            <w:tcW w:w="0" w:type="dxa"/>
            <w:vAlign w:val="bottom"/>
          </w:tcPr>
          <w:p>
            <w:pPr>
              <w:spacing w:after="0"/>
              <w:rPr>
                <w:sz w:val="1"/>
                <w:szCs w:val="1"/>
                <w:color w:val="auto"/>
              </w:rPr>
            </w:pPr>
          </w:p>
        </w:tc>
      </w:tr>
      <w:tr>
        <w:trPr>
          <w:trHeight w:val="41"/>
        </w:trPr>
        <w:tc>
          <w:tcPr>
            <w:tcW w:w="4980" w:type="dxa"/>
            <w:vAlign w:val="bottom"/>
            <w:gridSpan w:val="2"/>
          </w:tcPr>
          <w:p>
            <w:pPr>
              <w:spacing w:after="0"/>
              <w:rPr>
                <w:sz w:val="20"/>
                <w:szCs w:val="20"/>
                <w:color w:val="auto"/>
              </w:rPr>
            </w:pPr>
            <w:r>
              <w:rPr>
                <w:rFonts w:ascii="Arial" w:cs="Arial" w:eastAsia="Arial" w:hAnsi="Arial"/>
                <w:sz w:val="3"/>
                <w:szCs w:val="3"/>
                <w:color w:val="FFFFFF"/>
              </w:rPr>
              <w:t>Tax Agreement” each for a term of five years between WRM and the Macau</w:t>
            </w:r>
          </w:p>
        </w:tc>
        <w:tc>
          <w:tcPr>
            <w:tcW w:w="0" w:type="dxa"/>
            <w:vAlign w:val="bottom"/>
          </w:tcPr>
          <w:p>
            <w:pPr>
              <w:spacing w:after="0"/>
              <w:rPr>
                <w:sz w:val="1"/>
                <w:szCs w:val="1"/>
                <w:color w:val="auto"/>
              </w:rPr>
            </w:pPr>
          </w:p>
        </w:tc>
      </w:tr>
      <w:tr>
        <w:trPr>
          <w:trHeight w:val="41"/>
        </w:trPr>
        <w:tc>
          <w:tcPr>
            <w:tcW w:w="4980" w:type="dxa"/>
            <w:vAlign w:val="bottom"/>
            <w:gridSpan w:val="2"/>
          </w:tcPr>
          <w:p>
            <w:pPr>
              <w:spacing w:after="0"/>
              <w:rPr>
                <w:sz w:val="20"/>
                <w:szCs w:val="20"/>
                <w:color w:val="auto"/>
              </w:rPr>
            </w:pPr>
            <w:r>
              <w:rPr>
                <w:rFonts w:ascii="Arial" w:cs="Arial" w:eastAsia="Arial" w:hAnsi="Arial"/>
                <w:sz w:val="3"/>
                <w:szCs w:val="3"/>
                <w:color w:val="FFFFFF"/>
              </w:rPr>
              <w:t>Special Administrative Region, effective retroactively to 2006,</w:t>
            </w:r>
          </w:p>
        </w:tc>
        <w:tc>
          <w:tcPr>
            <w:tcW w:w="0" w:type="dxa"/>
            <w:vAlign w:val="bottom"/>
          </w:tcPr>
          <w:p>
            <w:pPr>
              <w:spacing w:after="0"/>
              <w:rPr>
                <w:sz w:val="1"/>
                <w:szCs w:val="1"/>
                <w:color w:val="auto"/>
              </w:rPr>
            </w:pPr>
          </w:p>
        </w:tc>
      </w:tr>
      <w:tr>
        <w:trPr>
          <w:trHeight w:val="41"/>
        </w:trPr>
        <w:tc>
          <w:tcPr>
            <w:tcW w:w="4980" w:type="dxa"/>
            <w:vAlign w:val="bottom"/>
            <w:gridSpan w:val="2"/>
          </w:tcPr>
          <w:p>
            <w:pPr>
              <w:spacing w:after="0"/>
              <w:rPr>
                <w:sz w:val="20"/>
                <w:szCs w:val="20"/>
                <w:color w:val="auto"/>
              </w:rPr>
            </w:pPr>
            <w:r>
              <w:rPr>
                <w:rFonts w:ascii="Arial" w:cs="Arial" w:eastAsia="Arial" w:hAnsi="Arial"/>
                <w:sz w:val="3"/>
                <w:szCs w:val="3"/>
                <w:color w:val="FFFFFF"/>
              </w:rPr>
              <w:t>that provide for an annual payment to the Macau Special</w:t>
            </w:r>
          </w:p>
        </w:tc>
        <w:tc>
          <w:tcPr>
            <w:tcW w:w="0" w:type="dxa"/>
            <w:vAlign w:val="bottom"/>
          </w:tcPr>
          <w:p>
            <w:pPr>
              <w:spacing w:after="0"/>
              <w:rPr>
                <w:sz w:val="1"/>
                <w:szCs w:val="1"/>
                <w:color w:val="auto"/>
              </w:rPr>
            </w:pPr>
          </w:p>
        </w:tc>
      </w:tr>
      <w:tr>
        <w:trPr>
          <w:trHeight w:val="41"/>
        </w:trPr>
        <w:tc>
          <w:tcPr>
            <w:tcW w:w="4980" w:type="dxa"/>
            <w:vAlign w:val="bottom"/>
            <w:gridSpan w:val="2"/>
          </w:tcPr>
          <w:p>
            <w:pPr>
              <w:spacing w:after="0"/>
              <w:rPr>
                <w:sz w:val="20"/>
                <w:szCs w:val="20"/>
                <w:color w:val="auto"/>
              </w:rPr>
            </w:pPr>
            <w:r>
              <w:rPr>
                <w:rFonts w:ascii="Arial" w:cs="Arial" w:eastAsia="Arial" w:hAnsi="Arial"/>
                <w:sz w:val="3"/>
                <w:szCs w:val="3"/>
                <w:color w:val="FFFFFF"/>
              </w:rPr>
              <w:t>Administrative Region of MOP7.2 million in years 2006 through</w:t>
            </w:r>
          </w:p>
        </w:tc>
        <w:tc>
          <w:tcPr>
            <w:tcW w:w="0" w:type="dxa"/>
            <w:vAlign w:val="bottom"/>
          </w:tcPr>
          <w:p>
            <w:pPr>
              <w:spacing w:after="0"/>
              <w:rPr>
                <w:sz w:val="1"/>
                <w:szCs w:val="1"/>
                <w:color w:val="auto"/>
              </w:rPr>
            </w:pPr>
          </w:p>
        </w:tc>
      </w:tr>
      <w:tr>
        <w:trPr>
          <w:trHeight w:val="41"/>
        </w:trPr>
        <w:tc>
          <w:tcPr>
            <w:tcW w:w="4980" w:type="dxa"/>
            <w:vAlign w:val="bottom"/>
            <w:gridSpan w:val="2"/>
          </w:tcPr>
          <w:p>
            <w:pPr>
              <w:spacing w:after="0"/>
              <w:rPr>
                <w:sz w:val="20"/>
                <w:szCs w:val="20"/>
                <w:color w:val="auto"/>
              </w:rPr>
            </w:pPr>
            <w:r>
              <w:rPr>
                <w:rFonts w:ascii="Arial" w:cs="Arial" w:eastAsia="Arial" w:hAnsi="Arial"/>
                <w:sz w:val="3"/>
                <w:szCs w:val="3"/>
                <w:color w:val="FFFFFF"/>
              </w:rPr>
              <w:t>2010 and MOP15.5 million in years 2011 through 2015 in lieu</w:t>
            </w:r>
          </w:p>
        </w:tc>
        <w:tc>
          <w:tcPr>
            <w:tcW w:w="0" w:type="dxa"/>
            <w:vAlign w:val="bottom"/>
          </w:tcPr>
          <w:p>
            <w:pPr>
              <w:spacing w:after="0"/>
              <w:rPr>
                <w:sz w:val="1"/>
                <w:szCs w:val="1"/>
                <w:color w:val="auto"/>
              </w:rPr>
            </w:pPr>
          </w:p>
        </w:tc>
      </w:tr>
      <w:tr>
        <w:trPr>
          <w:trHeight w:val="41"/>
        </w:trPr>
        <w:tc>
          <w:tcPr>
            <w:tcW w:w="4980" w:type="dxa"/>
            <w:vAlign w:val="bottom"/>
            <w:gridSpan w:val="2"/>
          </w:tcPr>
          <w:p>
            <w:pPr>
              <w:spacing w:after="0"/>
              <w:rPr>
                <w:sz w:val="20"/>
                <w:szCs w:val="20"/>
                <w:color w:val="auto"/>
              </w:rPr>
            </w:pPr>
            <w:r>
              <w:rPr>
                <w:rFonts w:ascii="Arial" w:cs="Arial" w:eastAsia="Arial" w:hAnsi="Arial"/>
                <w:sz w:val="3"/>
                <w:szCs w:val="3"/>
                <w:color w:val="FFFFFF"/>
              </w:rPr>
              <w:t>of Complementary Tax otherwise due by WRM shareholders on</w:t>
            </w:r>
          </w:p>
        </w:tc>
        <w:tc>
          <w:tcPr>
            <w:tcW w:w="0" w:type="dxa"/>
            <w:vAlign w:val="bottom"/>
          </w:tcPr>
          <w:p>
            <w:pPr>
              <w:spacing w:after="0"/>
              <w:rPr>
                <w:sz w:val="1"/>
                <w:szCs w:val="1"/>
                <w:color w:val="auto"/>
              </w:rPr>
            </w:pPr>
          </w:p>
        </w:tc>
      </w:tr>
      <w:tr>
        <w:trPr>
          <w:trHeight w:val="41"/>
        </w:trPr>
        <w:tc>
          <w:tcPr>
            <w:tcW w:w="4980" w:type="dxa"/>
            <w:vAlign w:val="bottom"/>
            <w:gridSpan w:val="2"/>
          </w:tcPr>
          <w:p>
            <w:pPr>
              <w:spacing w:after="0"/>
              <w:rPr>
                <w:sz w:val="20"/>
                <w:szCs w:val="20"/>
                <w:color w:val="auto"/>
              </w:rPr>
            </w:pPr>
            <w:r>
              <w:rPr>
                <w:rFonts w:ascii="Arial" w:cs="Arial" w:eastAsia="Arial" w:hAnsi="Arial"/>
                <w:sz w:val="3"/>
                <w:szCs w:val="3"/>
                <w:color w:val="FFFFFF"/>
              </w:rPr>
              <w:t>dividend distributions to them from gaming profits earned in</w:t>
            </w: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those years</w:t>
            </w:r>
          </w:p>
        </w:tc>
        <w:tc>
          <w:tcPr>
            <w:tcW w:w="3260" w:type="dxa"/>
            <w:vAlign w:val="bottom"/>
            <w:vMerge w:val="restart"/>
          </w:tcPr>
          <w:p>
            <w:pPr>
              <w:ind w:left="300"/>
              <w:spacing w:after="0"/>
              <w:rPr>
                <w:sz w:val="20"/>
                <w:szCs w:val="20"/>
                <w:color w:val="auto"/>
              </w:rPr>
            </w:pPr>
            <w:r>
              <w:rPr>
                <w:rFonts w:ascii="Arial" w:cs="Arial" w:eastAsia="Arial" w:hAnsi="Arial"/>
                <w:sz w:val="3"/>
                <w:szCs w:val="3"/>
                <w:color w:val="FFFFFF"/>
              </w:rPr>
              <w:t>resort which WRM anticipates</w:t>
            </w:r>
          </w:p>
        </w:tc>
        <w:tc>
          <w:tcPr>
            <w:tcW w:w="0" w:type="dxa"/>
            <w:vAlign w:val="bottom"/>
          </w:tcPr>
          <w:p>
            <w:pPr>
              <w:spacing w:after="0"/>
              <w:rPr>
                <w:sz w:val="1"/>
                <w:szCs w:val="1"/>
                <w:color w:val="auto"/>
              </w:rPr>
            </w:pPr>
          </w:p>
        </w:tc>
      </w:tr>
      <w:tr>
        <w:trPr>
          <w:trHeight w:val="0"/>
        </w:trPr>
        <w:tc>
          <w:tcPr>
            <w:tcW w:w="1720" w:type="dxa"/>
            <w:vAlign w:val="bottom"/>
          </w:tcPr>
          <w:p>
            <w:pPr>
              <w:spacing w:after="0" w:line="80" w:lineRule="exact"/>
              <w:rPr>
                <w:sz w:val="20"/>
                <w:szCs w:val="20"/>
                <w:color w:val="auto"/>
              </w:rPr>
            </w:pPr>
            <w:r>
              <w:rPr>
                <w:rFonts w:ascii="Arial" w:cs="Arial" w:eastAsia="Arial" w:hAnsi="Arial"/>
                <w:sz w:val="9"/>
                <w:szCs w:val="9"/>
                <w:color w:val="FFFFFF"/>
              </w:rPr>
              <w:t>“Wynn Cotai” a full-scale</w:t>
            </w:r>
          </w:p>
        </w:tc>
        <w:tc>
          <w:tcPr>
            <w:tcW w:w="3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4520" w:type="dxa"/>
            <w:vAlign w:val="bottom"/>
          </w:tcPr>
          <w:p>
            <w:pPr>
              <w:ind w:left="40"/>
              <w:spacing w:after="0"/>
              <w:rPr>
                <w:sz w:val="20"/>
                <w:szCs w:val="20"/>
                <w:color w:val="auto"/>
              </w:rPr>
            </w:pPr>
            <w:r>
              <w:rPr>
                <w:rFonts w:ascii="Arial" w:cs="Arial" w:eastAsia="Arial" w:hAnsi="Arial"/>
                <w:sz w:val="14"/>
                <w:szCs w:val="14"/>
                <w:color w:val="FFFFFF"/>
              </w:rPr>
              <w:t>on 51 acres ofintegratedlandthe Cotai area of Macau</w:t>
            </w: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constructingaccordance with the terms of the Cotai Land Concession</w:t>
            </w: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Agreement</w:t>
            </w:r>
          </w:p>
        </w:tc>
        <w:tc>
          <w:tcPr>
            <w:tcW w:w="4520" w:type="dxa"/>
            <w:vAlign w:val="bottom"/>
          </w:tcPr>
          <w:p>
            <w:pPr>
              <w:spacing w:after="0"/>
              <w:rPr>
                <w:sz w:val="3"/>
                <w:szCs w:val="3"/>
                <w:color w:val="auto"/>
              </w:rPr>
            </w:pP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“Wynn Design &amp; Development” Wynn Design &amp; Development, LLC, a company formed under</w:t>
            </w: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the laws of the State of Nevada, United States and a wholly</w:t>
            </w: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owned subsidiary of Wynn Resorts, Limited</w:t>
            </w: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“Wynn Group Asia, Inc.” Wynn Group Asia, Inc., a company formed under the laws of the</w:t>
            </w: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State of Nevada, United States and a wholly owned subsidiary</w:t>
            </w: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of Wynn Resorts, Limited</w:t>
            </w: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“Wynn Macau” a casino hotel resort located in Macau, owned and operated</w:t>
            </w: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directly by WRM, which opened on 6 September 2006, and</w:t>
            </w: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where appropriate, the term also includes Encore at Wynn</w:t>
            </w: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Macau</w:t>
            </w:r>
          </w:p>
        </w:tc>
        <w:tc>
          <w:tcPr>
            <w:tcW w:w="4520" w:type="dxa"/>
            <w:vAlign w:val="bottom"/>
          </w:tcPr>
          <w:p>
            <w:pPr>
              <w:spacing w:after="0"/>
              <w:rPr>
                <w:sz w:val="3"/>
                <w:szCs w:val="3"/>
                <w:color w:val="auto"/>
              </w:rPr>
            </w:pP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“Wynn Macau Credit Facilities” together, the HK$4.3 billion (equivalent) fully-funded senior</w:t>
            </w: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term loan facilities and the HK$7.7 billion (equivalent) senior</w:t>
            </w: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revolving credit facilities extended to WRM and as subsequently</w:t>
            </w:r>
          </w:p>
        </w:tc>
      </w:tr>
      <w:tr>
        <w:trPr>
          <w:trHeight w:val="172"/>
        </w:trPr>
        <w:tc>
          <w:tcPr>
            <w:tcW w:w="5180" w:type="dxa"/>
            <w:vAlign w:val="bottom"/>
            <w:gridSpan w:val="2"/>
          </w:tcPr>
          <w:p>
            <w:pPr>
              <w:spacing w:after="0"/>
              <w:rPr>
                <w:sz w:val="20"/>
                <w:szCs w:val="20"/>
                <w:color w:val="auto"/>
              </w:rPr>
            </w:pPr>
            <w:r>
              <w:rPr>
                <w:rFonts w:ascii="Arial" w:cs="Arial" w:eastAsia="Arial" w:hAnsi="Arial"/>
                <w:sz w:val="14"/>
                <w:szCs w:val="14"/>
                <w:color w:val="FFFFFF"/>
              </w:rPr>
              <w:t>amended from time to time and as refinanced on 31 July 2012</w:t>
            </w:r>
          </w:p>
        </w:tc>
      </w:tr>
    </w:tbl>
    <w:p>
      <w:pPr>
        <w:sectPr>
          <w:pgSz w:w="11900" w:h="16838" w:orient="portrait"/>
          <w:cols w:equalWidth="0" w:num="1">
            <w:col w:w="10219"/>
          </w:cols>
          <w:pgMar w:left="240" w:top="1440" w:right="1440"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FFFF"/>
        </w:rPr>
        <w:t>Definitions84WynnMacau, Limited</w:t>
      </w:r>
    </w:p>
    <w:p>
      <w:pPr>
        <w:spacing w:after="0"/>
        <w:rPr>
          <w:sz w:val="20"/>
          <w:szCs w:val="20"/>
          <w:color w:val="auto"/>
        </w:rPr>
      </w:pPr>
      <w:r>
        <w:rPr>
          <w:rFonts w:ascii="Arial" w:cs="Arial" w:eastAsia="Arial" w:hAnsi="Arial"/>
          <w:sz w:val="3"/>
          <w:szCs w:val="3"/>
          <w:color w:val="FFFFFF"/>
        </w:rPr>
        <w:t>laws“Wynnof ResortstheStateHoldings,ofNevada,LLC”UnitedWynnStatesResortsand aHoldings,whollyownedLLC, a company formed under the</w:t>
      </w:r>
    </w:p>
    <w:p>
      <w:pPr>
        <w:spacing w:after="0" w:line="181" w:lineRule="auto"/>
        <w:rPr>
          <w:sz w:val="20"/>
          <w:szCs w:val="20"/>
          <w:color w:val="auto"/>
        </w:rPr>
      </w:pPr>
      <w:r>
        <w:rPr>
          <w:rFonts w:ascii="Arial" w:cs="Arial" w:eastAsia="Arial" w:hAnsi="Arial"/>
          <w:sz w:val="10"/>
          <w:szCs w:val="10"/>
          <w:color w:val="FFFFFF"/>
        </w:rPr>
        <w:t>subsidiary of Wynn Resorts, Limited</w:t>
      </w:r>
    </w:p>
    <w:p>
      <w:pPr>
        <w:spacing w:after="0"/>
        <w:rPr>
          <w:sz w:val="20"/>
          <w:szCs w:val="20"/>
          <w:color w:val="auto"/>
        </w:rPr>
      </w:pPr>
      <w:r>
        <w:rPr>
          <w:rFonts w:ascii="Arial" w:cs="Arial" w:eastAsia="Arial" w:hAnsi="Arial"/>
          <w:sz w:val="3"/>
          <w:szCs w:val="3"/>
          <w:color w:val="FFFFFF"/>
        </w:rPr>
        <w:t>Ltd.”“WynntheResortslawsofInternational,theIsleofManWynnandResortsawhollyInternational,ownedsubsidiaryLtd.,aofcompanythe incorporated under</w:t>
      </w:r>
    </w:p>
    <w:p>
      <w:pPr>
        <w:spacing w:after="0" w:line="194" w:lineRule="auto"/>
        <w:rPr>
          <w:sz w:val="20"/>
          <w:szCs w:val="20"/>
          <w:color w:val="auto"/>
        </w:rPr>
      </w:pPr>
      <w:r>
        <w:rPr>
          <w:rFonts w:ascii="Arial" w:cs="Arial" w:eastAsia="Arial" w:hAnsi="Arial"/>
          <w:sz w:val="5"/>
          <w:szCs w:val="5"/>
          <w:color w:val="FFFFFF"/>
        </w:rPr>
        <w:t>Company</w:t>
      </w:r>
    </w:p>
    <w:p>
      <w:pPr>
        <w:spacing w:after="0" w:line="211" w:lineRule="auto"/>
        <w:rPr>
          <w:sz w:val="20"/>
          <w:szCs w:val="20"/>
          <w:color w:val="auto"/>
        </w:rPr>
      </w:pPr>
      <w:r>
        <w:rPr>
          <w:rFonts w:ascii="Arial" w:cs="Arial" w:eastAsia="Arial" w:hAnsi="Arial"/>
          <w:sz w:val="4"/>
          <w:szCs w:val="4"/>
          <w:color w:val="FFFFFF"/>
          <w:vertAlign w:val="superscript"/>
        </w:rPr>
        <w:t>“WRL”</w:t>
      </w:r>
    </w:p>
    <w:p>
      <w:pPr>
        <w:ind w:left="180"/>
        <w:spacing w:after="0"/>
        <w:rPr>
          <w:sz w:val="20"/>
          <w:szCs w:val="20"/>
          <w:color w:val="auto"/>
        </w:rPr>
      </w:pPr>
      <w:r>
        <w:rPr>
          <w:rFonts w:ascii="Arial" w:cs="Arial" w:eastAsia="Arial" w:hAnsi="Arial"/>
          <w:sz w:val="3"/>
          <w:szCs w:val="3"/>
          <w:color w:val="FFFFFF"/>
        </w:rPr>
        <w:t>ynn Resorts,Stateof Limited”Nevada, UnitedorWynnStates,Resorts,our Limited,controllingacompanyshareholderformed(as under the laws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defined in the Listing Rules)</w:t>
      </w:r>
    </w:p>
    <w:p>
      <w:pPr>
        <w:sectPr>
          <w:pgSz w:w="11900" w:h="16838" w:orient="portrait"/>
          <w:cols w:equalWidth="0" w:num="1">
            <w:col w:w="10219"/>
          </w:cols>
          <w:pgMar w:left="240" w:top="1440" w:right="1440"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tcPr>
          <w:p>
            <w:pPr>
              <w:spacing w:after="0"/>
              <w:rPr>
                <w:sz w:val="20"/>
                <w:szCs w:val="20"/>
                <w:color w:val="auto"/>
              </w:rPr>
            </w:pPr>
            <w:r>
              <w:rPr>
                <w:rFonts w:ascii="Arial" w:cs="Arial" w:eastAsia="Arial" w:hAnsi="Arial"/>
                <w:sz w:val="14"/>
                <w:szCs w:val="14"/>
                <w:color w:val="FFFFFF"/>
              </w:rPr>
              <w:t>Interim Report 2012 85</w:t>
            </w: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Glossary</w:t>
            </w:r>
          </w:p>
        </w:tc>
        <w:tc>
          <w:tcPr>
            <w:tcW w:w="4320" w:type="dxa"/>
            <w:vAlign w:val="bottom"/>
          </w:tcPr>
          <w:p>
            <w:pPr>
              <w:spacing w:after="0"/>
              <w:rPr>
                <w:sz w:val="3"/>
                <w:szCs w:val="3"/>
                <w:color w:val="auto"/>
              </w:rPr>
            </w:pPr>
          </w:p>
        </w:tc>
      </w:tr>
      <w:tr>
        <w:trPr>
          <w:trHeight w:val="41"/>
        </w:trPr>
        <w:tc>
          <w:tcPr>
            <w:tcW w:w="4940" w:type="dxa"/>
            <w:vAlign w:val="bottom"/>
            <w:gridSpan w:val="2"/>
          </w:tcPr>
          <w:p>
            <w:pPr>
              <w:spacing w:after="0"/>
              <w:rPr>
                <w:sz w:val="20"/>
                <w:szCs w:val="20"/>
                <w:color w:val="auto"/>
              </w:rPr>
            </w:pPr>
            <w:r>
              <w:rPr>
                <w:rFonts w:ascii="Arial" w:cs="Arial" w:eastAsia="Arial" w:hAnsi="Arial"/>
                <w:sz w:val="3"/>
                <w:szCs w:val="3"/>
                <w:color w:val="FFFFFF"/>
              </w:rPr>
              <w:t>“Adjusted Average Daily Rate” ADR calculated based on room revenues plus associated</w:t>
            </w:r>
          </w:p>
        </w:tc>
      </w:tr>
      <w:tr>
        <w:trPr>
          <w:trHeight w:val="41"/>
        </w:trPr>
        <w:tc>
          <w:tcPr>
            <w:tcW w:w="4940" w:type="dxa"/>
            <w:vAlign w:val="bottom"/>
            <w:gridSpan w:val="2"/>
          </w:tcPr>
          <w:p>
            <w:pPr>
              <w:spacing w:after="0"/>
              <w:rPr>
                <w:sz w:val="20"/>
                <w:szCs w:val="20"/>
                <w:color w:val="auto"/>
              </w:rPr>
            </w:pPr>
            <w:r>
              <w:rPr>
                <w:rFonts w:ascii="Arial" w:cs="Arial" w:eastAsia="Arial" w:hAnsi="Arial"/>
                <w:sz w:val="3"/>
                <w:szCs w:val="3"/>
                <w:color w:val="FFFFFF"/>
              </w:rPr>
              <w:t>promotional allowances</w:t>
            </w:r>
          </w:p>
        </w:tc>
      </w:tr>
      <w:tr>
        <w:trPr>
          <w:trHeight w:val="41"/>
        </w:trPr>
        <w:tc>
          <w:tcPr>
            <w:tcW w:w="4940" w:type="dxa"/>
            <w:vAlign w:val="bottom"/>
            <w:gridSpan w:val="2"/>
          </w:tcPr>
          <w:p>
            <w:pPr>
              <w:spacing w:after="0"/>
              <w:rPr>
                <w:sz w:val="20"/>
                <w:szCs w:val="20"/>
                <w:color w:val="auto"/>
              </w:rPr>
            </w:pPr>
            <w:r>
              <w:rPr>
                <w:rFonts w:ascii="Arial" w:cs="Arial" w:eastAsia="Arial" w:hAnsi="Arial"/>
                <w:sz w:val="3"/>
                <w:szCs w:val="3"/>
                <w:color w:val="FFFFFF"/>
              </w:rPr>
              <w:t>“Adjusted REVPAR” REVPAR calculated based on room revenues plus associated</w:t>
            </w:r>
          </w:p>
        </w:tc>
      </w:tr>
      <w:tr>
        <w:trPr>
          <w:trHeight w:val="41"/>
        </w:trPr>
        <w:tc>
          <w:tcPr>
            <w:tcW w:w="4940" w:type="dxa"/>
            <w:vAlign w:val="bottom"/>
            <w:gridSpan w:val="2"/>
          </w:tcPr>
          <w:p>
            <w:pPr>
              <w:spacing w:after="0"/>
              <w:rPr>
                <w:sz w:val="20"/>
                <w:szCs w:val="20"/>
                <w:color w:val="auto"/>
              </w:rPr>
            </w:pPr>
            <w:r>
              <w:rPr>
                <w:rFonts w:ascii="Arial" w:cs="Arial" w:eastAsia="Arial" w:hAnsi="Arial"/>
                <w:sz w:val="3"/>
                <w:szCs w:val="3"/>
                <w:color w:val="FFFFFF"/>
              </w:rPr>
              <w:t>promotional allowances</w:t>
            </w:r>
          </w:p>
        </w:tc>
      </w:tr>
      <w:tr>
        <w:trPr>
          <w:trHeight w:val="41"/>
        </w:trPr>
        <w:tc>
          <w:tcPr>
            <w:tcW w:w="4940" w:type="dxa"/>
            <w:vAlign w:val="bottom"/>
            <w:gridSpan w:val="2"/>
          </w:tcPr>
          <w:p>
            <w:pPr>
              <w:spacing w:after="0"/>
              <w:rPr>
                <w:sz w:val="20"/>
                <w:szCs w:val="20"/>
                <w:color w:val="auto"/>
              </w:rPr>
            </w:pPr>
            <w:r>
              <w:rPr>
                <w:rFonts w:ascii="Arial" w:cs="Arial" w:eastAsia="Arial" w:hAnsi="Arial"/>
                <w:sz w:val="3"/>
                <w:szCs w:val="3"/>
                <w:color w:val="FFFFFF"/>
              </w:rPr>
              <w:t>“average daily rate” or “ADR” the amount calculated by dividing total room revenues (less</w:t>
            </w:r>
          </w:p>
        </w:tc>
      </w:tr>
      <w:tr>
        <w:trPr>
          <w:trHeight w:val="41"/>
        </w:trPr>
        <w:tc>
          <w:tcPr>
            <w:tcW w:w="4940" w:type="dxa"/>
            <w:vAlign w:val="bottom"/>
            <w:gridSpan w:val="2"/>
          </w:tcPr>
          <w:p>
            <w:pPr>
              <w:spacing w:after="0"/>
              <w:rPr>
                <w:sz w:val="20"/>
                <w:szCs w:val="20"/>
                <w:color w:val="auto"/>
              </w:rPr>
            </w:pPr>
            <w:r>
              <w:rPr>
                <w:rFonts w:ascii="Arial" w:cs="Arial" w:eastAsia="Arial" w:hAnsi="Arial"/>
                <w:sz w:val="3"/>
                <w:szCs w:val="3"/>
                <w:color w:val="FFFFFF"/>
              </w:rPr>
              <w:t>service charges, if any) by total rooms occupied</w:t>
            </w:r>
          </w:p>
        </w:tc>
      </w:tr>
      <w:tr>
        <w:trPr>
          <w:trHeight w:val="41"/>
        </w:trPr>
        <w:tc>
          <w:tcPr>
            <w:tcW w:w="4940" w:type="dxa"/>
            <w:vAlign w:val="bottom"/>
            <w:gridSpan w:val="2"/>
          </w:tcPr>
          <w:p>
            <w:pPr>
              <w:spacing w:after="0"/>
              <w:rPr>
                <w:sz w:val="20"/>
                <w:szCs w:val="20"/>
                <w:color w:val="auto"/>
              </w:rPr>
            </w:pPr>
            <w:r>
              <w:rPr>
                <w:rFonts w:ascii="Arial" w:cs="Arial" w:eastAsia="Arial" w:hAnsi="Arial"/>
                <w:sz w:val="3"/>
                <w:szCs w:val="3"/>
                <w:color w:val="FFFFFF"/>
              </w:rPr>
              <w:t>“casino revenue” revenue from casino gaming activities (gross table games win</w:t>
            </w:r>
          </w:p>
        </w:tc>
      </w:tr>
      <w:tr>
        <w:trPr>
          <w:trHeight w:val="41"/>
        </w:trPr>
        <w:tc>
          <w:tcPr>
            <w:tcW w:w="4940" w:type="dxa"/>
            <w:vAlign w:val="bottom"/>
            <w:gridSpan w:val="2"/>
          </w:tcPr>
          <w:p>
            <w:pPr>
              <w:ind w:left="240"/>
              <w:spacing w:after="0"/>
              <w:rPr>
                <w:sz w:val="20"/>
                <w:szCs w:val="20"/>
                <w:color w:val="auto"/>
              </w:rPr>
            </w:pPr>
            <w:r>
              <w:rPr>
                <w:rFonts w:ascii="Arial" w:cs="Arial" w:eastAsia="Arial" w:hAnsi="Arial"/>
                <w:sz w:val="3"/>
                <w:szCs w:val="3"/>
                <w:color w:val="FFFFFF"/>
              </w:rPr>
              <w:t>gross slot win), calculated net of a portion of commissions</w:t>
            </w:r>
          </w:p>
        </w:tc>
      </w:tr>
      <w:tr>
        <w:trPr>
          <w:trHeight w:val="41"/>
        </w:trPr>
        <w:tc>
          <w:tcPr>
            <w:tcW w:w="4940" w:type="dxa"/>
            <w:vAlign w:val="bottom"/>
            <w:gridSpan w:val="2"/>
          </w:tcPr>
          <w:p>
            <w:pPr>
              <w:spacing w:after="0"/>
              <w:rPr>
                <w:sz w:val="20"/>
                <w:szCs w:val="20"/>
                <w:color w:val="auto"/>
              </w:rPr>
            </w:pPr>
            <w:r>
              <w:rPr>
                <w:rFonts w:ascii="Arial" w:cs="Arial" w:eastAsia="Arial" w:hAnsi="Arial"/>
                <w:sz w:val="3"/>
                <w:szCs w:val="3"/>
                <w:color w:val="FFFFFF"/>
              </w:rPr>
              <w:t>and discounts and in accordance with IFRS</w:t>
            </w: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“chip(s)”</w:t>
            </w:r>
          </w:p>
        </w:tc>
        <w:tc>
          <w:tcPr>
            <w:tcW w:w="4320" w:type="dxa"/>
            <w:vAlign w:val="bottom"/>
          </w:tcPr>
          <w:p>
            <w:pPr>
              <w:ind w:left="380"/>
              <w:spacing w:after="0"/>
              <w:rPr>
                <w:sz w:val="20"/>
                <w:szCs w:val="20"/>
                <w:color w:val="auto"/>
              </w:rPr>
            </w:pPr>
            <w:r>
              <w:rPr>
                <w:rFonts w:ascii="Arial" w:cs="Arial" w:eastAsia="Arial" w:hAnsi="Arial"/>
                <w:sz w:val="3"/>
                <w:szCs w:val="3"/>
                <w:color w:val="FFFFFF"/>
              </w:rPr>
              <w:t>usually in the form of plastic disc(s) or plaque(s) issued</w:t>
            </w:r>
          </w:p>
        </w:tc>
      </w:tr>
      <w:tr>
        <w:trPr>
          <w:trHeight w:val="41"/>
        </w:trPr>
        <w:tc>
          <w:tcPr>
            <w:tcW w:w="4940" w:type="dxa"/>
            <w:vAlign w:val="bottom"/>
            <w:gridSpan w:val="2"/>
          </w:tcPr>
          <w:p>
            <w:pPr>
              <w:spacing w:after="0"/>
              <w:rPr>
                <w:sz w:val="20"/>
                <w:szCs w:val="20"/>
                <w:color w:val="auto"/>
              </w:rPr>
            </w:pPr>
            <w:r>
              <w:rPr>
                <w:rFonts w:ascii="Arial" w:cs="Arial" w:eastAsia="Arial" w:hAnsi="Arial"/>
                <w:sz w:val="3"/>
                <w:szCs w:val="3"/>
                <w:color w:val="FFFFFF"/>
              </w:rPr>
              <w:t>by a casino token;customers in exchange for cash or credit, which</w:t>
            </w:r>
          </w:p>
        </w:tc>
      </w:tr>
      <w:tr>
        <w:trPr>
          <w:trHeight w:val="41"/>
        </w:trPr>
        <w:tc>
          <w:tcPr>
            <w:tcW w:w="4940" w:type="dxa"/>
            <w:vAlign w:val="bottom"/>
            <w:gridSpan w:val="2"/>
          </w:tcPr>
          <w:p>
            <w:pPr>
              <w:spacing w:after="0"/>
              <w:rPr>
                <w:sz w:val="20"/>
                <w:szCs w:val="20"/>
                <w:color w:val="auto"/>
              </w:rPr>
            </w:pPr>
            <w:r>
              <w:rPr>
                <w:rFonts w:ascii="Arial" w:cs="Arial" w:eastAsia="Arial" w:hAnsi="Arial"/>
                <w:sz w:val="3"/>
                <w:szCs w:val="3"/>
                <w:color w:val="FFFFFF"/>
              </w:rPr>
              <w:t>must be used (in lieu of cash) to place bets on gaming tables</w:t>
            </w:r>
          </w:p>
        </w:tc>
      </w:tr>
      <w:tr>
        <w:trPr>
          <w:trHeight w:val="41"/>
        </w:trPr>
        <w:tc>
          <w:tcPr>
            <w:tcW w:w="4940" w:type="dxa"/>
            <w:vAlign w:val="bottom"/>
            <w:gridSpan w:val="2"/>
          </w:tcPr>
          <w:p>
            <w:pPr>
              <w:spacing w:after="0"/>
              <w:rPr>
                <w:sz w:val="20"/>
                <w:szCs w:val="20"/>
                <w:color w:val="auto"/>
              </w:rPr>
            </w:pPr>
            <w:r>
              <w:rPr>
                <w:rFonts w:ascii="Arial" w:cs="Arial" w:eastAsia="Arial" w:hAnsi="Arial"/>
                <w:sz w:val="3"/>
                <w:szCs w:val="3"/>
                <w:color w:val="FFFFFF"/>
              </w:rPr>
              <w:t>“daily gross win per gross gaming win for table games divided by number of tables</w:t>
            </w:r>
          </w:p>
        </w:tc>
      </w:tr>
      <w:tr>
        <w:trPr>
          <w:trHeight w:val="41"/>
        </w:trPr>
        <w:tc>
          <w:tcPr>
            <w:tcW w:w="4940" w:type="dxa"/>
            <w:vAlign w:val="bottom"/>
            <w:gridSpan w:val="2"/>
          </w:tcPr>
          <w:p>
            <w:pPr>
              <w:spacing w:after="0"/>
              <w:rPr>
                <w:sz w:val="20"/>
                <w:szCs w:val="20"/>
                <w:color w:val="auto"/>
              </w:rPr>
            </w:pPr>
            <w:r>
              <w:rPr>
                <w:rFonts w:ascii="Arial" w:cs="Arial" w:eastAsia="Arial" w:hAnsi="Arial"/>
                <w:sz w:val="3"/>
                <w:szCs w:val="3"/>
                <w:color w:val="FFFFFF"/>
              </w:rPr>
              <w:t>gaming table” divided by the number of days in the applicable period</w:t>
            </w:r>
          </w:p>
        </w:tc>
      </w:tr>
      <w:tr>
        <w:trPr>
          <w:trHeight w:val="41"/>
        </w:trPr>
        <w:tc>
          <w:tcPr>
            <w:tcW w:w="4940" w:type="dxa"/>
            <w:vAlign w:val="bottom"/>
            <w:gridSpan w:val="2"/>
          </w:tcPr>
          <w:p>
            <w:pPr>
              <w:spacing w:after="0"/>
              <w:rPr>
                <w:sz w:val="20"/>
                <w:szCs w:val="20"/>
                <w:color w:val="auto"/>
              </w:rPr>
            </w:pPr>
            <w:r>
              <w:rPr>
                <w:rFonts w:ascii="Arial" w:cs="Arial" w:eastAsia="Arial" w:hAnsi="Arial"/>
                <w:sz w:val="3"/>
                <w:szCs w:val="3"/>
                <w:color w:val="FFFFFF"/>
              </w:rPr>
              <w:t>“drop” the amount of cash and promotional coupons deposited in a</w:t>
            </w:r>
          </w:p>
        </w:tc>
      </w:tr>
      <w:tr>
        <w:trPr>
          <w:trHeight w:val="0"/>
        </w:trPr>
        <w:tc>
          <w:tcPr>
            <w:tcW w:w="620" w:type="dxa"/>
            <w:vAlign w:val="bottom"/>
          </w:tcPr>
          <w:p>
            <w:pPr>
              <w:spacing w:after="0" w:line="80" w:lineRule="exact"/>
              <w:rPr>
                <w:sz w:val="20"/>
                <w:szCs w:val="20"/>
                <w:color w:val="auto"/>
              </w:rPr>
            </w:pPr>
            <w:r>
              <w:rPr>
                <w:rFonts w:ascii="Arial" w:cs="Arial" w:eastAsia="Arial" w:hAnsi="Arial"/>
                <w:sz w:val="9"/>
                <w:szCs w:val="9"/>
                <w:color w:val="FFFFFF"/>
              </w:rPr>
              <w:t>gaming</w:t>
            </w:r>
          </w:p>
        </w:tc>
        <w:tc>
          <w:tcPr>
            <w:tcW w:w="4320" w:type="dxa"/>
            <w:vAlign w:val="bottom"/>
          </w:tcPr>
          <w:p>
            <w:pPr>
              <w:ind w:left="120"/>
              <w:spacing w:after="0" w:line="80" w:lineRule="exact"/>
              <w:rPr>
                <w:sz w:val="20"/>
                <w:szCs w:val="20"/>
                <w:color w:val="auto"/>
              </w:rPr>
            </w:pPr>
            <w:r>
              <w:rPr>
                <w:rFonts w:ascii="Arial" w:cs="Arial" w:eastAsia="Arial" w:hAnsi="Arial"/>
                <w:sz w:val="9"/>
                <w:szCs w:val="9"/>
                <w:color w:val="FFFFFF"/>
              </w:rPr>
              <w:t>s drop b x</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tcPr>
          <w:p>
            <w:pPr>
              <w:spacing w:after="0"/>
              <w:rPr>
                <w:sz w:val="20"/>
                <w:szCs w:val="20"/>
                <w:color w:val="auto"/>
              </w:rPr>
            </w:pPr>
            <w:r>
              <w:rPr>
                <w:rFonts w:ascii="Arial" w:cs="Arial" w:eastAsia="Arial" w:hAnsi="Arial"/>
                <w:sz w:val="14"/>
                <w:szCs w:val="14"/>
                <w:color w:val="FFFFFF"/>
              </w:rPr>
              <w:t>“drop box”table’box or container that serves as a repository for cash and</w:t>
            </w: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promotional coupons</w:t>
            </w: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“gaming promoters” individuals or corporations licensed by and registered with the</w:t>
            </w: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Macau government to promote games of fortune and chance</w:t>
            </w:r>
          </w:p>
        </w:tc>
      </w:tr>
      <w:tr>
        <w:trPr>
          <w:trHeight w:val="41"/>
        </w:trPr>
        <w:tc>
          <w:tcPr>
            <w:tcW w:w="4520" w:type="dxa"/>
            <w:vAlign w:val="bottom"/>
            <w:gridSpan w:val="2"/>
          </w:tcPr>
          <w:p>
            <w:pPr>
              <w:ind w:left="80"/>
              <w:spacing w:after="0"/>
              <w:rPr>
                <w:sz w:val="20"/>
                <w:szCs w:val="20"/>
                <w:color w:val="auto"/>
              </w:rPr>
            </w:pPr>
            <w:r>
              <w:rPr>
                <w:rFonts w:ascii="Arial" w:cs="Arial" w:eastAsia="Arial" w:hAnsi="Arial"/>
                <w:sz w:val="3"/>
                <w:szCs w:val="3"/>
                <w:color w:val="FFFFFF"/>
              </w:rPr>
              <w:t>r other casino games to patrons, through the arrangement</w:t>
            </w: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of certain services, including transportation, accommodation,</w:t>
            </w: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dining and entertainment, whose activity is regulated by Macau</w:t>
            </w: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Administrative Regulation no. 6/2002</w:t>
            </w:r>
          </w:p>
        </w:tc>
      </w:tr>
      <w:tr>
        <w:trPr>
          <w:trHeight w:val="41"/>
        </w:trPr>
        <w:tc>
          <w:tcPr>
            <w:tcW w:w="680" w:type="dxa"/>
            <w:vAlign w:val="bottom"/>
          </w:tcPr>
          <w:p>
            <w:pPr>
              <w:spacing w:after="0"/>
              <w:rPr>
                <w:sz w:val="3"/>
                <w:szCs w:val="3"/>
                <w:color w:val="auto"/>
              </w:rPr>
            </w:pPr>
          </w:p>
        </w:tc>
        <w:tc>
          <w:tcPr>
            <w:tcW w:w="3840" w:type="dxa"/>
            <w:vAlign w:val="bottom"/>
          </w:tcPr>
          <w:p>
            <w:pPr>
              <w:ind w:left="140"/>
              <w:spacing w:after="0"/>
              <w:rPr>
                <w:sz w:val="20"/>
                <w:szCs w:val="20"/>
                <w:color w:val="auto"/>
              </w:rPr>
            </w:pPr>
            <w:r>
              <w:rPr>
                <w:rFonts w:ascii="Arial" w:cs="Arial" w:eastAsia="Arial" w:hAnsi="Arial"/>
                <w:sz w:val="3"/>
                <w:szCs w:val="3"/>
                <w:color w:val="FFFFFF"/>
              </w:rPr>
              <w:t>revenue” or the total win generated by all casino gaming activities</w:t>
            </w:r>
          </w:p>
        </w:tc>
      </w:tr>
      <w:tr>
        <w:trPr>
          <w:trHeight w:val="41"/>
        </w:trPr>
        <w:tc>
          <w:tcPr>
            <w:tcW w:w="4520" w:type="dxa"/>
            <w:vAlign w:val="bottom"/>
            <w:gridSpan w:val="2"/>
          </w:tcPr>
          <w:p>
            <w:pPr>
              <w:spacing w:after="0"/>
              <w:rPr>
                <w:sz w:val="20"/>
                <w:szCs w:val="20"/>
                <w:color w:val="auto"/>
              </w:rPr>
            </w:pPr>
            <w:r>
              <w:rPr>
                <w:rFonts w:ascii="Arial" w:cs="Arial" w:eastAsia="Arial" w:hAnsi="Arial"/>
                <w:sz w:val="3"/>
                <w:szCs w:val="3"/>
                <w:color w:val="FFFFFF"/>
              </w:rPr>
              <w:t>“gross gaming win” combined, calculated before deduction of commissions and</w:t>
            </w:r>
          </w:p>
        </w:tc>
      </w:tr>
      <w:tr>
        <w:trPr>
          <w:trHeight w:val="172"/>
        </w:trPr>
        <w:tc>
          <w:tcPr>
            <w:tcW w:w="680" w:type="dxa"/>
            <w:vAlign w:val="bottom"/>
          </w:tcPr>
          <w:p>
            <w:pPr>
              <w:spacing w:after="0"/>
              <w:rPr>
                <w:sz w:val="20"/>
                <w:szCs w:val="20"/>
                <w:color w:val="auto"/>
              </w:rPr>
            </w:pPr>
            <w:r>
              <w:rPr>
                <w:rFonts w:ascii="Arial" w:cs="Arial" w:eastAsia="Arial" w:hAnsi="Arial"/>
                <w:sz w:val="14"/>
                <w:szCs w:val="14"/>
                <w:color w:val="FFFFFF"/>
              </w:rPr>
              <w:t>discounts</w:t>
            </w:r>
          </w:p>
        </w:tc>
        <w:tc>
          <w:tcPr>
            <w:tcW w:w="3840" w:type="dxa"/>
            <w:vAlign w:val="bottom"/>
          </w:tcPr>
          <w:p>
            <w:pPr>
              <w:spacing w:after="0"/>
              <w:rPr>
                <w:sz w:val="14"/>
                <w:szCs w:val="14"/>
                <w:color w:val="auto"/>
              </w:rPr>
            </w:pPr>
          </w:p>
        </w:tc>
      </w:tr>
    </w:tbl>
    <w:p>
      <w:pPr>
        <w:sectPr>
          <w:pgSz w:w="11900" w:h="16838" w:orient="portrait"/>
          <w:cols w:equalWidth="0" w:num="1">
            <w:col w:w="10219"/>
          </w:cols>
          <w:pgMar w:left="240" w:top="1440" w:right="1440"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gridSpan w:val="2"/>
          </w:tcPr>
          <w:p>
            <w:pPr>
              <w:spacing w:after="0"/>
              <w:rPr>
                <w:sz w:val="20"/>
                <w:szCs w:val="20"/>
                <w:color w:val="auto"/>
              </w:rPr>
            </w:pPr>
            <w:r>
              <w:rPr>
                <w:rFonts w:ascii="Arial" w:cs="Arial" w:eastAsia="Arial" w:hAnsi="Arial"/>
                <w:sz w:val="14"/>
                <w:szCs w:val="14"/>
                <w:color w:val="FFFFFF"/>
              </w:rPr>
              <w:t>86 Wynn Macau, Limited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9460" w:type="dxa"/>
            <w:vAlign w:val="bottom"/>
            <w:gridSpan w:val="2"/>
          </w:tcPr>
          <w:p>
            <w:pPr>
              <w:spacing w:after="0"/>
              <w:rPr>
                <w:sz w:val="20"/>
                <w:szCs w:val="20"/>
                <w:color w:val="auto"/>
              </w:rPr>
            </w:pPr>
            <w:r>
              <w:rPr>
                <w:rFonts w:ascii="Arial" w:cs="Arial" w:eastAsia="Arial" w:hAnsi="Arial"/>
                <w:sz w:val="3"/>
                <w:szCs w:val="3"/>
                <w:color w:val="FFFFFF"/>
              </w:rPr>
              <w:t>Glossary</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9200" w:type="dxa"/>
            <w:vAlign w:val="bottom"/>
          </w:tcPr>
          <w:p>
            <w:pPr>
              <w:ind w:left="120"/>
              <w:spacing w:after="0"/>
              <w:rPr>
                <w:sz w:val="20"/>
                <w:szCs w:val="20"/>
                <w:color w:val="auto"/>
              </w:rPr>
            </w:pPr>
            <w:r>
              <w:rPr>
                <w:rFonts w:ascii="Arial" w:cs="Arial" w:eastAsia="Arial" w:hAnsi="Arial"/>
                <w:sz w:val="3"/>
                <w:szCs w:val="3"/>
                <w:color w:val="FFFFFF"/>
              </w:rPr>
              <w:t>slot win”</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60" w:type="dxa"/>
            <w:vAlign w:val="bottom"/>
            <w:gridSpan w:val="2"/>
          </w:tcPr>
          <w:p>
            <w:pPr>
              <w:ind w:left="60"/>
              <w:spacing w:after="0"/>
              <w:rPr>
                <w:sz w:val="20"/>
                <w:szCs w:val="20"/>
                <w:color w:val="auto"/>
              </w:rPr>
            </w:pPr>
            <w:r>
              <w:rPr>
                <w:rFonts w:ascii="Arial" w:cs="Arial" w:eastAsia="Arial" w:hAnsi="Arial"/>
                <w:sz w:val="3"/>
                <w:szCs w:val="3"/>
                <w:color w:val="FFFFFF"/>
              </w:rPr>
              <w:t>gross table games win”</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60" w:type="dxa"/>
            <w:vAlign w:val="bottom"/>
            <w:gridSpan w:val="2"/>
          </w:tcPr>
          <w:p>
            <w:pPr>
              <w:ind w:left="60"/>
              <w:spacing w:after="0"/>
              <w:rPr>
                <w:sz w:val="20"/>
                <w:szCs w:val="20"/>
                <w:color w:val="auto"/>
              </w:rPr>
            </w:pPr>
            <w:r>
              <w:rPr>
                <w:rFonts w:ascii="Arial" w:cs="Arial" w:eastAsia="Arial" w:hAnsi="Arial"/>
                <w:sz w:val="3"/>
                <w:szCs w:val="3"/>
                <w:color w:val="FFFFFF"/>
              </w:rPr>
              <w:t>In-house VIP Program”</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60" w:type="dxa"/>
            <w:vAlign w:val="bottom"/>
            <w:gridSpan w:val="2"/>
          </w:tcPr>
          <w:p>
            <w:pPr>
              <w:ind w:left="60"/>
              <w:spacing w:after="0"/>
              <w:rPr>
                <w:sz w:val="20"/>
                <w:szCs w:val="20"/>
                <w:color w:val="auto"/>
              </w:rPr>
            </w:pPr>
            <w:r>
              <w:rPr>
                <w:rFonts w:ascii="Arial" w:cs="Arial" w:eastAsia="Arial" w:hAnsi="Arial"/>
                <w:sz w:val="3"/>
                <w:szCs w:val="3"/>
                <w:color w:val="FFFFFF"/>
              </w:rPr>
              <w:t>promotional allowance” “REVPAR” “Rolling Chip”</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60" w:type="dxa"/>
            <w:vAlign w:val="bottom"/>
            <w:gridSpan w:val="2"/>
          </w:tcPr>
          <w:p>
            <w:pPr>
              <w:ind w:left="60"/>
              <w:spacing w:after="0"/>
              <w:rPr>
                <w:sz w:val="20"/>
                <w:szCs w:val="20"/>
                <w:color w:val="auto"/>
              </w:rPr>
            </w:pPr>
            <w:r>
              <w:rPr>
                <w:rFonts w:ascii="Arial" w:cs="Arial" w:eastAsia="Arial" w:hAnsi="Arial"/>
                <w:sz w:val="3"/>
                <w:szCs w:val="3"/>
                <w:color w:val="FFFFFF"/>
              </w:rPr>
              <w:t>turnover”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9200" w:type="dxa"/>
            <w:vAlign w:val="bottom"/>
          </w:tcPr>
          <w:p>
            <w:pPr>
              <w:ind w:left="60"/>
              <w:spacing w:after="0"/>
              <w:rPr>
                <w:sz w:val="20"/>
                <w:szCs w:val="20"/>
                <w:color w:val="auto"/>
              </w:rPr>
            </w:pPr>
            <w:r>
              <w:rPr>
                <w:rFonts w:ascii="Arial" w:cs="Arial" w:eastAsia="Arial" w:hAnsi="Arial"/>
                <w:sz w:val="3"/>
                <w:szCs w:val="3"/>
                <w:color w:val="FFFFFF"/>
              </w:rPr>
              <w:t>client” or “VIP player”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60" w:type="dxa"/>
            <w:vAlign w:val="bottom"/>
            <w:gridSpan w:val="2"/>
          </w:tcPr>
          <w:p>
            <w:pPr>
              <w:spacing w:after="0"/>
              <w:rPr>
                <w:sz w:val="20"/>
                <w:szCs w:val="20"/>
                <w:color w:val="auto"/>
              </w:rPr>
            </w:pPr>
            <w:r>
              <w:rPr>
                <w:rFonts w:ascii="Arial" w:cs="Arial" w:eastAsia="Arial" w:hAnsi="Arial"/>
                <w:sz w:val="3"/>
                <w:szCs w:val="3"/>
                <w:color w:val="FFFFFF"/>
              </w:rPr>
              <w:t>“VIP table games turnover”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20"/>
                <w:szCs w:val="20"/>
                <w:color w:val="auto"/>
              </w:rPr>
            </w:pPr>
            <w:r>
              <w:rPr>
                <w:rFonts w:ascii="Arial" w:cs="Arial" w:eastAsia="Arial" w:hAnsi="Arial"/>
                <w:sz w:val="3"/>
                <w:szCs w:val="3"/>
                <w:color w:val="FFFFFF"/>
              </w:rPr>
              <w:t>the</w:t>
            </w:r>
          </w:p>
        </w:tc>
        <w:tc>
          <w:tcPr>
            <w:tcW w:w="11020" w:type="dxa"/>
            <w:vAlign w:val="bottom"/>
            <w:gridSpan w:val="2"/>
          </w:tcPr>
          <w:p>
            <w:pPr>
              <w:ind w:left="380"/>
              <w:spacing w:after="0"/>
              <w:rPr>
                <w:sz w:val="20"/>
                <w:szCs w:val="20"/>
                <w:color w:val="auto"/>
              </w:rPr>
            </w:pPr>
            <w:r>
              <w:rPr>
                <w:rFonts w:ascii="Arial" w:cs="Arial" w:eastAsia="Arial" w:hAnsi="Arial"/>
                <w:sz w:val="3"/>
                <w:szCs w:val="3"/>
                <w:color w:val="FFFFFF"/>
              </w:rPr>
              <w:t>of handle (representing the total amount wagered) that is retained as winnings. We record this amount and gross table games win as casino revenue after deduction of progressive jackpot liabilities</w:t>
            </w:r>
          </w:p>
        </w:tc>
        <w:tc>
          <w:tcPr>
            <w:tcW w:w="0" w:type="dxa"/>
            <w:vAlign w:val="bottom"/>
          </w:tcPr>
          <w:p>
            <w:pPr>
              <w:spacing w:after="0"/>
              <w:rPr>
                <w:sz w:val="1"/>
                <w:szCs w:val="1"/>
                <w:color w:val="auto"/>
              </w:rPr>
            </w:pPr>
          </w:p>
        </w:tc>
      </w:tr>
      <w:tr>
        <w:trPr>
          <w:trHeight w:val="41"/>
        </w:trPr>
        <w:tc>
          <w:tcPr>
            <w:tcW w:w="260" w:type="dxa"/>
            <w:vAlign w:val="bottom"/>
          </w:tcPr>
          <w:p>
            <w:pPr>
              <w:spacing w:after="0"/>
              <w:rPr>
                <w:sz w:val="20"/>
                <w:szCs w:val="20"/>
                <w:color w:val="auto"/>
              </w:rPr>
            </w:pPr>
            <w:r>
              <w:rPr>
                <w:rFonts w:ascii="Arial" w:cs="Arial" w:eastAsia="Arial" w:hAnsi="Arial"/>
                <w:sz w:val="3"/>
                <w:szCs w:val="3"/>
                <w:color w:val="FFFFFF"/>
              </w:rPr>
              <w:t>and</w:t>
            </w:r>
          </w:p>
        </w:tc>
        <w:tc>
          <w:tcPr>
            <w:tcW w:w="9200" w:type="dxa"/>
            <w:vAlign w:val="bottom"/>
          </w:tcPr>
          <w:p>
            <w:pPr>
              <w:ind w:left="80"/>
              <w:spacing w:after="0"/>
              <w:rPr>
                <w:sz w:val="20"/>
                <w:szCs w:val="20"/>
                <w:color w:val="auto"/>
              </w:rPr>
            </w:pPr>
            <w:r>
              <w:rPr>
                <w:rFonts w:ascii="Arial" w:cs="Arial" w:eastAsia="Arial" w:hAnsi="Arial"/>
                <w:sz w:val="3"/>
                <w:szCs w:val="3"/>
                <w:color w:val="FFFFFF"/>
              </w:rPr>
              <w:t>portion of commissions and discounts</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the amount of drop (in our general casino segment) or turnover (in our VIP casino segment) that is retained as winnings. We record this amount and gross slot win as casino revenue after deduction of a portion</w:t>
            </w:r>
          </w:p>
        </w:tc>
        <w:tc>
          <w:tcPr>
            <w:tcW w:w="0" w:type="dxa"/>
            <w:vAlign w:val="bottom"/>
          </w:tcPr>
          <w:p>
            <w:pPr>
              <w:spacing w:after="0"/>
              <w:rPr>
                <w:sz w:val="1"/>
                <w:szCs w:val="1"/>
                <w:color w:val="auto"/>
              </w:rPr>
            </w:pPr>
          </w:p>
        </w:tc>
      </w:tr>
      <w:tr>
        <w:trPr>
          <w:trHeight w:val="41"/>
        </w:trPr>
        <w:tc>
          <w:tcPr>
            <w:tcW w:w="9460" w:type="dxa"/>
            <w:vAlign w:val="bottom"/>
            <w:gridSpan w:val="2"/>
          </w:tcPr>
          <w:p>
            <w:pPr>
              <w:spacing w:after="0"/>
              <w:rPr>
                <w:sz w:val="20"/>
                <w:szCs w:val="20"/>
                <w:color w:val="auto"/>
              </w:rPr>
            </w:pPr>
            <w:r>
              <w:rPr>
                <w:rFonts w:ascii="Arial" w:cs="Arial" w:eastAsia="Arial" w:hAnsi="Arial"/>
                <w:sz w:val="3"/>
                <w:szCs w:val="3"/>
                <w:color w:val="FFFFFF"/>
              </w:rPr>
              <w:t>of commissions and discounts</w:t>
            </w:r>
          </w:p>
        </w:tc>
        <w:tc>
          <w:tcPr>
            <w:tcW w:w="1820" w:type="dxa"/>
            <w:vAlign w:val="bottom"/>
            <w:vMerge w:val="restart"/>
          </w:tcPr>
          <w:p>
            <w:pPr>
              <w:ind w:left="240"/>
              <w:spacing w:after="0"/>
              <w:rPr>
                <w:sz w:val="20"/>
                <w:szCs w:val="20"/>
                <w:color w:val="auto"/>
              </w:rPr>
            </w:pPr>
            <w:r>
              <w:rPr>
                <w:rFonts w:ascii="Arial" w:cs="Arial" w:eastAsia="Arial" w:hAnsi="Arial"/>
                <w:sz w:val="3"/>
                <w:szCs w:val="3"/>
                <w:color w:val="FFFFFF"/>
              </w:rPr>
              <w:t>are invited to qualify for</w:t>
            </w:r>
          </w:p>
        </w:tc>
        <w:tc>
          <w:tcPr>
            <w:tcW w:w="0" w:type="dxa"/>
            <w:vAlign w:val="bottom"/>
          </w:tcPr>
          <w:p>
            <w:pPr>
              <w:spacing w:after="0"/>
              <w:rPr>
                <w:sz w:val="1"/>
                <w:szCs w:val="1"/>
                <w:color w:val="auto"/>
              </w:rPr>
            </w:pPr>
          </w:p>
        </w:tc>
      </w:tr>
      <w:tr>
        <w:trPr>
          <w:trHeight w:val="0"/>
        </w:trPr>
        <w:tc>
          <w:tcPr>
            <w:tcW w:w="9460" w:type="dxa"/>
            <w:vAlign w:val="bottom"/>
            <w:gridSpan w:val="2"/>
          </w:tcPr>
          <w:p>
            <w:pPr>
              <w:spacing w:after="0" w:line="80" w:lineRule="exact"/>
              <w:rPr>
                <w:sz w:val="20"/>
                <w:szCs w:val="20"/>
                <w:color w:val="auto"/>
              </w:rPr>
            </w:pPr>
            <w:r>
              <w:rPr>
                <w:rFonts w:ascii="Arial" w:cs="Arial" w:eastAsia="Arial" w:hAnsi="Arial"/>
                <w:sz w:val="9"/>
                <w:szCs w:val="9"/>
                <w:color w:val="FFFFFF"/>
              </w:rPr>
              <w:t>an internal marketing program wherein we directly market our casino resorts to gaming clients, including to high-end or premium players in the greater Asia region. These</w:t>
            </w:r>
          </w:p>
        </w:tc>
        <w:tc>
          <w:tcPr>
            <w:tcW w:w="1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340" w:hanging="340"/>
        <w:spacing w:after="0" w:line="217" w:lineRule="auto"/>
        <w:rPr>
          <w:sz w:val="20"/>
          <w:szCs w:val="20"/>
          <w:color w:val="auto"/>
        </w:rPr>
      </w:pPr>
      <w:r>
        <w:rPr>
          <w:rFonts w:ascii="Arial" w:cs="Arial" w:eastAsia="Arial" w:hAnsi="Arial"/>
          <w:sz w:val="4"/>
          <w:szCs w:val="4"/>
          <w:color w:val="FFFFFF"/>
          <w:vertAlign w:val="superscript"/>
        </w:rPr>
        <w:t>based</w:t>
      </w:r>
      <w:r>
        <w:rPr>
          <w:rFonts w:ascii="Arial" w:cs="Arial" w:eastAsia="Arial" w:hAnsi="Arial"/>
          <w:sz w:val="2"/>
          <w:szCs w:val="2"/>
          <w:color w:val="FFFFFF"/>
        </w:rPr>
        <w:t xml:space="preserve">vriety of gaming rebate programs whereby they earn cash commissions and room, food and beverage and other complimentary allowances based on their turnover level. Wplayersoften extend credit to these players upon knowledge of the players, their financial background and payment </w:t>
      </w:r>
      <w:r>
        <w:rPr>
          <w:rFonts w:ascii="Arial" w:cs="Arial" w:eastAsia="Arial" w:hAnsi="Arial"/>
          <w:sz w:val="4"/>
          <w:szCs w:val="4"/>
          <w:color w:val="FFFFFF"/>
          <w:vertAlign w:val="superscript"/>
        </w:rPr>
        <w:t>history</w:t>
      </w:r>
    </w:p>
    <w:p>
      <w:pPr>
        <w:ind w:left="200" w:right="4240" w:hanging="198"/>
        <w:spacing w:after="0" w:line="187" w:lineRule="auto"/>
        <w:rPr>
          <w:sz w:val="20"/>
          <w:szCs w:val="20"/>
          <w:color w:val="auto"/>
        </w:rPr>
      </w:pPr>
      <w:r>
        <w:rPr>
          <w:rFonts w:ascii="Arial" w:cs="Arial" w:eastAsia="Arial" w:hAnsi="Arial"/>
          <w:sz w:val="27"/>
          <w:szCs w:val="27"/>
          <w:color w:val="FFFFFF"/>
          <w:vertAlign w:val="superscript"/>
        </w:rPr>
        <w:t>the</w:t>
      </w:r>
      <w:r>
        <w:rPr>
          <w:rFonts w:ascii="Arial" w:cs="Arial" w:eastAsia="Arial" w:hAnsi="Arial"/>
          <w:sz w:val="14"/>
          <w:szCs w:val="14"/>
          <w:color w:val="FFFFFF"/>
        </w:rPr>
        <w:t xml:space="preserve"> retail value of rooms, food and beverage and retail and other services furnished</w:t>
      </w:r>
      <w:r>
        <w:rPr>
          <w:sz w:val="20"/>
          <w:szCs w:val="20"/>
          <w:color w:val="auto"/>
        </w:rPr>
        <w:t xml:space="preserve"> </w:t>
      </w:r>
      <w:r>
        <w:rPr>
          <w:rFonts w:ascii="Arial" w:cs="Arial" w:eastAsia="Arial" w:hAnsi="Arial"/>
          <w:sz w:val="9"/>
          <w:szCs w:val="9"/>
          <w:color w:val="FFFFFF"/>
        </w:rPr>
        <w:t>guests (typically VIP clients) without charge amount calculated by dividing total room revenues (less service charges, if any) by total rooms available</w:t>
      </w:r>
    </w:p>
    <w:p>
      <w:pPr>
        <w:ind w:right="180"/>
        <w:spacing w:after="0" w:line="187" w:lineRule="auto"/>
        <w:rPr>
          <w:sz w:val="20"/>
          <w:szCs w:val="20"/>
          <w:color w:val="auto"/>
        </w:rPr>
      </w:pPr>
      <w:r>
        <w:rPr>
          <w:rFonts w:ascii="Arial" w:cs="Arial" w:eastAsia="Arial" w:hAnsi="Arial"/>
          <w:sz w:val="9"/>
          <w:szCs w:val="9"/>
          <w:color w:val="FFFFFF"/>
        </w:rPr>
        <w:t>physically identifiable chip that is used to track VIP wagering volume for purposes of calculating commissions and other allowances payable to gaming promoters and Wynn Macau’s individual VIP players the sum of all losing Rolling Chip wagers within the VIP program</w:t>
      </w:r>
    </w:p>
    <w:p>
      <w:pPr>
        <w:ind w:right="3860"/>
        <w:spacing w:after="0" w:line="190" w:lineRule="auto"/>
        <w:rPr>
          <w:sz w:val="20"/>
          <w:szCs w:val="20"/>
          <w:color w:val="auto"/>
        </w:rPr>
      </w:pPr>
      <w:r>
        <w:rPr>
          <w:rFonts w:ascii="Arial" w:cs="Arial" w:eastAsia="Arial" w:hAnsi="Arial"/>
          <w:sz w:val="11"/>
          <w:szCs w:val="11"/>
          <w:color w:val="FFFFFF"/>
        </w:rPr>
        <w:t>client, patron or players who participates in Wynn Macau’s In-house VIP Program or in the VIP program of any of our gaming promoters turnover resulting from VIP table games only</w:t>
      </w:r>
    </w:p>
    <w:p>
      <w:pPr>
        <w:sectPr>
          <w:pgSz w:w="11900" w:h="16838" w:orient="portrait"/>
          <w:cols w:equalWidth="0" w:num="1">
            <w:col w:w="11300"/>
          </w:cols>
          <w:pgMar w:left="240" w:top="1440" w:right="35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color w:val="FFFFFF"/>
        </w:rPr>
        <w:t>Wynn Macau, Limited Rua Cidade de Sintra, NAPE, Macau (853) 2888-9966 www.wynnmacau.com</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2019-12-09T15:03:54Z</dcterms:created>
  <dcterms:modified xsi:type="dcterms:W3CDTF">2019-12-09T15:03:54Z</dcterms:modified>
</cp:coreProperties>
</file>