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201295</wp:posOffset>
            </wp:positionV>
            <wp:extent cx="23742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S-8</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REGISTRATION STATEMENT</w:t>
      </w:r>
    </w:p>
    <w:p>
      <w:pPr>
        <w:spacing w:after="0" w:line="1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i w:val="1"/>
          <w:iCs w:val="1"/>
          <w:color w:val="auto"/>
        </w:rPr>
        <w:t>UNDER</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124460</wp:posOffset>
            </wp:positionV>
            <wp:extent cx="23742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349"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210185</wp:posOffset>
            </wp:positionV>
            <wp:extent cx="23742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ectPr>
          <w:pgSz w:w="11900" w:h="16838" w:orient="portrait"/>
          <w:cols w:equalWidth="0" w:num="1">
            <w:col w:w="11080"/>
          </w:cols>
          <w:pgMar w:left="320" w:top="989" w:right="499" w:bottom="28" w:gutter="0" w:footer="0" w:header="0"/>
        </w:sectPr>
      </w:pPr>
    </w:p>
    <w:p>
      <w:pPr>
        <w:spacing w:after="0" w:line="200" w:lineRule="exact"/>
        <w:rPr>
          <w:sz w:val="24"/>
          <w:szCs w:val="24"/>
          <w:color w:val="auto"/>
        </w:rPr>
      </w:pPr>
    </w:p>
    <w:p>
      <w:pPr>
        <w:spacing w:after="0" w:line="397" w:lineRule="exact"/>
        <w:rPr>
          <w:sz w:val="24"/>
          <w:szCs w:val="24"/>
          <w:color w:val="auto"/>
        </w:rPr>
      </w:pPr>
    </w:p>
    <w:p>
      <w:pPr>
        <w:ind w:left="2320"/>
        <w:spacing w:after="0"/>
        <w:rPr>
          <w:sz w:val="20"/>
          <w:szCs w:val="20"/>
          <w:color w:val="auto"/>
        </w:rPr>
      </w:pPr>
      <w:r>
        <w:rPr>
          <w:rFonts w:ascii="Arial" w:cs="Arial" w:eastAsia="Arial" w:hAnsi="Arial"/>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46-0484987</w:t>
      </w:r>
    </w:p>
    <w:p>
      <w:pPr>
        <w:spacing w:after="0" w:line="82" w:lineRule="exact"/>
        <w:rPr>
          <w:sz w:val="24"/>
          <w:szCs w:val="24"/>
          <w:color w:val="auto"/>
        </w:rPr>
      </w:pPr>
    </w:p>
    <w:p>
      <w:pPr>
        <w:sectPr>
          <w:pgSz w:w="11900" w:h="16838" w:orient="portrait"/>
          <w:cols w:equalWidth="0" w:num="2">
            <w:col w:w="6860" w:space="720"/>
            <w:col w:w="3500"/>
          </w:cols>
          <w:pgMar w:left="320" w:top="989" w:right="499" w:bottom="28" w:gutter="0" w:footer="0" w:header="0"/>
          <w:type w:val="continuous"/>
        </w:sectPr>
      </w:pPr>
    </w:p>
    <w:p>
      <w:pPr>
        <w:ind w:left="170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6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6720" w:space="720"/>
            <w:col w:w="3640"/>
          </w:cols>
          <w:pgMar w:left="320" w:top="989" w:right="499" w:bottom="28" w:gutter="0" w:footer="0" w:header="0"/>
          <w:type w:val="continuous"/>
        </w:sectPr>
      </w:pPr>
    </w:p>
    <w:p>
      <w:pPr>
        <w:spacing w:after="0" w:line="3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3131 Las Vegas Boulevard South</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Las Vegas, Nevada 89109</w:t>
      </w:r>
    </w:p>
    <w:p>
      <w:pPr>
        <w:spacing w:after="0" w:line="2" w:lineRule="exact"/>
        <w:rPr>
          <w:sz w:val="24"/>
          <w:szCs w:val="24"/>
          <w:color w:val="auto"/>
        </w:rPr>
      </w:pPr>
    </w:p>
    <w:p>
      <w:pPr>
        <w:jc w:val="center"/>
        <w:ind w:right="-159"/>
        <w:spacing w:after="0"/>
        <w:rPr>
          <w:sz w:val="20"/>
          <w:szCs w:val="20"/>
          <w:color w:val="auto"/>
        </w:rPr>
      </w:pPr>
      <w:r>
        <w:rPr>
          <w:rFonts w:ascii="Arial" w:cs="Arial" w:eastAsia="Arial" w:hAnsi="Arial"/>
          <w:sz w:val="12"/>
          <w:szCs w:val="12"/>
          <w:b w:val="1"/>
          <w:bCs w:val="1"/>
          <w:color w:val="auto"/>
        </w:rPr>
        <w:t>(Address, including zip code, of principal executive offices)</w:t>
      </w:r>
    </w:p>
    <w:p>
      <w:pPr>
        <w:sectPr>
          <w:pgSz w:w="11900" w:h="16838" w:orient="portrait"/>
          <w:cols w:equalWidth="0" w:num="1">
            <w:col w:w="11080"/>
          </w:cols>
          <w:pgMar w:left="320" w:top="989" w:right="499" w:bottom="28" w:gutter="0" w:footer="0" w:header="0"/>
          <w:type w:val="continuous"/>
        </w:sectPr>
      </w:pPr>
    </w:p>
    <w:p>
      <w:pPr>
        <w:spacing w:after="0" w:line="22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Amended and Restated 2014 Omnibus Incentive Plan</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56515</wp:posOffset>
            </wp:positionV>
            <wp:extent cx="23742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8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Ellen Whittemore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Vice President, General Counsel and Secretary</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Wynn Resorts, Limited</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3131 Las Vegas Boulevard South</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(702) 770-7555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211455</wp:posOffset>
            </wp:positionV>
            <wp:extent cx="23742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Copies to</w:t>
      </w:r>
      <w:r>
        <w:rPr>
          <w:rFonts w:ascii="Arial" w:cs="Arial" w:eastAsia="Arial" w:hAnsi="Arial"/>
          <w:sz w:val="18"/>
          <w:szCs w:val="18"/>
          <w:color w:val="auto"/>
        </w:rPr>
        <w:t>:</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Joshua N. Korff, Esq. and Michael Kim, Esq.</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Kirkland &amp; Ellis LLP</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601 Lexington Avenue</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(212) 446-4800</w:t>
      </w:r>
    </w:p>
    <w:p>
      <w:pPr>
        <w:spacing w:after="0" w:line="22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220980</wp:posOffset>
            </wp:positionV>
            <wp:extent cx="23742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right="1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2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178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22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178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200" w:type="dxa"/>
            <w:vAlign w:val="bottom"/>
          </w:tcPr>
          <w:p>
            <w:pPr>
              <w:ind w:left="178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193675</wp:posOffset>
            </wp:positionV>
            <wp:extent cx="2374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38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CALCULATION OF REGISTRATION FEE</w:t>
      </w:r>
    </w:p>
    <w:p>
      <w:pPr>
        <w:spacing w:after="0" w:line="129" w:lineRule="exact"/>
        <w:rPr>
          <w:sz w:val="24"/>
          <w:szCs w:val="24"/>
          <w:color w:val="auto"/>
        </w:rPr>
      </w:pPr>
    </w:p>
    <w:tbl>
      <w:tblPr>
        <w:tblLayout w:type="fixed"/>
        <w:tblInd w:w="310" w:type="dxa"/>
        <w:tblCellMar>
          <w:top w:w="0" w:type="dxa"/>
          <w:left w:w="0" w:type="dxa"/>
          <w:bottom w:w="0" w:type="dxa"/>
          <w:right w:w="0" w:type="dxa"/>
        </w:tblCellMar>
      </w:tblPr>
      <w:tr>
        <w:trPr>
          <w:trHeight w:val="166"/>
        </w:trPr>
        <w:tc>
          <w:tcPr>
            <w:tcW w:w="4440" w:type="dxa"/>
            <w:vAlign w:val="bottom"/>
            <w:tcBorders>
              <w:top w:val="single" w:sz="8" w:color="auto"/>
              <w:left w:val="single" w:sz="8" w:color="auto"/>
              <w:right w:val="single" w:sz="8" w:color="auto"/>
            </w:tcBorders>
          </w:tcPr>
          <w:p>
            <w:pPr>
              <w:spacing w:after="0"/>
              <w:rPr>
                <w:sz w:val="14"/>
                <w:szCs w:val="14"/>
                <w:color w:val="auto"/>
              </w:rPr>
            </w:pPr>
          </w:p>
        </w:tc>
        <w:tc>
          <w:tcPr>
            <w:tcW w:w="17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Proposed</w:t>
            </w:r>
          </w:p>
        </w:tc>
        <w:tc>
          <w:tcPr>
            <w:tcW w:w="1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Proposed</w:t>
            </w:r>
          </w:p>
        </w:tc>
        <w:tc>
          <w:tcPr>
            <w:tcW w:w="150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780" w:type="dxa"/>
            <w:vAlign w:val="bottom"/>
            <w:tcBorders>
              <w:right w:val="single" w:sz="8" w:color="auto"/>
            </w:tcBorders>
            <w:vMerge w:val="continue"/>
          </w:tcPr>
          <w:p>
            <w:pPr>
              <w:spacing w:after="0"/>
              <w:rPr>
                <w:sz w:val="12"/>
                <w:szCs w:val="12"/>
                <w:color w:val="auto"/>
              </w:rPr>
            </w:pPr>
          </w:p>
        </w:tc>
        <w:tc>
          <w:tcPr>
            <w:tcW w:w="14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440" w:type="dxa"/>
            <w:vAlign w:val="bottom"/>
            <w:tcBorders>
              <w:left w:val="single" w:sz="8" w:color="auto"/>
              <w:right w:val="single" w:sz="8" w:color="auto"/>
            </w:tcBorders>
            <w:vMerge w:val="continue"/>
          </w:tcPr>
          <w:p>
            <w:pPr>
              <w:spacing w:after="0"/>
              <w:rPr>
                <w:sz w:val="12"/>
                <w:szCs w:val="12"/>
                <w:color w:val="auto"/>
              </w:rPr>
            </w:pPr>
          </w:p>
        </w:tc>
        <w:tc>
          <w:tcPr>
            <w:tcW w:w="1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4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5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5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(1)</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 (2)</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 Price (2)</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 (2)</w:t>
            </w:r>
          </w:p>
        </w:tc>
        <w:tc>
          <w:tcPr>
            <w:tcW w:w="0" w:type="dxa"/>
            <w:vAlign w:val="bottom"/>
          </w:tcPr>
          <w:p>
            <w:pPr>
              <w:spacing w:after="0"/>
              <w:rPr>
                <w:sz w:val="1"/>
                <w:szCs w:val="1"/>
                <w:color w:val="auto"/>
              </w:rPr>
            </w:pPr>
          </w:p>
        </w:tc>
      </w:tr>
      <w:tr>
        <w:trPr>
          <w:trHeight w:val="228"/>
        </w:trPr>
        <w:tc>
          <w:tcPr>
            <w:tcW w:w="44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Common Stock, $0.01 par value</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1,500,000 shares (3)</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$73.13</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$109,695,000.00</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$14,238.41</w:t>
            </w:r>
          </w:p>
        </w:tc>
        <w:tc>
          <w:tcPr>
            <w:tcW w:w="0" w:type="dxa"/>
            <w:vAlign w:val="bottom"/>
          </w:tcPr>
          <w:p>
            <w:pPr>
              <w:spacing w:after="0"/>
              <w:rPr>
                <w:sz w:val="1"/>
                <w:szCs w:val="1"/>
                <w:color w:val="auto"/>
              </w:rPr>
            </w:pPr>
          </w:p>
        </w:tc>
      </w:tr>
      <w:tr>
        <w:trPr>
          <w:trHeight w:val="230"/>
        </w:trPr>
        <w:tc>
          <w:tcPr>
            <w:tcW w:w="44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per share</w:t>
            </w:r>
          </w:p>
        </w:tc>
        <w:tc>
          <w:tcPr>
            <w:tcW w:w="17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4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989" w:right="499" w:bottom="28" w:gutter="0" w:footer="0" w:header="0"/>
          <w:type w:val="continuous"/>
        </w:sectPr>
      </w:pPr>
    </w:p>
    <w:bookmarkStart w:id="1" w:name="page2"/>
    <w:bookmarkEnd w:id="1"/>
    <w:p>
      <w:pPr>
        <w:jc w:val="both"/>
        <w:ind w:left="492" w:right="120" w:hanging="492"/>
        <w:spacing w:after="0" w:line="263" w:lineRule="auto"/>
        <w:tabs>
          <w:tab w:leader="none" w:pos="486"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(the “Securities Act”), this Registration Statement shall be deemed to cover any additional shares of the Registrant’s Common Stock in respect of the securities identified in the above table as a result of any stock dividend, stock split, recapitalization or other similar transaction.</w:t>
      </w:r>
    </w:p>
    <w:p>
      <w:pPr>
        <w:spacing w:after="0" w:line="210" w:lineRule="exact"/>
        <w:rPr>
          <w:rFonts w:ascii="Arial" w:cs="Arial" w:eastAsia="Arial" w:hAnsi="Arial"/>
          <w:sz w:val="18"/>
          <w:szCs w:val="18"/>
          <w:color w:val="auto"/>
        </w:rPr>
      </w:pPr>
    </w:p>
    <w:p>
      <w:pPr>
        <w:ind w:left="492" w:hanging="492"/>
        <w:spacing w:after="0" w:line="311" w:lineRule="auto"/>
        <w:tabs>
          <w:tab w:leader="none" w:pos="486"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457(c) and Rule 457(h)(1) under the Securities Act, the proposed maximum offering price per share, the proposed maximum aggregate offering price and the amount of registration fee have been computed on the basis of the average of the high and low prices of the Common Stock reported on the NASDAQ Global Select Market on June 25, 2020.</w:t>
      </w:r>
    </w:p>
    <w:p>
      <w:pPr>
        <w:spacing w:after="0" w:line="175" w:lineRule="exact"/>
        <w:rPr>
          <w:rFonts w:ascii="Arial" w:cs="Arial" w:eastAsia="Arial" w:hAnsi="Arial"/>
          <w:sz w:val="16"/>
          <w:szCs w:val="16"/>
          <w:color w:val="auto"/>
        </w:rPr>
      </w:pPr>
    </w:p>
    <w:p>
      <w:pPr>
        <w:ind w:left="472" w:hanging="472"/>
        <w:spacing w:after="0"/>
        <w:tabs>
          <w:tab w:leader="none" w:pos="472"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Common Stock authorized for issuance under the Amended and Restated 2014 Omnibus Incentive Plan.</w:t>
      </w:r>
    </w:p>
    <w:p>
      <w:pPr>
        <w:sectPr>
          <w:pgSz w:w="11900" w:h="16838" w:orient="portrait"/>
          <w:cols w:equalWidth="0" w:num="1">
            <w:col w:w="11212"/>
          </w:cols>
          <w:pgMar w:left="328" w:top="125" w:right="359" w:bottom="1440" w:gutter="0" w:footer="0" w:header="0"/>
        </w:sectPr>
      </w:pPr>
    </w:p>
    <w:bookmarkStart w:id="2" w:name="page3"/>
    <w:bookmarkEnd w:id="2"/>
    <w:p>
      <w:pPr>
        <w:jc w:val="center"/>
        <w:ind w:right="100"/>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previously filed a Registration Statement on Form S-8 (File No. 333-196113) with the Commission on May 20, 2014 (the "Original Registration Statement"), pursuant to which we originally registered 4,409,390 shares of our common stock authorized for issuance under the 2014 Omnibus Incentive Plan. Pursuant to General Instruction E to Form S-8, the contents of the Original Registration Statement, including the periodic and current reports that we filed with the Commission after the effectiveness of the Original Registration Statement, are incorporated herein by reference except to the extent supplemented, amended or superseded by the information set forth herein. Any items in the Original Registration Statement not expressly changed hereby shall be as set forth in the Original Registration Statement.</w:t>
      </w:r>
    </w:p>
    <w:p>
      <w:pPr>
        <w:spacing w:after="0" w:line="21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This registration statement is being filed to register an additional 1,500,000 shares of our common stock, $0.01 par value per share (the "Common Stock"), reserved for issuance under the Amended and Restated 2014 Omnibus Incentive Plan (the "Plan"). The aggregate number of shares of the Common Stock issuable pursuant to such Plan and registered pursuant to this registration statement and the Original Registration Statement (including those shares of Common Stock actually issued pursuant to awards granted or made under the Plan) is 5,909,390 shares of Common Stock.</w:t>
      </w:r>
    </w:p>
    <w:p>
      <w:pPr>
        <w:spacing w:after="0" w:line="184"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increase in the number of shares authorized for issuance under the Plan were approved by our stockholders at our 2020 annual meeting held on June 25, 2020. The full text of the Plan, as amended by that stockholder approval, will be sent to employees pursuant to Rule 428(b)(1) promulgated by the Securities and Exchange Commission (the “Commission”) under the Securities Act of 1933, as amended (the “Securities Act”), and is filed herewith.</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accordance with the Note to Part I of Form S-8, as promulgated by the Securities and Exchange Commission (the “Commission”), the information specified by Part I of Form S-8 has been omitted from this Registration Statement.</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documents filed by Wynn Resorts, Limited (the "Company") with the Commission pursuant to the Securities Exchange Act of 1934, as amended (the “Exchange Act”), are hereby incorporated by reference in this Registration Statement:</w:t>
      </w:r>
    </w:p>
    <w:p>
      <w:pPr>
        <w:spacing w:after="0" w:line="76" w:lineRule="exact"/>
        <w:rPr>
          <w:sz w:val="20"/>
          <w:szCs w:val="20"/>
          <w:color w:val="auto"/>
        </w:rPr>
      </w:pPr>
    </w:p>
    <w:p>
      <w:pPr>
        <w:ind w:left="560" w:hanging="309"/>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Company's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2019, filed on February 28, 2020.</w:t>
      </w:r>
    </w:p>
    <w:p>
      <w:pPr>
        <w:spacing w:after="0" w:line="23" w:lineRule="exact"/>
        <w:rPr>
          <w:rFonts w:ascii="Arial" w:cs="Arial" w:eastAsia="Arial" w:hAnsi="Arial"/>
          <w:sz w:val="18"/>
          <w:szCs w:val="18"/>
          <w:color w:val="auto"/>
        </w:rPr>
      </w:pPr>
    </w:p>
    <w:p>
      <w:pPr>
        <w:ind w:left="560" w:hanging="309"/>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Company's Quarterly Report on </w:t>
      </w:r>
      <w:hyperlink r:id="rId16">
        <w:r>
          <w:rPr>
            <w:rFonts w:ascii="Arial" w:cs="Arial" w:eastAsia="Arial" w:hAnsi="Arial"/>
            <w:sz w:val="18"/>
            <w:szCs w:val="18"/>
            <w:u w:val="single" w:color="auto"/>
            <w:color w:val="0000FF"/>
          </w:rPr>
          <w:t>Form</w:t>
        </w:r>
        <w:r>
          <w:rPr>
            <w:rFonts w:ascii="Arial" w:cs="Arial" w:eastAsia="Arial" w:hAnsi="Arial"/>
            <w:sz w:val="18"/>
            <w:szCs w:val="18"/>
            <w:u w:val="single" w:color="auto"/>
            <w:color w:val="auto"/>
          </w:rPr>
          <w:t xml:space="preserve"> </w:t>
        </w:r>
      </w:hyperlink>
      <w:r>
        <w:rPr>
          <w:rFonts w:ascii="Arial" w:cs="Arial" w:eastAsia="Arial" w:hAnsi="Arial"/>
          <w:sz w:val="18"/>
          <w:szCs w:val="18"/>
          <w:color w:val="0000FF"/>
        </w:rPr>
        <w:t>10</w:t>
      </w:r>
      <w:hyperlink r:id="rId16">
        <w:r>
          <w:rPr>
            <w:rFonts w:ascii="Arial" w:cs="Arial" w:eastAsia="Arial" w:hAnsi="Arial"/>
            <w:sz w:val="18"/>
            <w:szCs w:val="18"/>
            <w:u w:val="single" w:color="auto"/>
            <w:color w:val="0000FF"/>
          </w:rPr>
          <w:t>-Q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2020, filed on May 8, 2020.</w:t>
      </w:r>
    </w:p>
    <w:p>
      <w:pPr>
        <w:spacing w:after="0" w:line="9" w:lineRule="exact"/>
        <w:rPr>
          <w:rFonts w:ascii="Arial" w:cs="Arial" w:eastAsia="Arial" w:hAnsi="Arial"/>
          <w:sz w:val="18"/>
          <w:szCs w:val="18"/>
          <w:color w:val="auto"/>
        </w:rPr>
      </w:pPr>
    </w:p>
    <w:p>
      <w:pPr>
        <w:ind w:left="580" w:right="120" w:hanging="329"/>
        <w:spacing w:after="0" w:line="250" w:lineRule="auto"/>
        <w:tabs>
          <w:tab w:leader="none" w:pos="574" w:val="left"/>
        </w:tabs>
        <w:numPr>
          <w:ilvl w:val="0"/>
          <w:numId w:val="2"/>
        </w:numPr>
        <w:rPr>
          <w:rFonts w:ascii="Arial" w:cs="Arial" w:eastAsia="Arial" w:hAnsi="Arial"/>
          <w:sz w:val="18"/>
          <w:szCs w:val="18"/>
          <w:color w:val="0000FF"/>
        </w:rPr>
      </w:pPr>
      <w:hyperlink r:id="rId17">
        <w:r>
          <w:rPr>
            <w:rFonts w:ascii="Arial" w:cs="Arial" w:eastAsia="Arial" w:hAnsi="Arial"/>
            <w:sz w:val="18"/>
            <w:szCs w:val="18"/>
            <w:color w:val="auto"/>
          </w:rPr>
          <w:t xml:space="preserve">the Company's Current Reports on Form 8-K filed on </w:t>
        </w:r>
        <w:r>
          <w:rPr>
            <w:rFonts w:ascii="Arial" w:cs="Arial" w:eastAsia="Arial" w:hAnsi="Arial"/>
            <w:sz w:val="18"/>
            <w:szCs w:val="18"/>
            <w:u w:val="single" w:color="auto"/>
            <w:color w:val="0000FF"/>
          </w:rPr>
          <w:t>February 6, 2020</w:t>
        </w:r>
        <w:r>
          <w:rPr>
            <w:rFonts w:ascii="Arial" w:cs="Arial" w:eastAsia="Arial" w:hAnsi="Arial"/>
            <w:sz w:val="18"/>
            <w:szCs w:val="18"/>
            <w:color w:val="auto"/>
          </w:rPr>
          <w:t xml:space="preserve"> (solely with respect to Item 8.01), </w:t>
        </w:r>
        <w:r>
          <w:rPr>
            <w:rFonts w:ascii="Arial" w:cs="Arial" w:eastAsia="Arial" w:hAnsi="Arial"/>
            <w:sz w:val="18"/>
            <w:szCs w:val="18"/>
            <w:u w:val="single" w:color="auto"/>
            <w:color w:val="0000FF"/>
          </w:rPr>
          <w:t>April 7, 2020</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April 14, 2020</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April 15,</w:t>
        </w:r>
      </w:hyperlink>
      <w:r>
        <w:rPr>
          <w:rFonts w:ascii="Arial" w:cs="Arial" w:eastAsia="Arial" w:hAnsi="Arial"/>
          <w:sz w:val="18"/>
          <w:szCs w:val="18"/>
          <w:color w:val="auto"/>
        </w:rPr>
        <w:t xml:space="preserve"> </w:t>
      </w:r>
      <w:hyperlink r:id="rId17">
        <w:r>
          <w:rPr>
            <w:rFonts w:ascii="Arial" w:cs="Arial" w:eastAsia="Arial" w:hAnsi="Arial"/>
            <w:sz w:val="18"/>
            <w:szCs w:val="18"/>
            <w:u w:val="single" w:color="auto"/>
            <w:color w:val="0000FF"/>
          </w:rPr>
          <w:t>2020</w:t>
        </w:r>
        <w:r>
          <w:rPr>
            <w:rFonts w:ascii="Arial" w:cs="Arial" w:eastAsia="Arial" w:hAnsi="Arial"/>
            <w:sz w:val="18"/>
            <w:szCs w:val="18"/>
            <w:color w:val="000000"/>
          </w:rPr>
          <w:t>,</w:t>
        </w:r>
        <w:r>
          <w:rPr>
            <w:rFonts w:ascii="Arial" w:cs="Arial" w:eastAsia="Arial" w:hAnsi="Arial"/>
            <w:sz w:val="18"/>
            <w:szCs w:val="18"/>
            <w:color w:val="0000FF"/>
          </w:rPr>
          <w:t xml:space="preserve"> </w:t>
        </w:r>
      </w:hyperlink>
      <w:hyperlink r:id="rId18">
        <w:r>
          <w:rPr>
            <w:rFonts w:ascii="Arial" w:cs="Arial" w:eastAsia="Arial" w:hAnsi="Arial"/>
            <w:sz w:val="18"/>
            <w:szCs w:val="18"/>
            <w:u w:val="single" w:color="auto"/>
            <w:color w:val="0000FF"/>
          </w:rPr>
          <w:t xml:space="preserve">May 6, 2020 </w:t>
        </w:r>
      </w:hyperlink>
      <w:hyperlink r:id="rId17">
        <w:r>
          <w:rPr>
            <w:rFonts w:ascii="Arial" w:cs="Arial" w:eastAsia="Arial" w:hAnsi="Arial"/>
            <w:sz w:val="18"/>
            <w:szCs w:val="18"/>
            <w:color w:val="000000"/>
          </w:rPr>
          <w:t>(solely with respect to Item 8.01),</w:t>
        </w:r>
        <w:r>
          <w:rPr>
            <w:rFonts w:ascii="Arial" w:cs="Arial" w:eastAsia="Arial" w:hAnsi="Arial"/>
            <w:sz w:val="18"/>
            <w:szCs w:val="18"/>
            <w:color w:val="0000FF"/>
          </w:rPr>
          <w:t xml:space="preserve"> </w:t>
        </w:r>
      </w:hyperlink>
      <w:hyperlink r:id="rId19">
        <w:r>
          <w:rPr>
            <w:rFonts w:ascii="Arial" w:cs="Arial" w:eastAsia="Arial" w:hAnsi="Arial"/>
            <w:sz w:val="18"/>
            <w:szCs w:val="18"/>
            <w:u w:val="single" w:color="auto"/>
            <w:color w:val="0000FF"/>
          </w:rPr>
          <w:t xml:space="preserve">June 19, 2020 </w:t>
        </w:r>
      </w:hyperlink>
      <w:hyperlink r:id="rId17">
        <w:r>
          <w:rPr>
            <w:rFonts w:ascii="Arial" w:cs="Arial" w:eastAsia="Arial" w:hAnsi="Arial"/>
            <w:sz w:val="18"/>
            <w:szCs w:val="18"/>
            <w:color w:val="000000"/>
          </w:rPr>
          <w:t>and</w:t>
        </w:r>
        <w:r>
          <w:rPr>
            <w:rFonts w:ascii="Arial" w:cs="Arial" w:eastAsia="Arial" w:hAnsi="Arial"/>
            <w:sz w:val="18"/>
            <w:szCs w:val="18"/>
            <w:color w:val="0000FF"/>
          </w:rPr>
          <w:t xml:space="preserve"> </w:t>
        </w:r>
      </w:hyperlink>
      <w:hyperlink r:id="rId20">
        <w:r>
          <w:rPr>
            <w:rFonts w:ascii="Arial" w:cs="Arial" w:eastAsia="Arial" w:hAnsi="Arial"/>
            <w:sz w:val="18"/>
            <w:szCs w:val="18"/>
            <w:u w:val="single" w:color="auto"/>
            <w:color w:val="0000FF"/>
          </w:rPr>
          <w:t>June 30, 2020</w:t>
        </w:r>
      </w:hyperlink>
      <w:hyperlink r:id="rId17">
        <w:r>
          <w:rPr>
            <w:rFonts w:ascii="Arial" w:cs="Arial" w:eastAsia="Arial" w:hAnsi="Arial"/>
            <w:sz w:val="18"/>
            <w:szCs w:val="18"/>
            <w:color w:val="000000"/>
          </w:rPr>
          <w:t>.</w:t>
        </w:r>
      </w:hyperlink>
    </w:p>
    <w:p>
      <w:pPr>
        <w:ind w:left="560" w:hanging="309"/>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Company's Proxy Statement on </w:t>
      </w:r>
      <w:hyperlink r:id="rId21">
        <w:r>
          <w:rPr>
            <w:rFonts w:ascii="Arial" w:cs="Arial" w:eastAsia="Arial" w:hAnsi="Arial"/>
            <w:sz w:val="18"/>
            <w:szCs w:val="18"/>
            <w:u w:val="single" w:color="auto"/>
            <w:color w:val="0000FF"/>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April 29, 2020.</w:t>
      </w:r>
    </w:p>
    <w:p>
      <w:pPr>
        <w:spacing w:after="0" w:line="9" w:lineRule="exact"/>
        <w:rPr>
          <w:rFonts w:ascii="Arial" w:cs="Arial" w:eastAsia="Arial" w:hAnsi="Arial"/>
          <w:sz w:val="18"/>
          <w:szCs w:val="18"/>
          <w:color w:val="auto"/>
        </w:rPr>
      </w:pPr>
    </w:p>
    <w:p>
      <w:pPr>
        <w:ind w:left="580" w:right="300" w:hanging="329"/>
        <w:spacing w:after="0" w:line="290" w:lineRule="auto"/>
        <w:tabs>
          <w:tab w:leader="none" w:pos="574"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the description of the Company’s Common Stock contained in the Registration Statement on </w:t>
      </w:r>
      <w:hyperlink r:id="rId22">
        <w:r>
          <w:rPr>
            <w:rFonts w:ascii="Arial" w:cs="Arial" w:eastAsia="Arial" w:hAnsi="Arial"/>
            <w:sz w:val="17"/>
            <w:szCs w:val="17"/>
            <w:u w:val="single" w:color="auto"/>
            <w:color w:val="0000FF"/>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on October 7, 2002 (File No. 000-50028), including any amendment or report filed for the purpose of updating the description of Common Stock contained therein.</w:t>
      </w:r>
    </w:p>
    <w:p>
      <w:pPr>
        <w:spacing w:after="0" w:line="161" w:lineRule="exact"/>
        <w:rPr>
          <w:rFonts w:ascii="Arial" w:cs="Arial" w:eastAsia="Arial" w:hAnsi="Arial"/>
          <w:sz w:val="18"/>
          <w:szCs w:val="18"/>
          <w:color w:val="auto"/>
        </w:rPr>
      </w:pPr>
    </w:p>
    <w:p>
      <w:pPr>
        <w:ind w:right="100"/>
        <w:spacing w:after="0" w:line="273" w:lineRule="auto"/>
        <w:rPr>
          <w:sz w:val="20"/>
          <w:szCs w:val="20"/>
          <w:color w:val="auto"/>
        </w:rPr>
      </w:pPr>
      <w:r>
        <w:rPr>
          <w:rFonts w:ascii="Arial" w:cs="Arial" w:eastAsia="Arial" w:hAnsi="Arial"/>
          <w:sz w:val="17"/>
          <w:szCs w:val="17"/>
          <w:color w:val="auto"/>
        </w:rPr>
        <w:t>In addition, all documents subsequently filed by the Company with the Commission pursuant to Sections 13(a), 13(c), 14 or 15(d) of the Exchange Act, prior to the filing of a post-effective amendment to this Registration Statement which indicates that all securities offered hereby have been sold or which deregisters all securities remaining unsold, shall be deemed to be incorporated by reference in this Registration Statement and to be a part hereof from the date of filing of such documents. Notwithstanding the foregoing, unless specifically stated to the contrary, none of the information that the Company discloses under Items 2.02 or 7.01 of any Current Report on Form 8-K that it may from time to time furnish to the Commission will be incorporated by reference into, or otherwise included in, this Registration Statement.</w:t>
      </w:r>
    </w:p>
    <w:p>
      <w:pPr>
        <w:spacing w:after="0" w:line="178" w:lineRule="exact"/>
        <w:rPr>
          <w:rFonts w:ascii="Arial" w:cs="Arial" w:eastAsia="Arial" w:hAnsi="Arial"/>
          <w:sz w:val="18"/>
          <w:szCs w:val="18"/>
          <w:color w:val="auto"/>
        </w:rPr>
      </w:pPr>
    </w:p>
    <w:p>
      <w:pPr>
        <w:spacing w:after="0" w:line="279" w:lineRule="auto"/>
        <w:rPr>
          <w:sz w:val="20"/>
          <w:szCs w:val="20"/>
          <w:color w:val="auto"/>
        </w:rPr>
      </w:pPr>
      <w:r>
        <w:rPr>
          <w:rFonts w:ascii="Arial" w:cs="Arial" w:eastAsia="Arial" w:hAnsi="Arial"/>
          <w:sz w:val="17"/>
          <w:szCs w:val="17"/>
          <w:color w:val="auto"/>
        </w:rPr>
        <w:t>Any statement, including financial statements, contained in a document incorporated or deemed to be incorporated by reference herein shall be deemed to be modified or superseded for purposes of this Registration Statement to the extent that a statement contained herein or in any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180"/>
          </w:cols>
          <w:pgMar w:left="320" w:top="891" w:right="3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required.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Ellen Whittemore, Executive Vice President, General Counsel and Secretary of the Company, has rendered an opinion as to the validity of the Common Stock offered hereby. As of June 30, 2020, Ms. Whittemore owned 27,906 shares of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Nevada Revised Statutes provide that a corporation may indemnify its officers and directors against expenses actually and reasonably incurred in the event an officer or director is made a party or threatened to be made a party to an action (other than an action brought by or in the right of the corporation as discussed below) by reason of his or her official position with the corporation provided the director or officer (1) is not liable for the breach of any fiduciary duties as a director or officer involving intentional misconduct, fraud or a knowing violation of the law or (2) acted in good faith and in a manner he or she reasonably believed to be in the best interests of the corporation and, with respect to any criminal actions, had no reasonable cause to believe his or her conduct was unlawful. A corporation may indemnify its officers and directors against expenses, including amounts paid in settlement, actually and reasonably incurred in the event an officer or director is made a party or threatened to be made a party to an action by or in the right of the corporation by reason of his or her official position with the corporation, provided the director or officer (1) is not liable for the breach of any fiduciary duties as a director or officer involving intentional misconduct, fraud or a knowing violation of the laws or (2) acted in good faith and in a manner he or she reasonably believed to be in the best interests of the corporation. The Nevada Revised Statutes further provides that a corporation generally may not indemnify an officer or director if it is determined by a court that such officer or director is liable to the corporation or responsible for any amounts paid to the corporation in settlement, unless a court also determines that the officer or director is fairly and reasonably entitled to indemnification in light of all of the relevant facts and circumstances. The Nevada Revised Statutes require a corporation to indemnify an officer or director to the extent he or she is successful on the merits or otherwise successfully defends the action.</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bylaws provide that it will indemnify its directors and officers to the fullest extent permitted by Nevada law, including in circumstances in which indemnification otherwise would be discretionary under Nevada law as described above. In addition, the Company has entered into separate indemnification agreements with certain of its directors and officers that require the Company, among other things, to indemnify such directors and officers against certain liabilities that may arise by reason of their status or service. The Company also intends to maintain director and officer liability insurance, if available on reasonable terms.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121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exhibits are filed as part of this Registration Statement:</w:t>
      </w:r>
    </w:p>
    <w:p>
      <w:pPr>
        <w:sectPr>
          <w:pgSz w:w="11900" w:h="16838" w:orient="portrait"/>
          <w:cols w:equalWidth="0" w:num="1">
            <w:col w:w="11220"/>
          </w:cols>
          <w:pgMar w:left="320" w:top="1242" w:right="359" w:bottom="1098"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ind w:left="8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left="80"/>
        <w:spacing w:after="0"/>
        <w:rPr>
          <w:sz w:val="20"/>
          <w:szCs w:val="20"/>
          <w:color w:val="auto"/>
        </w:rPr>
      </w:pPr>
      <w:r>
        <w:rPr>
          <w:rFonts w:ascii="Arial" w:cs="Arial" w:eastAsia="Arial" w:hAnsi="Arial"/>
          <w:sz w:val="14"/>
          <w:szCs w:val="14"/>
          <w:b w:val="1"/>
          <w:bCs w:val="1"/>
          <w:color w:val="auto"/>
        </w:rPr>
        <w:t>No.</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4.1</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4.2</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*5.1</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*10.1</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*23.1</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131" w:lineRule="exact"/>
        <w:rPr>
          <w:sz w:val="20"/>
          <w:szCs w:val="20"/>
          <w:color w:val="auto"/>
        </w:rPr>
      </w:pPr>
    </w:p>
    <w:p>
      <w:pPr>
        <w:ind w:right="800"/>
        <w:spacing w:after="0" w:line="235" w:lineRule="auto"/>
        <w:rPr>
          <w:rFonts w:ascii="Arial" w:cs="Arial" w:eastAsia="Arial" w:hAnsi="Arial"/>
          <w:sz w:val="18"/>
          <w:szCs w:val="18"/>
          <w:u w:val="single" w:color="auto"/>
          <w:color w:val="0000FF"/>
        </w:rPr>
      </w:pPr>
      <w:hyperlink r:id="rId23">
        <w:r>
          <w:rPr>
            <w:rFonts w:ascii="Arial" w:cs="Arial" w:eastAsia="Arial" w:hAnsi="Arial"/>
            <w:sz w:val="18"/>
            <w:szCs w:val="18"/>
            <w:u w:val="single" w:color="auto"/>
            <w:color w:val="0000FF"/>
          </w:rPr>
          <w:t>Third Amended and Restated Articles of Incorporation of the Registrant. (Incorporated by reference from the Quarterly Report</w:t>
        </w:r>
      </w:hyperlink>
      <w:r>
        <w:rPr>
          <w:rFonts w:ascii="Arial" w:cs="Arial" w:eastAsia="Arial" w:hAnsi="Arial"/>
          <w:sz w:val="18"/>
          <w:szCs w:val="18"/>
          <w:u w:val="single" w:color="auto"/>
          <w:color w:val="0000FF"/>
        </w:rPr>
        <w:t xml:space="preserve"> </w:t>
      </w:r>
      <w:hyperlink r:id="rId23">
        <w:r>
          <w:rPr>
            <w:rFonts w:ascii="Arial" w:cs="Arial" w:eastAsia="Arial" w:hAnsi="Arial"/>
            <w:sz w:val="18"/>
            <w:szCs w:val="18"/>
            <w:u w:val="single" w:color="auto"/>
            <w:color w:val="0000FF"/>
          </w:rPr>
          <w:t>on Form 10-Q (File No. 000-50028), filed by the Registrant on May 8, 2015.)</w:t>
        </w:r>
      </w:hyperlink>
    </w:p>
    <w:p>
      <w:pPr>
        <w:spacing w:after="0" w:line="94" w:lineRule="exact"/>
        <w:rPr>
          <w:sz w:val="20"/>
          <w:szCs w:val="20"/>
          <w:color w:val="auto"/>
        </w:rPr>
      </w:pPr>
    </w:p>
    <w:p>
      <w:pPr>
        <w:ind w:right="1120"/>
        <w:spacing w:after="0" w:line="235" w:lineRule="auto"/>
        <w:rPr>
          <w:rFonts w:ascii="Arial" w:cs="Arial" w:eastAsia="Arial" w:hAnsi="Arial"/>
          <w:sz w:val="18"/>
          <w:szCs w:val="18"/>
          <w:color w:val="0000FF"/>
        </w:rPr>
      </w:pPr>
      <w:hyperlink r:id="rId24">
        <w:r>
          <w:rPr>
            <w:rFonts w:ascii="Arial" w:cs="Arial" w:eastAsia="Arial" w:hAnsi="Arial"/>
            <w:sz w:val="18"/>
            <w:szCs w:val="18"/>
            <w:u w:val="single" w:color="auto"/>
            <w:color w:val="0000FF"/>
          </w:rPr>
          <w:t>Ninth Amended and Restated Bylaws of the Registrant. (Incorporated by reference from the Annual Report on Form 10-K</w:t>
        </w:r>
      </w:hyperlink>
      <w:r>
        <w:rPr>
          <w:rFonts w:ascii="Arial" w:cs="Arial" w:eastAsia="Arial" w:hAnsi="Arial"/>
          <w:sz w:val="18"/>
          <w:szCs w:val="18"/>
          <w:u w:val="single" w:color="auto"/>
          <w:color w:val="0000FF"/>
        </w:rPr>
        <w:t xml:space="preserve"> </w:t>
      </w:r>
      <w:hyperlink r:id="rId23">
        <w:r>
          <w:rPr>
            <w:rFonts w:ascii="Arial" w:cs="Arial" w:eastAsia="Arial" w:hAnsi="Arial"/>
            <w:sz w:val="18"/>
            <w:szCs w:val="18"/>
            <w:u w:val="single" w:color="auto"/>
            <w:color w:val="0000FF"/>
          </w:rPr>
          <w:t>(File No. 000-50028)</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4">
        <w:r>
          <w:rPr>
            <w:rFonts w:ascii="Arial" w:cs="Arial" w:eastAsia="Arial" w:hAnsi="Arial"/>
            <w:sz w:val="18"/>
            <w:szCs w:val="18"/>
            <w:u w:val="single" w:color="auto"/>
            <w:color w:val="0000FF"/>
          </w:rPr>
          <w:t>filed by the Registrant on February 28, 2020.)</w:t>
        </w:r>
      </w:hyperlink>
    </w:p>
    <w:p>
      <w:pPr>
        <w:spacing w:after="0" w:line="94"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Opinion of Ellen Whittemore, Executive Vice President, General Counsel and Secretary</w:t>
        </w:r>
      </w:hyperlink>
    </w:p>
    <w:p>
      <w:pPr>
        <w:spacing w:after="0" w:line="158"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Amended and Restated 2014 Omnibus Incentive Plan</w:t>
        </w:r>
      </w:hyperlink>
    </w:p>
    <w:p>
      <w:pPr>
        <w:spacing w:after="0" w:line="158"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Consent of Independent Registered Public Accounting Firm</w:t>
        </w:r>
      </w:hyperlink>
    </w:p>
    <w:p>
      <w:pPr>
        <w:spacing w:after="0" w:line="158"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Consent of Ellen Whittemore, Executive Vice President, General Counsel and Secretary (included in Exhibit 5.1)</w:t>
        </w:r>
      </w:hyperlink>
    </w:p>
    <w:p>
      <w:pPr>
        <w:spacing w:after="0" w:line="171" w:lineRule="exact"/>
        <w:rPr>
          <w:rFonts w:ascii="Arial" w:cs="Arial" w:eastAsia="Arial" w:hAnsi="Arial"/>
          <w:sz w:val="18"/>
          <w:szCs w:val="18"/>
          <w:u w:val="single" w:color="auto"/>
          <w:color w:val="0000FF"/>
        </w:rPr>
      </w:pPr>
    </w:p>
    <w:p>
      <w:pPr>
        <w:sectPr>
          <w:pgSz w:w="11900" w:h="16838" w:orient="portrait"/>
          <w:cols w:equalWidth="0" w:num="2">
            <w:col w:w="580" w:space="720"/>
            <w:col w:w="9920"/>
          </w:cols>
          <w:pgMar w:left="320" w:top="1242" w:right="359" w:bottom="1098" w:gutter="0" w:footer="0" w:header="0"/>
          <w:type w:val="continuous"/>
        </w:sectPr>
      </w:pPr>
    </w:p>
    <w:tbl>
      <w:tblPr>
        <w:tblLayout w:type="fixed"/>
        <w:tblInd w:w="180" w:type="dxa"/>
        <w:tblCellMar>
          <w:top w:w="0" w:type="dxa"/>
          <w:left w:w="0" w:type="dxa"/>
          <w:bottom w:w="0" w:type="dxa"/>
          <w:right w:w="0" w:type="dxa"/>
        </w:tblCellMar>
      </w:tblPr>
      <w:tr>
        <w:trPr>
          <w:trHeight w:val="216"/>
        </w:trPr>
        <w:tc>
          <w:tcPr>
            <w:tcW w:w="720" w:type="dxa"/>
            <w:vAlign w:val="bottom"/>
          </w:tcPr>
          <w:p>
            <w:pPr>
              <w:jc w:val="right"/>
              <w:ind w:right="330"/>
              <w:spacing w:after="0"/>
              <w:rPr>
                <w:sz w:val="20"/>
                <w:szCs w:val="20"/>
                <w:color w:val="auto"/>
              </w:rPr>
            </w:pPr>
            <w:r>
              <w:rPr>
                <w:rFonts w:ascii="Arial" w:cs="Arial" w:eastAsia="Arial" w:hAnsi="Arial"/>
                <w:sz w:val="18"/>
                <w:szCs w:val="18"/>
                <w:color w:val="auto"/>
                <w:w w:val="79"/>
              </w:rPr>
              <w:t>24.1</w:t>
            </w:r>
          </w:p>
        </w:tc>
        <w:tc>
          <w:tcPr>
            <w:tcW w:w="8820" w:type="dxa"/>
            <w:vAlign w:val="bottom"/>
          </w:tcPr>
          <w:p>
            <w:pPr>
              <w:ind w:left="400"/>
              <w:spacing w:after="0"/>
              <w:rPr>
                <w:sz w:val="20"/>
                <w:szCs w:val="20"/>
                <w:color w:val="auto"/>
              </w:rPr>
            </w:pPr>
            <w:r>
              <w:rPr>
                <w:rFonts w:ascii="Arial" w:cs="Arial" w:eastAsia="Arial" w:hAnsi="Arial"/>
                <w:sz w:val="18"/>
                <w:szCs w:val="18"/>
                <w:color w:val="auto"/>
                <w:w w:val="91"/>
              </w:rPr>
              <w:t>Power of Attorney of officers and directors of Wynn Resorts, Limited (included on signature page of this registration</w:t>
            </w:r>
          </w:p>
        </w:tc>
      </w:tr>
      <w:tr>
        <w:trPr>
          <w:trHeight w:val="230"/>
        </w:trPr>
        <w:tc>
          <w:tcPr>
            <w:tcW w:w="720" w:type="dxa"/>
            <w:vAlign w:val="bottom"/>
          </w:tcPr>
          <w:p>
            <w:pPr>
              <w:spacing w:after="0"/>
              <w:rPr>
                <w:sz w:val="20"/>
                <w:szCs w:val="20"/>
                <w:color w:val="auto"/>
              </w:rPr>
            </w:pPr>
          </w:p>
        </w:tc>
        <w:tc>
          <w:tcPr>
            <w:tcW w:w="8820" w:type="dxa"/>
            <w:vAlign w:val="bottom"/>
          </w:tcPr>
          <w:p>
            <w:pPr>
              <w:ind w:left="400"/>
              <w:spacing w:after="0"/>
              <w:rPr>
                <w:sz w:val="20"/>
                <w:szCs w:val="20"/>
                <w:color w:val="auto"/>
              </w:rPr>
            </w:pPr>
            <w:r>
              <w:rPr>
                <w:rFonts w:ascii="Arial" w:cs="Arial" w:eastAsia="Arial" w:hAnsi="Arial"/>
                <w:sz w:val="18"/>
                <w:szCs w:val="18"/>
                <w:color w:val="auto"/>
              </w:rPr>
              <w:t>statement)</w:t>
            </w:r>
          </w:p>
        </w:tc>
      </w:tr>
    </w:tbl>
    <w:p>
      <w:pPr>
        <w:spacing w:after="0" w:line="33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 Filed herewith</w:t>
      </w:r>
    </w:p>
    <w:p>
      <w:pPr>
        <w:spacing w:after="0" w:line="329"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35" w:lineRule="exact"/>
        <w:rPr>
          <w:rFonts w:ascii="Arial" w:cs="Arial" w:eastAsia="Arial" w:hAnsi="Arial"/>
          <w:sz w:val="18"/>
          <w:szCs w:val="18"/>
          <w:u w:val="single" w:color="auto"/>
          <w:color w:val="0000FF"/>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52" w:lineRule="exact"/>
        <w:rPr>
          <w:rFonts w:ascii="Arial" w:cs="Arial" w:eastAsia="Arial" w:hAnsi="Arial"/>
          <w:sz w:val="18"/>
          <w:szCs w:val="18"/>
          <w:color w:val="auto"/>
        </w:rPr>
      </w:pPr>
    </w:p>
    <w:p>
      <w:pPr>
        <w:ind w:left="940" w:hanging="325"/>
        <w:spacing w:after="0"/>
        <w:tabs>
          <w:tab w:leader="none" w:pos="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3" w:lineRule="exact"/>
        <w:rPr>
          <w:rFonts w:ascii="Arial" w:cs="Arial" w:eastAsia="Arial" w:hAnsi="Arial"/>
          <w:sz w:val="18"/>
          <w:szCs w:val="18"/>
          <w:color w:val="auto"/>
        </w:rPr>
      </w:pPr>
    </w:p>
    <w:p>
      <w:pPr>
        <w:ind w:left="1380" w:hanging="489"/>
        <w:spacing w:after="0"/>
        <w:tabs>
          <w:tab w:leader="none" w:pos="138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 w:lineRule="exact"/>
        <w:rPr>
          <w:rFonts w:ascii="Arial" w:cs="Arial" w:eastAsia="Arial" w:hAnsi="Arial"/>
          <w:sz w:val="18"/>
          <w:szCs w:val="18"/>
          <w:color w:val="auto"/>
        </w:rPr>
      </w:pPr>
    </w:p>
    <w:p>
      <w:pPr>
        <w:ind w:left="1380" w:right="20" w:hanging="539"/>
        <w:spacing w:after="0" w:line="265" w:lineRule="auto"/>
        <w:tabs>
          <w:tab w:leader="none" w:pos="1380" w:val="left"/>
        </w:tabs>
        <w:numPr>
          <w:ilvl w:val="2"/>
          <w:numId w:val="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 w:lineRule="exact"/>
        <w:rPr>
          <w:rFonts w:ascii="Arial" w:cs="Arial" w:eastAsia="Arial" w:hAnsi="Arial"/>
          <w:sz w:val="17"/>
          <w:szCs w:val="17"/>
          <w:color w:val="auto"/>
        </w:rPr>
      </w:pPr>
    </w:p>
    <w:p>
      <w:pPr>
        <w:ind w:left="1380" w:right="20" w:hanging="588"/>
        <w:spacing w:after="0" w:line="260" w:lineRule="auto"/>
        <w:tabs>
          <w:tab w:leader="none" w:pos="138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77" w:lineRule="exact"/>
        <w:rPr>
          <w:rFonts w:ascii="Arial" w:cs="Arial" w:eastAsia="Arial" w:hAnsi="Arial"/>
          <w:sz w:val="18"/>
          <w:szCs w:val="18"/>
          <w:u w:val="single" w:color="auto"/>
          <w:color w:val="0000FF"/>
        </w:rPr>
      </w:pPr>
    </w:p>
    <w:p>
      <w:pPr>
        <w:ind w:left="980" w:right="460"/>
        <w:spacing w:after="0" w:line="286"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paragraphs (a)(1)(i) and (a)(1)(ii) do not apply if the information required to be included in a post-effective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by those paragraphs is contained in periodic reports filed with or furnished to the Commission by the Registrant pursuant to Section 13 or Section 15(d) of the Exchange Act that are incorporated by reference in this Registration Statement.</w:t>
      </w:r>
    </w:p>
    <w:p>
      <w:pPr>
        <w:spacing w:after="0" w:line="192" w:lineRule="exact"/>
        <w:rPr>
          <w:rFonts w:ascii="Arial" w:cs="Arial" w:eastAsia="Arial" w:hAnsi="Arial"/>
          <w:sz w:val="18"/>
          <w:szCs w:val="18"/>
          <w:u w:val="single" w:color="auto"/>
          <w:color w:val="0000FF"/>
        </w:rPr>
      </w:pPr>
    </w:p>
    <w:p>
      <w:pPr>
        <w:ind w:left="940" w:right="140" w:hanging="325"/>
        <w:spacing w:after="0" w:line="263" w:lineRule="auto"/>
        <w:tabs>
          <w:tab w:leader="none" w:pos="934"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210" w:lineRule="exact"/>
        <w:rPr>
          <w:rFonts w:ascii="Arial" w:cs="Arial" w:eastAsia="Arial" w:hAnsi="Arial"/>
          <w:sz w:val="18"/>
          <w:szCs w:val="18"/>
          <w:color w:val="auto"/>
        </w:rPr>
      </w:pPr>
    </w:p>
    <w:p>
      <w:pPr>
        <w:ind w:left="940" w:right="600" w:hanging="325"/>
        <w:spacing w:after="0" w:line="277" w:lineRule="auto"/>
        <w:tabs>
          <w:tab w:leader="none" w:pos="934"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97" w:lineRule="exact"/>
        <w:rPr>
          <w:rFonts w:ascii="Arial" w:cs="Arial" w:eastAsia="Arial" w:hAnsi="Arial"/>
          <w:sz w:val="18"/>
          <w:szCs w:val="18"/>
          <w:color w:val="auto"/>
        </w:rPr>
      </w:pPr>
    </w:p>
    <w:p>
      <w:pPr>
        <w:ind w:left="580" w:hanging="329"/>
        <w:spacing w:after="0" w:line="259" w:lineRule="auto"/>
        <w:tabs>
          <w:tab w:leader="none" w:pos="574"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the purposes of determining any liability under the Securities Act, each filing of the Registrant’s annual report pursuant to Section 13(a) or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213" w:lineRule="exact"/>
        <w:rPr>
          <w:rFonts w:ascii="Arial" w:cs="Arial" w:eastAsia="Arial" w:hAnsi="Arial"/>
          <w:sz w:val="18"/>
          <w:szCs w:val="18"/>
          <w:color w:val="auto"/>
        </w:rPr>
      </w:pPr>
    </w:p>
    <w:p>
      <w:pPr>
        <w:ind w:left="580" w:right="140" w:hanging="329"/>
        <w:spacing w:after="0" w:line="271" w:lineRule="auto"/>
        <w:tabs>
          <w:tab w:leader="none" w:pos="577" w:val="left"/>
        </w:tabs>
        <w:numPr>
          <w:ilvl w:val="0"/>
          <w:numId w:val="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220"/>
          </w:cols>
          <w:pgMar w:left="320" w:top="1242" w:right="359" w:bottom="1098"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76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Las Vegas, state of Nevada, on this 30</w:t>
      </w:r>
      <w:r>
        <w:rPr>
          <w:rFonts w:ascii="Arial" w:cs="Arial" w:eastAsia="Arial" w:hAnsi="Arial"/>
          <w:sz w:val="16"/>
          <w:szCs w:val="16"/>
          <w:color w:val="auto"/>
        </w:rPr>
        <w:t>th</w:t>
      </w:r>
      <w:r>
        <w:rPr>
          <w:rFonts w:ascii="Arial" w:cs="Arial" w:eastAsia="Arial" w:hAnsi="Arial"/>
          <w:sz w:val="18"/>
          <w:szCs w:val="18"/>
          <w:color w:val="auto"/>
        </w:rPr>
        <w:t xml:space="preserve"> day of June, 2020.</w:t>
      </w:r>
    </w:p>
    <w:p>
      <w:pPr>
        <w:spacing w:after="0" w:line="369"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20"/>
        <w:spacing w:after="0"/>
        <w:tabs>
          <w:tab w:leader="none" w:pos="6820" w:val="left"/>
          <w:tab w:leader="none" w:pos="7500" w:val="left"/>
        </w:tabs>
        <w:rPr>
          <w:sz w:val="20"/>
          <w:szCs w:val="20"/>
          <w:color w:val="auto"/>
        </w:rPr>
      </w:pPr>
      <w:r>
        <w:rPr>
          <w:rFonts w:ascii="Arial" w:cs="Arial" w:eastAsia="Arial" w:hAnsi="Arial"/>
          <w:sz w:val="18"/>
          <w:szCs w:val="18"/>
          <w:color w:val="auto"/>
        </w:rPr>
        <w:t>Dated: June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31750</wp:posOffset>
            </wp:positionV>
            <wp:extent cx="24428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4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President, Chief Financial Officer and Treasurer</w:t>
      </w:r>
    </w:p>
    <w:p>
      <w:pPr>
        <w:spacing w:after="0" w:line="6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Each person whose signature appears below constitutes and appoints Matt Maddox, Craig S. Billings and Ellen Whittemore and each of them, his or her true and lawful attorneys-in-fact and agents, each with full power of substitution and resubstitution, severally, for him and in his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7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 indicated.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Signature</w:t>
            </w:r>
          </w:p>
        </w:tc>
        <w:tc>
          <w:tcPr>
            <w:tcW w:w="4920" w:type="dxa"/>
            <w:vAlign w:val="bottom"/>
          </w:tcPr>
          <w:p>
            <w:pPr>
              <w:ind w:left="380"/>
              <w:spacing w:after="0"/>
              <w:rPr>
                <w:sz w:val="20"/>
                <w:szCs w:val="20"/>
                <w:color w:val="auto"/>
              </w:rPr>
            </w:pPr>
            <w:r>
              <w:rPr>
                <w:rFonts w:ascii="Arial" w:cs="Arial" w:eastAsia="Arial" w:hAnsi="Arial"/>
                <w:sz w:val="14"/>
                <w:szCs w:val="14"/>
                <w:b w:val="1"/>
                <w:bCs w:val="1"/>
                <w:color w:val="auto"/>
              </w:rPr>
              <w:t>Title</w:t>
            </w:r>
          </w:p>
        </w:tc>
        <w:tc>
          <w:tcPr>
            <w:tcW w:w="1780" w:type="dxa"/>
            <w:vAlign w:val="bottom"/>
          </w:tcPr>
          <w:p>
            <w:pPr>
              <w:ind w:left="860"/>
              <w:spacing w:after="0"/>
              <w:rPr>
                <w:sz w:val="20"/>
                <w:szCs w:val="20"/>
                <w:color w:val="auto"/>
              </w:rPr>
            </w:pPr>
            <w:r>
              <w:rPr>
                <w:rFonts w:ascii="Arial" w:cs="Arial" w:eastAsia="Arial" w:hAnsi="Arial"/>
                <w:sz w:val="14"/>
                <w:szCs w:val="14"/>
                <w:b w:val="1"/>
                <w:bCs w:val="1"/>
                <w:color w:val="auto"/>
              </w:rPr>
              <w:t>Date</w:t>
            </w:r>
          </w:p>
        </w:tc>
      </w:tr>
      <w:tr>
        <w:trPr>
          <w:trHeight w:val="525"/>
        </w:trPr>
        <w:tc>
          <w:tcPr>
            <w:tcW w:w="3760" w:type="dxa"/>
            <w:vAlign w:val="bottom"/>
          </w:tcPr>
          <w:p>
            <w:pPr>
              <w:ind w:left="20"/>
              <w:spacing w:after="0"/>
              <w:rPr>
                <w:sz w:val="20"/>
                <w:szCs w:val="20"/>
                <w:color w:val="auto"/>
              </w:rPr>
            </w:pPr>
            <w:r>
              <w:rPr>
                <w:rFonts w:ascii="Arial" w:cs="Arial" w:eastAsia="Arial" w:hAnsi="Arial"/>
                <w:sz w:val="18"/>
                <w:szCs w:val="18"/>
                <w:color w:val="auto"/>
              </w:rPr>
              <w:t>/s/ Matt Maddox</w:t>
            </w:r>
          </w:p>
        </w:tc>
        <w:tc>
          <w:tcPr>
            <w:tcW w:w="4920" w:type="dxa"/>
            <w:vAlign w:val="bottom"/>
          </w:tcPr>
          <w:p>
            <w:pPr>
              <w:ind w:left="380"/>
              <w:spacing w:after="0"/>
              <w:rPr>
                <w:sz w:val="20"/>
                <w:szCs w:val="20"/>
                <w:color w:val="auto"/>
              </w:rPr>
            </w:pPr>
            <w:r>
              <w:rPr>
                <w:rFonts w:ascii="Arial" w:cs="Arial" w:eastAsia="Arial" w:hAnsi="Arial"/>
                <w:sz w:val="18"/>
                <w:szCs w:val="18"/>
                <w:color w:val="auto"/>
              </w:rPr>
              <w:t>Director, Chief Executive Officer</w:t>
            </w:r>
          </w:p>
        </w:tc>
        <w:tc>
          <w:tcPr>
            <w:tcW w:w="1780" w:type="dxa"/>
            <w:vAlign w:val="bottom"/>
          </w:tcPr>
          <w:p>
            <w:pPr>
              <w:ind w:left="780"/>
              <w:spacing w:after="0"/>
              <w:rPr>
                <w:sz w:val="20"/>
                <w:szCs w:val="20"/>
                <w:color w:val="auto"/>
              </w:rPr>
            </w:pPr>
            <w:r>
              <w:rPr>
                <w:rFonts w:ascii="Arial" w:cs="Arial" w:eastAsia="Arial" w:hAnsi="Arial"/>
                <w:sz w:val="18"/>
                <w:szCs w:val="18"/>
                <w:color w:val="auto"/>
                <w:w w:val="85"/>
              </w:rPr>
              <w:t>June 30, 2020</w:t>
            </w:r>
          </w:p>
        </w:tc>
      </w:tr>
      <w:tr>
        <w:trPr>
          <w:trHeight w:val="27"/>
        </w:trPr>
        <w:tc>
          <w:tcPr>
            <w:tcW w:w="3760" w:type="dxa"/>
            <w:vAlign w:val="bottom"/>
            <w:tcBorders>
              <w:bottom w:val="single" w:sz="8" w:color="auto"/>
            </w:tcBorders>
          </w:tcPr>
          <w:p>
            <w:pPr>
              <w:spacing w:after="0"/>
              <w:rPr>
                <w:sz w:val="2"/>
                <w:szCs w:val="2"/>
                <w:color w:val="auto"/>
              </w:rPr>
            </w:pPr>
          </w:p>
        </w:tc>
        <w:tc>
          <w:tcPr>
            <w:tcW w:w="49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7"/>
        </w:trPr>
        <w:tc>
          <w:tcPr>
            <w:tcW w:w="3760" w:type="dxa"/>
            <w:vAlign w:val="bottom"/>
          </w:tcPr>
          <w:p>
            <w:pPr>
              <w:ind w:left="20"/>
              <w:spacing w:after="0"/>
              <w:rPr>
                <w:sz w:val="20"/>
                <w:szCs w:val="20"/>
                <w:color w:val="auto"/>
              </w:rPr>
            </w:pPr>
            <w:r>
              <w:rPr>
                <w:rFonts w:ascii="Arial" w:cs="Arial" w:eastAsia="Arial" w:hAnsi="Arial"/>
                <w:sz w:val="18"/>
                <w:szCs w:val="18"/>
                <w:color w:val="auto"/>
              </w:rPr>
              <w:t>Matt Maddox</w:t>
            </w:r>
          </w:p>
        </w:tc>
        <w:tc>
          <w:tcPr>
            <w:tcW w:w="4920" w:type="dxa"/>
            <w:vAlign w:val="bottom"/>
          </w:tcPr>
          <w:p>
            <w:pPr>
              <w:ind w:left="380"/>
              <w:spacing w:after="0"/>
              <w:rPr>
                <w:sz w:val="20"/>
                <w:szCs w:val="20"/>
                <w:color w:val="auto"/>
              </w:rPr>
            </w:pPr>
            <w:r>
              <w:rPr>
                <w:rFonts w:ascii="Arial" w:cs="Arial" w:eastAsia="Arial" w:hAnsi="Arial"/>
                <w:sz w:val="18"/>
                <w:szCs w:val="18"/>
                <w:color w:val="auto"/>
              </w:rPr>
              <w:t>(Principal Executive Officer)</w:t>
            </w:r>
          </w:p>
        </w:tc>
        <w:tc>
          <w:tcPr>
            <w:tcW w:w="1780" w:type="dxa"/>
            <w:vAlign w:val="bottom"/>
          </w:tcPr>
          <w:p>
            <w:pPr>
              <w:spacing w:after="0"/>
              <w:rPr>
                <w:sz w:val="20"/>
                <w:szCs w:val="20"/>
                <w:color w:val="auto"/>
              </w:rPr>
            </w:pPr>
          </w:p>
        </w:tc>
      </w:tr>
      <w:tr>
        <w:trPr>
          <w:trHeight w:val="540"/>
        </w:trPr>
        <w:tc>
          <w:tcPr>
            <w:tcW w:w="3760" w:type="dxa"/>
            <w:vAlign w:val="bottom"/>
          </w:tcPr>
          <w:p>
            <w:pPr>
              <w:ind w:left="20"/>
              <w:spacing w:after="0"/>
              <w:rPr>
                <w:sz w:val="20"/>
                <w:szCs w:val="20"/>
                <w:color w:val="auto"/>
              </w:rPr>
            </w:pPr>
            <w:r>
              <w:rPr>
                <w:rFonts w:ascii="Arial" w:cs="Arial" w:eastAsia="Arial" w:hAnsi="Arial"/>
                <w:sz w:val="18"/>
                <w:szCs w:val="18"/>
                <w:color w:val="auto"/>
              </w:rPr>
              <w:t>/s/ Craig S. Billings</w:t>
            </w:r>
          </w:p>
        </w:tc>
        <w:tc>
          <w:tcPr>
            <w:tcW w:w="4920" w:type="dxa"/>
            <w:vAlign w:val="bottom"/>
          </w:tcPr>
          <w:p>
            <w:pPr>
              <w:ind w:left="380"/>
              <w:spacing w:after="0"/>
              <w:rPr>
                <w:sz w:val="20"/>
                <w:szCs w:val="20"/>
                <w:color w:val="auto"/>
              </w:rPr>
            </w:pPr>
            <w:r>
              <w:rPr>
                <w:rFonts w:ascii="Arial" w:cs="Arial" w:eastAsia="Arial" w:hAnsi="Arial"/>
                <w:sz w:val="18"/>
                <w:szCs w:val="18"/>
                <w:color w:val="auto"/>
              </w:rPr>
              <w:t>President, Chief Financial Officer and Treasurer</w:t>
            </w:r>
          </w:p>
        </w:tc>
        <w:tc>
          <w:tcPr>
            <w:tcW w:w="1780" w:type="dxa"/>
            <w:vAlign w:val="bottom"/>
          </w:tcPr>
          <w:p>
            <w:pPr>
              <w:ind w:left="780"/>
              <w:spacing w:after="0"/>
              <w:rPr>
                <w:sz w:val="20"/>
                <w:szCs w:val="20"/>
                <w:color w:val="auto"/>
              </w:rPr>
            </w:pPr>
            <w:r>
              <w:rPr>
                <w:rFonts w:ascii="Arial" w:cs="Arial" w:eastAsia="Arial" w:hAnsi="Arial"/>
                <w:sz w:val="18"/>
                <w:szCs w:val="18"/>
                <w:color w:val="auto"/>
                <w:w w:val="85"/>
              </w:rPr>
              <w:t>June 30, 2020</w:t>
            </w:r>
          </w:p>
        </w:tc>
      </w:tr>
      <w:tr>
        <w:trPr>
          <w:trHeight w:val="27"/>
        </w:trPr>
        <w:tc>
          <w:tcPr>
            <w:tcW w:w="3760" w:type="dxa"/>
            <w:vAlign w:val="bottom"/>
            <w:tcBorders>
              <w:bottom w:val="single" w:sz="8" w:color="auto"/>
            </w:tcBorders>
          </w:tcPr>
          <w:p>
            <w:pPr>
              <w:spacing w:after="0"/>
              <w:rPr>
                <w:sz w:val="2"/>
                <w:szCs w:val="2"/>
                <w:color w:val="auto"/>
              </w:rPr>
            </w:pPr>
          </w:p>
        </w:tc>
        <w:tc>
          <w:tcPr>
            <w:tcW w:w="49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7"/>
        </w:trPr>
        <w:tc>
          <w:tcPr>
            <w:tcW w:w="3760" w:type="dxa"/>
            <w:vAlign w:val="bottom"/>
          </w:tcPr>
          <w:p>
            <w:pPr>
              <w:ind w:left="20"/>
              <w:spacing w:after="0"/>
              <w:rPr>
                <w:sz w:val="20"/>
                <w:szCs w:val="20"/>
                <w:color w:val="auto"/>
              </w:rPr>
            </w:pPr>
            <w:r>
              <w:rPr>
                <w:rFonts w:ascii="Arial" w:cs="Arial" w:eastAsia="Arial" w:hAnsi="Arial"/>
                <w:sz w:val="18"/>
                <w:szCs w:val="18"/>
                <w:color w:val="auto"/>
              </w:rPr>
              <w:t>Craig S. Billings</w:t>
            </w:r>
          </w:p>
        </w:tc>
        <w:tc>
          <w:tcPr>
            <w:tcW w:w="4920" w:type="dxa"/>
            <w:vAlign w:val="bottom"/>
          </w:tcPr>
          <w:p>
            <w:pPr>
              <w:ind w:left="380"/>
              <w:spacing w:after="0"/>
              <w:rPr>
                <w:sz w:val="20"/>
                <w:szCs w:val="20"/>
                <w:color w:val="auto"/>
              </w:rPr>
            </w:pPr>
            <w:r>
              <w:rPr>
                <w:rFonts w:ascii="Arial" w:cs="Arial" w:eastAsia="Arial" w:hAnsi="Arial"/>
                <w:sz w:val="18"/>
                <w:szCs w:val="18"/>
                <w:color w:val="auto"/>
              </w:rPr>
              <w:t>(Principal Financial and Accounting Officer)</w:t>
            </w:r>
          </w:p>
        </w:tc>
        <w:tc>
          <w:tcPr>
            <w:tcW w:w="1780" w:type="dxa"/>
            <w:vAlign w:val="bottom"/>
          </w:tcPr>
          <w:p>
            <w:pPr>
              <w:spacing w:after="0"/>
              <w:rPr>
                <w:sz w:val="20"/>
                <w:szCs w:val="20"/>
                <w:color w:val="auto"/>
              </w:rPr>
            </w:pPr>
          </w:p>
        </w:tc>
      </w:tr>
      <w:tr>
        <w:trPr>
          <w:trHeight w:val="540"/>
        </w:trPr>
        <w:tc>
          <w:tcPr>
            <w:tcW w:w="3760" w:type="dxa"/>
            <w:vAlign w:val="bottom"/>
          </w:tcPr>
          <w:p>
            <w:pPr>
              <w:ind w:left="20"/>
              <w:spacing w:after="0"/>
              <w:rPr>
                <w:sz w:val="20"/>
                <w:szCs w:val="20"/>
                <w:color w:val="auto"/>
              </w:rPr>
            </w:pPr>
            <w:r>
              <w:rPr>
                <w:rFonts w:ascii="Arial" w:cs="Arial" w:eastAsia="Arial" w:hAnsi="Arial"/>
                <w:sz w:val="18"/>
                <w:szCs w:val="18"/>
                <w:color w:val="auto"/>
              </w:rPr>
              <w:t>/s/ Philip G. Satre</w:t>
            </w:r>
          </w:p>
        </w:tc>
        <w:tc>
          <w:tcPr>
            <w:tcW w:w="4920" w:type="dxa"/>
            <w:vAlign w:val="bottom"/>
          </w:tcPr>
          <w:p>
            <w:pPr>
              <w:ind w:left="380"/>
              <w:spacing w:after="0"/>
              <w:rPr>
                <w:sz w:val="20"/>
                <w:szCs w:val="20"/>
                <w:color w:val="auto"/>
              </w:rPr>
            </w:pPr>
            <w:r>
              <w:rPr>
                <w:rFonts w:ascii="Arial" w:cs="Arial" w:eastAsia="Arial" w:hAnsi="Arial"/>
                <w:sz w:val="18"/>
                <w:szCs w:val="18"/>
                <w:color w:val="auto"/>
              </w:rPr>
              <w:t>Non-Executive Chairman of the Board and Director</w:t>
            </w:r>
          </w:p>
        </w:tc>
        <w:tc>
          <w:tcPr>
            <w:tcW w:w="1780" w:type="dxa"/>
            <w:vAlign w:val="bottom"/>
          </w:tcPr>
          <w:p>
            <w:pPr>
              <w:ind w:left="780"/>
              <w:spacing w:after="0"/>
              <w:rPr>
                <w:sz w:val="20"/>
                <w:szCs w:val="20"/>
                <w:color w:val="auto"/>
              </w:rPr>
            </w:pPr>
            <w:r>
              <w:rPr>
                <w:rFonts w:ascii="Arial" w:cs="Arial" w:eastAsia="Arial" w:hAnsi="Arial"/>
                <w:sz w:val="18"/>
                <w:szCs w:val="18"/>
                <w:color w:val="auto"/>
                <w:w w:val="85"/>
              </w:rPr>
              <w:t>June 30, 2020</w:t>
            </w:r>
          </w:p>
        </w:tc>
      </w:tr>
      <w:tr>
        <w:trPr>
          <w:trHeight w:val="27"/>
        </w:trPr>
        <w:tc>
          <w:tcPr>
            <w:tcW w:w="3760" w:type="dxa"/>
            <w:vAlign w:val="bottom"/>
            <w:tcBorders>
              <w:bottom w:val="single" w:sz="8" w:color="auto"/>
            </w:tcBorders>
          </w:tcPr>
          <w:p>
            <w:pPr>
              <w:spacing w:after="0"/>
              <w:rPr>
                <w:sz w:val="2"/>
                <w:szCs w:val="2"/>
                <w:color w:val="auto"/>
              </w:rPr>
            </w:pPr>
          </w:p>
        </w:tc>
        <w:tc>
          <w:tcPr>
            <w:tcW w:w="49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7"/>
        </w:trPr>
        <w:tc>
          <w:tcPr>
            <w:tcW w:w="3760" w:type="dxa"/>
            <w:vAlign w:val="bottom"/>
          </w:tcPr>
          <w:p>
            <w:pPr>
              <w:ind w:left="20"/>
              <w:spacing w:after="0"/>
              <w:rPr>
                <w:sz w:val="20"/>
                <w:szCs w:val="20"/>
                <w:color w:val="auto"/>
              </w:rPr>
            </w:pPr>
            <w:r>
              <w:rPr>
                <w:rFonts w:ascii="Arial" w:cs="Arial" w:eastAsia="Arial" w:hAnsi="Arial"/>
                <w:sz w:val="18"/>
                <w:szCs w:val="18"/>
                <w:color w:val="auto"/>
              </w:rPr>
              <w:t>Philip G. Satre</w:t>
            </w:r>
          </w:p>
        </w:tc>
        <w:tc>
          <w:tcPr>
            <w:tcW w:w="49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527"/>
        </w:trPr>
        <w:tc>
          <w:tcPr>
            <w:tcW w:w="3760" w:type="dxa"/>
            <w:vAlign w:val="bottom"/>
          </w:tcPr>
          <w:p>
            <w:pPr>
              <w:ind w:left="20"/>
              <w:spacing w:after="0"/>
              <w:rPr>
                <w:sz w:val="20"/>
                <w:szCs w:val="20"/>
                <w:color w:val="auto"/>
              </w:rPr>
            </w:pPr>
            <w:r>
              <w:rPr>
                <w:rFonts w:ascii="Arial" w:cs="Arial" w:eastAsia="Arial" w:hAnsi="Arial"/>
                <w:sz w:val="18"/>
                <w:szCs w:val="18"/>
                <w:color w:val="auto"/>
              </w:rPr>
              <w:t>/s/ Betsy S. Atkins</w:t>
            </w:r>
          </w:p>
        </w:tc>
        <w:tc>
          <w:tcPr>
            <w:tcW w:w="4920" w:type="dxa"/>
            <w:vAlign w:val="bottom"/>
          </w:tcPr>
          <w:p>
            <w:pPr>
              <w:ind w:left="380"/>
              <w:spacing w:after="0"/>
              <w:rPr>
                <w:sz w:val="20"/>
                <w:szCs w:val="20"/>
                <w:color w:val="auto"/>
              </w:rPr>
            </w:pPr>
            <w:r>
              <w:rPr>
                <w:rFonts w:ascii="Arial" w:cs="Arial" w:eastAsia="Arial" w:hAnsi="Arial"/>
                <w:sz w:val="18"/>
                <w:szCs w:val="18"/>
                <w:color w:val="auto"/>
              </w:rPr>
              <w:t>Director</w:t>
            </w:r>
          </w:p>
        </w:tc>
        <w:tc>
          <w:tcPr>
            <w:tcW w:w="1780" w:type="dxa"/>
            <w:vAlign w:val="bottom"/>
          </w:tcPr>
          <w:p>
            <w:pPr>
              <w:ind w:left="780"/>
              <w:spacing w:after="0"/>
              <w:rPr>
                <w:sz w:val="20"/>
                <w:szCs w:val="20"/>
                <w:color w:val="auto"/>
              </w:rPr>
            </w:pPr>
            <w:r>
              <w:rPr>
                <w:rFonts w:ascii="Arial" w:cs="Arial" w:eastAsia="Arial" w:hAnsi="Arial"/>
                <w:sz w:val="18"/>
                <w:szCs w:val="18"/>
                <w:color w:val="auto"/>
                <w:w w:val="85"/>
              </w:rPr>
              <w:t>June 30, 2020</w:t>
            </w:r>
          </w:p>
        </w:tc>
      </w:tr>
      <w:tr>
        <w:trPr>
          <w:trHeight w:val="27"/>
        </w:trPr>
        <w:tc>
          <w:tcPr>
            <w:tcW w:w="3760" w:type="dxa"/>
            <w:vAlign w:val="bottom"/>
            <w:tcBorders>
              <w:bottom w:val="single" w:sz="8" w:color="auto"/>
            </w:tcBorders>
          </w:tcPr>
          <w:p>
            <w:pPr>
              <w:spacing w:after="0"/>
              <w:rPr>
                <w:sz w:val="2"/>
                <w:szCs w:val="2"/>
                <w:color w:val="auto"/>
              </w:rPr>
            </w:pPr>
          </w:p>
        </w:tc>
        <w:tc>
          <w:tcPr>
            <w:tcW w:w="49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7"/>
        </w:trPr>
        <w:tc>
          <w:tcPr>
            <w:tcW w:w="3760" w:type="dxa"/>
            <w:vAlign w:val="bottom"/>
          </w:tcPr>
          <w:p>
            <w:pPr>
              <w:ind w:left="20"/>
              <w:spacing w:after="0"/>
              <w:rPr>
                <w:sz w:val="20"/>
                <w:szCs w:val="20"/>
                <w:color w:val="auto"/>
              </w:rPr>
            </w:pPr>
            <w:r>
              <w:rPr>
                <w:rFonts w:ascii="Arial" w:cs="Arial" w:eastAsia="Arial" w:hAnsi="Arial"/>
                <w:sz w:val="18"/>
                <w:szCs w:val="18"/>
                <w:color w:val="auto"/>
              </w:rPr>
              <w:t>Betsy S. Atkins</w:t>
            </w:r>
          </w:p>
        </w:tc>
        <w:tc>
          <w:tcPr>
            <w:tcW w:w="49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540"/>
        </w:trPr>
        <w:tc>
          <w:tcPr>
            <w:tcW w:w="3760" w:type="dxa"/>
            <w:vAlign w:val="bottom"/>
          </w:tcPr>
          <w:p>
            <w:pPr>
              <w:ind w:left="20"/>
              <w:spacing w:after="0"/>
              <w:rPr>
                <w:sz w:val="20"/>
                <w:szCs w:val="20"/>
                <w:color w:val="auto"/>
              </w:rPr>
            </w:pPr>
            <w:r>
              <w:rPr>
                <w:rFonts w:ascii="Arial" w:cs="Arial" w:eastAsia="Arial" w:hAnsi="Arial"/>
                <w:sz w:val="18"/>
                <w:szCs w:val="18"/>
                <w:color w:val="auto"/>
              </w:rPr>
              <w:t>/s/ Richard J. Byrne</w:t>
            </w:r>
          </w:p>
        </w:tc>
        <w:tc>
          <w:tcPr>
            <w:tcW w:w="4920" w:type="dxa"/>
            <w:vAlign w:val="bottom"/>
          </w:tcPr>
          <w:p>
            <w:pPr>
              <w:ind w:left="380"/>
              <w:spacing w:after="0"/>
              <w:rPr>
                <w:sz w:val="20"/>
                <w:szCs w:val="20"/>
                <w:color w:val="auto"/>
              </w:rPr>
            </w:pPr>
            <w:r>
              <w:rPr>
                <w:rFonts w:ascii="Arial" w:cs="Arial" w:eastAsia="Arial" w:hAnsi="Arial"/>
                <w:sz w:val="18"/>
                <w:szCs w:val="18"/>
                <w:color w:val="auto"/>
              </w:rPr>
              <w:t>Director</w:t>
            </w:r>
          </w:p>
        </w:tc>
        <w:tc>
          <w:tcPr>
            <w:tcW w:w="1780" w:type="dxa"/>
            <w:vAlign w:val="bottom"/>
          </w:tcPr>
          <w:p>
            <w:pPr>
              <w:ind w:left="780"/>
              <w:spacing w:after="0"/>
              <w:rPr>
                <w:sz w:val="20"/>
                <w:szCs w:val="20"/>
                <w:color w:val="auto"/>
              </w:rPr>
            </w:pPr>
            <w:r>
              <w:rPr>
                <w:rFonts w:ascii="Arial" w:cs="Arial" w:eastAsia="Arial" w:hAnsi="Arial"/>
                <w:sz w:val="18"/>
                <w:szCs w:val="18"/>
                <w:color w:val="auto"/>
                <w:w w:val="85"/>
              </w:rPr>
              <w:t>June 30, 2020</w:t>
            </w:r>
          </w:p>
        </w:tc>
      </w:tr>
      <w:tr>
        <w:trPr>
          <w:trHeight w:val="27"/>
        </w:trPr>
        <w:tc>
          <w:tcPr>
            <w:tcW w:w="3760" w:type="dxa"/>
            <w:vAlign w:val="bottom"/>
            <w:tcBorders>
              <w:bottom w:val="single" w:sz="8" w:color="auto"/>
            </w:tcBorders>
          </w:tcPr>
          <w:p>
            <w:pPr>
              <w:spacing w:after="0"/>
              <w:rPr>
                <w:sz w:val="2"/>
                <w:szCs w:val="2"/>
                <w:color w:val="auto"/>
              </w:rPr>
            </w:pPr>
          </w:p>
        </w:tc>
        <w:tc>
          <w:tcPr>
            <w:tcW w:w="49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7"/>
        </w:trPr>
        <w:tc>
          <w:tcPr>
            <w:tcW w:w="3760" w:type="dxa"/>
            <w:vAlign w:val="bottom"/>
          </w:tcPr>
          <w:p>
            <w:pPr>
              <w:ind w:left="20"/>
              <w:spacing w:after="0"/>
              <w:rPr>
                <w:sz w:val="20"/>
                <w:szCs w:val="20"/>
                <w:color w:val="auto"/>
              </w:rPr>
            </w:pPr>
            <w:r>
              <w:rPr>
                <w:rFonts w:ascii="Arial" w:cs="Arial" w:eastAsia="Arial" w:hAnsi="Arial"/>
                <w:sz w:val="18"/>
                <w:szCs w:val="18"/>
                <w:color w:val="auto"/>
              </w:rPr>
              <w:t>Richard J. Byrne</w:t>
            </w:r>
          </w:p>
        </w:tc>
        <w:tc>
          <w:tcPr>
            <w:tcW w:w="49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540"/>
        </w:trPr>
        <w:tc>
          <w:tcPr>
            <w:tcW w:w="3760" w:type="dxa"/>
            <w:vAlign w:val="bottom"/>
          </w:tcPr>
          <w:p>
            <w:pPr>
              <w:ind w:left="20"/>
              <w:spacing w:after="0"/>
              <w:rPr>
                <w:sz w:val="20"/>
                <w:szCs w:val="20"/>
                <w:color w:val="auto"/>
              </w:rPr>
            </w:pPr>
            <w:r>
              <w:rPr>
                <w:rFonts w:ascii="Arial" w:cs="Arial" w:eastAsia="Arial" w:hAnsi="Arial"/>
                <w:sz w:val="18"/>
                <w:szCs w:val="18"/>
                <w:color w:val="auto"/>
              </w:rPr>
              <w:t>/s/ Jay L. Johnson</w:t>
            </w:r>
          </w:p>
        </w:tc>
        <w:tc>
          <w:tcPr>
            <w:tcW w:w="4920" w:type="dxa"/>
            <w:vAlign w:val="bottom"/>
          </w:tcPr>
          <w:p>
            <w:pPr>
              <w:ind w:left="380"/>
              <w:spacing w:after="0"/>
              <w:rPr>
                <w:sz w:val="20"/>
                <w:szCs w:val="20"/>
                <w:color w:val="auto"/>
              </w:rPr>
            </w:pPr>
            <w:r>
              <w:rPr>
                <w:rFonts w:ascii="Arial" w:cs="Arial" w:eastAsia="Arial" w:hAnsi="Arial"/>
                <w:sz w:val="18"/>
                <w:szCs w:val="18"/>
                <w:color w:val="auto"/>
              </w:rPr>
              <w:t>Director</w:t>
            </w:r>
          </w:p>
        </w:tc>
        <w:tc>
          <w:tcPr>
            <w:tcW w:w="1780" w:type="dxa"/>
            <w:vAlign w:val="bottom"/>
          </w:tcPr>
          <w:p>
            <w:pPr>
              <w:ind w:left="780"/>
              <w:spacing w:after="0"/>
              <w:rPr>
                <w:sz w:val="20"/>
                <w:szCs w:val="20"/>
                <w:color w:val="auto"/>
              </w:rPr>
            </w:pPr>
            <w:r>
              <w:rPr>
                <w:rFonts w:ascii="Arial" w:cs="Arial" w:eastAsia="Arial" w:hAnsi="Arial"/>
                <w:sz w:val="18"/>
                <w:szCs w:val="18"/>
                <w:color w:val="auto"/>
                <w:w w:val="85"/>
              </w:rPr>
              <w:t>June 30, 2020</w:t>
            </w:r>
          </w:p>
        </w:tc>
      </w:tr>
      <w:tr>
        <w:trPr>
          <w:trHeight w:val="27"/>
        </w:trPr>
        <w:tc>
          <w:tcPr>
            <w:tcW w:w="3760" w:type="dxa"/>
            <w:vAlign w:val="bottom"/>
            <w:tcBorders>
              <w:bottom w:val="single" w:sz="8" w:color="auto"/>
            </w:tcBorders>
          </w:tcPr>
          <w:p>
            <w:pPr>
              <w:spacing w:after="0"/>
              <w:rPr>
                <w:sz w:val="2"/>
                <w:szCs w:val="2"/>
                <w:color w:val="auto"/>
              </w:rPr>
            </w:pPr>
          </w:p>
        </w:tc>
        <w:tc>
          <w:tcPr>
            <w:tcW w:w="49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6"/>
        </w:trPr>
        <w:tc>
          <w:tcPr>
            <w:tcW w:w="3760" w:type="dxa"/>
            <w:vAlign w:val="bottom"/>
          </w:tcPr>
          <w:p>
            <w:pPr>
              <w:ind w:left="20"/>
              <w:spacing w:after="0"/>
              <w:rPr>
                <w:sz w:val="20"/>
                <w:szCs w:val="20"/>
                <w:color w:val="auto"/>
              </w:rPr>
            </w:pPr>
            <w:r>
              <w:rPr>
                <w:rFonts w:ascii="Arial" w:cs="Arial" w:eastAsia="Arial" w:hAnsi="Arial"/>
                <w:sz w:val="18"/>
                <w:szCs w:val="18"/>
                <w:color w:val="auto"/>
              </w:rPr>
              <w:t>Jay L. Johnson</w:t>
            </w:r>
          </w:p>
        </w:tc>
        <w:tc>
          <w:tcPr>
            <w:tcW w:w="49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540"/>
        </w:trPr>
        <w:tc>
          <w:tcPr>
            <w:tcW w:w="3760" w:type="dxa"/>
            <w:vAlign w:val="bottom"/>
          </w:tcPr>
          <w:p>
            <w:pPr>
              <w:ind w:left="20"/>
              <w:spacing w:after="0"/>
              <w:rPr>
                <w:sz w:val="20"/>
                <w:szCs w:val="20"/>
                <w:color w:val="auto"/>
              </w:rPr>
            </w:pPr>
            <w:r>
              <w:rPr>
                <w:rFonts w:ascii="Arial" w:cs="Arial" w:eastAsia="Arial" w:hAnsi="Arial"/>
                <w:sz w:val="18"/>
                <w:szCs w:val="18"/>
                <w:color w:val="auto"/>
              </w:rPr>
              <w:t>/s/ Patricia Mulroy</w:t>
            </w:r>
          </w:p>
        </w:tc>
        <w:tc>
          <w:tcPr>
            <w:tcW w:w="4920" w:type="dxa"/>
            <w:vAlign w:val="bottom"/>
          </w:tcPr>
          <w:p>
            <w:pPr>
              <w:ind w:left="380"/>
              <w:spacing w:after="0"/>
              <w:rPr>
                <w:sz w:val="20"/>
                <w:szCs w:val="20"/>
                <w:color w:val="auto"/>
              </w:rPr>
            </w:pPr>
            <w:r>
              <w:rPr>
                <w:rFonts w:ascii="Arial" w:cs="Arial" w:eastAsia="Arial" w:hAnsi="Arial"/>
                <w:sz w:val="18"/>
                <w:szCs w:val="18"/>
                <w:color w:val="auto"/>
              </w:rPr>
              <w:t>Director</w:t>
            </w:r>
          </w:p>
        </w:tc>
        <w:tc>
          <w:tcPr>
            <w:tcW w:w="1780" w:type="dxa"/>
            <w:vAlign w:val="bottom"/>
          </w:tcPr>
          <w:p>
            <w:pPr>
              <w:ind w:left="780"/>
              <w:spacing w:after="0"/>
              <w:rPr>
                <w:sz w:val="20"/>
                <w:szCs w:val="20"/>
                <w:color w:val="auto"/>
              </w:rPr>
            </w:pPr>
            <w:r>
              <w:rPr>
                <w:rFonts w:ascii="Arial" w:cs="Arial" w:eastAsia="Arial" w:hAnsi="Arial"/>
                <w:sz w:val="18"/>
                <w:szCs w:val="18"/>
                <w:color w:val="auto"/>
                <w:w w:val="85"/>
              </w:rPr>
              <w:t>June 30, 2020</w:t>
            </w:r>
          </w:p>
        </w:tc>
      </w:tr>
      <w:tr>
        <w:trPr>
          <w:trHeight w:val="27"/>
        </w:trPr>
        <w:tc>
          <w:tcPr>
            <w:tcW w:w="3760" w:type="dxa"/>
            <w:vAlign w:val="bottom"/>
            <w:tcBorders>
              <w:bottom w:val="single" w:sz="8" w:color="auto"/>
            </w:tcBorders>
          </w:tcPr>
          <w:p>
            <w:pPr>
              <w:spacing w:after="0"/>
              <w:rPr>
                <w:sz w:val="2"/>
                <w:szCs w:val="2"/>
                <w:color w:val="auto"/>
              </w:rPr>
            </w:pPr>
          </w:p>
        </w:tc>
        <w:tc>
          <w:tcPr>
            <w:tcW w:w="49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6"/>
        </w:trPr>
        <w:tc>
          <w:tcPr>
            <w:tcW w:w="3760" w:type="dxa"/>
            <w:vAlign w:val="bottom"/>
          </w:tcPr>
          <w:p>
            <w:pPr>
              <w:ind w:left="20"/>
              <w:spacing w:after="0"/>
              <w:rPr>
                <w:sz w:val="20"/>
                <w:szCs w:val="20"/>
                <w:color w:val="auto"/>
              </w:rPr>
            </w:pPr>
            <w:r>
              <w:rPr>
                <w:rFonts w:ascii="Arial" w:cs="Arial" w:eastAsia="Arial" w:hAnsi="Arial"/>
                <w:sz w:val="18"/>
                <w:szCs w:val="18"/>
                <w:color w:val="auto"/>
              </w:rPr>
              <w:t>Patricia Mulroy</w:t>
            </w:r>
          </w:p>
        </w:tc>
        <w:tc>
          <w:tcPr>
            <w:tcW w:w="49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540"/>
        </w:trPr>
        <w:tc>
          <w:tcPr>
            <w:tcW w:w="3760" w:type="dxa"/>
            <w:vAlign w:val="bottom"/>
          </w:tcPr>
          <w:p>
            <w:pPr>
              <w:ind w:left="20"/>
              <w:spacing w:after="0"/>
              <w:rPr>
                <w:sz w:val="20"/>
                <w:szCs w:val="20"/>
                <w:color w:val="auto"/>
              </w:rPr>
            </w:pPr>
            <w:r>
              <w:rPr>
                <w:rFonts w:ascii="Arial" w:cs="Arial" w:eastAsia="Arial" w:hAnsi="Arial"/>
                <w:sz w:val="18"/>
                <w:szCs w:val="18"/>
                <w:color w:val="auto"/>
              </w:rPr>
              <w:t>/s/ Margaret J. Myers</w:t>
            </w:r>
          </w:p>
        </w:tc>
        <w:tc>
          <w:tcPr>
            <w:tcW w:w="4920" w:type="dxa"/>
            <w:vAlign w:val="bottom"/>
          </w:tcPr>
          <w:p>
            <w:pPr>
              <w:ind w:left="380"/>
              <w:spacing w:after="0"/>
              <w:rPr>
                <w:sz w:val="20"/>
                <w:szCs w:val="20"/>
                <w:color w:val="auto"/>
              </w:rPr>
            </w:pPr>
            <w:r>
              <w:rPr>
                <w:rFonts w:ascii="Arial" w:cs="Arial" w:eastAsia="Arial" w:hAnsi="Arial"/>
                <w:sz w:val="18"/>
                <w:szCs w:val="18"/>
                <w:color w:val="auto"/>
              </w:rPr>
              <w:t>Director</w:t>
            </w:r>
          </w:p>
        </w:tc>
        <w:tc>
          <w:tcPr>
            <w:tcW w:w="1780" w:type="dxa"/>
            <w:vAlign w:val="bottom"/>
          </w:tcPr>
          <w:p>
            <w:pPr>
              <w:ind w:left="780"/>
              <w:spacing w:after="0"/>
              <w:rPr>
                <w:sz w:val="20"/>
                <w:szCs w:val="20"/>
                <w:color w:val="auto"/>
              </w:rPr>
            </w:pPr>
            <w:r>
              <w:rPr>
                <w:rFonts w:ascii="Arial" w:cs="Arial" w:eastAsia="Arial" w:hAnsi="Arial"/>
                <w:sz w:val="18"/>
                <w:szCs w:val="18"/>
                <w:color w:val="auto"/>
                <w:w w:val="85"/>
              </w:rPr>
              <w:t>June 30, 2020</w:t>
            </w:r>
          </w:p>
        </w:tc>
      </w:tr>
      <w:tr>
        <w:trPr>
          <w:trHeight w:val="27"/>
        </w:trPr>
        <w:tc>
          <w:tcPr>
            <w:tcW w:w="3760" w:type="dxa"/>
            <w:vAlign w:val="bottom"/>
            <w:tcBorders>
              <w:bottom w:val="single" w:sz="8" w:color="auto"/>
            </w:tcBorders>
          </w:tcPr>
          <w:p>
            <w:pPr>
              <w:spacing w:after="0"/>
              <w:rPr>
                <w:sz w:val="2"/>
                <w:szCs w:val="2"/>
                <w:color w:val="auto"/>
              </w:rPr>
            </w:pPr>
          </w:p>
        </w:tc>
        <w:tc>
          <w:tcPr>
            <w:tcW w:w="49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6"/>
        </w:trPr>
        <w:tc>
          <w:tcPr>
            <w:tcW w:w="3760" w:type="dxa"/>
            <w:vAlign w:val="bottom"/>
          </w:tcPr>
          <w:p>
            <w:pPr>
              <w:ind w:left="20"/>
              <w:spacing w:after="0"/>
              <w:rPr>
                <w:sz w:val="20"/>
                <w:szCs w:val="20"/>
                <w:color w:val="auto"/>
              </w:rPr>
            </w:pPr>
            <w:r>
              <w:rPr>
                <w:rFonts w:ascii="Arial" w:cs="Arial" w:eastAsia="Arial" w:hAnsi="Arial"/>
                <w:sz w:val="18"/>
                <w:szCs w:val="18"/>
                <w:color w:val="auto"/>
              </w:rPr>
              <w:t>Margaret J. Myers</w:t>
            </w:r>
          </w:p>
        </w:tc>
        <w:tc>
          <w:tcPr>
            <w:tcW w:w="49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540"/>
        </w:trPr>
        <w:tc>
          <w:tcPr>
            <w:tcW w:w="3760" w:type="dxa"/>
            <w:vAlign w:val="bottom"/>
          </w:tcPr>
          <w:p>
            <w:pPr>
              <w:ind w:left="20"/>
              <w:spacing w:after="0"/>
              <w:rPr>
                <w:sz w:val="20"/>
                <w:szCs w:val="20"/>
                <w:color w:val="auto"/>
              </w:rPr>
            </w:pPr>
            <w:r>
              <w:rPr>
                <w:rFonts w:ascii="Arial" w:cs="Arial" w:eastAsia="Arial" w:hAnsi="Arial"/>
                <w:sz w:val="18"/>
                <w:szCs w:val="18"/>
                <w:color w:val="auto"/>
              </w:rPr>
              <w:t>/s/ Clark T. Randt, Jr.</w:t>
            </w:r>
          </w:p>
        </w:tc>
        <w:tc>
          <w:tcPr>
            <w:tcW w:w="4920" w:type="dxa"/>
            <w:vAlign w:val="bottom"/>
          </w:tcPr>
          <w:p>
            <w:pPr>
              <w:ind w:left="380"/>
              <w:spacing w:after="0"/>
              <w:rPr>
                <w:sz w:val="20"/>
                <w:szCs w:val="20"/>
                <w:color w:val="auto"/>
              </w:rPr>
            </w:pPr>
            <w:r>
              <w:rPr>
                <w:rFonts w:ascii="Arial" w:cs="Arial" w:eastAsia="Arial" w:hAnsi="Arial"/>
                <w:sz w:val="18"/>
                <w:szCs w:val="18"/>
                <w:color w:val="auto"/>
              </w:rPr>
              <w:t>Director</w:t>
            </w:r>
          </w:p>
        </w:tc>
        <w:tc>
          <w:tcPr>
            <w:tcW w:w="1780" w:type="dxa"/>
            <w:vAlign w:val="bottom"/>
          </w:tcPr>
          <w:p>
            <w:pPr>
              <w:ind w:left="780"/>
              <w:spacing w:after="0"/>
              <w:rPr>
                <w:sz w:val="20"/>
                <w:szCs w:val="20"/>
                <w:color w:val="auto"/>
              </w:rPr>
            </w:pPr>
            <w:r>
              <w:rPr>
                <w:rFonts w:ascii="Arial" w:cs="Arial" w:eastAsia="Arial" w:hAnsi="Arial"/>
                <w:sz w:val="18"/>
                <w:szCs w:val="18"/>
                <w:color w:val="auto"/>
                <w:w w:val="85"/>
              </w:rPr>
              <w:t>June 30, 2020</w:t>
            </w:r>
          </w:p>
        </w:tc>
      </w:tr>
      <w:tr>
        <w:trPr>
          <w:trHeight w:val="27"/>
        </w:trPr>
        <w:tc>
          <w:tcPr>
            <w:tcW w:w="3760" w:type="dxa"/>
            <w:vAlign w:val="bottom"/>
            <w:tcBorders>
              <w:bottom w:val="single" w:sz="8" w:color="auto"/>
            </w:tcBorders>
          </w:tcPr>
          <w:p>
            <w:pPr>
              <w:spacing w:after="0"/>
              <w:rPr>
                <w:sz w:val="2"/>
                <w:szCs w:val="2"/>
                <w:color w:val="auto"/>
              </w:rPr>
            </w:pPr>
          </w:p>
        </w:tc>
        <w:tc>
          <w:tcPr>
            <w:tcW w:w="49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6"/>
        </w:trPr>
        <w:tc>
          <w:tcPr>
            <w:tcW w:w="3760" w:type="dxa"/>
            <w:vAlign w:val="bottom"/>
          </w:tcPr>
          <w:p>
            <w:pPr>
              <w:ind w:left="20"/>
              <w:spacing w:after="0"/>
              <w:rPr>
                <w:sz w:val="20"/>
                <w:szCs w:val="20"/>
                <w:color w:val="auto"/>
              </w:rPr>
            </w:pPr>
            <w:r>
              <w:rPr>
                <w:rFonts w:ascii="Arial" w:cs="Arial" w:eastAsia="Arial" w:hAnsi="Arial"/>
                <w:sz w:val="18"/>
                <w:szCs w:val="18"/>
                <w:color w:val="auto"/>
              </w:rPr>
              <w:t>Clark T. Randt, Jr.</w:t>
            </w:r>
          </w:p>
        </w:tc>
        <w:tc>
          <w:tcPr>
            <w:tcW w:w="49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540"/>
        </w:trPr>
        <w:tc>
          <w:tcPr>
            <w:tcW w:w="3760" w:type="dxa"/>
            <w:vAlign w:val="bottom"/>
          </w:tcPr>
          <w:p>
            <w:pPr>
              <w:ind w:left="20"/>
              <w:spacing w:after="0"/>
              <w:rPr>
                <w:sz w:val="20"/>
                <w:szCs w:val="20"/>
                <w:color w:val="auto"/>
              </w:rPr>
            </w:pPr>
            <w:r>
              <w:rPr>
                <w:rFonts w:ascii="Arial" w:cs="Arial" w:eastAsia="Arial" w:hAnsi="Arial"/>
                <w:sz w:val="18"/>
                <w:szCs w:val="18"/>
                <w:color w:val="auto"/>
              </w:rPr>
              <w:t>/s/ Winifred Webb</w:t>
            </w:r>
          </w:p>
        </w:tc>
        <w:tc>
          <w:tcPr>
            <w:tcW w:w="4920" w:type="dxa"/>
            <w:vAlign w:val="bottom"/>
          </w:tcPr>
          <w:p>
            <w:pPr>
              <w:ind w:left="380"/>
              <w:spacing w:after="0"/>
              <w:rPr>
                <w:sz w:val="20"/>
                <w:szCs w:val="20"/>
                <w:color w:val="auto"/>
              </w:rPr>
            </w:pPr>
            <w:r>
              <w:rPr>
                <w:rFonts w:ascii="Arial" w:cs="Arial" w:eastAsia="Arial" w:hAnsi="Arial"/>
                <w:sz w:val="18"/>
                <w:szCs w:val="18"/>
                <w:color w:val="auto"/>
              </w:rPr>
              <w:t>Director</w:t>
            </w:r>
          </w:p>
        </w:tc>
        <w:tc>
          <w:tcPr>
            <w:tcW w:w="1780" w:type="dxa"/>
            <w:vAlign w:val="bottom"/>
          </w:tcPr>
          <w:p>
            <w:pPr>
              <w:ind w:left="780"/>
              <w:spacing w:after="0"/>
              <w:rPr>
                <w:sz w:val="20"/>
                <w:szCs w:val="20"/>
                <w:color w:val="auto"/>
              </w:rPr>
            </w:pPr>
            <w:r>
              <w:rPr>
                <w:rFonts w:ascii="Arial" w:cs="Arial" w:eastAsia="Arial" w:hAnsi="Arial"/>
                <w:sz w:val="18"/>
                <w:szCs w:val="18"/>
                <w:color w:val="auto"/>
                <w:w w:val="85"/>
              </w:rPr>
              <w:t>June 30, 2020</w:t>
            </w:r>
          </w:p>
        </w:tc>
      </w:tr>
      <w:tr>
        <w:trPr>
          <w:trHeight w:val="27"/>
        </w:trPr>
        <w:tc>
          <w:tcPr>
            <w:tcW w:w="3760" w:type="dxa"/>
            <w:vAlign w:val="bottom"/>
            <w:tcBorders>
              <w:bottom w:val="single" w:sz="8" w:color="auto"/>
            </w:tcBorders>
          </w:tcPr>
          <w:p>
            <w:pPr>
              <w:spacing w:after="0"/>
              <w:rPr>
                <w:sz w:val="2"/>
                <w:szCs w:val="2"/>
                <w:color w:val="auto"/>
              </w:rPr>
            </w:pPr>
          </w:p>
        </w:tc>
        <w:tc>
          <w:tcPr>
            <w:tcW w:w="49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7"/>
        </w:trPr>
        <w:tc>
          <w:tcPr>
            <w:tcW w:w="3760" w:type="dxa"/>
            <w:vAlign w:val="bottom"/>
          </w:tcPr>
          <w:p>
            <w:pPr>
              <w:ind w:left="20"/>
              <w:spacing w:after="0"/>
              <w:rPr>
                <w:sz w:val="20"/>
                <w:szCs w:val="20"/>
                <w:color w:val="auto"/>
              </w:rPr>
            </w:pPr>
            <w:r>
              <w:rPr>
                <w:rFonts w:ascii="Arial" w:cs="Arial" w:eastAsia="Arial" w:hAnsi="Arial"/>
                <w:sz w:val="18"/>
                <w:szCs w:val="18"/>
                <w:color w:val="auto"/>
              </w:rPr>
              <w:t>Winifred Webb</w:t>
            </w:r>
          </w:p>
        </w:tc>
        <w:tc>
          <w:tcPr>
            <w:tcW w:w="4920" w:type="dxa"/>
            <w:vAlign w:val="bottom"/>
          </w:tcPr>
          <w:p>
            <w:pPr>
              <w:spacing w:after="0"/>
              <w:rPr>
                <w:sz w:val="20"/>
                <w:szCs w:val="20"/>
                <w:color w:val="auto"/>
              </w:rPr>
            </w:pPr>
          </w:p>
        </w:tc>
        <w:tc>
          <w:tcPr>
            <w:tcW w:w="1780" w:type="dxa"/>
            <w:vAlign w:val="bottom"/>
          </w:tcPr>
          <w:p>
            <w:pPr>
              <w:spacing w:after="0"/>
              <w:rPr>
                <w:sz w:val="20"/>
                <w:szCs w:val="20"/>
                <w:color w:val="auto"/>
              </w:rPr>
            </w:pPr>
          </w:p>
        </w:tc>
      </w:tr>
    </w:tbl>
    <w:p>
      <w:pPr>
        <w:sectPr>
          <w:pgSz w:w="11900" w:h="16838" w:orient="portrait"/>
          <w:cols w:equalWidth="0" w:num="1">
            <w:col w:w="11240"/>
          </w:cols>
          <w:pgMar w:left="320" w:top="891" w:right="339" w:bottom="231"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June 30, 2020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 am General Counsel and Secretary of Wynn Resorts, Limited, a Nevada corporation (the “Corporation”). The Corporation is registering with the Securities and Exchange Commission on a registration statement on Form S-8 (the “Registration Statement”) under the Securities Act of l933, as amended, 1,500,000 shares of the Company’s Common Stock, par value $0.01 per share (“Common Stock”), to be issued under the Amended and Restated 2014 Omnibus Incentive Plan (the “Plan”). The shares registered (the “Shares”) may be offered and sold under the Plan.</w:t>
      </w:r>
    </w:p>
    <w:p>
      <w:pPr>
        <w:spacing w:after="0" w:line="19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rendering the opinions hereinafter expressed, I have examined the Registration Statement, the Plan, and the Corporation’s Articles of Incorporation and Bylaws, each as amended to date. I have also examined and relied upon such corporate records of the Corporation and other documents and certificates with respect to factual matters as I have deemed necessary to render the opinion expressed herein. Without limiting the generality of the foregoing, I have assumed without independent verification, that (i) each document I reviewed has been duly and validly executed and delivered by each party thereto to the extent due execution and delivery are a prerequisite to the effectiveness thereof, (ii) each natural person executing a document has sufficient legal capacity to do so, and (iii) all original documents reviewed are authentic, the signatures on all documents examined are genuine, and all certified, conformed, photostatic or facsimile copies of documents reviewed conform to the original document.</w:t>
      </w:r>
    </w:p>
    <w:p>
      <w:pPr>
        <w:spacing w:after="0" w:line="2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the basis of the foregoing, and in reliance thereon, and having regard to legal considerations and other relevant information, I am of the opinion that the Shares, when and to the extent issued and sold in accordance with the Registration Statement and the Plan, will be validly issued, fully paid and nonassessable provided that any Shares issued pursuant to certain deferred payment arrangements will be fully paid when such deferred payments are made in full pursuant to the Registration Statement and the Plan.</w:t>
      </w:r>
    </w:p>
    <w:p>
      <w:pPr>
        <w:spacing w:after="0" w:line="214"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opinions set forth herein are expressly limited to the effect of the general corporate laws of the State of Nevada as in effect as of the date hereof and does not extend to or express any opinion concerning any other laws, including any federal securities law, or any state securities or “blue sky” laws or regulations.</w:t>
      </w:r>
    </w:p>
    <w:p>
      <w:pPr>
        <w:spacing w:after="0" w:line="21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I hereby consent to the filing of this opinion as part of the Registration Statement. In giving this consent, I do not thereby admit that I am within the category of persons whose consent is required under Section 7 of the Securities Act of 1933, as amended, or the Rules and Regulations of the Securities and Exchange Commission thereunder.</w:t>
      </w:r>
    </w:p>
    <w:p>
      <w:pPr>
        <w:spacing w:after="0" w:line="21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This opinion is furnished to you in connection with the filing of the Registration Statement, and is not to be used, circulated, quoted or otherwise relied upon for any other purposes.</w:t>
      </w:r>
    </w:p>
    <w:p>
      <w:pPr>
        <w:spacing w:after="0" w:line="200" w:lineRule="exact"/>
        <w:rPr>
          <w:sz w:val="20"/>
          <w:szCs w:val="20"/>
          <w:color w:val="auto"/>
        </w:rPr>
      </w:pPr>
    </w:p>
    <w:p>
      <w:pPr>
        <w:spacing w:after="0" w:line="29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Very truly yours,</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Ellen</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Whittemore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22860</wp:posOffset>
            </wp:positionV>
            <wp:extent cx="8147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4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Ellen</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Whittemore</w:t>
      </w:r>
    </w:p>
    <w:p>
      <w:pPr>
        <w:sectPr>
          <w:pgSz w:w="11900" w:h="16838" w:orient="portrait"/>
          <w:cols w:equalWidth="0" w:num="1">
            <w:col w:w="11240"/>
          </w:cols>
          <w:pgMar w:left="320" w:top="1417"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10.1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2014 OMNIBUS INCENTIVE PLAN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The purpose of the Wynn Resorts, Limited Amended and Restated 2014 Omnibus Incentive Plan (as it may be amended or restated from time to time, the “</w:t>
      </w:r>
      <w:r>
        <w:rPr>
          <w:rFonts w:ascii="Arial" w:cs="Arial" w:eastAsia="Arial" w:hAnsi="Arial"/>
          <w:sz w:val="17"/>
          <w:szCs w:val="17"/>
          <w:u w:val="single" w:color="auto"/>
          <w:color w:val="auto"/>
        </w:rPr>
        <w:t>Plan</w:t>
      </w:r>
      <w:r>
        <w:rPr>
          <w:rFonts w:ascii="Arial" w:cs="Arial" w:eastAsia="Arial" w:hAnsi="Arial"/>
          <w:sz w:val="17"/>
          <w:szCs w:val="17"/>
          <w:color w:val="auto"/>
        </w:rPr>
        <w:t>”) is to promote the success and enhance the value of Wynn Resorts, Limited, a Nevada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by linking the individual interests of the members of the Board, Employees, and Consultants to those of Company stockholders and by providing such individuals with an incentive for outstanding performance to generate superior returns to Company stockholders. The Plan is further intended to provide flexibility to the Company in its ability to motivate, attract, and retain the services of members of the Board, Employees, and Consultants upon whose judgment, interest, and special effort the successful conduct of the Company’s operation is largely dependent.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CONSTRUCTION</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Wherever the following terms are used in the Plan they shall have the meanings specified below, unless the context clearly indicates otherwise.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singular pronoun shall include the plural where the context so indicates.</w:t>
      </w:r>
    </w:p>
    <w:p>
      <w:pPr>
        <w:spacing w:after="0" w:line="223" w:lineRule="exact"/>
        <w:rPr>
          <w:sz w:val="20"/>
          <w:szCs w:val="20"/>
          <w:color w:val="auto"/>
        </w:rPr>
      </w:pPr>
    </w:p>
    <w:p>
      <w:pPr>
        <w:jc w:val="both"/>
        <w:ind w:firstLine="810"/>
        <w:spacing w:after="0" w:line="243"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Administrator</w:t>
      </w:r>
      <w:r>
        <w:rPr>
          <w:rFonts w:ascii="Arial" w:cs="Arial" w:eastAsia="Arial" w:hAnsi="Arial"/>
          <w:sz w:val="18"/>
          <w:szCs w:val="18"/>
          <w:color w:val="auto"/>
        </w:rPr>
        <w:t>” shall mean the entity that conducts the general administration of the Plan as provided in Article 13. With reference to the duties of the Committee under the Plan which have been delegated to one or more persons pursuant to Section 13.6, or as to which the Board has assumed, the term “Administrator” shall refer to such person(s) unless the Committee or the Board has revoked such delegation or the Board has terminated the assumption of such duties.</w:t>
      </w:r>
    </w:p>
    <w:p>
      <w:pPr>
        <w:spacing w:after="0" w:line="2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any Parent or Subsidiary.</w:t>
      </w:r>
    </w:p>
    <w:p>
      <w:pPr>
        <w:spacing w:after="0" w:line="239" w:lineRule="exact"/>
        <w:rPr>
          <w:sz w:val="20"/>
          <w:szCs w:val="20"/>
          <w:color w:val="auto"/>
        </w:rPr>
      </w:pPr>
    </w:p>
    <w:p>
      <w:pPr>
        <w:jc w:val="both"/>
        <w:ind w:firstLine="810"/>
        <w:spacing w:after="0" w:line="248" w:lineRule="auto"/>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Applicable Accounting Standards</w:t>
      </w:r>
      <w:r>
        <w:rPr>
          <w:rFonts w:ascii="Arial" w:cs="Arial" w:eastAsia="Arial" w:hAnsi="Arial"/>
          <w:sz w:val="18"/>
          <w:szCs w:val="18"/>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209" w:lineRule="exact"/>
        <w:rPr>
          <w:sz w:val="20"/>
          <w:szCs w:val="20"/>
          <w:color w:val="auto"/>
        </w:rPr>
      </w:pPr>
    </w:p>
    <w:p>
      <w:pPr>
        <w:jc w:val="both"/>
        <w:ind w:firstLine="810"/>
        <w:spacing w:after="0" w:line="294" w:lineRule="auto"/>
        <w:rPr>
          <w:sz w:val="20"/>
          <w:szCs w:val="20"/>
          <w:color w:val="auto"/>
        </w:rPr>
      </w:pPr>
      <w:r>
        <w:rPr>
          <w:rFonts w:ascii="Arial" w:cs="Arial" w:eastAsia="Arial" w:hAnsi="Arial"/>
          <w:sz w:val="16"/>
          <w:szCs w:val="16"/>
          <w:color w:val="auto"/>
        </w:rPr>
        <w:t>2.4 “</w:t>
      </w:r>
      <w:r>
        <w:rPr>
          <w:rFonts w:ascii="Arial" w:cs="Arial" w:eastAsia="Arial" w:hAnsi="Arial"/>
          <w:sz w:val="16"/>
          <w:szCs w:val="16"/>
          <w:u w:val="single" w:color="auto"/>
          <w:color w:val="auto"/>
        </w:rPr>
        <w:t>Applicable Law</w:t>
      </w:r>
      <w:r>
        <w:rPr>
          <w:rFonts w:ascii="Arial" w:cs="Arial" w:eastAsia="Arial" w:hAnsi="Arial"/>
          <w:sz w:val="16"/>
          <w:szCs w:val="16"/>
          <w:color w:val="auto"/>
        </w:rPr>
        <w:t>” shall mean any applicable law, including without limitation: (i) provisions of the Code, the Securities Act, the Exchange Act and any rules or regulations thereunder; (ii) corporate, securities, tax, gaming or other laws, statutes, rules, requirements or regulations, whether federal, state, local or foreign; and (iii) rules of any securities exchange or automated quotation system on which the Shares are listed, quoted or traded.</w:t>
      </w:r>
    </w:p>
    <w:p>
      <w:pPr>
        <w:spacing w:after="0" w:line="174" w:lineRule="exact"/>
        <w:rPr>
          <w:sz w:val="20"/>
          <w:szCs w:val="20"/>
          <w:color w:val="auto"/>
        </w:rPr>
      </w:pPr>
    </w:p>
    <w:p>
      <w:pPr>
        <w:jc w:val="both"/>
        <w:ind w:firstLine="810"/>
        <w:spacing w:after="0" w:line="248"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Award</w:t>
      </w:r>
      <w:r>
        <w:rPr>
          <w:rFonts w:ascii="Arial" w:cs="Arial" w:eastAsia="Arial" w:hAnsi="Arial"/>
          <w:sz w:val="18"/>
          <w:szCs w:val="18"/>
          <w:color w:val="auto"/>
        </w:rPr>
        <w:t>” shall mean an Option, a Restricted Stock award, a Restricted Stock Unit award, a Performance Award, a Dividend Equivalents award, a Deferred Stock award, a Deferred Stock Unit award, a Stock Payment award or a Stock Appreciation Right, which may be awarded or granted under the Plan (collectively, “</w:t>
      </w:r>
      <w:r>
        <w:rPr>
          <w:rFonts w:ascii="Arial" w:cs="Arial" w:eastAsia="Arial" w:hAnsi="Arial"/>
          <w:sz w:val="18"/>
          <w:szCs w:val="18"/>
          <w:u w:val="single" w:color="auto"/>
          <w:color w:val="auto"/>
        </w:rPr>
        <w:t>Awards</w:t>
      </w:r>
      <w:r>
        <w:rPr>
          <w:rFonts w:ascii="Arial" w:cs="Arial" w:eastAsia="Arial" w:hAnsi="Arial"/>
          <w:sz w:val="18"/>
          <w:szCs w:val="18"/>
          <w:color w:val="auto"/>
        </w:rPr>
        <w:t>”).</w:t>
      </w:r>
    </w:p>
    <w:p>
      <w:pPr>
        <w:spacing w:after="0" w:line="209" w:lineRule="exact"/>
        <w:rPr>
          <w:sz w:val="20"/>
          <w:szCs w:val="20"/>
          <w:color w:val="auto"/>
        </w:rPr>
      </w:pPr>
    </w:p>
    <w:p>
      <w:pPr>
        <w:jc w:val="both"/>
        <w:ind w:firstLine="810"/>
        <w:spacing w:after="0" w:line="248" w:lineRule="auto"/>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Award Agreement</w:t>
      </w:r>
      <w:r>
        <w:rPr>
          <w:rFonts w:ascii="Arial" w:cs="Arial" w:eastAsia="Arial" w:hAnsi="Arial"/>
          <w:sz w:val="18"/>
          <w:szCs w:val="18"/>
          <w:color w:val="auto"/>
        </w:rPr>
        <w:t>”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spacing w:after="0" w:line="209" w:lineRule="exact"/>
        <w:rPr>
          <w:sz w:val="20"/>
          <w:szCs w:val="20"/>
          <w:color w:val="auto"/>
        </w:rPr>
      </w:pPr>
    </w:p>
    <w:p>
      <w:pPr>
        <w:jc w:val="both"/>
        <w:ind w:right="20" w:firstLine="810"/>
        <w:spacing w:after="0" w:line="261" w:lineRule="auto"/>
        <w:rPr>
          <w:sz w:val="20"/>
          <w:szCs w:val="20"/>
          <w:color w:val="auto"/>
        </w:rPr>
      </w:pPr>
      <w:r>
        <w:rPr>
          <w:rFonts w:ascii="Arial" w:cs="Arial" w:eastAsia="Arial" w:hAnsi="Arial"/>
          <w:sz w:val="18"/>
          <w:szCs w:val="18"/>
          <w:color w:val="auto"/>
        </w:rPr>
        <w:t>2.7 “Award Limit” shall mean with respect to Awards that shall be payable in Shares or in cash, as the case may be, the respective limit set forth in Section 3.3.</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2.8 “Board” shall mean the Board of Directors of the Company.</w:t>
      </w:r>
    </w:p>
    <w:p>
      <w:pPr>
        <w:sectPr>
          <w:pgSz w:w="11900" w:h="16838" w:orient="portrait"/>
          <w:cols w:equalWidth="0" w:num="1">
            <w:col w:w="11240"/>
          </w:cols>
          <w:pgMar w:left="320" w:top="1417" w:right="339" w:bottom="1440" w:gutter="0" w:footer="0" w:header="0"/>
        </w:sectPr>
      </w:pPr>
    </w:p>
    <w:bookmarkStart w:id="9" w:name="page10"/>
    <w:bookmarkEnd w:id="9"/>
    <w:p>
      <w:pPr>
        <w:jc w:val="both"/>
        <w:ind w:firstLine="810"/>
        <w:spacing w:after="0" w:line="252" w:lineRule="auto"/>
        <w:rPr>
          <w:sz w:val="20"/>
          <w:szCs w:val="20"/>
          <w:color w:val="auto"/>
        </w:rPr>
      </w:pPr>
      <w:r>
        <w:rPr>
          <w:rFonts w:ascii="Arial" w:cs="Arial" w:eastAsia="Arial" w:hAnsi="Arial"/>
          <w:sz w:val="17"/>
          <w:szCs w:val="17"/>
          <w:color w:val="auto"/>
        </w:rPr>
        <w:t>2.9 “</w:t>
      </w:r>
      <w:r>
        <w:rPr>
          <w:rFonts w:ascii="Arial" w:cs="Arial" w:eastAsia="Arial" w:hAnsi="Arial"/>
          <w:sz w:val="17"/>
          <w:szCs w:val="17"/>
          <w:u w:val="single" w:color="auto"/>
          <w:color w:val="auto"/>
        </w:rPr>
        <w:t>Change in Control</w:t>
      </w:r>
      <w:r>
        <w:rPr>
          <w:rFonts w:ascii="Arial" w:cs="Arial" w:eastAsia="Arial" w:hAnsi="Arial"/>
          <w:sz w:val="17"/>
          <w:szCs w:val="17"/>
          <w:color w:val="auto"/>
        </w:rPr>
        <w:t>” shall mean the occurrence of any one of the following events: (a) the direct or indirect acquisition by an unrelated “Person” or “Group” of “Beneficial Ownership” (as such terms are defined below) of more than fifty percent (50%) of the voting power of the Company’s issued and outstanding voting securities in a single transaction or a series of related transactions; (b) the direct or indirect sale or transfer by the Company of substantially all of its assets to one or more unrelated Persons or Groups in a single transaction or a series of related transactions; (c) the consummation of the merger, consolidation or reorganization of the Company with or into another corporation or other entity in which the Beneficial Owners of more than fifty percent (50%) of the voting power of the Company’s issued and outstanding voting securities immediately before such merger or consolidation do not own more than fifty percent (50%) of the voting power of the issued and outstanding voting securities of the surviving corporation or other entity immediately after such merger, consolidation or reorganization; or (d) more than fifty percent (50%) of the members of the Company’s Board are individuals who were neither members of the Board immediately following the closing of the Company’s initial public offering nor individuals whose election (or nomination for election) to the Board was approved by a vote of at least fifty percent (50%) of the members of the Board immediately before such election or nomination (“</w:t>
      </w:r>
      <w:r>
        <w:rPr>
          <w:rFonts w:ascii="Arial" w:cs="Arial" w:eastAsia="Arial" w:hAnsi="Arial"/>
          <w:sz w:val="17"/>
          <w:szCs w:val="17"/>
          <w:u w:val="single" w:color="auto"/>
          <w:color w:val="auto"/>
        </w:rPr>
        <w:t>Approved Directors</w:t>
      </w:r>
      <w:r>
        <w:rPr>
          <w:rFonts w:ascii="Arial" w:cs="Arial" w:eastAsia="Arial" w:hAnsi="Arial"/>
          <w:sz w:val="17"/>
          <w:szCs w:val="17"/>
          <w:color w:val="auto"/>
        </w:rPr>
        <w:t>”).</w:t>
      </w:r>
    </w:p>
    <w:p>
      <w:pPr>
        <w:spacing w:after="0" w:line="21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For purposes of determining whether a Change in Control has occurred, the following Persons and Groups shall not be deemed to be “unrelated”: (i) any Person or Group directly or indirectly having Beneficial Ownership of more than fifty percent (50%) of the issued and outstanding voting power of Company’s voting securities immediately before the transaction in question, (ii) any Person or Group of which the Company has Beneficial Ownership of more than fifty percent (50%) of the voting power of the issued and outstanding voting securities immediately before the transaction in question, and (iii) any Person or Group of which more than fifty percent (50%) of the voting power of the issued and outstanding voting securities are owned, directly or indirectly, by Beneficial Owners of more than fifty percent (50%) of the issued and outstanding voting power of the Company’s voting securities immediately before the transaction in question. The terms “Person,” “Group,” “Beneficial Owner,” and “Beneficial Ownership” shall have the meanings used in the Exchange Act and the rules and regulations promulgated thereunder.</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Notwithstanding the foregoing, an individual shall not be deemed to be an Approved Director if such individual became a member of the Board as a result of either an actual or threatened “Election Contest” (as described in Rule 14a-11 promulgated under the Exchange Act) or other actual or threatened solicitation of proxies by or on behalf of anyone other than the Board (a “</w:t>
      </w:r>
      <w:r>
        <w:rPr>
          <w:rFonts w:ascii="Arial" w:cs="Arial" w:eastAsia="Arial" w:hAnsi="Arial"/>
          <w:sz w:val="18"/>
          <w:szCs w:val="18"/>
          <w:u w:val="single" w:color="auto"/>
          <w:color w:val="auto"/>
        </w:rPr>
        <w:t>Proxy Contest</w:t>
      </w:r>
      <w:r>
        <w:rPr>
          <w:rFonts w:ascii="Arial" w:cs="Arial" w:eastAsia="Arial" w:hAnsi="Arial"/>
          <w:sz w:val="18"/>
          <w:szCs w:val="18"/>
          <w:color w:val="auto"/>
        </w:rPr>
        <w:t>”), or as a result of an agreement to avoid or settle an Election Contest or Proxy Contest.</w:t>
      </w:r>
    </w:p>
    <w:p>
      <w:pPr>
        <w:spacing w:after="0" w:line="21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addition, if a Change in Control constitutes a payment event with respect to any portion of an Award which provides for the deferral of compensation and is subject to Section 409A of the Code, the transaction or event described in subsection (a), (b), (c) or (d) with respect to such Award (or portion thereof) must also constitute a “change in control event,” as defined in Treasury Regulation §1.409A-3(i)(5) to the extent required by Section 409A.</w:t>
      </w:r>
    </w:p>
    <w:p>
      <w:pPr>
        <w:spacing w:after="0" w:line="17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Committee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 provided that any exercise of authority in conjunction with a determination of whether a Change in Control is a “change in control event” as defined in the Treasury Regulation §1.409A-3(i)(5) shall be consistent with such regulation.</w:t>
      </w:r>
    </w:p>
    <w:p>
      <w:pPr>
        <w:spacing w:after="0" w:line="215" w:lineRule="exact"/>
        <w:rPr>
          <w:sz w:val="20"/>
          <w:szCs w:val="20"/>
          <w:color w:val="auto"/>
        </w:rPr>
      </w:pPr>
    </w:p>
    <w:p>
      <w:pPr>
        <w:jc w:val="both"/>
        <w:ind w:firstLine="810"/>
        <w:spacing w:after="0" w:line="261"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 together with the regulations and official guidance promulgated thereunder.</w:t>
      </w:r>
    </w:p>
    <w:p>
      <w:pPr>
        <w:spacing w:after="0" w:line="198" w:lineRule="exact"/>
        <w:rPr>
          <w:sz w:val="20"/>
          <w:szCs w:val="20"/>
          <w:color w:val="auto"/>
        </w:rPr>
      </w:pPr>
    </w:p>
    <w:p>
      <w:pPr>
        <w:jc w:val="both"/>
        <w:ind w:right="20" w:firstLine="810"/>
        <w:spacing w:after="0" w:line="261"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Compensation Committee of the Board, or another committee or subcommittee of the Board, appointed as provided in Section 13.1.</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stock of the Company.</w:t>
      </w:r>
    </w:p>
    <w:p>
      <w:pPr>
        <w:spacing w:after="0" w:line="23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set forth in Article 1.</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1" w:right="339" w:bottom="1440" w:gutter="0" w:footer="0" w:header="0"/>
        </w:sectPr>
      </w:pPr>
    </w:p>
    <w:bookmarkStart w:id="10" w:name="page11"/>
    <w:bookmarkEnd w:id="10"/>
    <w:p>
      <w:pPr>
        <w:jc w:val="both"/>
        <w:ind w:firstLine="810"/>
        <w:spacing w:after="0" w:line="291" w:lineRule="auto"/>
        <w:rPr>
          <w:sz w:val="20"/>
          <w:szCs w:val="20"/>
          <w:color w:val="auto"/>
        </w:rPr>
      </w:pPr>
      <w:r>
        <w:rPr>
          <w:rFonts w:ascii="Arial" w:cs="Arial" w:eastAsia="Arial" w:hAnsi="Arial"/>
          <w:sz w:val="17"/>
          <w:szCs w:val="17"/>
          <w:color w:val="auto"/>
        </w:rPr>
        <w:t>2.14 “</w:t>
      </w:r>
      <w:r>
        <w:rPr>
          <w:rFonts w:ascii="Arial" w:cs="Arial" w:eastAsia="Arial" w:hAnsi="Arial"/>
          <w:sz w:val="17"/>
          <w:szCs w:val="17"/>
          <w:u w:val="single" w:color="auto"/>
          <w:color w:val="auto"/>
        </w:rPr>
        <w:t>Consultant</w:t>
      </w:r>
      <w:r>
        <w:rPr>
          <w:rFonts w:ascii="Arial" w:cs="Arial" w:eastAsia="Arial" w:hAnsi="Arial"/>
          <w:sz w:val="17"/>
          <w:szCs w:val="17"/>
          <w:color w:val="auto"/>
        </w:rPr>
        <w:t>” shall mean any consultant or adviser engaged to provide services to the Company or any Affiliate that qualifies as a consultant under the applicable rules of the Securities and Exchange Commission for registration of shares on a Form S-8 Registration Statement.</w:t>
      </w:r>
    </w:p>
    <w:p>
      <w:pPr>
        <w:spacing w:after="0" w:line="174" w:lineRule="exact"/>
        <w:rPr>
          <w:sz w:val="20"/>
          <w:szCs w:val="20"/>
          <w:color w:val="auto"/>
        </w:rPr>
      </w:pPr>
    </w:p>
    <w:p>
      <w:pPr>
        <w:ind w:left="820"/>
        <w:spacing w:after="0"/>
        <w:rPr>
          <w:sz w:val="20"/>
          <w:szCs w:val="20"/>
          <w:color w:val="auto"/>
        </w:rPr>
      </w:pPr>
      <w:r>
        <w:rPr>
          <w:rFonts w:ascii="Arial" w:cs="Arial" w:eastAsia="Arial" w:hAnsi="Arial"/>
          <w:sz w:val="16"/>
          <w:szCs w:val="16"/>
          <w:color w:val="auto"/>
        </w:rPr>
        <w:t>2.15 “</w:t>
      </w:r>
      <w:r>
        <w:rPr>
          <w:rFonts w:ascii="Arial" w:cs="Arial" w:eastAsia="Arial" w:hAnsi="Arial"/>
          <w:sz w:val="16"/>
          <w:szCs w:val="16"/>
          <w:u w:val="single" w:color="auto"/>
          <w:color w:val="auto"/>
        </w:rPr>
        <w:t>Covered Employee</w:t>
      </w:r>
      <w:r>
        <w:rPr>
          <w:rFonts w:ascii="Arial" w:cs="Arial" w:eastAsia="Arial" w:hAnsi="Arial"/>
          <w:sz w:val="16"/>
          <w:szCs w:val="16"/>
          <w:color w:val="auto"/>
        </w:rPr>
        <w:t>” shall mean any Employee who is, or could be, a “covered employee” within the meaning of Section 162(m)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Deferred Stock</w:t>
      </w:r>
      <w:r>
        <w:rPr>
          <w:rFonts w:ascii="Arial" w:cs="Arial" w:eastAsia="Arial" w:hAnsi="Arial"/>
          <w:sz w:val="18"/>
          <w:szCs w:val="18"/>
          <w:color w:val="auto"/>
        </w:rPr>
        <w:t>” shall mean a right to receive Shares awarded under Section 10.4.</w:t>
      </w:r>
    </w:p>
    <w:p>
      <w:pPr>
        <w:spacing w:after="0" w:line="23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Deferred Stock Unit</w:t>
      </w:r>
      <w:r>
        <w:rPr>
          <w:rFonts w:ascii="Arial" w:cs="Arial" w:eastAsia="Arial" w:hAnsi="Arial"/>
          <w:sz w:val="18"/>
          <w:szCs w:val="18"/>
          <w:color w:val="auto"/>
        </w:rPr>
        <w:t>” shall mean a right to receive Shares awarded under Section 10.5.</w:t>
      </w:r>
    </w:p>
    <w:p>
      <w:pPr>
        <w:spacing w:after="0" w:line="23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Director</w:t>
      </w:r>
      <w:r>
        <w:rPr>
          <w:rFonts w:ascii="Arial" w:cs="Arial" w:eastAsia="Arial" w:hAnsi="Arial"/>
          <w:sz w:val="18"/>
          <w:szCs w:val="18"/>
          <w:color w:val="auto"/>
        </w:rPr>
        <w:t>” shall mean a member of the Board, as constituted from time to time.</w:t>
      </w:r>
    </w:p>
    <w:p>
      <w:pPr>
        <w:spacing w:after="0" w:line="239" w:lineRule="exact"/>
        <w:rPr>
          <w:sz w:val="20"/>
          <w:szCs w:val="20"/>
          <w:color w:val="auto"/>
        </w:rPr>
      </w:pPr>
    </w:p>
    <w:p>
      <w:pPr>
        <w:jc w:val="both"/>
        <w:ind w:firstLine="810"/>
        <w:spacing w:after="0" w:line="261"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Dividend Equivalent</w:t>
      </w:r>
      <w:r>
        <w:rPr>
          <w:rFonts w:ascii="Arial" w:cs="Arial" w:eastAsia="Arial" w:hAnsi="Arial"/>
          <w:sz w:val="18"/>
          <w:szCs w:val="18"/>
          <w:color w:val="auto"/>
        </w:rPr>
        <w:t>” shall mean a right to receive the equivalent value (in cash or Shares) of dividends paid on Shares, awarded under Section 10.2.</w:t>
      </w:r>
    </w:p>
    <w:p>
      <w:pPr>
        <w:spacing w:after="0" w:line="198" w:lineRule="exact"/>
        <w:rPr>
          <w:sz w:val="20"/>
          <w:szCs w:val="20"/>
          <w:color w:val="auto"/>
        </w:rPr>
      </w:pPr>
    </w:p>
    <w:p>
      <w:pPr>
        <w:jc w:val="both"/>
        <w:ind w:firstLine="810"/>
        <w:spacing w:after="0" w:line="261"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DRO</w:t>
      </w:r>
      <w:r>
        <w:rPr>
          <w:rFonts w:ascii="Arial" w:cs="Arial" w:eastAsia="Arial" w:hAnsi="Arial"/>
          <w:sz w:val="18"/>
          <w:szCs w:val="18"/>
          <w:color w:val="auto"/>
        </w:rPr>
        <w:t>” shall mean a domestic relations order as defined by the Code or Title I of the Employee Retirement Income Security Act of 1974, as amended from time to time, or the rules thereunder.</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2.21 “</w:t>
      </w:r>
      <w:r>
        <w:rPr>
          <w:rFonts w:ascii="Arial" w:cs="Arial" w:eastAsia="Arial" w:hAnsi="Arial"/>
          <w:sz w:val="16"/>
          <w:szCs w:val="16"/>
          <w:u w:val="single" w:color="auto"/>
          <w:color w:val="auto"/>
        </w:rPr>
        <w:t>Effective Date</w:t>
      </w:r>
      <w:r>
        <w:rPr>
          <w:rFonts w:ascii="Arial" w:cs="Arial" w:eastAsia="Arial" w:hAnsi="Arial"/>
          <w:sz w:val="16"/>
          <w:szCs w:val="16"/>
          <w:color w:val="auto"/>
        </w:rPr>
        <w:t>” shall mean the date the Plan is approved by the Board, subject to approval of the Plan by the Company’s stockholders.</w:t>
      </w:r>
    </w:p>
    <w:p>
      <w:pPr>
        <w:spacing w:after="0" w:line="262" w:lineRule="exact"/>
        <w:rPr>
          <w:sz w:val="20"/>
          <w:szCs w:val="20"/>
          <w:color w:val="auto"/>
        </w:rPr>
      </w:pPr>
    </w:p>
    <w:p>
      <w:pPr>
        <w:jc w:val="both"/>
        <w:ind w:firstLine="810"/>
        <w:spacing w:after="0" w:line="261" w:lineRule="auto"/>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Eligible Individual</w:t>
      </w:r>
      <w:r>
        <w:rPr>
          <w:rFonts w:ascii="Arial" w:cs="Arial" w:eastAsia="Arial" w:hAnsi="Arial"/>
          <w:sz w:val="18"/>
          <w:szCs w:val="18"/>
          <w:color w:val="auto"/>
        </w:rPr>
        <w:t>” shall mean any person who is an Employee, a Consultant or a Non-Employee Director, as determined by the Committee.</w:t>
      </w:r>
    </w:p>
    <w:p>
      <w:pPr>
        <w:spacing w:after="0" w:line="198" w:lineRule="exact"/>
        <w:rPr>
          <w:sz w:val="20"/>
          <w:szCs w:val="20"/>
          <w:color w:val="auto"/>
        </w:rPr>
      </w:pPr>
    </w:p>
    <w:p>
      <w:pPr>
        <w:jc w:val="both"/>
        <w:ind w:firstLine="810"/>
        <w:spacing w:after="0" w:line="261"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Employee</w:t>
      </w:r>
      <w:r>
        <w:rPr>
          <w:rFonts w:ascii="Arial" w:cs="Arial" w:eastAsia="Arial" w:hAnsi="Arial"/>
          <w:sz w:val="18"/>
          <w:szCs w:val="18"/>
          <w:color w:val="auto"/>
        </w:rPr>
        <w:t>” shall mean any officer or other employee (as determined in accordance with Section 3401(c) of the Code and the Treasury Regulations thereunder) of the Company or of any Affiliate.</w:t>
      </w:r>
    </w:p>
    <w:p>
      <w:pPr>
        <w:spacing w:after="0" w:line="198" w:lineRule="exact"/>
        <w:rPr>
          <w:sz w:val="20"/>
          <w:szCs w:val="20"/>
          <w:color w:val="auto"/>
        </w:rPr>
      </w:pPr>
    </w:p>
    <w:p>
      <w:pPr>
        <w:jc w:val="both"/>
        <w:ind w:firstLine="810"/>
        <w:spacing w:after="0" w:line="270" w:lineRule="auto"/>
        <w:rPr>
          <w:sz w:val="20"/>
          <w:szCs w:val="20"/>
          <w:color w:val="auto"/>
        </w:rPr>
      </w:pPr>
      <w:r>
        <w:rPr>
          <w:rFonts w:ascii="Arial" w:cs="Arial" w:eastAsia="Arial" w:hAnsi="Arial"/>
          <w:sz w:val="17"/>
          <w:szCs w:val="17"/>
          <w:color w:val="auto"/>
        </w:rPr>
        <w:t>2.24 “</w:t>
      </w:r>
      <w:r>
        <w:rPr>
          <w:rFonts w:ascii="Arial" w:cs="Arial" w:eastAsia="Arial" w:hAnsi="Arial"/>
          <w:sz w:val="17"/>
          <w:szCs w:val="17"/>
          <w:u w:val="single" w:color="auto"/>
          <w:color w:val="auto"/>
        </w:rPr>
        <w:t>Equity Restructuring</w:t>
      </w:r>
      <w:r>
        <w:rPr>
          <w:rFonts w:ascii="Arial" w:cs="Arial" w:eastAsia="Arial" w:hAnsi="Arial"/>
          <w:sz w:val="17"/>
          <w:szCs w:val="17"/>
          <w:color w:val="auto"/>
        </w:rPr>
        <w:t>” shall mean a nonreciprocal transaction between the Company and its stockholders, such as a stock dividend, stock split, spin-off, rights offering or recapitalization, that affects the number or kind of Shares (or other securities of the Company) or the share price of Common Stock (or other securities) and causes a change in the per share value of the Common Stock underlying outstanding Awards.</w:t>
      </w:r>
    </w:p>
    <w:p>
      <w:pPr>
        <w:spacing w:after="0" w:line="19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from time to time.</w:t>
      </w:r>
    </w:p>
    <w:p>
      <w:pPr>
        <w:spacing w:after="0" w:line="23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Expiration Date</w:t>
      </w:r>
      <w:r>
        <w:rPr>
          <w:rFonts w:ascii="Arial" w:cs="Arial" w:eastAsia="Arial" w:hAnsi="Arial"/>
          <w:sz w:val="18"/>
          <w:szCs w:val="18"/>
          <w:color w:val="auto"/>
        </w:rPr>
        <w:t>” shall have the meaning set forth in Section 14.1.</w:t>
      </w:r>
    </w:p>
    <w:p>
      <w:pPr>
        <w:spacing w:after="0" w:line="23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Fair Market Value</w:t>
      </w:r>
      <w:r>
        <w:rPr>
          <w:rFonts w:ascii="Arial" w:cs="Arial" w:eastAsia="Arial" w:hAnsi="Arial"/>
          <w:sz w:val="18"/>
          <w:szCs w:val="18"/>
          <w:color w:val="auto"/>
        </w:rPr>
        <w:t>” shall mean, as of any given date, the value of a Share determined as follows:</w:t>
      </w:r>
    </w:p>
    <w:p>
      <w:pPr>
        <w:spacing w:after="0" w:line="239" w:lineRule="exact"/>
        <w:rPr>
          <w:sz w:val="20"/>
          <w:szCs w:val="20"/>
          <w:color w:val="auto"/>
        </w:rPr>
      </w:pPr>
    </w:p>
    <w:p>
      <w:pPr>
        <w:jc w:val="both"/>
        <w:ind w:left="660" w:hanging="328"/>
        <w:spacing w:after="0" w:line="259" w:lineRule="auto"/>
        <w:tabs>
          <w:tab w:leader="none" w:pos="65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If the Common Stock is listed on any (i) established securities exchange (such as the New York Stock Exchange, the NASDAQ Global Market and the NASDAQ Global Select Market), (ii) national market system or (iii) automated quotation system on which the Shares are listed, quoted or traded, its Fair Market Value shall be the closing sales price for a Share as quoted on such exchange or system for such date or, if there is no closing sales price for a Share on the date in question, the closing sales price for a Share on the last preceding date for which such quotation exists,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such other source as the Administrator deems reliable;</w:t>
      </w:r>
    </w:p>
    <w:p>
      <w:pPr>
        <w:spacing w:after="0" w:line="200" w:lineRule="exact"/>
        <w:rPr>
          <w:rFonts w:ascii="Arial" w:cs="Arial" w:eastAsia="Arial" w:hAnsi="Arial"/>
          <w:sz w:val="17"/>
          <w:szCs w:val="17"/>
          <w:color w:val="auto"/>
        </w:rPr>
      </w:pPr>
    </w:p>
    <w:p>
      <w:pPr>
        <w:jc w:val="both"/>
        <w:ind w:left="660" w:hanging="328"/>
        <w:spacing w:after="0" w:line="284"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The Wall Street Journal or such other source as the Administrator deems reliable; or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1" w:right="339" w:bottom="1440" w:gutter="0" w:footer="0" w:header="0"/>
        </w:sectPr>
      </w:pPr>
    </w:p>
    <w:bookmarkStart w:id="11" w:name="page12"/>
    <w:bookmarkEnd w:id="11"/>
    <w:p>
      <w:pPr>
        <w:ind w:left="660" w:hanging="328"/>
        <w:spacing w:after="0" w:line="261" w:lineRule="auto"/>
        <w:tabs>
          <w:tab w:leader="none" w:pos="65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Common Stock is neither listed on an established securities exchange, national market system or automated quotation system nor regularly quoted by a recognized securities dealer, its Fair Market Value shall be established by the Administrator in good faith.</w:t>
      </w:r>
    </w:p>
    <w:p>
      <w:pPr>
        <w:spacing w:after="0" w:line="198" w:lineRule="exact"/>
        <w:rPr>
          <w:sz w:val="20"/>
          <w:szCs w:val="20"/>
          <w:color w:val="auto"/>
        </w:rPr>
      </w:pPr>
    </w:p>
    <w:p>
      <w:pPr>
        <w:jc w:val="both"/>
        <w:ind w:firstLine="729"/>
        <w:spacing w:after="0" w:line="248" w:lineRule="auto"/>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Greater Than 10% Stockholder</w:t>
      </w:r>
      <w:r>
        <w:rPr>
          <w:rFonts w:ascii="Arial" w:cs="Arial" w:eastAsia="Arial" w:hAnsi="Arial"/>
          <w:sz w:val="18"/>
          <w:szCs w:val="18"/>
          <w:color w:val="auto"/>
        </w:rPr>
        <w:t>” shall mean an individual then owning (within the meaning of Section 424(d) of the Code) more than 10% of the total combined voting power of all classes of stock of the Company or any subsidiary corporation (as defined in Section 424(f) of the Code) or parent corporation thereof (as defined in Section 424(e) of the Code).</w:t>
      </w:r>
    </w:p>
    <w:p>
      <w:pPr>
        <w:spacing w:after="0" w:line="20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Holder</w:t>
      </w:r>
      <w:r>
        <w:rPr>
          <w:rFonts w:ascii="Arial" w:cs="Arial" w:eastAsia="Arial" w:hAnsi="Arial"/>
          <w:sz w:val="18"/>
          <w:szCs w:val="18"/>
          <w:color w:val="auto"/>
        </w:rPr>
        <w:t>” shall mean a person who has been granted an Award.</w:t>
      </w:r>
    </w:p>
    <w:p>
      <w:pPr>
        <w:spacing w:after="0" w:line="239" w:lineRule="exact"/>
        <w:rPr>
          <w:sz w:val="20"/>
          <w:szCs w:val="20"/>
          <w:color w:val="auto"/>
        </w:rPr>
      </w:pPr>
    </w:p>
    <w:p>
      <w:pPr>
        <w:jc w:val="both"/>
        <w:ind w:firstLine="729"/>
        <w:spacing w:after="0" w:line="261"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shall mean an Option that is intended to qualify as an incentive stock option and conforms to the applicable provisions of Section 422 of the Code.</w:t>
      </w:r>
    </w:p>
    <w:p>
      <w:pPr>
        <w:spacing w:after="0" w:line="19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shall mean a Director of the Company who is not an Employee.</w:t>
      </w:r>
    </w:p>
    <w:p>
      <w:pPr>
        <w:spacing w:after="0" w:line="23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Non-Employee Director Equity Compensation Policy</w:t>
      </w:r>
      <w:r>
        <w:rPr>
          <w:rFonts w:ascii="Arial" w:cs="Arial" w:eastAsia="Arial" w:hAnsi="Arial"/>
          <w:sz w:val="18"/>
          <w:szCs w:val="18"/>
          <w:color w:val="auto"/>
        </w:rPr>
        <w:t>” shall have the meaning set forth in Section 4.6.</w:t>
      </w:r>
    </w:p>
    <w:p>
      <w:pPr>
        <w:spacing w:after="0" w:line="23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shall mean an Option that is not an Incentive Stock Option.</w:t>
      </w:r>
    </w:p>
    <w:p>
      <w:pPr>
        <w:spacing w:after="0" w:line="239" w:lineRule="exact"/>
        <w:rPr>
          <w:sz w:val="20"/>
          <w:szCs w:val="20"/>
          <w:color w:val="auto"/>
        </w:rPr>
      </w:pPr>
    </w:p>
    <w:p>
      <w:pPr>
        <w:jc w:val="both"/>
        <w:ind w:firstLine="729"/>
        <w:spacing w:after="0" w:line="248" w:lineRule="auto"/>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shall mean a right to purchase Shares at a specified exercise price, granted under Article 6. An Option shall be either a Non-Qualified Stock Option or an Incentive Stock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Options granted to Non-Employee Directors and Consultants shall only be Non-Qualified Stock Options.</w:t>
      </w:r>
    </w:p>
    <w:p>
      <w:pPr>
        <w:spacing w:after="0" w:line="20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Option Term</w:t>
      </w:r>
      <w:r>
        <w:rPr>
          <w:rFonts w:ascii="Arial" w:cs="Arial" w:eastAsia="Arial" w:hAnsi="Arial"/>
          <w:sz w:val="18"/>
          <w:szCs w:val="18"/>
          <w:color w:val="auto"/>
        </w:rPr>
        <w:t>” shall have the meaning set forth in Section 6.4.</w:t>
      </w:r>
    </w:p>
    <w:p>
      <w:pPr>
        <w:spacing w:after="0" w:line="239" w:lineRule="exact"/>
        <w:rPr>
          <w:sz w:val="20"/>
          <w:szCs w:val="20"/>
          <w:color w:val="auto"/>
        </w:rPr>
      </w:pPr>
    </w:p>
    <w:p>
      <w:pPr>
        <w:jc w:val="both"/>
        <w:ind w:firstLine="729"/>
        <w:spacing w:after="0" w:line="270" w:lineRule="auto"/>
        <w:rPr>
          <w:sz w:val="20"/>
          <w:szCs w:val="20"/>
          <w:color w:val="auto"/>
        </w:rPr>
      </w:pPr>
      <w:r>
        <w:rPr>
          <w:rFonts w:ascii="Arial" w:cs="Arial" w:eastAsia="Arial" w:hAnsi="Arial"/>
          <w:sz w:val="17"/>
          <w:szCs w:val="17"/>
          <w:color w:val="auto"/>
        </w:rPr>
        <w:t>2.36 “</w:t>
      </w:r>
      <w:r>
        <w:rPr>
          <w:rFonts w:ascii="Arial" w:cs="Arial" w:eastAsia="Arial" w:hAnsi="Arial"/>
          <w:sz w:val="17"/>
          <w:szCs w:val="17"/>
          <w:u w:val="single" w:color="auto"/>
          <w:color w:val="auto"/>
        </w:rPr>
        <w:t>Parent</w:t>
      </w:r>
      <w:r>
        <w:rPr>
          <w:rFonts w:ascii="Arial" w:cs="Arial" w:eastAsia="Arial" w:hAnsi="Arial"/>
          <w:sz w:val="17"/>
          <w:szCs w:val="17"/>
          <w:color w:val="auto"/>
        </w:rPr>
        <w:t>” shall mean any entity (other than the Company), whether domestic or foreign, in an unbroken chain of entities ending with the Company if each of the entities other than the Company beneficially owns, at the time of the determination, securities or interests representing at least fifty percent (50%) of the total combined voting power of all classes of securities or interests in one of the other entities in such chain.</w:t>
      </w:r>
    </w:p>
    <w:p>
      <w:pPr>
        <w:spacing w:after="0" w:line="191" w:lineRule="exact"/>
        <w:rPr>
          <w:sz w:val="20"/>
          <w:szCs w:val="20"/>
          <w:color w:val="auto"/>
        </w:rPr>
      </w:pPr>
    </w:p>
    <w:p>
      <w:pPr>
        <w:jc w:val="both"/>
        <w:ind w:firstLine="729"/>
        <w:spacing w:after="0" w:line="261"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Performance Award</w:t>
      </w:r>
      <w:r>
        <w:rPr>
          <w:rFonts w:ascii="Arial" w:cs="Arial" w:eastAsia="Arial" w:hAnsi="Arial"/>
          <w:sz w:val="18"/>
          <w:szCs w:val="18"/>
          <w:color w:val="auto"/>
        </w:rPr>
        <w:t>” shall mean a cash bonus award, stock bonus award, performance award or incentive award that is paid in cash, Shares or a combination of both, awarded under Section 10.1.</w:t>
      </w:r>
    </w:p>
    <w:p>
      <w:pPr>
        <w:spacing w:after="0" w:line="198" w:lineRule="exact"/>
        <w:rPr>
          <w:sz w:val="20"/>
          <w:szCs w:val="20"/>
          <w:color w:val="auto"/>
        </w:rPr>
      </w:pPr>
    </w:p>
    <w:p>
      <w:pPr>
        <w:jc w:val="both"/>
        <w:ind w:firstLine="729"/>
        <w:spacing w:after="0" w:line="261" w:lineRule="auto"/>
        <w:rPr>
          <w:sz w:val="20"/>
          <w:szCs w:val="20"/>
          <w:color w:val="auto"/>
        </w:rPr>
      </w:pPr>
      <w:r>
        <w:rPr>
          <w:rFonts w:ascii="Arial" w:cs="Arial" w:eastAsia="Arial" w:hAnsi="Arial"/>
          <w:sz w:val="18"/>
          <w:szCs w:val="18"/>
          <w:color w:val="auto"/>
        </w:rPr>
        <w:t>2.38 “</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shall mean any compensation that is intended to qualify as “performance-based compensation” as described in Section 162(m)(4)(C) of the Code.</w:t>
      </w:r>
    </w:p>
    <w:p>
      <w:pPr>
        <w:spacing w:after="0" w:line="200" w:lineRule="exact"/>
        <w:rPr>
          <w:sz w:val="20"/>
          <w:szCs w:val="20"/>
          <w:color w:val="auto"/>
        </w:rPr>
      </w:pPr>
    </w:p>
    <w:p>
      <w:pPr>
        <w:spacing w:after="0" w:line="241" w:lineRule="exact"/>
        <w:rPr>
          <w:sz w:val="20"/>
          <w:szCs w:val="20"/>
          <w:color w:val="auto"/>
        </w:rPr>
      </w:pPr>
    </w:p>
    <w:p>
      <w:pPr>
        <w:ind w:left="740"/>
        <w:spacing w:after="0"/>
        <w:rPr>
          <w:sz w:val="20"/>
          <w:szCs w:val="20"/>
          <w:color w:val="auto"/>
        </w:rPr>
      </w:pPr>
      <w:r>
        <w:rPr>
          <w:rFonts w:ascii="Arial" w:cs="Arial" w:eastAsia="Arial" w:hAnsi="Arial"/>
          <w:sz w:val="16"/>
          <w:szCs w:val="16"/>
          <w:color w:val="auto"/>
        </w:rPr>
        <w:t>2.39 “</w:t>
      </w:r>
      <w:r>
        <w:rPr>
          <w:rFonts w:ascii="Arial" w:cs="Arial" w:eastAsia="Arial" w:hAnsi="Arial"/>
          <w:sz w:val="16"/>
          <w:szCs w:val="16"/>
          <w:u w:val="single" w:color="auto"/>
          <w:color w:val="auto"/>
        </w:rPr>
        <w:t>Performance Criteria</w:t>
      </w:r>
      <w:r>
        <w:rPr>
          <w:rFonts w:ascii="Arial" w:cs="Arial" w:eastAsia="Arial" w:hAnsi="Arial"/>
          <w:sz w:val="16"/>
          <w:szCs w:val="16"/>
          <w:color w:val="auto"/>
        </w:rPr>
        <w:t>” shall mean the criteria (and adjustments) that the Committee selects for an Award for purposes of establishing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Performance Goal or Performance Goals for a Performance Period, determined as follows:</w:t>
      </w:r>
    </w:p>
    <w:p>
      <w:pPr>
        <w:spacing w:after="0" w:line="223" w:lineRule="exact"/>
        <w:rPr>
          <w:sz w:val="20"/>
          <w:szCs w:val="20"/>
          <w:color w:val="auto"/>
        </w:rPr>
      </w:pPr>
    </w:p>
    <w:p>
      <w:pPr>
        <w:jc w:val="both"/>
        <w:ind w:left="660" w:hanging="328"/>
        <w:spacing w:after="0" w:line="253" w:lineRule="auto"/>
        <w:tabs>
          <w:tab w:leader="none" w:pos="65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Performance Criteria that shall be used to establish Performance Goals are limited to the following: (i) operating income (either before or after one or more of the following (a) depreciation, (b) amortization, (c) pre-opening costs, (d) property charges and other corporate expenses, (e) intercompany golf course and water rights leases, (f) stock-based compensation, and (g) other non-operating income), (ii) adjusted property EBITDA defined as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(iii) normalized adjusted property EBITDA, (iv) income before income tax, (v) net income (either before or after net income attributable to non-controlling shareholdings) and adjusted net income, (vi) basic or diluted income per share of common stock and adjusted basic or diluted income per share of common stock, (vii) net revenue, (viii) cash flow (including, but not limited to, cash flow from operations, actual or free cash flow), (ix) return on assets, return on capital, return on stockholders’ equity and total stockholder return, return on sales, (x) operating margins or adjusted property EBITDA margins,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1" w:right="339" w:bottom="1440" w:gutter="0" w:footer="0" w:header="0"/>
        </w:sectPr>
      </w:pPr>
    </w:p>
    <w:bookmarkStart w:id="12" w:name="page13"/>
    <w:bookmarkEnd w:id="12"/>
    <w:p>
      <w:pPr>
        <w:jc w:val="both"/>
        <w:ind w:left="660"/>
        <w:spacing w:after="0" w:line="238" w:lineRule="auto"/>
        <w:rPr>
          <w:sz w:val="20"/>
          <w:szCs w:val="20"/>
          <w:color w:val="auto"/>
        </w:rPr>
      </w:pPr>
      <w:r>
        <w:rPr>
          <w:rFonts w:ascii="Arial" w:cs="Arial" w:eastAsia="Arial" w:hAnsi="Arial"/>
          <w:sz w:val="18"/>
          <w:szCs w:val="18"/>
          <w:color w:val="auto"/>
        </w:rPr>
        <w:t>(xi) departmental profit contributions (xii) costs and expenses management, (xiii) working capital management, (xiv) cash conversion cycle, (xv) weighted average cost of capital, (xvi) maintenance of leverage targets, (xvii) dividend payout ratio, (xviii) dividend growth, (xix) price per share of common stock, (xx) economic value, (xxi) productivity ratios, (xxii) market share, (xxiii) objective measure of customer satisfaction, (xxiv) implementation or completion of critical projects, (xxv) achievement of construction or development milestones, (xxvi) achievement of strategic objectives (including development activity), (xxvii) completion of capital markets transactions, (xxviii) maintenance or achievement of corporate rating targets and (xxix) third party recognition of quality of service and/or product (e.g. Forbes star awards or similar); any of which may be measured either in absolute terms or as compared to any incremental increase or decrease or as compared to results of a peer group or to market performance indicators or indices.</w:t>
      </w:r>
    </w:p>
    <w:p>
      <w:pPr>
        <w:spacing w:after="0" w:line="220" w:lineRule="exact"/>
        <w:rPr>
          <w:sz w:val="20"/>
          <w:szCs w:val="20"/>
          <w:color w:val="auto"/>
        </w:rPr>
      </w:pPr>
    </w:p>
    <w:p>
      <w:pPr>
        <w:jc w:val="both"/>
        <w:ind w:left="660" w:hanging="328"/>
        <w:spacing w:after="0" w:line="251"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Administrator may, in its sole discretion, provide that one or more objectively determinable adjustments shall be made to one or more of the Performance Goals. Such adjustments may include one or more of the following: (i) items related to a change in accounting principle; (ii) items relating to financing activities; (iii) expenses for restructuring or productivity initiatives; (iv) other non-operating items; (v) items related to acquisitions; (vi) items attributable to the business operations of any entity acquired by the Company during the Performance Period; (vii) items related to the disposal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Performance Period; (x) any other items of significant income or expense which are determined to be appropriate adjustments; (xi) items relating to unusual or extraordinary corporate transactions, events or developments, (xii) items related to amortization of acquired intangible assets; (xiii) items that are outside the scope of the Company’s core, on-going business activities; (xiv) items related to acquired in-process research and development; (xv) items relating to changes in tax laws; (xvi) items relating to major licensing or partnership arrangements; (xvii) items relating to asset impairment charges; (xviii) items relating to gains or losses for litigation, arbitration and contractual settlements; or (xix) items relating to any other unusual or nonrecurring events or changes in Applicable Law, accounting principles or business conditions. For all Awards intended to qualify as Performance-Based Compensation, such determinations shall be made within the time prescribed by, and otherwise in compliance with, Section 162(m) of the Code.</w:t>
      </w:r>
    </w:p>
    <w:p>
      <w:pPr>
        <w:spacing w:after="0" w:line="216" w:lineRule="exact"/>
        <w:rPr>
          <w:sz w:val="20"/>
          <w:szCs w:val="20"/>
          <w:color w:val="auto"/>
        </w:rPr>
      </w:pPr>
    </w:p>
    <w:p>
      <w:pPr>
        <w:jc w:val="both"/>
        <w:ind w:firstLine="729"/>
        <w:spacing w:after="0" w:line="284" w:lineRule="auto"/>
        <w:rPr>
          <w:sz w:val="20"/>
          <w:szCs w:val="20"/>
          <w:color w:val="auto"/>
        </w:rPr>
      </w:pPr>
      <w:r>
        <w:rPr>
          <w:rFonts w:ascii="Arial" w:cs="Arial" w:eastAsia="Arial" w:hAnsi="Arial"/>
          <w:sz w:val="16"/>
          <w:szCs w:val="16"/>
          <w:color w:val="auto"/>
        </w:rPr>
        <w:t>2.40 “</w:t>
      </w:r>
      <w:r>
        <w:rPr>
          <w:rFonts w:ascii="Arial" w:cs="Arial" w:eastAsia="Arial" w:hAnsi="Arial"/>
          <w:sz w:val="16"/>
          <w:szCs w:val="16"/>
          <w:u w:val="single" w:color="auto"/>
          <w:color w:val="auto"/>
        </w:rPr>
        <w:t>Performance Goals</w:t>
      </w:r>
      <w:r>
        <w:rPr>
          <w:rFonts w:ascii="Arial" w:cs="Arial" w:eastAsia="Arial" w:hAnsi="Arial"/>
          <w:sz w:val="16"/>
          <w:szCs w:val="16"/>
          <w:color w:val="auto"/>
        </w:rPr>
        <w:t>” shall mean, for a Performance Period, one or more goals established in writing by the Administrator for the Performance Period based upon one or more Performance Criteria. Depending on the Performance Criteria used to establish such Performance Goals, the Performance Goals may be expressed in terms of overall Company performance or the performance of a Subsidiary, division, business unit or an individual. The achievement of each Performance Goal shall be determined, to the extent applicable, with reference to Applicable Accounting Standards.</w:t>
      </w:r>
    </w:p>
    <w:p>
      <w:pPr>
        <w:spacing w:after="0" w:line="182" w:lineRule="exact"/>
        <w:rPr>
          <w:sz w:val="20"/>
          <w:szCs w:val="20"/>
          <w:color w:val="auto"/>
        </w:rPr>
      </w:pPr>
    </w:p>
    <w:p>
      <w:pPr>
        <w:jc w:val="both"/>
        <w:ind w:firstLine="729"/>
        <w:spacing w:after="0" w:line="248" w:lineRule="auto"/>
        <w:rPr>
          <w:sz w:val="20"/>
          <w:szCs w:val="20"/>
          <w:color w:val="auto"/>
        </w:rPr>
      </w:pPr>
      <w:r>
        <w:rPr>
          <w:rFonts w:ascii="Arial" w:cs="Arial" w:eastAsia="Arial" w:hAnsi="Arial"/>
          <w:sz w:val="18"/>
          <w:szCs w:val="18"/>
          <w:color w:val="auto"/>
        </w:rPr>
        <w:t>2.41 “</w:t>
      </w:r>
      <w:r>
        <w:rPr>
          <w:rFonts w:ascii="Arial" w:cs="Arial" w:eastAsia="Arial" w:hAnsi="Arial"/>
          <w:sz w:val="18"/>
          <w:szCs w:val="18"/>
          <w:u w:val="single" w:color="auto"/>
          <w:color w:val="auto"/>
        </w:rPr>
        <w:t>Performance Period</w:t>
      </w:r>
      <w:r>
        <w:rPr>
          <w:rFonts w:ascii="Arial" w:cs="Arial" w:eastAsia="Arial" w:hAnsi="Arial"/>
          <w:sz w:val="18"/>
          <w:szCs w:val="18"/>
          <w:color w:val="auto"/>
        </w:rPr>
        <w:t>” shall mean one or more periods of time, which may be of varying and overlapping durations, as the Administrator may select, over which the attainment of one or more Performance Goals will be measured for the purpose of determining a Holder’s right to, and the payment of, an Award.</w:t>
      </w:r>
    </w:p>
    <w:p>
      <w:pPr>
        <w:spacing w:after="0" w:line="209" w:lineRule="exact"/>
        <w:rPr>
          <w:sz w:val="20"/>
          <w:szCs w:val="20"/>
          <w:color w:val="auto"/>
        </w:rPr>
      </w:pPr>
    </w:p>
    <w:p>
      <w:pPr>
        <w:jc w:val="both"/>
        <w:ind w:firstLine="729"/>
        <w:spacing w:after="0" w:line="261" w:lineRule="auto"/>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Performance Stock Unit</w:t>
      </w:r>
      <w:r>
        <w:rPr>
          <w:rFonts w:ascii="Arial" w:cs="Arial" w:eastAsia="Arial" w:hAnsi="Arial"/>
          <w:sz w:val="18"/>
          <w:szCs w:val="18"/>
          <w:color w:val="auto"/>
        </w:rPr>
        <w:t>” shall mean a Performance Award awarded under Section 10.1 which is denominated in units of value including dollar value of Shares.</w:t>
      </w:r>
    </w:p>
    <w:p>
      <w:pPr>
        <w:spacing w:after="0" w:line="198" w:lineRule="exact"/>
        <w:rPr>
          <w:sz w:val="20"/>
          <w:szCs w:val="20"/>
          <w:color w:val="auto"/>
        </w:rPr>
      </w:pPr>
    </w:p>
    <w:p>
      <w:pPr>
        <w:jc w:val="both"/>
        <w:ind w:firstLine="729"/>
        <w:spacing w:after="0" w:line="248" w:lineRule="auto"/>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shall mean, with respect to a Holder, any “family member” of the Holder, as defined under the instructions to use the Form S-8 Registration Statement under the Securities Act, or any other transferee specifically approved by the Administrator, after taking into account Applicable Law.</w:t>
      </w:r>
    </w:p>
    <w:p>
      <w:pPr>
        <w:spacing w:after="0" w:line="20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2.44 “</w:t>
      </w:r>
      <w:r>
        <w:rPr>
          <w:rFonts w:ascii="Arial" w:cs="Arial" w:eastAsia="Arial" w:hAnsi="Arial"/>
          <w:sz w:val="18"/>
          <w:szCs w:val="18"/>
          <w:u w:val="single" w:color="auto"/>
          <w:color w:val="auto"/>
        </w:rPr>
        <w:t>Plan</w:t>
      </w:r>
      <w:r>
        <w:rPr>
          <w:rFonts w:ascii="Arial" w:cs="Arial" w:eastAsia="Arial" w:hAnsi="Arial"/>
          <w:sz w:val="18"/>
          <w:szCs w:val="18"/>
          <w:color w:val="auto"/>
        </w:rPr>
        <w:t>” shall have the meaning set forth in Article 1.</w:t>
      </w:r>
    </w:p>
    <w:p>
      <w:pPr>
        <w:spacing w:after="0" w:line="239" w:lineRule="exact"/>
        <w:rPr>
          <w:sz w:val="20"/>
          <w:szCs w:val="20"/>
          <w:color w:val="auto"/>
        </w:rPr>
      </w:pPr>
    </w:p>
    <w:p>
      <w:pPr>
        <w:ind w:left="740"/>
        <w:spacing w:after="0"/>
        <w:rPr>
          <w:sz w:val="20"/>
          <w:szCs w:val="20"/>
          <w:color w:val="auto"/>
        </w:rPr>
      </w:pPr>
      <w:r>
        <w:rPr>
          <w:rFonts w:ascii="Arial" w:cs="Arial" w:eastAsia="Arial" w:hAnsi="Arial"/>
          <w:sz w:val="16"/>
          <w:szCs w:val="16"/>
          <w:color w:val="auto"/>
        </w:rPr>
        <w:t>2.45 “</w:t>
      </w:r>
      <w:r>
        <w:rPr>
          <w:rFonts w:ascii="Arial" w:cs="Arial" w:eastAsia="Arial" w:hAnsi="Arial"/>
          <w:sz w:val="16"/>
          <w:szCs w:val="16"/>
          <w:u w:val="single" w:color="auto"/>
          <w:color w:val="auto"/>
        </w:rPr>
        <w:t>Prior Plan</w:t>
      </w:r>
      <w:r>
        <w:rPr>
          <w:rFonts w:ascii="Arial" w:cs="Arial" w:eastAsia="Arial" w:hAnsi="Arial"/>
          <w:sz w:val="16"/>
          <w:szCs w:val="16"/>
          <w:color w:val="auto"/>
        </w:rPr>
        <w:t>” shall mean the Amended and Restated Wynn Resorts, Limited 2002 Stock Incentive Plan, as may be amended from time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1" w:right="339" w:bottom="1440" w:gutter="0" w:footer="0" w:header="0"/>
        </w:sectPr>
      </w:pPr>
    </w:p>
    <w:bookmarkStart w:id="13" w:name="page14"/>
    <w:bookmarkEnd w:id="13"/>
    <w:p>
      <w:pPr>
        <w:jc w:val="both"/>
        <w:ind w:right="20" w:firstLine="729"/>
        <w:spacing w:after="0" w:line="291" w:lineRule="auto"/>
        <w:rPr>
          <w:sz w:val="20"/>
          <w:szCs w:val="20"/>
          <w:color w:val="auto"/>
        </w:rPr>
      </w:pPr>
      <w:r>
        <w:rPr>
          <w:rFonts w:ascii="Arial" w:cs="Arial" w:eastAsia="Arial" w:hAnsi="Arial"/>
          <w:sz w:val="17"/>
          <w:szCs w:val="17"/>
          <w:color w:val="auto"/>
        </w:rPr>
        <w:t>2.46 “</w:t>
      </w:r>
      <w:r>
        <w:rPr>
          <w:rFonts w:ascii="Arial" w:cs="Arial" w:eastAsia="Arial" w:hAnsi="Arial"/>
          <w:sz w:val="17"/>
          <w:szCs w:val="17"/>
          <w:u w:val="single" w:color="auto"/>
          <w:color w:val="auto"/>
        </w:rPr>
        <w:t>Program</w:t>
      </w:r>
      <w:r>
        <w:rPr>
          <w:rFonts w:ascii="Arial" w:cs="Arial" w:eastAsia="Arial" w:hAnsi="Arial"/>
          <w:sz w:val="17"/>
          <w:szCs w:val="17"/>
          <w:color w:val="auto"/>
        </w:rPr>
        <w:t>” shall mean any program adopted by the Administrator pursuant to the Plan containing the terms and conditions intended to govern a specified type of Award granted under the Plan and pursuant to which such type of Award may be granted under the Plan.</w:t>
      </w:r>
    </w:p>
    <w:p>
      <w:pPr>
        <w:spacing w:after="0" w:line="174" w:lineRule="exact"/>
        <w:rPr>
          <w:sz w:val="20"/>
          <w:szCs w:val="20"/>
          <w:color w:val="auto"/>
        </w:rPr>
      </w:pPr>
    </w:p>
    <w:p>
      <w:pPr>
        <w:jc w:val="both"/>
        <w:ind w:firstLine="729"/>
        <w:spacing w:after="0" w:line="261" w:lineRule="auto"/>
        <w:rPr>
          <w:sz w:val="20"/>
          <w:szCs w:val="20"/>
          <w:color w:val="auto"/>
        </w:rPr>
      </w:pPr>
      <w:r>
        <w:rPr>
          <w:rFonts w:ascii="Arial" w:cs="Arial" w:eastAsia="Arial" w:hAnsi="Arial"/>
          <w:sz w:val="18"/>
          <w:szCs w:val="18"/>
          <w:color w:val="auto"/>
        </w:rPr>
        <w:t>2.47 “</w:t>
      </w:r>
      <w:r>
        <w:rPr>
          <w:rFonts w:ascii="Arial" w:cs="Arial" w:eastAsia="Arial" w:hAnsi="Arial"/>
          <w:sz w:val="18"/>
          <w:szCs w:val="18"/>
          <w:u w:val="single" w:color="auto"/>
          <w:color w:val="auto"/>
        </w:rPr>
        <w:t>Restricted Stock</w:t>
      </w:r>
      <w:r>
        <w:rPr>
          <w:rFonts w:ascii="Arial" w:cs="Arial" w:eastAsia="Arial" w:hAnsi="Arial"/>
          <w:sz w:val="18"/>
          <w:szCs w:val="18"/>
          <w:color w:val="auto"/>
        </w:rPr>
        <w:t>” shall mean Common Stock awarded under Article 8 that is subject to certain restrictions and may be subject to risk of forfeiture or repurchase.</w:t>
      </w:r>
    </w:p>
    <w:p>
      <w:pPr>
        <w:spacing w:after="0" w:line="19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2.48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shall mean the right to receive Shares awarded under Article 9.</w:t>
      </w:r>
    </w:p>
    <w:p>
      <w:pPr>
        <w:spacing w:after="0" w:line="23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2.49 “</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w:t>
      </w:r>
    </w:p>
    <w:p>
      <w:pPr>
        <w:spacing w:after="0" w:line="23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2.50 “</w:t>
      </w:r>
      <w:r>
        <w:rPr>
          <w:rFonts w:ascii="Arial" w:cs="Arial" w:eastAsia="Arial" w:hAnsi="Arial"/>
          <w:sz w:val="18"/>
          <w:szCs w:val="18"/>
          <w:u w:val="single" w:color="auto"/>
          <w:color w:val="auto"/>
        </w:rPr>
        <w:t>Shares</w:t>
      </w:r>
      <w:r>
        <w:rPr>
          <w:rFonts w:ascii="Arial" w:cs="Arial" w:eastAsia="Arial" w:hAnsi="Arial"/>
          <w:sz w:val="18"/>
          <w:szCs w:val="18"/>
          <w:color w:val="auto"/>
        </w:rPr>
        <w:t>” shall mean shares of Common Stock.</w:t>
      </w:r>
    </w:p>
    <w:p>
      <w:pPr>
        <w:spacing w:after="0" w:line="23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2.51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shall mean a stock appreciation right granted under Article 11.</w:t>
      </w:r>
    </w:p>
    <w:p>
      <w:pPr>
        <w:spacing w:after="0" w:line="23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2.52 “</w:t>
      </w:r>
      <w:r>
        <w:rPr>
          <w:rFonts w:ascii="Arial" w:cs="Arial" w:eastAsia="Arial" w:hAnsi="Arial"/>
          <w:sz w:val="18"/>
          <w:szCs w:val="18"/>
          <w:u w:val="single" w:color="auto"/>
          <w:color w:val="auto"/>
        </w:rPr>
        <w:t>Stock Appreciation Right Term</w:t>
      </w:r>
      <w:r>
        <w:rPr>
          <w:rFonts w:ascii="Arial" w:cs="Arial" w:eastAsia="Arial" w:hAnsi="Arial"/>
          <w:sz w:val="18"/>
          <w:szCs w:val="18"/>
          <w:color w:val="auto"/>
        </w:rPr>
        <w:t>” shall have the meaning set forth in Section 11.4.</w:t>
      </w:r>
    </w:p>
    <w:p>
      <w:pPr>
        <w:spacing w:after="0" w:line="239" w:lineRule="exact"/>
        <w:rPr>
          <w:sz w:val="20"/>
          <w:szCs w:val="20"/>
          <w:color w:val="auto"/>
        </w:rPr>
      </w:pPr>
    </w:p>
    <w:p>
      <w:pPr>
        <w:jc w:val="both"/>
        <w:ind w:firstLine="729"/>
        <w:spacing w:after="0" w:line="261" w:lineRule="auto"/>
        <w:rPr>
          <w:sz w:val="20"/>
          <w:szCs w:val="20"/>
          <w:color w:val="auto"/>
        </w:rPr>
      </w:pPr>
      <w:r>
        <w:rPr>
          <w:rFonts w:ascii="Arial" w:cs="Arial" w:eastAsia="Arial" w:hAnsi="Arial"/>
          <w:sz w:val="18"/>
          <w:szCs w:val="18"/>
          <w:color w:val="auto"/>
        </w:rPr>
        <w:t>2.53 “</w:t>
      </w:r>
      <w:r>
        <w:rPr>
          <w:rFonts w:ascii="Arial" w:cs="Arial" w:eastAsia="Arial" w:hAnsi="Arial"/>
          <w:sz w:val="18"/>
          <w:szCs w:val="18"/>
          <w:u w:val="single" w:color="auto"/>
          <w:color w:val="auto"/>
        </w:rPr>
        <w:t>Stock Payment</w:t>
      </w:r>
      <w:r>
        <w:rPr>
          <w:rFonts w:ascii="Arial" w:cs="Arial" w:eastAsia="Arial" w:hAnsi="Arial"/>
          <w:sz w:val="18"/>
          <w:szCs w:val="18"/>
          <w:color w:val="auto"/>
        </w:rPr>
        <w:t>” shall mean (a) a payment in the form of Shares, or (b) an option or other right to purchase Shares, as part of a bonus, deferred compensation or other arrangement, awarded under Section 10.3.</w:t>
      </w:r>
    </w:p>
    <w:p>
      <w:pPr>
        <w:spacing w:after="0" w:line="198" w:lineRule="exact"/>
        <w:rPr>
          <w:sz w:val="20"/>
          <w:szCs w:val="20"/>
          <w:color w:val="auto"/>
        </w:rPr>
      </w:pPr>
    </w:p>
    <w:p>
      <w:pPr>
        <w:jc w:val="both"/>
        <w:ind w:right="20" w:firstLine="729"/>
        <w:spacing w:after="0" w:line="294" w:lineRule="auto"/>
        <w:rPr>
          <w:sz w:val="20"/>
          <w:szCs w:val="20"/>
          <w:color w:val="auto"/>
        </w:rPr>
      </w:pPr>
      <w:r>
        <w:rPr>
          <w:rFonts w:ascii="Arial" w:cs="Arial" w:eastAsia="Arial" w:hAnsi="Arial"/>
          <w:sz w:val="16"/>
          <w:szCs w:val="16"/>
          <w:color w:val="auto"/>
        </w:rPr>
        <w:t>2.54 “</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fifty percent (50%) of the total combined voting power of all classes of securities or interests in one of the other entities in such chain.</w:t>
      </w:r>
    </w:p>
    <w:p>
      <w:pPr>
        <w:spacing w:after="0" w:line="174" w:lineRule="exact"/>
        <w:rPr>
          <w:sz w:val="20"/>
          <w:szCs w:val="20"/>
          <w:color w:val="auto"/>
        </w:rPr>
      </w:pPr>
    </w:p>
    <w:p>
      <w:pPr>
        <w:jc w:val="both"/>
        <w:ind w:firstLine="729"/>
        <w:spacing w:after="0" w:line="243" w:lineRule="auto"/>
        <w:rPr>
          <w:sz w:val="20"/>
          <w:szCs w:val="20"/>
          <w:color w:val="auto"/>
        </w:rPr>
      </w:pPr>
      <w:r>
        <w:rPr>
          <w:rFonts w:ascii="Arial" w:cs="Arial" w:eastAsia="Arial" w:hAnsi="Arial"/>
          <w:sz w:val="18"/>
          <w:szCs w:val="18"/>
          <w:color w:val="auto"/>
        </w:rPr>
        <w:t>2.55 “</w:t>
      </w:r>
      <w:r>
        <w:rPr>
          <w:rFonts w:ascii="Arial" w:cs="Arial" w:eastAsia="Arial" w:hAnsi="Arial"/>
          <w:sz w:val="18"/>
          <w:szCs w:val="18"/>
          <w:u w:val="single" w:color="auto"/>
          <w:color w:val="auto"/>
        </w:rPr>
        <w:t>Substitute Award</w:t>
      </w:r>
      <w:r>
        <w:rPr>
          <w:rFonts w:ascii="Arial" w:cs="Arial" w:eastAsia="Arial" w:hAnsi="Arial"/>
          <w:sz w:val="18"/>
          <w:szCs w:val="18"/>
          <w:color w:val="auto"/>
        </w:rPr>
        <w:t xml:space="preserve">” shall mean an Award granted under the Plan upon the assumption of, or in substitution for, outstanding equity awards previously granted by a company or other entity in connection with a corporate transaction, such as a merger, combination, consolidation or acquisition of property or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the term “Substitute Award” be construed to refer to an award made in connection with the cancellation and repricing of an Option or Stock Appreciation Right.</w:t>
      </w:r>
    </w:p>
    <w:p>
      <w:pPr>
        <w:spacing w:after="0" w:line="21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2.56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shall mean:</w:t>
      </w:r>
    </w:p>
    <w:p>
      <w:pPr>
        <w:spacing w:after="0" w:line="239" w:lineRule="exact"/>
        <w:rPr>
          <w:sz w:val="20"/>
          <w:szCs w:val="20"/>
          <w:color w:val="auto"/>
        </w:rPr>
      </w:pPr>
    </w:p>
    <w:p>
      <w:pPr>
        <w:jc w:val="both"/>
        <w:ind w:left="660" w:hanging="328"/>
        <w:spacing w:after="0" w:line="248" w:lineRule="auto"/>
        <w:tabs>
          <w:tab w:leader="none" w:pos="6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to a Consultant, the time when the engagement of a Holder as a Consultant to the Company or an Affiliate is terminated for any reason, with or without cause, including, without limitation, by resignation, discharge, death or retirement, but excluding terminations where the Consultant simultaneously commences or remains in employment or service with the Company or any Affiliate.</w:t>
      </w:r>
    </w:p>
    <w:p>
      <w:pPr>
        <w:spacing w:after="0" w:line="208" w:lineRule="exact"/>
        <w:rPr>
          <w:rFonts w:ascii="Arial" w:cs="Arial" w:eastAsia="Arial" w:hAnsi="Arial"/>
          <w:sz w:val="18"/>
          <w:szCs w:val="18"/>
          <w:color w:val="auto"/>
        </w:rPr>
      </w:pPr>
    </w:p>
    <w:p>
      <w:pPr>
        <w:jc w:val="both"/>
        <w:ind w:left="660" w:hanging="328"/>
        <w:spacing w:after="0" w:line="24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to a Non-Employee Director, the time when a Holder who is a Non-Employee Director ceases to be a Director for any reason, including, without limitation, a termination by resignation, failure to be elected, death or retirement, but excluding terminations where the Holder simultaneously commences or remains in employment or service with the Company or any Affiliate.</w:t>
      </w:r>
    </w:p>
    <w:p>
      <w:pPr>
        <w:spacing w:after="0" w:line="208" w:lineRule="exact"/>
        <w:rPr>
          <w:rFonts w:ascii="Arial" w:cs="Arial" w:eastAsia="Arial" w:hAnsi="Arial"/>
          <w:sz w:val="18"/>
          <w:szCs w:val="18"/>
          <w:color w:val="auto"/>
        </w:rPr>
      </w:pPr>
    </w:p>
    <w:p>
      <w:pPr>
        <w:jc w:val="both"/>
        <w:ind w:left="660" w:hanging="328"/>
        <w:spacing w:after="0" w:line="270" w:lineRule="auto"/>
        <w:tabs>
          <w:tab w:leader="none" w:pos="65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As to an Employee, the time when the employee-employer relationship between a Holder and the Company or any Affiliate is terminated for any reason, including, without limitation, a termination by resignation, discharge, death, disability or retirement; but excluding terminations where the Holder simultaneously commences or remains in employment or service with the Company or any Affiliate.</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The Administrator, in its sole discretion, shall determine the effect of all matters and questions relating to Terminations of Service, including, without limitation, the question of whether a Termination of Service resulted from a discharge for cause and all questions of whether particular leaves of absence constitute a Termination of Service;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Incentive Stock Options, unless the Administrator otherwise provides in the terms of the Program, the Award Agreement or otherwise, a leave of absence, change in status from an employee to an independent contractor or other change in the employee-employer relationship shall constitute a Termination of Service only if, and to the extent that, such leave of absence, change in status or other change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1" w:right="339" w:bottom="1440" w:gutter="0" w:footer="0" w:header="0"/>
        </w:sectPr>
      </w:pPr>
    </w:p>
    <w:bookmarkStart w:id="14" w:name="page15"/>
    <w:bookmarkEnd w:id="14"/>
    <w:p>
      <w:pPr>
        <w:jc w:val="both"/>
        <w:spacing w:after="0" w:line="243" w:lineRule="auto"/>
        <w:rPr>
          <w:sz w:val="20"/>
          <w:szCs w:val="20"/>
          <w:color w:val="auto"/>
        </w:rPr>
      </w:pPr>
      <w:r>
        <w:rPr>
          <w:rFonts w:ascii="Arial" w:cs="Arial" w:eastAsia="Arial" w:hAnsi="Arial"/>
          <w:sz w:val="18"/>
          <w:szCs w:val="18"/>
          <w:color w:val="auto"/>
        </w:rPr>
        <w:t>interrupts employment for the purposes of Section 422(a)(2) of the Code and the then applicable regulations and revenue rulings under said Section. For purposes of the Plan, a Holder’s employee-employer relationship or consultancy relations shall be deemed to be terminated in the event that the Affiliate employing or contracting with such Holder ceases to remain an Affiliate following any merger, sale of stock or other corporate transaction or event (including, without limitation, a spin-off).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SUBJECT TO THE PLAN</w:t>
      </w:r>
    </w:p>
    <w:p>
      <w:pPr>
        <w:spacing w:after="0" w:line="24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Number of Shares.</w:t>
      </w:r>
    </w:p>
    <w:p>
      <w:pPr>
        <w:spacing w:after="0" w:line="239" w:lineRule="exact"/>
        <w:rPr>
          <w:sz w:val="20"/>
          <w:szCs w:val="20"/>
          <w:color w:val="auto"/>
        </w:rPr>
      </w:pPr>
    </w:p>
    <w:p>
      <w:pPr>
        <w:jc w:val="both"/>
        <w:ind w:left="660" w:hanging="328"/>
        <w:spacing w:after="0"/>
        <w:tabs>
          <w:tab w:leader="none" w:pos="6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Subject to Section 14.2 and Section 3.1(b) the aggregate number of Shares which may be issued or transferred pursuant to Awards under the Plan is 5,909,390 (which includes 4,409,390 Shares that were available for issuance prior to the Effective Date under the Prior Plan that remained available for issuance under the Prior Plan as of the date of stockholder approval in 2014 of the Plan and the Shares which as of the date of stockholder approval of the Plan are subject to awards under the Plan and Prior Plan which are forfeited or lapse unexercised and which following the date of stockholder approval of the Plan are not issued under the Prior Plan); provided, however, no more than 5,909,390 Shares may be issued upon the exercise of Incentive Stock Options.</w:t>
      </w:r>
    </w:p>
    <w:p>
      <w:pPr>
        <w:spacing w:after="0" w:line="216" w:lineRule="exact"/>
        <w:rPr>
          <w:rFonts w:ascii="Arial" w:cs="Arial" w:eastAsia="Arial" w:hAnsi="Arial"/>
          <w:sz w:val="18"/>
          <w:szCs w:val="18"/>
          <w:color w:val="auto"/>
        </w:rPr>
      </w:pPr>
    </w:p>
    <w:p>
      <w:pPr>
        <w:jc w:val="both"/>
        <w:ind w:left="660" w:hanging="328"/>
        <w:spacing w:after="0" w:line="270"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any Shares subject to an Award are forfeited or expire or such Award is settled for cash (in whole or in part), the Shares subject to such Award shall, to the extent of such forfeiture, expiration or cash settlement, again be available for future grants of Awards under the Plan. Notwithstanding anything to the contrary contained herein, the following Shares shall not be added to the Shares authorized for grant under Section 3.1(a) and will not be available for future grants of Awards: (i) Shares tendered by a Holder or withheld by the Company in payment of the exercise price of an Option; (ii) Shares tendered by the Holder or withheld by the Company to satisfy any tax withholding obligation with respect to an Award; (iii) Shares subject to a Stock Appreciation Right that are not issued in connection with the stock settlement of the Stock Appreciation Right on exercise thereof; and (iv) Shares purchased on the open market with the cash proceeds from the exercise of Options. Any Shares repurchased by the Company under Section 8.4 at the same price paid by the Holder so that such Shares are returned to the Company will again be available for Awards.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w:t>
      </w:r>
    </w:p>
    <w:p>
      <w:pPr>
        <w:spacing w:after="0" w:line="193" w:lineRule="exact"/>
        <w:rPr>
          <w:rFonts w:ascii="Arial" w:cs="Arial" w:eastAsia="Arial" w:hAnsi="Arial"/>
          <w:sz w:val="16"/>
          <w:szCs w:val="16"/>
          <w:color w:val="auto"/>
        </w:rPr>
      </w:pPr>
    </w:p>
    <w:p>
      <w:pPr>
        <w:jc w:val="both"/>
        <w:ind w:left="660" w:hanging="328"/>
        <w:spacing w:after="0" w:line="253" w:lineRule="auto"/>
        <w:tabs>
          <w:tab w:leader="none" w:pos="65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Substitute Awards shall not reduce the Shares authorized for grant under the Plan. Additionally, in the event that a company acquired by the Company or any Affiliate or with which the Company or any Affiliate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provided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Affiliates immediately prior to such acquisition or combination.</w:t>
      </w:r>
    </w:p>
    <w:p>
      <w:pPr>
        <w:spacing w:after="0" w:line="211" w:lineRule="exact"/>
        <w:rPr>
          <w:sz w:val="20"/>
          <w:szCs w:val="20"/>
          <w:color w:val="auto"/>
        </w:rPr>
      </w:pPr>
    </w:p>
    <w:p>
      <w:pPr>
        <w:ind w:firstLine="729"/>
        <w:spacing w:after="0" w:line="261"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Stock Distributed</w:t>
      </w:r>
      <w:r>
        <w:rPr>
          <w:rFonts w:ascii="Arial" w:cs="Arial" w:eastAsia="Arial" w:hAnsi="Arial"/>
          <w:sz w:val="18"/>
          <w:szCs w:val="18"/>
          <w:color w:val="auto"/>
        </w:rPr>
        <w:t>. Any Shares distributed pursuant to an Award may consist, in whole or in part, of authorized and unissued Common Stock, treasury Common Stock or Common Stock purchased on the open market.</w:t>
      </w:r>
    </w:p>
    <w:p>
      <w:pPr>
        <w:spacing w:after="0" w:line="198" w:lineRule="exact"/>
        <w:rPr>
          <w:sz w:val="20"/>
          <w:szCs w:val="20"/>
          <w:color w:val="auto"/>
        </w:rPr>
      </w:pPr>
    </w:p>
    <w:p>
      <w:pPr>
        <w:ind w:right="20" w:firstLine="729"/>
        <w:spacing w:after="0" w:line="261"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Limitation on Number of Shares Subject to Awards</w:t>
      </w:r>
      <w:r>
        <w:rPr>
          <w:rFonts w:ascii="Arial" w:cs="Arial" w:eastAsia="Arial" w:hAnsi="Arial"/>
          <w:sz w:val="18"/>
          <w:szCs w:val="18"/>
          <w:color w:val="auto"/>
        </w:rPr>
        <w:t>. Notwithstanding any provision in the Plan to the contrary, and subject to Section 14.2, the maximum aggregate number of Shares with respect to one or more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1" w:right="339" w:bottom="1440" w:gutter="0" w:footer="0" w:header="0"/>
        </w:sectPr>
      </w:pPr>
    </w:p>
    <w:bookmarkStart w:id="15" w:name="page16"/>
    <w:bookmarkEnd w:id="15"/>
    <w:p>
      <w:pPr>
        <w:jc w:val="both"/>
        <w:spacing w:after="0" w:line="241" w:lineRule="auto"/>
        <w:rPr>
          <w:sz w:val="20"/>
          <w:szCs w:val="20"/>
          <w:color w:val="auto"/>
        </w:rPr>
      </w:pPr>
      <w:r>
        <w:rPr>
          <w:rFonts w:ascii="Arial" w:cs="Arial" w:eastAsia="Arial" w:hAnsi="Arial"/>
          <w:sz w:val="18"/>
          <w:szCs w:val="18"/>
          <w:color w:val="auto"/>
        </w:rPr>
        <w:t>Awards that may be granted to any one person during any calendar year shall be 1,500,000, and the maximum aggregate amount of cash that may be paid in cash to any person during any calendar year with respect to one or more Awards payable in cash shall be $20,000,000; provided further, that the maximum aggregate number of Shares with respect to one or more Awards that may be granted to any Non-Employee Director during any calendar year shall be 50,000. To the extent required by Section 162(m) of the Code, Shares subject to Awards which are canceled shall continue to be counted against the Award Limit.</w:t>
      </w:r>
    </w:p>
    <w:p>
      <w:pPr>
        <w:spacing w:after="0" w:line="212"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ARTICLE 4.</w:t>
      </w:r>
    </w:p>
    <w:p>
      <w:pPr>
        <w:spacing w:after="0" w:line="239"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GRANTING OF AWARDS</w:t>
      </w:r>
    </w:p>
    <w:p>
      <w:pPr>
        <w:spacing w:after="0" w:line="243" w:lineRule="exact"/>
        <w:rPr>
          <w:sz w:val="20"/>
          <w:szCs w:val="20"/>
          <w:color w:val="auto"/>
        </w:rPr>
      </w:pPr>
    </w:p>
    <w:p>
      <w:pPr>
        <w:jc w:val="both"/>
        <w:ind w:firstLine="729"/>
        <w:spacing w:after="0" w:line="24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Participation</w:t>
      </w:r>
      <w:r>
        <w:rPr>
          <w:rFonts w:ascii="Arial" w:cs="Arial" w:eastAsia="Arial" w:hAnsi="Arial"/>
          <w:sz w:val="18"/>
          <w:szCs w:val="18"/>
          <w:color w:val="auto"/>
        </w:rPr>
        <w:t>. The Administrator may, from time to time, select from among all Eligible Individuals, those to whom an Award shall be granted and shall determine the nature and amount of each Award, which shall not be inconsistent with the requirements of the Plan. Except as provided in Section 4.6 regarding the grant of Awards pursuant to the Non-Employee Director Equity Compensation Policy, no Eligible Individual shall have any right to be granted an Award pursuant to the Plan.</w:t>
      </w:r>
    </w:p>
    <w:p>
      <w:pPr>
        <w:spacing w:after="0" w:line="215" w:lineRule="exact"/>
        <w:rPr>
          <w:sz w:val="20"/>
          <w:szCs w:val="20"/>
          <w:color w:val="auto"/>
        </w:rPr>
      </w:pPr>
    </w:p>
    <w:p>
      <w:pPr>
        <w:jc w:val="both"/>
        <w:ind w:firstLine="729"/>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Award Agreement</w:t>
      </w:r>
      <w:r>
        <w:rPr>
          <w:rFonts w:ascii="Arial" w:cs="Arial" w:eastAsia="Arial" w:hAnsi="Arial"/>
          <w:sz w:val="18"/>
          <w:szCs w:val="18"/>
          <w:color w:val="auto"/>
        </w:rPr>
        <w:t>. Each Award shall be evidenced by an Award Agreement that sets forth the terms, conditions and limitations for such Award, which may include the term of the Award, the provisions applicable in the event of the Holder’s Termination of Service, and the Company’s authority to unilaterally or bilaterally amend, modify, suspend, cancel or rescind an Award. Award Agreements evidencing Awards intended to qualify as Performance-Based Compensation shall contain such terms and conditions as may be necessary to meet the applicable provisions of Section 162(m) of the Code. Award Agreements evidencing Incentive Stock Options shall contain such terms and conditions as may be necessary to meet the applicable provisions of Section 422 of the Code.</w:t>
      </w:r>
    </w:p>
    <w:p>
      <w:pPr>
        <w:spacing w:after="0" w:line="216" w:lineRule="exact"/>
        <w:rPr>
          <w:sz w:val="20"/>
          <w:szCs w:val="20"/>
          <w:color w:val="auto"/>
        </w:rPr>
      </w:pPr>
    </w:p>
    <w:p>
      <w:pPr>
        <w:jc w:val="both"/>
        <w:ind w:firstLine="729"/>
        <w:spacing w:after="0" w:line="208" w:lineRule="exact"/>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w:t>
      </w:r>
      <w:r>
        <w:rPr>
          <w:rFonts w:ascii="MS PGothic" w:cs="MS PGothic" w:eastAsia="MS PGothic" w:hAnsi="MS PGothic"/>
          <w:sz w:val="18"/>
          <w:szCs w:val="18"/>
          <w:color w:val="auto"/>
        </w:rPr>
        <w:t>‑</w:t>
      </w:r>
      <w:r>
        <w:rPr>
          <w:rFonts w:ascii="Arial" w:cs="Arial" w:eastAsia="Arial" w:hAnsi="Arial"/>
          <w:sz w:val="18"/>
          <w:szCs w:val="18"/>
          <w:color w:val="auto"/>
        </w:rPr>
        <w:t>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216" w:lineRule="exact"/>
        <w:rPr>
          <w:sz w:val="20"/>
          <w:szCs w:val="20"/>
          <w:color w:val="auto"/>
        </w:rPr>
      </w:pPr>
    </w:p>
    <w:p>
      <w:pPr>
        <w:jc w:val="both"/>
        <w:ind w:firstLine="729"/>
        <w:spacing w:after="0" w:line="257"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At-Will Employment; Voluntary Participation</w:t>
      </w:r>
      <w:r>
        <w:rPr>
          <w:rFonts w:ascii="Arial" w:cs="Arial" w:eastAsia="Arial" w:hAnsi="Arial"/>
          <w:sz w:val="17"/>
          <w:szCs w:val="17"/>
          <w:color w:val="auto"/>
        </w:rPr>
        <w:t>. Nothing in the Plan or in any Program or Award Agreement hereunder shall confer upon any Holder any right to continue in the employ of, or as a Director or Consultant for, the Company or any Affiliate, or shall interfere with or restrict in any way the rights of the Company and any Affiliate,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Affiliate. Participation by each Holder in the Plan shall be voluntary and nothing in the Plan shall be construed as mandating that any Eligible Individual shall participate in the Plan.</w:t>
      </w:r>
    </w:p>
    <w:p>
      <w:pPr>
        <w:spacing w:after="0" w:line="202" w:lineRule="exact"/>
        <w:rPr>
          <w:sz w:val="20"/>
          <w:szCs w:val="20"/>
          <w:color w:val="auto"/>
        </w:rPr>
      </w:pPr>
    </w:p>
    <w:p>
      <w:pPr>
        <w:jc w:val="both"/>
        <w:ind w:firstLine="729"/>
        <w:spacing w:after="0" w:line="252"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Foreign Holders</w:t>
      </w:r>
      <w:r>
        <w:rPr>
          <w:rFonts w:ascii="Arial" w:cs="Arial" w:eastAsia="Arial" w:hAnsi="Arial"/>
          <w:sz w:val="17"/>
          <w:szCs w:val="17"/>
          <w:color w:val="auto"/>
        </w:rPr>
        <w:t xml:space="preserve">. Notwithstanding any provision of the Plan to the contrary, in order to comply with the laws in countries other than the United States in which the Company and its Affiliates operate or have Employees, Non-Employee Directors or Consultants, or in order to comply with the requirements of any foreign securities exchange, the Administrator, in its sole discretion, shall have the power and authority to: (a) determine which Affiliates shall be covered by the Plan; (b) determine which Eligible Individuals outside the United States are eligible to participate in the Plan; (c) modify the terms and conditions of any Award granted to Eligible Individuals outside the United States to comply with applicable foreign laws or listing requirements of any such foreign securities exchange; (d) establish subplans and modify exercise procedures and other terms and procedures, to the extent such actions may be necessary or advisable (any such subplans and/or modifications shall be attached to the Plan as appendices);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subplans and/or modifications shall increase the share limitations contained in Sections 3.1 and 3.3; and (e) take any action, before or after an Award is made, that it deems advisable to obtain approval or comply with any necessary local governmental regulatory exemptions or approvals or listing requirements of any such foreign securities exchange. Notwithstanding the foregoing, the Administrator may not take any actions hereunder, and no Awards shall be granted, that would violate Applicable Law. For</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1" w:right="339" w:bottom="1440" w:gutter="0" w:footer="0" w:header="0"/>
        </w:sectPr>
      </w:pPr>
    </w:p>
    <w:bookmarkStart w:id="16" w:name="page17"/>
    <w:bookmarkEnd w:id="16"/>
    <w:p>
      <w:pPr>
        <w:jc w:val="both"/>
        <w:spacing w:after="0" w:line="261" w:lineRule="auto"/>
        <w:rPr>
          <w:sz w:val="20"/>
          <w:szCs w:val="20"/>
          <w:color w:val="auto"/>
        </w:rPr>
      </w:pPr>
      <w:r>
        <w:rPr>
          <w:rFonts w:ascii="Arial" w:cs="Arial" w:eastAsia="Arial" w:hAnsi="Arial"/>
          <w:sz w:val="18"/>
          <w:szCs w:val="18"/>
          <w:color w:val="auto"/>
        </w:rPr>
        <w:t>purposes of the Plan, all references to foreign laws, rules, regulations or taxes shall be references to the laws, rules, regulations and taxes of any applicable jurisdiction other than the United States or a political subdivision thereof.</w:t>
      </w:r>
    </w:p>
    <w:p>
      <w:pPr>
        <w:spacing w:after="0" w:line="198" w:lineRule="exact"/>
        <w:rPr>
          <w:sz w:val="20"/>
          <w:szCs w:val="20"/>
          <w:color w:val="auto"/>
        </w:rPr>
      </w:pPr>
    </w:p>
    <w:p>
      <w:pPr>
        <w:jc w:val="both"/>
        <w:ind w:firstLine="729"/>
        <w:spacing w:after="0" w:line="257"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Non-Employee Director Awards</w:t>
      </w:r>
      <w:r>
        <w:rPr>
          <w:rFonts w:ascii="Arial" w:cs="Arial" w:eastAsia="Arial" w:hAnsi="Arial"/>
          <w:sz w:val="17"/>
          <w:szCs w:val="17"/>
          <w:color w:val="auto"/>
        </w:rPr>
        <w:t>. The Administrator may, in its discretion, provide that Awards granted to Non-Employee Directors shall be granted pursuant to a written non-discretionary formula established by the Administrator (the “</w:t>
      </w:r>
      <w:r>
        <w:rPr>
          <w:rFonts w:ascii="Arial" w:cs="Arial" w:eastAsia="Arial" w:hAnsi="Arial"/>
          <w:sz w:val="17"/>
          <w:szCs w:val="17"/>
          <w:u w:val="single" w:color="auto"/>
          <w:color w:val="auto"/>
        </w:rPr>
        <w:t>Non-Employee Director Equity Compensation Policy</w:t>
      </w:r>
      <w:r>
        <w:rPr>
          <w:rFonts w:ascii="Arial" w:cs="Arial" w:eastAsia="Arial" w:hAnsi="Arial"/>
          <w:sz w:val="17"/>
          <w:szCs w:val="17"/>
          <w:color w:val="auto"/>
        </w:rPr>
        <w:t>”), subject to the limitations of the Plan. The Non-Employee Director Equity Compensation Policy shall set forth the type of Award(s) to be granted to Non-Employee Directors, the number of Shares to be subject to Non-Employee Director Awards, the conditions on which such Awards shall be granted, become exercisable and/or payable and expire, and such other terms and conditions as the Administrator shall determine in its discretion. The Non-Employee Director Equity Compensation Policy may be modified by the Administrator from time to time in its discretion.</w:t>
      </w:r>
    </w:p>
    <w:p>
      <w:pPr>
        <w:spacing w:after="0" w:line="202" w:lineRule="exact"/>
        <w:rPr>
          <w:sz w:val="20"/>
          <w:szCs w:val="20"/>
          <w:color w:val="auto"/>
        </w:rPr>
      </w:pPr>
    </w:p>
    <w:p>
      <w:pPr>
        <w:jc w:val="both"/>
        <w:ind w:firstLine="729"/>
        <w:spacing w:after="0" w:line="248"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Stand-Alone and Tandem Awards</w:t>
      </w:r>
      <w:r>
        <w:rPr>
          <w:rFonts w:ascii="Arial" w:cs="Arial" w:eastAsia="Arial" w:hAnsi="Arial"/>
          <w:sz w:val="18"/>
          <w:szCs w:val="18"/>
          <w:color w:val="auto"/>
        </w:rPr>
        <w:t>. Awards granted pursuant to the Plan may, in the sole discretion of the Administrator, be granted either alone, in addition to, or in tandem with, any other Award granted pursuant to the Plan. Awards granted in addition to or in tandem with other Awards may be granted either at the same time as or at a different time from the grant of such other Awards.</w:t>
      </w:r>
    </w:p>
    <w:p>
      <w:pPr>
        <w:spacing w:after="0" w:line="205"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ARTICLE 5.</w:t>
      </w:r>
    </w:p>
    <w:p>
      <w:pPr>
        <w:spacing w:after="0" w:line="239"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PROVISIONS APPLICABLE TO AWARDS INTENDED TO QUALIFY AS PERFORMANCE-BASED COMPENSATION.</w:t>
      </w:r>
    </w:p>
    <w:p>
      <w:pPr>
        <w:spacing w:after="0" w:line="243" w:lineRule="exact"/>
        <w:rPr>
          <w:sz w:val="20"/>
          <w:szCs w:val="20"/>
          <w:color w:val="auto"/>
        </w:rPr>
      </w:pPr>
    </w:p>
    <w:p>
      <w:pPr>
        <w:jc w:val="both"/>
        <w:ind w:firstLine="729"/>
        <w:spacing w:after="0" w:line="255"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Purpose</w:t>
      </w:r>
      <w:r>
        <w:rPr>
          <w:rFonts w:ascii="Arial" w:cs="Arial" w:eastAsia="Arial" w:hAnsi="Arial"/>
          <w:sz w:val="17"/>
          <w:szCs w:val="17"/>
          <w:color w:val="auto"/>
        </w:rPr>
        <w:t>. The Committee, in its sole discretion, may determine at the time an Award is granted or at any time thereafter whether such Award is intended to qualify as Performance-Based Compensation. If the Committee, in its sole discretion, decides to grant such an Award to an Eligible Individual that is intended to qualify as Performance-Based Compensation, then the provisions of this Article 5 shall control over any contrary provision contained in the Plan. The Administrator may in its sole discretion grant Awards to other Eligible Individuals that are based on Performance Criteria or Performance Goals but that do not satisfy the requirements of this Article 5 and that are not intended to qualify as Performance-Based Compensation. Unless otherwise specified by the Committee at the time of grant, the Performance Criteria with respect to an Award intended to be Performance-Based Compensation payable to a Covered Employee shall be determined on the basis of Applicable Accounting Standards.</w:t>
      </w:r>
    </w:p>
    <w:p>
      <w:pPr>
        <w:spacing w:after="0" w:line="207" w:lineRule="exact"/>
        <w:rPr>
          <w:sz w:val="20"/>
          <w:szCs w:val="20"/>
          <w:color w:val="auto"/>
        </w:rPr>
      </w:pPr>
    </w:p>
    <w:p>
      <w:pPr>
        <w:jc w:val="both"/>
        <w:ind w:right="20" w:firstLine="729"/>
        <w:spacing w:after="0" w:line="248"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Applicability</w:t>
      </w:r>
      <w:r>
        <w:rPr>
          <w:rFonts w:ascii="Arial" w:cs="Arial" w:eastAsia="Arial" w:hAnsi="Arial"/>
          <w:sz w:val="18"/>
          <w:szCs w:val="18"/>
          <w:color w:val="auto"/>
        </w:rPr>
        <w:t>. The grant of an Award to an Eligible Individual for a particular Performance Period shall not require the grant of an Award to such Eligible Individual in any subsequent Performance Period and the grant of an Award to any one Eligible Individual shall not require the grant of an Award to any other Eligible Individual in such period or in any other period.</w:t>
      </w:r>
    </w:p>
    <w:p>
      <w:pPr>
        <w:spacing w:after="0" w:line="209" w:lineRule="exact"/>
        <w:rPr>
          <w:sz w:val="20"/>
          <w:szCs w:val="20"/>
          <w:color w:val="auto"/>
        </w:rPr>
      </w:pPr>
    </w:p>
    <w:p>
      <w:pPr>
        <w:jc w:val="both"/>
        <w:ind w:firstLine="729"/>
        <w:spacing w:after="0" w:line="241"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Types of Awards</w:t>
      </w:r>
      <w:r>
        <w:rPr>
          <w:rFonts w:ascii="Arial" w:cs="Arial" w:eastAsia="Arial" w:hAnsi="Arial"/>
          <w:sz w:val="18"/>
          <w:szCs w:val="18"/>
          <w:color w:val="auto"/>
        </w:rPr>
        <w:t>. Notwithstanding anything in the Plan to the contrary, the Committee may grant any Award to an Eligible Individual intended to qualify as Performance-Based Compensation, including, without limitation, Restricted Stock the restrictions with respect to which lapse upon the attainment of specified Performance Goals, Restricted Stock Units that vest and become payable upon the attainment of specified Performance Goals and any Performance Awards described in Article 10 that vest or become exercisable or payable upon the attainment of one or more specified Performance Goals.</w:t>
      </w:r>
    </w:p>
    <w:p>
      <w:pPr>
        <w:spacing w:after="0" w:line="216" w:lineRule="exact"/>
        <w:rPr>
          <w:sz w:val="20"/>
          <w:szCs w:val="20"/>
          <w:color w:val="auto"/>
        </w:rPr>
      </w:pPr>
    </w:p>
    <w:p>
      <w:pPr>
        <w:jc w:val="both"/>
        <w:ind w:firstLine="729"/>
        <w:spacing w:after="0" w:line="238"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Procedures with Respect to Performance-Based Awards</w:t>
      </w:r>
      <w:r>
        <w:rPr>
          <w:rFonts w:ascii="Arial" w:cs="Arial" w:eastAsia="Arial" w:hAnsi="Arial"/>
          <w:sz w:val="18"/>
          <w:szCs w:val="18"/>
          <w:color w:val="auto"/>
        </w:rPr>
        <w:t>. To the extent necessary to comply with the requirements of Section 162(m)(4)(C) of the Code, with respect to any Award granted to one or more Eligible Individuals which is intended to qualify as Performance-Based Compensation, no later than 90 days following the commencement of any Performance Period or any designated fiscal period or period of service (or such earlier time as may be required under Section 162(m) of the Code), the Committee shall, in writing, (a) designate one or more Eligible Individuals, (b) select the Performance Criteria applicable to the Performance Period, (c) establish the Performance Goals, and amounts of such Awards, as applicable, which may be earned for such Performance Period based on the Performance Criteria, and (d) specify the relationship between Performance Criteria and the Performance Goals and the amounts of such Awards, as applicable, to be earned by each Covered Employee for such Performance Period. Following the completion of each Performance Period, the Committee shall certify in writing whether and the extent to which the applicable Performance Goals have been achieved for such Performance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1" w:right="339" w:bottom="1440" w:gutter="0" w:footer="0" w:header="0"/>
        </w:sectPr>
      </w:pPr>
    </w:p>
    <w:bookmarkStart w:id="17" w:name="page18"/>
    <w:bookmarkEnd w:id="17"/>
    <w:p>
      <w:pPr>
        <w:jc w:val="both"/>
        <w:spacing w:after="0" w:line="248" w:lineRule="auto"/>
        <w:rPr>
          <w:sz w:val="20"/>
          <w:szCs w:val="20"/>
          <w:color w:val="auto"/>
        </w:rPr>
      </w:pPr>
      <w:r>
        <w:rPr>
          <w:rFonts w:ascii="Arial" w:cs="Arial" w:eastAsia="Arial" w:hAnsi="Arial"/>
          <w:sz w:val="18"/>
          <w:szCs w:val="18"/>
          <w:color w:val="auto"/>
        </w:rPr>
        <w:t>Period. In determining the amount earned under such Awards, the Committee shall have the right to reduce or eliminate (but not to increase) the amount payable at a given level of performance to take into account additional factors that the Committee may deem relevant, including the assessment of individual or corporate performance for the Performance Period.</w:t>
      </w:r>
    </w:p>
    <w:p>
      <w:pPr>
        <w:spacing w:after="0" w:line="209" w:lineRule="exact"/>
        <w:rPr>
          <w:sz w:val="20"/>
          <w:szCs w:val="20"/>
          <w:color w:val="auto"/>
        </w:rPr>
      </w:pPr>
    </w:p>
    <w:p>
      <w:pPr>
        <w:jc w:val="both"/>
        <w:ind w:firstLine="729"/>
        <w:spacing w:after="0" w:line="241"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Payment of Performance-Based Awards</w:t>
      </w:r>
      <w:r>
        <w:rPr>
          <w:rFonts w:ascii="Arial" w:cs="Arial" w:eastAsia="Arial" w:hAnsi="Arial"/>
          <w:sz w:val="18"/>
          <w:szCs w:val="18"/>
          <w:color w:val="auto"/>
        </w:rPr>
        <w:t>. Unless otherwise provided in the applicable Program or Award Agreement and only to the extent otherwise permitted by Section 162(m)(4)(C) of the Code, as to an Award that is intended to qualify as Performance-Based Compensation, the Holder must be employed by the Company or an Affiliate throughout the Performance Period. Unless otherwise provided in the applicable Performance Goals, Program or Award Agreement, a Holder shall be eligible to receive payment pursuant to such Awards for a Performance Period only if and to the extent the Performance Goals for such period are achieved.</w:t>
      </w:r>
    </w:p>
    <w:p>
      <w:pPr>
        <w:spacing w:after="0" w:line="216" w:lineRule="exact"/>
        <w:rPr>
          <w:sz w:val="20"/>
          <w:szCs w:val="20"/>
          <w:color w:val="auto"/>
        </w:rPr>
      </w:pPr>
    </w:p>
    <w:p>
      <w:pPr>
        <w:jc w:val="both"/>
        <w:ind w:firstLine="729"/>
        <w:spacing w:after="0" w:line="284"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Additional Limitations</w:t>
      </w:r>
      <w:r>
        <w:rPr>
          <w:rFonts w:ascii="Arial" w:cs="Arial" w:eastAsia="Arial" w:hAnsi="Arial"/>
          <w:sz w:val="16"/>
          <w:szCs w:val="16"/>
          <w:color w:val="auto"/>
        </w:rPr>
        <w:t>. Notwithstanding any other provision of the Plan and except as otherwise determined by the Administrator, any Award which is granted to an Eligible Individual and is intended to qualify as Performance-Based Compensation shall be subject to any additional limitations set forth in Section 162(m) of the Code or any regulations or rulings issued thereunder that are requirements for qualification as Performance-Based Compensation, and the Plan, the Program and the Award Agreement shall be deemed amended to the extent necessary to conform to such requirements.</w:t>
      </w:r>
    </w:p>
    <w:p>
      <w:pPr>
        <w:spacing w:after="0" w:line="178"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ARTICLE 6.</w:t>
      </w:r>
    </w:p>
    <w:p>
      <w:pPr>
        <w:spacing w:after="0" w:line="239"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GRANTING OF OPTIONS</w:t>
      </w:r>
    </w:p>
    <w:p>
      <w:pPr>
        <w:spacing w:after="0" w:line="243" w:lineRule="exact"/>
        <w:rPr>
          <w:sz w:val="20"/>
          <w:szCs w:val="20"/>
          <w:color w:val="auto"/>
        </w:rPr>
      </w:pPr>
    </w:p>
    <w:p>
      <w:pPr>
        <w:jc w:val="both"/>
        <w:ind w:firstLine="729"/>
        <w:spacing w:after="0" w:line="261"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Granting of Options to Eligible Individuals</w:t>
      </w:r>
      <w:r>
        <w:rPr>
          <w:rFonts w:ascii="Arial" w:cs="Arial" w:eastAsia="Arial" w:hAnsi="Arial"/>
          <w:sz w:val="18"/>
          <w:szCs w:val="18"/>
          <w:color w:val="auto"/>
        </w:rPr>
        <w:t>. The Administrator is authorized to grant Options to Eligible Individuals from time to time, in its sole discretion, on such terms and conditions as it may determine which shall not be inconsistent with the Plan.</w:t>
      </w:r>
    </w:p>
    <w:p>
      <w:pPr>
        <w:spacing w:after="0" w:line="198" w:lineRule="exact"/>
        <w:rPr>
          <w:sz w:val="20"/>
          <w:szCs w:val="20"/>
          <w:color w:val="auto"/>
        </w:rPr>
      </w:pPr>
    </w:p>
    <w:p>
      <w:pPr>
        <w:jc w:val="both"/>
        <w:ind w:firstLine="729"/>
        <w:spacing w:after="0" w:line="270"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Qualification of Incentive Stock Options</w:t>
      </w:r>
      <w:r>
        <w:rPr>
          <w:rFonts w:ascii="Arial" w:cs="Arial" w:eastAsia="Arial" w:hAnsi="Arial"/>
          <w:sz w:val="16"/>
          <w:szCs w:val="16"/>
          <w:color w:val="auto"/>
        </w:rPr>
        <w:t>. No Incentive Stock Option shall be granted to any person who is not an Employee of the Company or any subsidiary corporation (as defined in Section 424(f) of the Code) of the Company. No person who qualifies as a Greater Than 10% Stockholder may be granted an Incentive Stock Option unless such Incentive Stock Option conforms to the applicable provisions of Section 422 of the Code. Any Incentive Stock Option granted under the Plan may be modified by the Administrator, with the consent of the Holder, to disqualify such Option from treatment as an “incentive stock option” under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subsidiary or parent corporation thereof (each as defined in Section 424(f) and (e) of the Code, respectively), exceeds $100,000, the Options shall be treated as Non-Qualified Stock Options to the extent required by Section 422 of the Code. The rule set forth in the preceding sentence shall be applied by taking Options and other “incentive stock options” into account in the order in which they were granted and the Fair Market Value of stock shall be determined as of the time the respective options were granted.</w:t>
      </w:r>
    </w:p>
    <w:p>
      <w:pPr>
        <w:spacing w:after="0" w:line="198" w:lineRule="exact"/>
        <w:rPr>
          <w:sz w:val="20"/>
          <w:szCs w:val="20"/>
          <w:color w:val="auto"/>
        </w:rPr>
      </w:pPr>
    </w:p>
    <w:p>
      <w:pPr>
        <w:jc w:val="both"/>
        <w:ind w:firstLine="729"/>
        <w:spacing w:after="0" w:line="241"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Option Exercise Price</w:t>
      </w:r>
      <w:r>
        <w:rPr>
          <w:rFonts w:ascii="Arial" w:cs="Arial" w:eastAsia="Arial" w:hAnsi="Arial"/>
          <w:sz w:val="18"/>
          <w:szCs w:val="18"/>
          <w:color w:val="auto"/>
        </w:rPr>
        <w:t>. The exercise price per Share subject to each Option shall be set by the Administrator, but shall not be less than 100% of the Fair Market Value of a Share on the date the Option is granted (or, as to Incentive Stock Options, on the date the Option is modified, extended or renewed for purposes of Section 424(h) of the Code). In addition, in the case of Incentive Stock Options granted to a Greater Than 10% Stockholder, such price shall not be less than 110% of the Fair Market Value of a Share on the date the Option is granted (or the date the Option is modified, extended or renewed for purposes of Section 424(h) of the Code).</w:t>
      </w:r>
    </w:p>
    <w:p>
      <w:pPr>
        <w:spacing w:after="0" w:line="216" w:lineRule="exact"/>
        <w:rPr>
          <w:sz w:val="20"/>
          <w:szCs w:val="20"/>
          <w:color w:val="auto"/>
        </w:rPr>
      </w:pPr>
    </w:p>
    <w:p>
      <w:pPr>
        <w:jc w:val="both"/>
        <w:ind w:firstLine="729"/>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Option Term</w:t>
      </w:r>
      <w:r>
        <w:rPr>
          <w:rFonts w:ascii="Arial" w:cs="Arial" w:eastAsia="Arial" w:hAnsi="Arial"/>
          <w:sz w:val="18"/>
          <w:szCs w:val="18"/>
          <w:color w:val="auto"/>
        </w:rPr>
        <w:t>. The term of each Option (the “</w:t>
      </w:r>
      <w:r>
        <w:rPr>
          <w:rFonts w:ascii="Arial" w:cs="Arial" w:eastAsia="Arial" w:hAnsi="Arial"/>
          <w:sz w:val="18"/>
          <w:szCs w:val="18"/>
          <w:u w:val="single" w:color="auto"/>
          <w:color w:val="auto"/>
        </w:rPr>
        <w:t>Option Term</w:t>
      </w:r>
      <w:r>
        <w:rPr>
          <w:rFonts w:ascii="Arial" w:cs="Arial" w:eastAsia="Arial" w:hAnsi="Arial"/>
          <w:sz w:val="18"/>
          <w:szCs w:val="18"/>
          <w:color w:val="auto"/>
        </w:rPr>
        <w:t xml:space="preserve">”) shall be set by the Administrator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Option Term shall not be more than ten (10) years from the date the Option is granted, or five (5) years from the date an Incentive Stock Option is granted to a Greater Than 10% Stockholder. The Administrator shall determine the time period, including the time period following a Termination of Service, during which the Holder has the right to exercise the vested Options, which time period may not extend beyond the last day of the Option Term. Except as limited by the requirements of Section 409A or Section 422 of the Code and regulations and rulings thereunder or the first sentence of this Section 6.4, the Administrator may</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1" w:right="339" w:bottom="1440" w:gutter="0" w:footer="0" w:header="0"/>
        </w:sectPr>
      </w:pPr>
    </w:p>
    <w:bookmarkStart w:id="18" w:name="page19"/>
    <w:bookmarkEnd w:id="18"/>
    <w:p>
      <w:pPr>
        <w:jc w:val="both"/>
        <w:spacing w:after="0" w:line="248" w:lineRule="auto"/>
        <w:rPr>
          <w:sz w:val="20"/>
          <w:szCs w:val="20"/>
          <w:color w:val="auto"/>
        </w:rPr>
      </w:pPr>
      <w:r>
        <w:rPr>
          <w:rFonts w:ascii="Arial" w:cs="Arial" w:eastAsia="Arial" w:hAnsi="Arial"/>
          <w:sz w:val="18"/>
          <w:szCs w:val="18"/>
          <w:color w:val="auto"/>
        </w:rPr>
        <w:t>extend the Option Term of any outstanding Option, and may extend the time period during which vested Options may be exercised, in connection with any Termination of Service of the Holder, and may amend, subject to Section 14.1, any other term or condition of such Option relating to such a Termination of Service.</w:t>
      </w:r>
    </w:p>
    <w:p>
      <w:pPr>
        <w:spacing w:after="0" w:line="20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Option Vesting</w:t>
      </w:r>
      <w:r>
        <w:rPr>
          <w:rFonts w:ascii="Arial" w:cs="Arial" w:eastAsia="Arial" w:hAnsi="Arial"/>
          <w:sz w:val="18"/>
          <w:szCs w:val="18"/>
          <w:color w:val="auto"/>
        </w:rPr>
        <w:t>.</w:t>
      </w:r>
    </w:p>
    <w:p>
      <w:pPr>
        <w:spacing w:after="0" w:line="239" w:lineRule="exact"/>
        <w:rPr>
          <w:sz w:val="20"/>
          <w:szCs w:val="20"/>
          <w:color w:val="auto"/>
        </w:rPr>
      </w:pPr>
    </w:p>
    <w:p>
      <w:pPr>
        <w:jc w:val="both"/>
        <w:ind w:left="660" w:hanging="328"/>
        <w:spacing w:after="0" w:line="294" w:lineRule="auto"/>
        <w:tabs>
          <w:tab w:leader="none" w:pos="65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period during which the right to exercise, in whole or in part, an Option vests in the Holder shall be set by the Administrator and the Administrator may determine that an Option may not be exercised in whole or in part for a specified period after it is granted. Such vesting may be based on service with the Company or any Affiliate, any of the Performance Criteria, or any other criteria selected by the Administrator.</w:t>
      </w:r>
    </w:p>
    <w:p>
      <w:pPr>
        <w:spacing w:after="0" w:line="174" w:lineRule="exact"/>
        <w:rPr>
          <w:rFonts w:ascii="Arial" w:cs="Arial" w:eastAsia="Arial" w:hAnsi="Arial"/>
          <w:sz w:val="16"/>
          <w:szCs w:val="16"/>
          <w:color w:val="auto"/>
        </w:rPr>
      </w:pPr>
    </w:p>
    <w:p>
      <w:pPr>
        <w:jc w:val="both"/>
        <w:ind w:left="660" w:hanging="328"/>
        <w:spacing w:after="0" w:line="24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portion of an Option which is unexercisable at a Holder’s Termination of Service shall thereafter become exercisable, except as may be otherwise provided by the Administrator either in the Program, the Award Agreement or by action of the Administrator following the grant of the Option.</w:t>
      </w:r>
    </w:p>
    <w:p>
      <w:pPr>
        <w:spacing w:after="0" w:line="209" w:lineRule="exact"/>
        <w:rPr>
          <w:sz w:val="20"/>
          <w:szCs w:val="20"/>
          <w:color w:val="auto"/>
        </w:rPr>
      </w:pPr>
    </w:p>
    <w:p>
      <w:pPr>
        <w:jc w:val="both"/>
        <w:ind w:firstLine="729"/>
        <w:spacing w:after="0" w:line="257"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Substitute Awards</w:t>
      </w:r>
      <w:r>
        <w:rPr>
          <w:rFonts w:ascii="Arial" w:cs="Arial" w:eastAsia="Arial" w:hAnsi="Arial"/>
          <w:sz w:val="17"/>
          <w:szCs w:val="17"/>
          <w:color w:val="auto"/>
        </w:rPr>
        <w:t xml:space="preserve">. Notwithstanding the foregoing provisions of this Article 6 to the contrary, in the case of an Option that is a Substitute Award, the price per share of the Shares subject to such Option may be less than the Fair Market Value per share on the date of grant;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excess of: (a) the aggregate Fair Market Value (as of the date such Substitute Award is granted) of the Shares subject to the Substitute Award, over (b)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202" w:lineRule="exact"/>
        <w:rPr>
          <w:sz w:val="20"/>
          <w:szCs w:val="20"/>
          <w:color w:val="auto"/>
        </w:rPr>
      </w:pPr>
    </w:p>
    <w:p>
      <w:pPr>
        <w:jc w:val="both"/>
        <w:ind w:firstLine="729"/>
        <w:spacing w:after="0" w:line="241"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Substitution of Stock Appreciation Rights</w:t>
      </w:r>
      <w:r>
        <w:rPr>
          <w:rFonts w:ascii="Arial" w:cs="Arial" w:eastAsia="Arial" w:hAnsi="Arial"/>
          <w:sz w:val="18"/>
          <w:szCs w:val="18"/>
          <w:color w:val="auto"/>
        </w:rPr>
        <w:t xml:space="preserve">. The Administrator may provide in the applicable Program or the Award Agreement evidencing the grant of an Option that the Administrator, in its sole discretion, shall have the right to substitute a Stock Appreciation Right for such Option at any time prior to or upon exercise of such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Stock Appreciation Right shall be exercisable with respect to the same number of Shares for which such substituted Option would have been exercisable, and shall also have the same exercise price, vesting schedule and remaining Option Term as the substituted Option.</w:t>
      </w:r>
    </w:p>
    <w:p>
      <w:pPr>
        <w:spacing w:after="0" w:line="212"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ARTICLE 7.</w:t>
      </w:r>
    </w:p>
    <w:p>
      <w:pPr>
        <w:spacing w:after="0" w:line="239"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EXERCISE OF OPTIONS</w:t>
      </w:r>
    </w:p>
    <w:p>
      <w:pPr>
        <w:spacing w:after="0" w:line="243" w:lineRule="exact"/>
        <w:rPr>
          <w:sz w:val="20"/>
          <w:szCs w:val="20"/>
          <w:color w:val="auto"/>
        </w:rPr>
      </w:pPr>
    </w:p>
    <w:p>
      <w:pPr>
        <w:jc w:val="both"/>
        <w:ind w:firstLine="729"/>
        <w:spacing w:after="0" w:line="248"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Partial Exercise</w:t>
      </w:r>
      <w:r>
        <w:rPr>
          <w:rFonts w:ascii="Arial" w:cs="Arial" w:eastAsia="Arial" w:hAnsi="Arial"/>
          <w:sz w:val="18"/>
          <w:szCs w:val="18"/>
          <w:color w:val="auto"/>
        </w:rPr>
        <w:t>. An exercisable Option may be exercised in whole or in part. However, an Option shall not be exercisable with respect to fractional Shares and the Administrator may require that, by the terms of the Option, a partial exercise must be with respect to a minimum number of Shares.</w:t>
      </w:r>
    </w:p>
    <w:p>
      <w:pPr>
        <w:spacing w:after="0" w:line="209" w:lineRule="exact"/>
        <w:rPr>
          <w:sz w:val="20"/>
          <w:szCs w:val="20"/>
          <w:color w:val="auto"/>
        </w:rPr>
      </w:pPr>
    </w:p>
    <w:p>
      <w:pPr>
        <w:jc w:val="both"/>
        <w:ind w:firstLine="729"/>
        <w:spacing w:after="0" w:line="248"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Manner of Exercise</w:t>
      </w:r>
      <w:r>
        <w:rPr>
          <w:rFonts w:ascii="Arial" w:cs="Arial" w:eastAsia="Arial" w:hAnsi="Arial"/>
          <w:sz w:val="18"/>
          <w:szCs w:val="18"/>
          <w:color w:val="auto"/>
        </w:rPr>
        <w:t>. All or a portion of an exercisable Option shall be deemed exercised upon delivery of all of the following to the Secretary of the Company, the stock administrator of the Company or such other person or entity designated by the Administrator, or his, her or its office, as applicable:</w:t>
      </w:r>
    </w:p>
    <w:p>
      <w:pPr>
        <w:spacing w:after="0" w:line="209" w:lineRule="exact"/>
        <w:rPr>
          <w:sz w:val="20"/>
          <w:szCs w:val="20"/>
          <w:color w:val="auto"/>
        </w:rPr>
      </w:pPr>
    </w:p>
    <w:p>
      <w:pPr>
        <w:ind w:left="660" w:right="20" w:hanging="328"/>
        <w:spacing w:after="0" w:line="291" w:lineRule="auto"/>
        <w:tabs>
          <w:tab w:leader="none" w:pos="65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written or electronic notice complying with the applicable rules established by the Administrator stating that the Option, or a portion thereof, is exercised. The notice shall be signed by the Holder or other person then entitled to exercise the Option or such portion of the Option;</w:t>
      </w:r>
    </w:p>
    <w:p>
      <w:pPr>
        <w:spacing w:after="0" w:line="173" w:lineRule="exact"/>
        <w:rPr>
          <w:rFonts w:ascii="Arial" w:cs="Arial" w:eastAsia="Arial" w:hAnsi="Arial"/>
          <w:sz w:val="17"/>
          <w:szCs w:val="17"/>
          <w:color w:val="auto"/>
        </w:rPr>
      </w:pPr>
    </w:p>
    <w:p>
      <w:pPr>
        <w:jc w:val="both"/>
        <w:ind w:left="660" w:hanging="328"/>
        <w:spacing w:after="0" w:line="270"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Such representations and documents as the Administrator, in its sole discretion, deems necessary or advisable to effect compliance with Applicable Law. The Administrator may, in its sole discretion, also take whatever additional actions it deems appropriate to effect such compliance including, without limitation, placing legends on share certificates and issuing stop-transfer notices to agents and registrars;</w:t>
      </w:r>
    </w:p>
    <w:p>
      <w:pPr>
        <w:spacing w:after="0" w:line="190" w:lineRule="exact"/>
        <w:rPr>
          <w:rFonts w:ascii="Arial" w:cs="Arial" w:eastAsia="Arial" w:hAnsi="Arial"/>
          <w:sz w:val="17"/>
          <w:szCs w:val="17"/>
          <w:color w:val="auto"/>
        </w:rPr>
      </w:pPr>
    </w:p>
    <w:p>
      <w:pPr>
        <w:ind w:left="660" w:hanging="328"/>
        <w:spacing w:after="0" w:line="261" w:lineRule="auto"/>
        <w:tabs>
          <w:tab w:leader="none" w:pos="6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event that the Option shall be exercised pursuant to Section 12.3 by any person or persons other than the Holder, appropriate proof of the right of such person or persons to exercise the Option, as determined in the sole discretion of the Administrator; and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1" w:right="339" w:bottom="1440" w:gutter="0" w:footer="0" w:header="0"/>
        </w:sectPr>
      </w:pPr>
    </w:p>
    <w:bookmarkStart w:id="19" w:name="page20"/>
    <w:bookmarkEnd w:id="19"/>
    <w:p>
      <w:pPr>
        <w:ind w:left="66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Full payment of the exercise price and applicable withholding taxes to the stock administrator of the Company for the Shares with respect to which the Option, or portion thereof, is exercised, in a manner permitted by Sections 12.1 and 12.2.</w:t>
      </w:r>
    </w:p>
    <w:p>
      <w:pPr>
        <w:spacing w:after="0" w:line="198" w:lineRule="exact"/>
        <w:rPr>
          <w:sz w:val="20"/>
          <w:szCs w:val="20"/>
          <w:color w:val="auto"/>
        </w:rPr>
      </w:pPr>
    </w:p>
    <w:p>
      <w:pPr>
        <w:jc w:val="both"/>
        <w:ind w:firstLine="729"/>
        <w:spacing w:after="0" w:line="24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Notification Regarding Disposition</w:t>
      </w:r>
      <w:r>
        <w:rPr>
          <w:rFonts w:ascii="Arial" w:cs="Arial" w:eastAsia="Arial" w:hAnsi="Arial"/>
          <w:sz w:val="18"/>
          <w:szCs w:val="18"/>
          <w:color w:val="auto"/>
        </w:rPr>
        <w:t>. The Holder shall give the Company prompt written or electronic notice of any disposition of Shares acquired by exercise of an Incentive Stock Option which occurs within (a) two years from the date of granting (including the date the Option is modified, extended or renewed for purposes of Section 424(h) of the Code) such Option to such Holder, or (b) one year after the transfer of such shares to such Holder.</w:t>
      </w:r>
    </w:p>
    <w:p>
      <w:pPr>
        <w:spacing w:after="0" w:line="211"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ARTICLE 8.</w:t>
      </w:r>
    </w:p>
    <w:p>
      <w:pPr>
        <w:spacing w:after="0" w:line="239"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AWARD OF RESTRICTED STOCK</w:t>
      </w:r>
    </w:p>
    <w:p>
      <w:pPr>
        <w:spacing w:after="0" w:line="24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Award of Restricted Stock</w:t>
      </w:r>
      <w:r>
        <w:rPr>
          <w:rFonts w:ascii="Arial" w:cs="Arial" w:eastAsia="Arial" w:hAnsi="Arial"/>
          <w:sz w:val="18"/>
          <w:szCs w:val="18"/>
          <w:color w:val="auto"/>
        </w:rPr>
        <w:t>.</w:t>
      </w:r>
    </w:p>
    <w:p>
      <w:pPr>
        <w:spacing w:after="0" w:line="239" w:lineRule="exact"/>
        <w:rPr>
          <w:sz w:val="20"/>
          <w:szCs w:val="20"/>
          <w:color w:val="auto"/>
        </w:rPr>
      </w:pPr>
    </w:p>
    <w:p>
      <w:pPr>
        <w:jc w:val="both"/>
        <w:ind w:left="660" w:hanging="328"/>
        <w:spacing w:after="0" w:line="248" w:lineRule="auto"/>
        <w:tabs>
          <w:tab w:leader="none" w:pos="65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Administrator is authorized to grant Restricted Stock to Eligible Individuals, and shall determine the terms and conditions, including the restrictions applicable to each award of Restricted Stock, which terms and conditions shall not be inconsistent with the Plan, and may impose such conditions on the issuance of such Restricted Stock as it deems appropriate.</w:t>
      </w:r>
    </w:p>
    <w:p>
      <w:pPr>
        <w:spacing w:after="0" w:line="208" w:lineRule="exact"/>
        <w:rPr>
          <w:rFonts w:ascii="Arial" w:cs="Arial" w:eastAsia="Arial" w:hAnsi="Arial"/>
          <w:sz w:val="18"/>
          <w:szCs w:val="18"/>
          <w:color w:val="auto"/>
        </w:rPr>
      </w:pPr>
    </w:p>
    <w:p>
      <w:pPr>
        <w:jc w:val="both"/>
        <w:ind w:left="660" w:hanging="328"/>
        <w:spacing w:after="0" w:line="24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Administrator shall establish the purchase price, if any, and form of payment for Restricted Stock; provided, however, that if a purchase price is charged, such purchase price shall be no less than the par value, if any, of the Shares to be purchased, unless otherwise permitted by Applicable Law. In all cases, legal consideration shall be required for each issuance of Restricted Stock.</w:t>
      </w:r>
    </w:p>
    <w:p>
      <w:pPr>
        <w:spacing w:after="0" w:line="209" w:lineRule="exact"/>
        <w:rPr>
          <w:sz w:val="20"/>
          <w:szCs w:val="20"/>
          <w:color w:val="auto"/>
        </w:rPr>
      </w:pPr>
    </w:p>
    <w:p>
      <w:pPr>
        <w:jc w:val="both"/>
        <w:ind w:firstLine="729"/>
        <w:spacing w:after="0" w:line="276"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Rights as Stockholders</w:t>
      </w:r>
      <w:r>
        <w:rPr>
          <w:rFonts w:ascii="Arial" w:cs="Arial" w:eastAsia="Arial" w:hAnsi="Arial"/>
          <w:sz w:val="16"/>
          <w:szCs w:val="16"/>
          <w:color w:val="auto"/>
        </w:rPr>
        <w:t>. Subject to Section 8.4, upon issuance of Restricted Stock, the Holder shall have, unless otherwise provided by the Administrator, all the rights of a stockholder with respect to said Shares, subject to the restrictions in the applicable Program or in each individual Award Agreement, including the right to receive all dividends and other distributions paid or made with respect to the Shares; provided, however, that, in the sole discretion of the Administrator, any extraordinary distributions with respect to the Shares shall be subject to the restrictions set forth in Section 8.3. In addition, with respect to a share of Restricted Stock with performance-based vesting, dividends which are paid prior to vesting shall only be paid out to the Holder to the extent that the performance-based vesting conditions are subsequently satisfied and the share of Restricted Stock vests.</w:t>
      </w:r>
    </w:p>
    <w:p>
      <w:pPr>
        <w:spacing w:after="0" w:line="189" w:lineRule="exact"/>
        <w:rPr>
          <w:sz w:val="20"/>
          <w:szCs w:val="20"/>
          <w:color w:val="auto"/>
        </w:rPr>
      </w:pPr>
    </w:p>
    <w:p>
      <w:pPr>
        <w:jc w:val="both"/>
        <w:ind w:firstLine="729"/>
        <w:spacing w:after="0" w:line="253"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Restrictions</w:t>
      </w:r>
      <w:r>
        <w:rPr>
          <w:rFonts w:ascii="Arial" w:cs="Arial" w:eastAsia="Arial" w:hAnsi="Arial"/>
          <w:sz w:val="17"/>
          <w:szCs w:val="17"/>
          <w:color w:val="auto"/>
        </w:rPr>
        <w:t>. All shares of Restricted Stock (including any shares received by Holders thereof with respect to shares of Restricted Stock as a result of stock dividends, stock splits or any other form of recapitalization) shall, in the terms of the applicable Program or in each individual Award Agreement, be subject to such restrictions and vesting requirements as the Administrator shall provide. Such restrictions may include, without limitation, restrictions concerning voting rights and transferability and such restrictions may lapse separately or in combination at such times and pursuant to such circumstances or based on such criteria as selected by the Administrator, including, without limitation, criteria based on the Holder’s duration of employment, directorship or consultancy with the Company, the Performance Criteria, Company performance, individual performance or other criteria selected by the Administrator. By action taken after the Restricted Stock is issued, the Administrator may, on such terms and conditions as it may determine to be appropriate, accelerate the vesting of such Restricted Stock by removing any or all of the restrictions imposed by the terms of the Program or the Award Agreement. Restricted Stock may not be sold or encumbered until all restrictions are terminated or expire.</w:t>
      </w:r>
    </w:p>
    <w:p>
      <w:pPr>
        <w:spacing w:after="0" w:line="211" w:lineRule="exact"/>
        <w:rPr>
          <w:sz w:val="20"/>
          <w:szCs w:val="20"/>
          <w:color w:val="auto"/>
        </w:rPr>
      </w:pPr>
    </w:p>
    <w:p>
      <w:pPr>
        <w:jc w:val="both"/>
        <w:ind w:firstLine="729"/>
        <w:spacing w:after="0" w:line="276"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Repurchase or Forfeiture of Restricted Stock</w:t>
      </w:r>
      <w:r>
        <w:rPr>
          <w:rFonts w:ascii="Arial" w:cs="Arial" w:eastAsia="Arial" w:hAnsi="Arial"/>
          <w:sz w:val="16"/>
          <w:szCs w:val="16"/>
          <w:color w:val="auto"/>
        </w:rPr>
        <w:t>. Except as otherwise determined by the Administrator at the time of the grant of the Award or thereafter, if no price was paid by the Holder for the Restricted Stock, upon a Termination of Service during the applicable restriction period, the Holder’s rights in unvested Restricted Stock then subject to restrictions shall lapse, and such Restricted Stock shall be surrendered to the Company and cancelled without consideration. If a price was paid by the Holder for the Restricted Stock, upon a Termination of Service during the applicable restriction period, the Company shall have the right to repurchase from the Holder the unvested Restricted Stock then subject to restrictions at a cash price per share equal to the price paid by the Holder for such Restricted Stock or such other amount as may be specified in the Program or the Award Agreement.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1" w:right="339" w:bottom="1440" w:gutter="0" w:footer="0" w:header="0"/>
        </w:sectPr>
      </w:pPr>
    </w:p>
    <w:bookmarkStart w:id="20" w:name="page21"/>
    <w:bookmarkEnd w:id="20"/>
    <w:p>
      <w:pPr>
        <w:jc w:val="both"/>
        <w:spacing w:after="0" w:line="270" w:lineRule="auto"/>
        <w:rPr>
          <w:sz w:val="20"/>
          <w:szCs w:val="20"/>
          <w:color w:val="auto"/>
        </w:rPr>
      </w:pPr>
      <w:r>
        <w:rPr>
          <w:rFonts w:ascii="Arial" w:cs="Arial" w:eastAsia="Arial" w:hAnsi="Arial"/>
          <w:sz w:val="17"/>
          <w:szCs w:val="17"/>
          <w:color w:val="auto"/>
        </w:rPr>
        <w:t>Notwithstanding the foregoing, the Administrator in its sole discretion may provide that in the event of certain events, including a Change in Control, the Holder’s death, retirement or disability or any other specified Termination of Service or any other event, the Holder’s rights in unvested Restricted Stock shall not lapse, such Restricted Stock shall vest and, if applicable, the Company shall not have a right of repurchase.</w:t>
      </w:r>
    </w:p>
    <w:p>
      <w:pPr>
        <w:spacing w:after="0" w:line="191" w:lineRule="exact"/>
        <w:rPr>
          <w:sz w:val="20"/>
          <w:szCs w:val="20"/>
          <w:color w:val="auto"/>
        </w:rPr>
      </w:pPr>
    </w:p>
    <w:p>
      <w:pPr>
        <w:jc w:val="both"/>
        <w:ind w:firstLine="729"/>
        <w:spacing w:after="0" w:line="257"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Certificates for Restricted Stock</w:t>
      </w:r>
      <w:r>
        <w:rPr>
          <w:rFonts w:ascii="Arial" w:cs="Arial" w:eastAsia="Arial" w:hAnsi="Arial"/>
          <w:sz w:val="17"/>
          <w:szCs w:val="17"/>
          <w:color w:val="auto"/>
        </w:rPr>
        <w:t>. Restricted Stock granted pursuant to the Plan may be evidenced in such manner as the Administrator shall determine. Certificates or book entries evidencing shares of Restricted Stock must include an appropriate legend referring to the terms, conditions, and restrictions applicable to such Restricted Stock. The Company may, in it sole discretion, (a) retain physical possession of any stock certificate evidencing shares of Restricted Stock until the restrictions thereon shall have lapsed and/or (b) require that the stock certificates evidencing shares of Restricted Stock be held in custody by a designated escrow agent (which may but need not be the Company) until the restrictions thereon shall have lapsed, and that the Holder deliver a stock power, endorsed in blank, relating to such Restricted Stock.</w:t>
      </w:r>
    </w:p>
    <w:p>
      <w:pPr>
        <w:spacing w:after="0" w:line="202" w:lineRule="exact"/>
        <w:rPr>
          <w:sz w:val="20"/>
          <w:szCs w:val="20"/>
          <w:color w:val="auto"/>
        </w:rPr>
      </w:pPr>
    </w:p>
    <w:p>
      <w:pPr>
        <w:jc w:val="both"/>
        <w:ind w:firstLine="729"/>
        <w:spacing w:after="0" w:line="294"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Section 83(b) Election</w:t>
      </w:r>
      <w:r>
        <w:rPr>
          <w:rFonts w:ascii="Arial" w:cs="Arial" w:eastAsia="Arial" w:hAnsi="Arial"/>
          <w:sz w:val="16"/>
          <w:szCs w:val="16"/>
          <w:color w:val="auto"/>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ARTICLE 9.</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OF RESTRICTED STOCK UNITS</w:t>
      </w:r>
    </w:p>
    <w:p>
      <w:pPr>
        <w:spacing w:after="0" w:line="243" w:lineRule="exact"/>
        <w:rPr>
          <w:sz w:val="20"/>
          <w:szCs w:val="20"/>
          <w:color w:val="auto"/>
        </w:rPr>
      </w:pPr>
    </w:p>
    <w:p>
      <w:pPr>
        <w:jc w:val="both"/>
        <w:ind w:right="20" w:firstLine="729"/>
        <w:spacing w:after="0" w:line="261"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 The Administrator is authorized to grant Awards of Restricted Stock Units to any Eligible Individual selected by the Administrator in such amounts and subject to such terms and conditions as determined by the Administrator.</w:t>
      </w:r>
    </w:p>
    <w:p>
      <w:pPr>
        <w:spacing w:after="0" w:line="198" w:lineRule="exact"/>
        <w:rPr>
          <w:sz w:val="20"/>
          <w:szCs w:val="20"/>
          <w:color w:val="auto"/>
        </w:rPr>
      </w:pPr>
    </w:p>
    <w:p>
      <w:pPr>
        <w:ind w:left="740"/>
        <w:spacing w:after="0"/>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Term</w:t>
      </w:r>
      <w:r>
        <w:rPr>
          <w:rFonts w:ascii="Arial" w:cs="Arial" w:eastAsia="Arial" w:hAnsi="Arial"/>
          <w:sz w:val="16"/>
          <w:szCs w:val="16"/>
          <w:color w:val="auto"/>
        </w:rPr>
        <w:t>. Except as otherwise provided herein, the term of a Restricted Stock Unit award shall be set by the Administrator in its sole discretion.</w:t>
      </w:r>
    </w:p>
    <w:p>
      <w:pPr>
        <w:spacing w:after="0" w:line="262" w:lineRule="exact"/>
        <w:rPr>
          <w:sz w:val="20"/>
          <w:szCs w:val="20"/>
          <w:color w:val="auto"/>
        </w:rPr>
      </w:pPr>
    </w:p>
    <w:p>
      <w:pPr>
        <w:jc w:val="both"/>
        <w:ind w:firstLine="729"/>
        <w:spacing w:after="0" w:line="248"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Purchase Price</w:t>
      </w:r>
      <w:r>
        <w:rPr>
          <w:rFonts w:ascii="Arial" w:cs="Arial" w:eastAsia="Arial" w:hAnsi="Arial"/>
          <w:sz w:val="18"/>
          <w:szCs w:val="18"/>
          <w:color w:val="auto"/>
        </w:rPr>
        <w:t>. The Administrator shall specify the purchase price, if any, to be paid by the Holder to the Company with respect to any Restricted Stock Unit award; provided, however, that value of the consideration shall not be less than the par value of a Share, unless otherwise permitted by Applicable Law.</w:t>
      </w:r>
    </w:p>
    <w:p>
      <w:pPr>
        <w:spacing w:after="0" w:line="209" w:lineRule="exact"/>
        <w:rPr>
          <w:sz w:val="20"/>
          <w:szCs w:val="20"/>
          <w:color w:val="auto"/>
        </w:rPr>
      </w:pPr>
    </w:p>
    <w:p>
      <w:pPr>
        <w:jc w:val="both"/>
        <w:ind w:firstLine="729"/>
        <w:spacing w:after="0" w:line="284"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Vesting of Restricted Stock Units</w:t>
      </w:r>
      <w:r>
        <w:rPr>
          <w:rFonts w:ascii="Arial" w:cs="Arial" w:eastAsia="Arial" w:hAnsi="Arial"/>
          <w:sz w:val="16"/>
          <w:szCs w:val="16"/>
          <w:color w:val="auto"/>
        </w:rPr>
        <w:t>.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Affiliate, one or more Performance Criteria, Company performance, individual performance or other specific criteria, in each case on a specified date or dates or over any period or periods, as determined by the Administrator.</w:t>
      </w:r>
    </w:p>
    <w:p>
      <w:pPr>
        <w:spacing w:after="0" w:line="182" w:lineRule="exact"/>
        <w:rPr>
          <w:sz w:val="20"/>
          <w:szCs w:val="20"/>
          <w:color w:val="auto"/>
        </w:rPr>
      </w:pPr>
    </w:p>
    <w:p>
      <w:pPr>
        <w:jc w:val="both"/>
        <w:ind w:firstLine="729"/>
        <w:spacing w:after="0" w:line="269"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Maturity and Payment</w:t>
      </w:r>
      <w:r>
        <w:rPr>
          <w:rFonts w:ascii="Arial" w:cs="Arial" w:eastAsia="Arial" w:hAnsi="Arial"/>
          <w:sz w:val="16"/>
          <w:szCs w:val="16"/>
          <w:color w:val="auto"/>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as otherwise determined by the Administrator, set forth in any applicable Award Agreement, and subject to compliance with Section 409A of the Code, in no event shall the maturity date relating to each Restricted Stock Unit occur following the later of</w:t>
      </w:r>
    </w:p>
    <w:p>
      <w:pPr>
        <w:spacing w:after="0" w:line="1" w:lineRule="exact"/>
        <w:rPr>
          <w:sz w:val="20"/>
          <w:szCs w:val="20"/>
          <w:color w:val="auto"/>
        </w:rPr>
      </w:pPr>
    </w:p>
    <w:p>
      <w:pPr>
        <w:jc w:val="both"/>
        <w:ind w:firstLine="8"/>
        <w:spacing w:after="0" w:line="237" w:lineRule="auto"/>
        <w:tabs>
          <w:tab w:leader="none" w:pos="26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15th day of the third month following the end of calendar year in which the Restricted Stock Unit vests; or (b) the 15th day of the third month following the end of the Company’s fiscal year in which the Restricted Stock Unit vests. On the maturity date, the Company shall, subject to Section 12.4(e),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Common Stock as determined by the Administrator.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1" w:right="339" w:bottom="1440" w:gutter="0" w:footer="0" w:header="0"/>
        </w:sectPr>
      </w:pPr>
    </w:p>
    <w:bookmarkStart w:id="21" w:name="page22"/>
    <w:bookmarkEnd w:id="21"/>
    <w:p>
      <w:pPr>
        <w:jc w:val="both"/>
        <w:ind w:firstLine="729"/>
        <w:spacing w:after="0" w:line="253"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Payment upon Termination of Service</w:t>
      </w:r>
      <w:r>
        <w:rPr>
          <w:rFonts w:ascii="Arial" w:cs="Arial" w:eastAsia="Arial" w:hAnsi="Arial"/>
          <w:sz w:val="17"/>
          <w:szCs w:val="17"/>
          <w:color w:val="auto"/>
        </w:rPr>
        <w:t xml:space="preserve">. An Award of Restricted Stock Units shall only be payable while the Holder is an Employee, a Consultant or a member of the Board,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Administrator, in its sole and absolute discretion may provide (in an Award Agreement or otherwise) that a Restricted Stock Unit award may be paid subsequent to a Termination of Service in certain events, including a Change in Control, the Holder’s death, retirement or disability or any other specified Termination of Service.</w:t>
      </w:r>
    </w:p>
    <w:p>
      <w:pPr>
        <w:spacing w:after="0" w:line="2" w:lineRule="exact"/>
        <w:rPr>
          <w:sz w:val="20"/>
          <w:szCs w:val="20"/>
          <w:color w:val="auto"/>
        </w:rPr>
      </w:pPr>
    </w:p>
    <w:p>
      <w:pPr>
        <w:jc w:val="both"/>
        <w:ind w:firstLine="729"/>
        <w:spacing w:after="0" w:line="239"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No Rights as a Stockholder</w:t>
      </w:r>
      <w:r>
        <w:rPr>
          <w:rFonts w:ascii="Arial" w:cs="Arial" w:eastAsia="Arial" w:hAnsi="Arial"/>
          <w:sz w:val="18"/>
          <w:szCs w:val="18"/>
          <w:color w:val="auto"/>
        </w:rPr>
        <w:t>. Unless otherwise determined by the Administrator, a Holder who is awarded Restricted Stock Units shall possess no incidents of ownership with respect to the Shares represented by such Restricted Stock Units, unless and until the same are transferred to the Holder pursuant to the terms of this Plan and the Award Agreement.</w:t>
      </w:r>
    </w:p>
    <w:p>
      <w:pPr>
        <w:spacing w:after="0" w:line="216" w:lineRule="exact"/>
        <w:rPr>
          <w:sz w:val="20"/>
          <w:szCs w:val="20"/>
          <w:color w:val="auto"/>
        </w:rPr>
      </w:pPr>
    </w:p>
    <w:p>
      <w:pPr>
        <w:jc w:val="both"/>
        <w:ind w:firstLine="729"/>
        <w:spacing w:after="0" w:line="270"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Dividend Equivalents</w:t>
      </w:r>
      <w:r>
        <w:rPr>
          <w:rFonts w:ascii="Arial" w:cs="Arial" w:eastAsia="Arial" w:hAnsi="Arial"/>
          <w:sz w:val="17"/>
          <w:szCs w:val="17"/>
          <w:color w:val="auto"/>
        </w:rPr>
        <w:t>. Subject to Section 10.2, the Administrator may, in its sole discretion, provide that Dividend Equivalents shall be earned by a Holder of Restricted Stock Units based on dividends declared on the Common Stock, to be credited as of dividend payment dates during the period between the date an Award of Restricted Stock Units is granted to a Holder and the maturity date of such Award.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39"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AWARD OF PERFORMANCE AWARDS, DIVIDEND EQUIVALENTS, STOCK PAYMENTS, DEFERRED STOCK, DEFERRED STOCK UNITS</w:t>
      </w:r>
    </w:p>
    <w:p>
      <w:pPr>
        <w:spacing w:after="0" w:line="19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Performance Awards</w:t>
      </w:r>
      <w:r>
        <w:rPr>
          <w:rFonts w:ascii="Arial" w:cs="Arial" w:eastAsia="Arial" w:hAnsi="Arial"/>
          <w:sz w:val="18"/>
          <w:szCs w:val="18"/>
          <w:color w:val="auto"/>
        </w:rPr>
        <w:t>.</w:t>
      </w:r>
    </w:p>
    <w:p>
      <w:pPr>
        <w:spacing w:after="0" w:line="239" w:lineRule="exact"/>
        <w:rPr>
          <w:sz w:val="20"/>
          <w:szCs w:val="20"/>
          <w:color w:val="auto"/>
        </w:rPr>
      </w:pPr>
    </w:p>
    <w:p>
      <w:pPr>
        <w:jc w:val="both"/>
        <w:ind w:left="660" w:hanging="328"/>
        <w:spacing w:after="0" w:line="279" w:lineRule="auto"/>
        <w:tabs>
          <w:tab w:leader="none" w:pos="65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Administrator is authorized to grant Performance Awards, including Awards of Performance Stock Units, to any Eligible Individual and to determine whether such Performance Awards shall be Performance-Based Compensation. The value of Performance Awards, including Performance Stock Units, may be linked to any one or more of the Performance Criteria or other specific criteria determined by the Administrator, in each case on a specified date or dates or over any period or periods determined by the Administrator. Performance Awards, including Performance Stock Unit awards may be paid in cash, Shares, or a combination of cash and Shares, as determined by the Administrator.</w:t>
      </w:r>
    </w:p>
    <w:p>
      <w:pPr>
        <w:spacing w:after="0" w:line="186" w:lineRule="exact"/>
        <w:rPr>
          <w:rFonts w:ascii="Arial" w:cs="Arial" w:eastAsia="Arial" w:hAnsi="Arial"/>
          <w:sz w:val="16"/>
          <w:szCs w:val="16"/>
          <w:color w:val="auto"/>
        </w:rPr>
      </w:pPr>
    </w:p>
    <w:p>
      <w:pPr>
        <w:jc w:val="both"/>
        <w:ind w:left="660" w:hanging="328"/>
        <w:spacing w:after="0" w:line="24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Without limiting Section 10.1(a), the Administrator may grant Performance Awards to any Eligible Individual in the form of a cash bonus payable upon the attainment of objective Performance Goals, or such other criteria, whether or not objective, which are established by the Administrator, in each case on a specified date or dates or over any period or periods determined by the Administrator. Any such bonuses paid to a Holder which are intended to be Performance-Based Compensation shall be based upon objectively determinable bonus formulas established in accordance with the provisions of Article 5.</w:t>
      </w:r>
    </w:p>
    <w:p>
      <w:pPr>
        <w:spacing w:after="0" w:line="21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Dividend Equivalents</w:t>
      </w:r>
      <w:r>
        <w:rPr>
          <w:rFonts w:ascii="Arial" w:cs="Arial" w:eastAsia="Arial" w:hAnsi="Arial"/>
          <w:sz w:val="18"/>
          <w:szCs w:val="18"/>
          <w:color w:val="auto"/>
        </w:rPr>
        <w:t>.</w:t>
      </w:r>
    </w:p>
    <w:p>
      <w:pPr>
        <w:spacing w:after="0" w:line="239" w:lineRule="exact"/>
        <w:rPr>
          <w:sz w:val="20"/>
          <w:szCs w:val="20"/>
          <w:color w:val="auto"/>
        </w:rPr>
      </w:pPr>
    </w:p>
    <w:p>
      <w:pPr>
        <w:jc w:val="both"/>
        <w:ind w:left="660" w:hanging="328"/>
        <w:spacing w:after="0" w:line="257" w:lineRule="auto"/>
        <w:tabs>
          <w:tab w:leader="none" w:pos="65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Dividend Equivalents may be granted by the Administrator based on dividends declared on the Common Stock, to be credited as of dividend payment dates during the period between the date an Award is granted to a Holder and the date such Award vests, is exercised, is distributed or expires, as determined by the Administrator. Such Dividend Equivalents shall be converted to cash or additional Shares by such formula and at such time and subject to such limitations as may be determined by the Administrator. In addition, Dividend Equivalents with respect to an Award with performance-based vesting that are based on dividends paid prior to the vesting of such Award shall only be paid out to the Holder to the extent that the performance-based vesting conditions are subsequently satisfied and the Award vests.</w:t>
      </w:r>
    </w:p>
    <w:p>
      <w:pPr>
        <w:spacing w:after="0" w:line="202"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Notwithstanding the foregoing, no Dividend Equivalents shall be payable with respect to Options or Stock Appreciation Rights.</w:t>
      </w:r>
    </w:p>
    <w:p>
      <w:pPr>
        <w:spacing w:after="0" w:line="239" w:lineRule="exact"/>
        <w:rPr>
          <w:sz w:val="20"/>
          <w:szCs w:val="20"/>
          <w:color w:val="auto"/>
        </w:rPr>
      </w:pPr>
    </w:p>
    <w:p>
      <w:pPr>
        <w:jc w:val="both"/>
        <w:ind w:firstLine="729"/>
        <w:spacing w:after="0" w:line="262"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Stock Payments</w:t>
      </w:r>
      <w:r>
        <w:rPr>
          <w:rFonts w:ascii="Arial" w:cs="Arial" w:eastAsia="Arial" w:hAnsi="Arial"/>
          <w:sz w:val="17"/>
          <w:szCs w:val="17"/>
          <w:color w:val="auto"/>
        </w:rPr>
        <w:t>. The Administrator is authorized to make Stock Payments to any Eligible Individual. The number or value of Shares of any Stock Payment shall be determined by the Administrator and may be based upon one or more Performance Criteria or any other specific criteria, including service to the Company or any Affiliate, determined by the Administrator. Shares underlying a Stock Payment which is subject to a vesting schedule or other conditions or criteria set by the Administrator will not be issued until those conditions have been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1" w:right="339" w:bottom="1440" w:gutter="0" w:footer="0" w:header="0"/>
        </w:sectPr>
      </w:pPr>
    </w:p>
    <w:bookmarkStart w:id="22" w:name="page23"/>
    <w:bookmarkEnd w:id="22"/>
    <w:p>
      <w:pPr>
        <w:jc w:val="both"/>
        <w:spacing w:after="0" w:line="294" w:lineRule="auto"/>
        <w:rPr>
          <w:sz w:val="20"/>
          <w:szCs w:val="20"/>
          <w:color w:val="auto"/>
        </w:rPr>
      </w:pPr>
      <w:r>
        <w:rPr>
          <w:rFonts w:ascii="Arial" w:cs="Arial" w:eastAsia="Arial" w:hAnsi="Arial"/>
          <w:sz w:val="16"/>
          <w:szCs w:val="16"/>
          <w:color w:val="auto"/>
        </w:rPr>
        <w:t>satisfied. Unless otherwise provided by the Administrator, a Holder of a Stock Payment shall have no rights as a Company stockholder with respect to such Stock Payment until such time as the Stock Payment has vested and the Shares underlying the Award have been issued to the Holder. Stock Payments may, but are not required to, be made in lieu of base salary, bonus, fees or other cash compensation otherwise payable to such Eligible Individual.</w:t>
      </w:r>
    </w:p>
    <w:p>
      <w:pPr>
        <w:spacing w:after="0" w:line="174" w:lineRule="exact"/>
        <w:rPr>
          <w:sz w:val="20"/>
          <w:szCs w:val="20"/>
          <w:color w:val="auto"/>
        </w:rPr>
      </w:pPr>
    </w:p>
    <w:p>
      <w:pPr>
        <w:jc w:val="both"/>
        <w:ind w:firstLine="729"/>
        <w:spacing w:after="0" w:line="238"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Deferred Stock</w:t>
      </w:r>
      <w:r>
        <w:rPr>
          <w:rFonts w:ascii="Arial" w:cs="Arial" w:eastAsia="Arial" w:hAnsi="Arial"/>
          <w:sz w:val="18"/>
          <w:szCs w:val="18"/>
          <w:color w:val="auto"/>
        </w:rPr>
        <w:t>. The Administrator is authorized to grant Deferred Stock to any Eligible Individual. The number of shares of Deferred Stock shall be determined by the Administrator and may (but is not required to) be based on one or more Performance Criteria or other specific criteria, including service to the Company or any Affiliate, as the Administrator determines, in each case on a specified date or dates or over any period or periods determined by the Administrator. Shares underlying a Deferred Stock award which is subject to a vesting schedule or other conditions or criteria set by the Administrator will be issued on the vesting date(s) or date(s) that those conditions and criteria have been satisfied, as applicable. Unless otherwise provided by the Administrator, a Holder of Deferred Stock shall have no rights as a Company stockholder with respect to such Deferred Stock until such time as the Award has vested and any other applicable conditions and/or criteria have been satisfied and the Shares underlying the Award have been issued to the Holder.</w:t>
      </w:r>
    </w:p>
    <w:p>
      <w:pPr>
        <w:spacing w:after="0" w:line="221" w:lineRule="exact"/>
        <w:rPr>
          <w:sz w:val="20"/>
          <w:szCs w:val="20"/>
          <w:color w:val="auto"/>
        </w:rPr>
      </w:pPr>
    </w:p>
    <w:p>
      <w:pPr>
        <w:jc w:val="both"/>
        <w:ind w:firstLine="729"/>
        <w:spacing w:after="0" w:line="271"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Deferred Stock Units</w:t>
      </w:r>
      <w:r>
        <w:rPr>
          <w:rFonts w:ascii="Arial" w:cs="Arial" w:eastAsia="Arial" w:hAnsi="Arial"/>
          <w:sz w:val="16"/>
          <w:szCs w:val="16"/>
          <w:color w:val="auto"/>
        </w:rPr>
        <w:t>. The Administrator is authorized to grant Deferred Stock Units to any Eligible Individual. The number of Deferred Stock Units shall be determined by the Administrator and may (but is not required to) be based on one or more Performance Criteria or other specific criteria, including service to the Company or any Affiliate, as the Administrator determines, in each case on a specified date or dates or over any period or periods determined by the Administrator. Each Deferred Stock Unit shall entitle the Holder thereof to receive one Share on the date the Deferred Stock Unit becomes vested or upon a specified settlement date thereafter (which settlement date may (but is not required to) be the date of the Holder’s Termination of Service). Shares underlying a Deferred Stock Unit award which is subject to a vesting schedule or other conditions or criteria set by the Administrator will not be issued until on or following the date that those conditions and criteria have been satisfied. Unless otherwise provided by the Administrator, a Holder of Deferred Stock Units shall have no rights as a Company stockholder with respect to such Deferred Stock Units until such time as the Award has vested and any other applicable conditions and/or criteria have been satisfied and the Shares underlying the Award have been issued to the Holder.</w:t>
      </w:r>
    </w:p>
    <w:p>
      <w:pPr>
        <w:spacing w:after="0" w:line="196" w:lineRule="exact"/>
        <w:rPr>
          <w:sz w:val="20"/>
          <w:szCs w:val="20"/>
          <w:color w:val="auto"/>
        </w:rPr>
      </w:pPr>
    </w:p>
    <w:p>
      <w:pPr>
        <w:jc w:val="both"/>
        <w:ind w:firstLine="729"/>
        <w:spacing w:after="0" w:line="261"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Term</w:t>
      </w:r>
      <w:r>
        <w:rPr>
          <w:rFonts w:ascii="Arial" w:cs="Arial" w:eastAsia="Arial" w:hAnsi="Arial"/>
          <w:sz w:val="18"/>
          <w:szCs w:val="18"/>
          <w:color w:val="auto"/>
        </w:rPr>
        <w:t>. The term of a Performance Award, Dividend Equivalent award, Stock Payment award, Deferred Stock award and/or Deferred Stock Unit award shall be set by the Administrator in its sole discretion.</w:t>
      </w:r>
    </w:p>
    <w:p>
      <w:pPr>
        <w:spacing w:after="0" w:line="198" w:lineRule="exact"/>
        <w:rPr>
          <w:sz w:val="20"/>
          <w:szCs w:val="20"/>
          <w:color w:val="auto"/>
        </w:rPr>
      </w:pPr>
    </w:p>
    <w:p>
      <w:pPr>
        <w:jc w:val="both"/>
        <w:ind w:firstLine="729"/>
        <w:spacing w:after="0" w:line="248"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Purchase Price</w:t>
      </w:r>
      <w:r>
        <w:rPr>
          <w:rFonts w:ascii="Arial" w:cs="Arial" w:eastAsia="Arial" w:hAnsi="Arial"/>
          <w:sz w:val="18"/>
          <w:szCs w:val="18"/>
          <w:color w:val="auto"/>
        </w:rPr>
        <w:t>. The Administrator may establish the purchase price of a Performance Award, Shares distributed as a Stock Payment award, shares of Deferred Stock or Shares distributed pursuant to a Deferred Stock Unit award; provided, however, that value of the consideration shall not be less than the par value of a Share, unless otherwise permitted by Applicable Law.</w:t>
      </w:r>
    </w:p>
    <w:p>
      <w:pPr>
        <w:spacing w:after="0" w:line="209" w:lineRule="exact"/>
        <w:rPr>
          <w:sz w:val="20"/>
          <w:szCs w:val="20"/>
          <w:color w:val="auto"/>
        </w:rPr>
      </w:pPr>
    </w:p>
    <w:p>
      <w:pPr>
        <w:jc w:val="both"/>
        <w:ind w:right="20" w:firstLine="729"/>
        <w:spacing w:after="0" w:line="241"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A Performance Award, Stock Payment award, Dividend Equivalent award, Deferred Stock award and/or Deferred Stock Unit award is distributable only while the Holder is an Employee, Director or Consultant, as applicable. The Administrator, however, in its sole discretion may provide that the Performance Award, Dividend Equivalent award, Stock Payment award, Deferred Stock award and/or Deferred Stock Unit award may be distributed subsequent to a Termination of Service in certain events, including a Change in Control, the Holder’s death, retirement or disability or any other specified Termination of Service.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OF STOCK APPRECIATION RIGHTS</w:t>
      </w:r>
    </w:p>
    <w:p>
      <w:pPr>
        <w:spacing w:after="0" w:line="24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w:t>
      </w:r>
    </w:p>
    <w:p>
      <w:pPr>
        <w:spacing w:after="0" w:line="239" w:lineRule="exact"/>
        <w:rPr>
          <w:sz w:val="20"/>
          <w:szCs w:val="20"/>
          <w:color w:val="auto"/>
        </w:rPr>
      </w:pPr>
    </w:p>
    <w:p>
      <w:pPr>
        <w:ind w:left="660" w:hanging="328"/>
        <w:spacing w:after="0" w:line="261" w:lineRule="auto"/>
        <w:tabs>
          <w:tab w:leader="none" w:pos="65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Administrator is authorized to grant Stock Appreciation Rights to Eligible Individuals from time to time, in its sole discretion, on such terms and conditions as it may determine consistent with the Plan.</w:t>
      </w:r>
    </w:p>
    <w:p>
      <w:pPr>
        <w:spacing w:after="0" w:line="197"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Stock Appreciation Right shall entitle the Holder (or other person entitled to exercise the Stock Appreciation Right pursuant to the Plan) to exercise all or a specified portion of the Stock Appreciation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1" w:right="339" w:bottom="1440" w:gutter="0" w:footer="0" w:header="0"/>
        </w:sectPr>
      </w:pPr>
    </w:p>
    <w:bookmarkStart w:id="23" w:name="page24"/>
    <w:bookmarkEnd w:id="23"/>
    <w:p>
      <w:pPr>
        <w:jc w:val="both"/>
        <w:ind w:left="660"/>
        <w:spacing w:after="0" w:line="279" w:lineRule="auto"/>
        <w:rPr>
          <w:sz w:val="20"/>
          <w:szCs w:val="20"/>
          <w:color w:val="auto"/>
        </w:rPr>
      </w:pPr>
      <w:r>
        <w:rPr>
          <w:rFonts w:ascii="Arial" w:cs="Arial" w:eastAsia="Arial" w:hAnsi="Arial"/>
          <w:sz w:val="16"/>
          <w:szCs w:val="16"/>
          <w:color w:val="auto"/>
        </w:rPr>
        <w:t>Right (to the extent then exercisable pursuant to its terms) and to receive from the Company an amount determined by multiplying the difference obtained by subtracting the exercise price per share of the Stock Appreciation Right from the Fair Market Value on the date of exercise of the Stock Appreciation Right by the number of Shares with respect to which the Stock Appreciation Right shall have been exercised, subject to any limitations the Administrator may impose. Except as described in (c) below, the exercise price per Share subject to each Stock Appreciation Right shall be set by the Administrator, but shall not be less than 100% of the Fair Market Value on the date the Stock Appreciation Right is granted.</w:t>
      </w:r>
    </w:p>
    <w:p>
      <w:pPr>
        <w:spacing w:after="0" w:line="186" w:lineRule="exact"/>
        <w:rPr>
          <w:sz w:val="20"/>
          <w:szCs w:val="20"/>
          <w:color w:val="auto"/>
        </w:rPr>
      </w:pPr>
    </w:p>
    <w:p>
      <w:pPr>
        <w:jc w:val="both"/>
        <w:ind w:left="660" w:hanging="328"/>
        <w:spacing w:after="0" w:line="239" w:lineRule="auto"/>
        <w:tabs>
          <w:tab w:leader="none" w:pos="65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Notwithstanding the foregoing provisions of Section 11.1(b) to the contrary, in the case of a Stock Appreciation Right that is a Substitute Award, the price per share of the Shares subject to such Stock Appreciation Right may be less than 100% of the Fair Market Value per share on the date of grant; provided that the excess of: (i) the aggregate Fair Market Value (as of the date such Substitute Award is granted) of the Shares subject to the Substitute Award, over (ii)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21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Stock Appreciation Right Vesting</w:t>
      </w:r>
      <w:r>
        <w:rPr>
          <w:rFonts w:ascii="Arial" w:cs="Arial" w:eastAsia="Arial" w:hAnsi="Arial"/>
          <w:sz w:val="18"/>
          <w:szCs w:val="18"/>
          <w:color w:val="auto"/>
        </w:rPr>
        <w:t>.</w:t>
      </w:r>
    </w:p>
    <w:p>
      <w:pPr>
        <w:spacing w:after="0" w:line="239" w:lineRule="exact"/>
        <w:rPr>
          <w:sz w:val="20"/>
          <w:szCs w:val="20"/>
          <w:color w:val="auto"/>
        </w:rPr>
      </w:pPr>
    </w:p>
    <w:p>
      <w:pPr>
        <w:jc w:val="both"/>
        <w:ind w:left="660" w:hanging="328"/>
        <w:spacing w:after="0" w:line="241" w:lineRule="auto"/>
        <w:tabs>
          <w:tab w:leader="none" w:pos="65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period during which the right to exercise, in whole or in part, a Stock Appreciation Right vests in the Holder shall be set by the Administrator and the Administrator may determine that a Stock Appreciation Right may not be exercised in whole or in part for a specified period after it is granted. Such vesting may be based on service with the Company or any Affiliate, or any other criteria selected by the Administrator. At any time after grant of a Stock Appreciation Right, the Administrator may, in its sole discretion and subject to whatever terms and conditions it selects, accelerate the period during which a Stock Appreciation Right vests.</w:t>
      </w:r>
    </w:p>
    <w:p>
      <w:pPr>
        <w:spacing w:after="0" w:line="216" w:lineRule="exact"/>
        <w:rPr>
          <w:rFonts w:ascii="Arial" w:cs="Arial" w:eastAsia="Arial" w:hAnsi="Arial"/>
          <w:sz w:val="18"/>
          <w:szCs w:val="18"/>
          <w:color w:val="auto"/>
        </w:rPr>
      </w:pPr>
    </w:p>
    <w:p>
      <w:pPr>
        <w:jc w:val="both"/>
        <w:ind w:left="660" w:hanging="328"/>
        <w:spacing w:after="0" w:line="24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portion of a Stock Appreciation Right which is unexercisable at Termination of Service shall thereafter become exercisable, except as may be otherwise provided by the Administrator either in the applicable Program or Award Agreement or by action of the Administrator following the grant of the Stock Appreciation Right.</w:t>
      </w:r>
    </w:p>
    <w:p>
      <w:pPr>
        <w:spacing w:after="0" w:line="209" w:lineRule="exact"/>
        <w:rPr>
          <w:sz w:val="20"/>
          <w:szCs w:val="20"/>
          <w:color w:val="auto"/>
        </w:rPr>
      </w:pPr>
    </w:p>
    <w:p>
      <w:pPr>
        <w:jc w:val="both"/>
        <w:ind w:firstLine="729"/>
        <w:spacing w:after="0" w:line="248"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Manner of Exercise</w:t>
      </w:r>
      <w:r>
        <w:rPr>
          <w:rFonts w:ascii="Arial" w:cs="Arial" w:eastAsia="Arial" w:hAnsi="Arial"/>
          <w:sz w:val="18"/>
          <w:szCs w:val="18"/>
          <w:color w:val="auto"/>
        </w:rPr>
        <w:t>. All or a portion of an exercisable Stock Appreciation Right shall be deemed exercised upon delivery of all of the following to the Secretary of the Company, the stock administrator of the Company, or such other person or entity designated by the Administrator, or his, her or its office, as applicable:</w:t>
      </w:r>
    </w:p>
    <w:p>
      <w:pPr>
        <w:spacing w:after="0" w:line="209" w:lineRule="exact"/>
        <w:rPr>
          <w:sz w:val="20"/>
          <w:szCs w:val="20"/>
          <w:color w:val="auto"/>
        </w:rPr>
      </w:pPr>
    </w:p>
    <w:p>
      <w:pPr>
        <w:jc w:val="both"/>
        <w:ind w:left="660" w:hanging="328"/>
        <w:spacing w:after="0" w:line="248" w:lineRule="auto"/>
        <w:tabs>
          <w:tab w:leader="none" w:pos="65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written or electronic notice complying with the applicable rules established by the Administrator stating that the Stock Appreciation Right, or a portion thereof, is exercised. The notice shall be signed by the Holder or other person then entitled to exercise the Stock Appreciation Right or such portion of the Stock Appreciation Right;</w:t>
      </w:r>
    </w:p>
    <w:p>
      <w:pPr>
        <w:spacing w:after="0" w:line="208" w:lineRule="exact"/>
        <w:rPr>
          <w:rFonts w:ascii="Arial" w:cs="Arial" w:eastAsia="Arial" w:hAnsi="Arial"/>
          <w:sz w:val="18"/>
          <w:szCs w:val="18"/>
          <w:color w:val="auto"/>
        </w:rPr>
      </w:pPr>
    </w:p>
    <w:p>
      <w:pPr>
        <w:jc w:val="both"/>
        <w:ind w:left="660" w:hanging="328"/>
        <w:spacing w:after="0" w:line="24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representations and documents as the Administrator, in its sole discretion, deems necessary or advisable to effect compliance with Applicable Law. The Administrator may, in its sole discretion, also take whatever additional actions it deems appropriate to effect such compliance; and</w:t>
      </w:r>
    </w:p>
    <w:p>
      <w:pPr>
        <w:spacing w:after="0" w:line="208" w:lineRule="exact"/>
        <w:rPr>
          <w:rFonts w:ascii="Arial" w:cs="Arial" w:eastAsia="Arial" w:hAnsi="Arial"/>
          <w:sz w:val="18"/>
          <w:szCs w:val="18"/>
          <w:color w:val="auto"/>
        </w:rPr>
      </w:pPr>
    </w:p>
    <w:p>
      <w:pPr>
        <w:ind w:left="660" w:right="20" w:hanging="328"/>
        <w:spacing w:after="0" w:line="261" w:lineRule="auto"/>
        <w:tabs>
          <w:tab w:leader="none" w:pos="65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event that the Stock Appreciation Right shall be exercised pursuant to this Section 11.3 by any person or persons other than the Holder, appropriate proof of the right of such person or persons to exercise the Stock Appreciation Right.</w:t>
      </w:r>
    </w:p>
    <w:p>
      <w:pPr>
        <w:spacing w:after="0" w:line="198" w:lineRule="exact"/>
        <w:rPr>
          <w:sz w:val="20"/>
          <w:szCs w:val="20"/>
          <w:color w:val="auto"/>
        </w:rPr>
      </w:pPr>
    </w:p>
    <w:p>
      <w:pPr>
        <w:jc w:val="both"/>
        <w:ind w:firstLine="729"/>
        <w:spacing w:after="0" w:line="241"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Stock Appreciation Right Term</w:t>
      </w:r>
      <w:r>
        <w:rPr>
          <w:rFonts w:ascii="Arial" w:cs="Arial" w:eastAsia="Arial" w:hAnsi="Arial"/>
          <w:sz w:val="18"/>
          <w:szCs w:val="18"/>
          <w:color w:val="auto"/>
        </w:rPr>
        <w:t>. The term of each Stock Appreciation Right (the “</w:t>
      </w:r>
      <w:r>
        <w:rPr>
          <w:rFonts w:ascii="Arial" w:cs="Arial" w:eastAsia="Arial" w:hAnsi="Arial"/>
          <w:sz w:val="18"/>
          <w:szCs w:val="18"/>
          <w:u w:val="single" w:color="auto"/>
          <w:color w:val="auto"/>
        </w:rPr>
        <w:t>Stock Appreciation Right Term</w:t>
      </w:r>
      <w:r>
        <w:rPr>
          <w:rFonts w:ascii="Arial" w:cs="Arial" w:eastAsia="Arial" w:hAnsi="Arial"/>
          <w:sz w:val="18"/>
          <w:szCs w:val="18"/>
          <w:color w:val="auto"/>
        </w:rPr>
        <w:t xml:space="preserve">”) shall be set by the Administrator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shall not be more than ten (10) years from the date the Stock Appreciation Right is granted. The Administrator shall determine the time period, including the time period following a Termination of Service, during which the Holder has the right to exercise the vested Stock Appreciation Rights, which time period may not extend beyond the expiration date of the Stock Appreciation Right Term. Except as limited by the requirements of Section 409A of the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1" w:right="339" w:bottom="1440" w:gutter="0" w:footer="0" w:header="0"/>
        </w:sectPr>
      </w:pPr>
    </w:p>
    <w:bookmarkStart w:id="24" w:name="page25"/>
    <w:bookmarkEnd w:id="24"/>
    <w:p>
      <w:pPr>
        <w:jc w:val="both"/>
        <w:spacing w:after="0" w:line="243" w:lineRule="auto"/>
        <w:rPr>
          <w:sz w:val="20"/>
          <w:szCs w:val="20"/>
          <w:color w:val="auto"/>
        </w:rPr>
      </w:pPr>
      <w:r>
        <w:rPr>
          <w:rFonts w:ascii="Arial" w:cs="Arial" w:eastAsia="Arial" w:hAnsi="Arial"/>
          <w:sz w:val="18"/>
          <w:szCs w:val="18"/>
          <w:color w:val="auto"/>
        </w:rPr>
        <w:t>Code and regulations and rulings thereunder or the first sentence of this Section 11.4, the Administrator may extend the Stock Appreciation Right Term of any outstanding Stock Appreciation Right, and may extend the time period during which vested Stock Appreciation Rights may be exercised, in connection with any Termination of Service of the Holder, and may amend, subject to Section 14.1, any other term or condition of such Stock Appreciation Right relating to such a Termination of Service.</w:t>
      </w:r>
    </w:p>
    <w:p>
      <w:pPr>
        <w:spacing w:after="0" w:line="215" w:lineRule="exact"/>
        <w:rPr>
          <w:sz w:val="20"/>
          <w:szCs w:val="20"/>
          <w:color w:val="auto"/>
        </w:rPr>
      </w:pPr>
    </w:p>
    <w:p>
      <w:pPr>
        <w:jc w:val="both"/>
        <w:ind w:firstLine="729"/>
        <w:spacing w:after="0" w:line="324"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Payment</w:t>
      </w:r>
      <w:r>
        <w:rPr>
          <w:rFonts w:ascii="Arial" w:cs="Arial" w:eastAsia="Arial" w:hAnsi="Arial"/>
          <w:sz w:val="16"/>
          <w:szCs w:val="16"/>
          <w:color w:val="auto"/>
        </w:rPr>
        <w:t>. Payment of the amounts payable with respect to Stock Appreciation Rights pursuant to this Article 11 shall be in cash, Shares (based on its Fair Market Value as of the date the Stock Appreciation Right is exercised), or a combination of both, as determined by the Administrator.</w:t>
      </w:r>
    </w:p>
    <w:p>
      <w:pPr>
        <w:spacing w:after="0" w:line="147"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ARTICLE 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OF AWARDS</w:t>
      </w:r>
    </w:p>
    <w:p>
      <w:pPr>
        <w:spacing w:after="0" w:line="243" w:lineRule="exact"/>
        <w:rPr>
          <w:sz w:val="20"/>
          <w:szCs w:val="20"/>
          <w:color w:val="auto"/>
        </w:rPr>
      </w:pPr>
    </w:p>
    <w:p>
      <w:pPr>
        <w:jc w:val="both"/>
        <w:ind w:firstLine="729"/>
        <w:spacing w:after="0" w:line="252"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Payment</w:t>
      </w:r>
      <w:r>
        <w:rPr>
          <w:rFonts w:ascii="Arial" w:cs="Arial" w:eastAsia="Arial" w:hAnsi="Arial"/>
          <w:sz w:val="17"/>
          <w:szCs w:val="17"/>
          <w:color w:val="auto"/>
        </w:rPr>
        <w:t>. The Administrator shall determine the methods by which payments by any Holder with respect to any Awards granted under the Plan shall be made, including, without limitation: (a) cash or check, (b) Shares (including, in the case of payment of the exercise price of an Award, Shares issuable pursuant to the exercise of the Award) or Shares held for such period of time as may be required by the Administrator in order to avoid adverse accounting consequences, in each case, having a Fair Market Value on the date of delivery equal to the aggregate payments required, (c) delivery of a written or electronic notice that the Holder has placed a market sell order with a broker with respect to Shares then issuable upon exercise or vesting of an Award, and that the broker has been directed to pay a sufficient portion of the net proceeds of the sale to the Company in satisfaction of the aggregate payments required; provided that payment of such proceeds is then made to the Company upon settlement of such sale, or (d) other form of legal consideration acceptable to the Administrator. The Administrator shall also determine the methods by which Shares shall be delivered or deemed to be delivered to Holders.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210" w:lineRule="exact"/>
        <w:rPr>
          <w:sz w:val="20"/>
          <w:szCs w:val="20"/>
          <w:color w:val="auto"/>
        </w:rPr>
      </w:pPr>
    </w:p>
    <w:p>
      <w:pPr>
        <w:jc w:val="both"/>
        <w:ind w:firstLine="729"/>
        <w:spacing w:after="0" w:line="252"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u w:val="single" w:color="auto"/>
          <w:color w:val="auto"/>
        </w:rPr>
        <w:t>Tax Withholding</w:t>
      </w:r>
      <w:r>
        <w:rPr>
          <w:rFonts w:ascii="Arial" w:cs="Arial" w:eastAsia="Arial" w:hAnsi="Arial"/>
          <w:sz w:val="17"/>
          <w:szCs w:val="17"/>
          <w:color w:val="auto"/>
        </w:rPr>
        <w:t>. The Company or any Affiliate shall have the authority and the right to deduct or withhold, or require a Holder to remit to the Company, an amount sufficient to satisfy federal, state, local and foreign taxes (including the Holder’s FICA or employment tax obligation) required or permitted by law to be withheld with respect to any taxable event concerning a Holder arising as a result of the Plan. The Administrator may, in its sole discretion and subject to such terms and conditions as it may specify, allow or provide for the Company to withhold Shares otherwise issuable under an Award (or allow the surrender of Shares) in payment of such tax withholding. The number of Shares which may be so withheld or surrendered shall be limited to the number of Shares which have a Fair Market Value on the date of withholding or repurchase sufficient to satisfy the maximum statutory withholding rates for federal, state, local and foreign income tax and payroll tax purposes that are applicable to such supplemental taxable income. The Administrator shall determine the fair market value of the Shares, consistent with any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 Pursuant to Section 3.1(b)(ii), any such Shares withheld or surrendered will not be available for future grants of Awards under the Plan.</w:t>
      </w:r>
    </w:p>
    <w:p>
      <w:pPr>
        <w:spacing w:after="0" w:line="21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w:t>
      </w:r>
    </w:p>
    <w:p>
      <w:pPr>
        <w:spacing w:after="0" w:line="239"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Except as otherwise provided in Section 12.3(b):</w:t>
      </w:r>
    </w:p>
    <w:p>
      <w:pPr>
        <w:spacing w:after="0" w:line="238" w:lineRule="exact"/>
        <w:rPr>
          <w:rFonts w:ascii="Arial" w:cs="Arial" w:eastAsia="Arial" w:hAnsi="Arial"/>
          <w:sz w:val="18"/>
          <w:szCs w:val="18"/>
          <w:color w:val="auto"/>
        </w:rPr>
      </w:pPr>
    </w:p>
    <w:p>
      <w:pPr>
        <w:jc w:val="both"/>
        <w:ind w:left="660" w:hanging="328"/>
        <w:spacing w:after="0" w:line="24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Award under the Plan may be sold, pledged, assigned or transferred in any manner other than by will or the laws of descent and distribution or, subject to the consent of the Administrator, pursuant to a DRO, unless and until such Award has been exercised, or the Shares underlying such Award have been issued, and all restrictions applicable to such Shares have lapsed;</w:t>
      </w:r>
    </w:p>
    <w:p>
      <w:pPr>
        <w:spacing w:after="0" w:line="208" w:lineRule="exact"/>
        <w:rPr>
          <w:rFonts w:ascii="Arial" w:cs="Arial" w:eastAsia="Arial" w:hAnsi="Arial"/>
          <w:sz w:val="18"/>
          <w:szCs w:val="18"/>
          <w:color w:val="auto"/>
        </w:rPr>
      </w:pPr>
    </w:p>
    <w:p>
      <w:pPr>
        <w:ind w:left="660" w:right="20" w:hanging="328"/>
        <w:spacing w:after="0" w:line="261" w:lineRule="auto"/>
        <w:tabs>
          <w:tab w:leader="none" w:pos="65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Award or interest or right therein shall be liable for the debts, contracts or engagements of the Holder or the Holder’s successors in interest or shall be subject to disposition by transfer, alienation, anticipation,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1" w:right="339" w:bottom="1440" w:gutter="0" w:footer="0" w:header="0"/>
        </w:sectPr>
      </w:pPr>
    </w:p>
    <w:bookmarkStart w:id="25" w:name="page26"/>
    <w:bookmarkEnd w:id="25"/>
    <w:p>
      <w:pPr>
        <w:jc w:val="both"/>
        <w:ind w:left="328"/>
        <w:spacing w:after="0" w:line="294" w:lineRule="auto"/>
        <w:rPr>
          <w:sz w:val="20"/>
          <w:szCs w:val="20"/>
          <w:color w:val="auto"/>
        </w:rPr>
      </w:pPr>
      <w:r>
        <w:rPr>
          <w:rFonts w:ascii="Arial" w:cs="Arial" w:eastAsia="Arial" w:hAnsi="Arial"/>
          <w:sz w:val="16"/>
          <w:szCs w:val="16"/>
          <w:color w:val="auto"/>
        </w:rPr>
        <w:t>pledge, hypothecation,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and</w:t>
      </w:r>
    </w:p>
    <w:p>
      <w:pPr>
        <w:spacing w:after="0" w:line="174" w:lineRule="exact"/>
        <w:rPr>
          <w:sz w:val="20"/>
          <w:szCs w:val="20"/>
          <w:color w:val="auto"/>
        </w:rPr>
      </w:pPr>
    </w:p>
    <w:p>
      <w:pPr>
        <w:jc w:val="both"/>
        <w:ind w:left="328" w:hanging="328"/>
        <w:spacing w:after="0" w:line="241" w:lineRule="auto"/>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the lifetime of the Holder, only the Holder may exercise an Award (or any portion thereof) granted to such Holder under the Plan, unless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then applicable laws of descent and distribution.</w:t>
      </w:r>
    </w:p>
    <w:p>
      <w:pPr>
        <w:spacing w:after="0" w:line="216" w:lineRule="exact"/>
        <w:rPr>
          <w:rFonts w:ascii="Arial" w:cs="Arial" w:eastAsia="Arial" w:hAnsi="Arial"/>
          <w:sz w:val="18"/>
          <w:szCs w:val="18"/>
          <w:color w:val="auto"/>
        </w:rPr>
      </w:pPr>
    </w:p>
    <w:p>
      <w:pPr>
        <w:jc w:val="both"/>
        <w:ind w:left="328" w:hanging="328"/>
        <w:spacing w:after="0" w:line="274" w:lineRule="auto"/>
        <w:tabs>
          <w:tab w:leader="none" w:pos="318"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Notwithstanding Section 12.3(a), the Administrator, in its sole discretion, may determine to permit a Holder to transfer an Award other than an Incentive Stock Option to any one or more Permitted Transferees, subject to the following terms and conditions: (i) an Award transferred to a Permitted Transferee shall not be assignable or transferable by the Permitted Transferee other than by will or the laws of descent and distribution or pursuant to a DRO; (ii) an Award transferred to a Permitted Transferee shall continue to be subject to all the terms and conditions of the Award as applicable to the original Holder (other than the ability to further transfer the Award); and (iii) the Holder and the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w:t>
      </w:r>
    </w:p>
    <w:p>
      <w:pPr>
        <w:spacing w:after="0" w:line="190" w:lineRule="exact"/>
        <w:rPr>
          <w:rFonts w:ascii="Arial" w:cs="Arial" w:eastAsia="Arial" w:hAnsi="Arial"/>
          <w:sz w:val="16"/>
          <w:szCs w:val="16"/>
          <w:color w:val="auto"/>
        </w:rPr>
      </w:pPr>
    </w:p>
    <w:p>
      <w:pPr>
        <w:jc w:val="both"/>
        <w:ind w:left="328" w:hanging="328"/>
        <w:spacing w:after="0" w:line="252" w:lineRule="auto"/>
        <w:tabs>
          <w:tab w:leader="none" w:pos="325"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Notwithstanding Section 12.3(a),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except to the extent the Plan, the Program and the Award Agreement otherwise provide, and to any additional restrictions deemed necessary or appropriate by the Administrator. If the Holder is married or has a domestic partner in a domestic partnership qualified under Applicable Law and resides in a community property state, a designation of a person other than the Holder’s spouse, or domestic partner, as applicable, as his or her beneficiary with respect to more than 50% of the Holder’s interest in the Award shall not be effective without the prior written or electronic consent of the Holder’s spouse or domestic partner.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provided that the change or revocation is filed with the Administrator prior to the Holder’s death.</w:t>
      </w:r>
    </w:p>
    <w:p>
      <w:pPr>
        <w:spacing w:after="0" w:line="213" w:lineRule="exact"/>
        <w:rPr>
          <w:sz w:val="20"/>
          <w:szCs w:val="20"/>
          <w:color w:val="auto"/>
        </w:rPr>
      </w:pPr>
    </w:p>
    <w:p>
      <w:pPr>
        <w:ind w:left="408"/>
        <w:spacing w:after="0"/>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Conditions to Issuance of Shares</w:t>
      </w:r>
      <w:r>
        <w:rPr>
          <w:rFonts w:ascii="Arial" w:cs="Arial" w:eastAsia="Arial" w:hAnsi="Arial"/>
          <w:sz w:val="18"/>
          <w:szCs w:val="18"/>
          <w:color w:val="auto"/>
        </w:rPr>
        <w:t>.</w:t>
      </w:r>
    </w:p>
    <w:p>
      <w:pPr>
        <w:spacing w:after="0" w:line="239" w:lineRule="exact"/>
        <w:rPr>
          <w:sz w:val="20"/>
          <w:szCs w:val="20"/>
          <w:color w:val="auto"/>
        </w:rPr>
      </w:pPr>
    </w:p>
    <w:p>
      <w:pPr>
        <w:jc w:val="both"/>
        <w:ind w:left="328" w:hanging="328"/>
        <w:spacing w:after="0"/>
        <w:tabs>
          <w:tab w:leader="none" w:pos="318"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Company shall not be required to issue or deliver any certificates or make any book entries evidencing Shares pursuant to the exercise of any Award, unless and until the Board or the Committee has determined, with advice of counsel, that the issuance of such Shares is in compliance with Applicable Law, and the Shares are covered by an effective registration statement or applicable exemption from registration. In addition to the terms and conditions provided herein, the Board or the Committee may require that a Holder make such reasonable covenants, agreements, and representations as the Board or the Committee, in its discretion, deems advisable in order to comply with Applicable Law.</w:t>
      </w:r>
    </w:p>
    <w:p>
      <w:pPr>
        <w:spacing w:after="0" w:line="216" w:lineRule="exact"/>
        <w:rPr>
          <w:rFonts w:ascii="Arial" w:cs="Arial" w:eastAsia="Arial" w:hAnsi="Arial"/>
          <w:sz w:val="18"/>
          <w:szCs w:val="18"/>
          <w:color w:val="auto"/>
        </w:rPr>
      </w:pPr>
    </w:p>
    <w:p>
      <w:pPr>
        <w:jc w:val="both"/>
        <w:ind w:left="328" w:hanging="328"/>
        <w:spacing w:after="0" w:line="248"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908"/>
          </w:cols>
          <w:pgMar w:left="652" w:top="1421" w:right="339" w:bottom="1440" w:gutter="0" w:footer="0" w:header="0"/>
        </w:sectPr>
      </w:pPr>
    </w:p>
    <w:bookmarkStart w:id="26" w:name="page27"/>
    <w:bookmarkEnd w:id="26"/>
    <w:p>
      <w:pPr>
        <w:ind w:left="660" w:right="20" w:hanging="328"/>
        <w:spacing w:after="0" w:line="291" w:lineRule="auto"/>
        <w:tabs>
          <w:tab w:leader="none" w:pos="65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spacing w:after="0" w:line="173" w:lineRule="exact"/>
        <w:rPr>
          <w:rFonts w:ascii="Arial" w:cs="Arial" w:eastAsia="Arial" w:hAnsi="Arial"/>
          <w:sz w:val="17"/>
          <w:szCs w:val="17"/>
          <w:color w:val="auto"/>
        </w:rPr>
      </w:pPr>
    </w:p>
    <w:p>
      <w:pPr>
        <w:ind w:left="660" w:hanging="328"/>
        <w:spacing w:after="0" w:line="261"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fractional Shares shall be issued and the Administrator shall determine, in its sole discretion, whether cash shall be given in lieu of fractional Shares or whether such fractional Shares shall be eliminated by rounding down.</w:t>
      </w:r>
    </w:p>
    <w:p>
      <w:pPr>
        <w:spacing w:after="0" w:line="197" w:lineRule="exact"/>
        <w:rPr>
          <w:rFonts w:ascii="Arial" w:cs="Arial" w:eastAsia="Arial" w:hAnsi="Arial"/>
          <w:sz w:val="18"/>
          <w:szCs w:val="18"/>
          <w:color w:val="auto"/>
        </w:rPr>
      </w:pPr>
    </w:p>
    <w:p>
      <w:pPr>
        <w:jc w:val="both"/>
        <w:ind w:left="660" w:hanging="328"/>
        <w:spacing w:after="0" w:line="248" w:lineRule="auto"/>
        <w:tabs>
          <w:tab w:leader="none" w:pos="65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Notwithstanding any other provision of the Plan, unless otherwise determined by the Administrator or required by Applicable Law, the Company shall not deliver to any Holder certificates evidencing Shares issued in connection with any Award and instead such Shares shall be recorded in the books of the Company (or, as applicable, its transfer agent or stock plan administrator).</w:t>
      </w:r>
    </w:p>
    <w:p>
      <w:pPr>
        <w:spacing w:after="0" w:line="209" w:lineRule="exact"/>
        <w:rPr>
          <w:sz w:val="20"/>
          <w:szCs w:val="20"/>
          <w:color w:val="auto"/>
        </w:rPr>
      </w:pPr>
    </w:p>
    <w:p>
      <w:pPr>
        <w:jc w:val="both"/>
        <w:ind w:firstLine="729"/>
        <w:spacing w:after="0" w:line="248"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Forfeiture and Claw-Back Provisions</w:t>
      </w:r>
      <w:r>
        <w:rPr>
          <w:rFonts w:ascii="Arial" w:cs="Arial" w:eastAsia="Arial" w:hAnsi="Arial"/>
          <w:sz w:val="18"/>
          <w:szCs w:val="18"/>
          <w:color w:val="auto"/>
        </w:rPr>
        <w:t>. Pursuant to its general authority to determine the terms and conditions applicable to Awards under the Plan, the Administrator shall have the right to provide, in an Award Agreement or otherwise, or to require a Holder to agree by separate written or electronic instrument, that:</w:t>
      </w:r>
    </w:p>
    <w:p>
      <w:pPr>
        <w:spacing w:after="0" w:line="209" w:lineRule="exact"/>
        <w:rPr>
          <w:sz w:val="20"/>
          <w:szCs w:val="20"/>
          <w:color w:val="auto"/>
        </w:rPr>
      </w:pPr>
    </w:p>
    <w:p>
      <w:pPr>
        <w:jc w:val="both"/>
        <w:ind w:left="660" w:hanging="328"/>
        <w:spacing w:after="0" w:line="255" w:lineRule="auto"/>
        <w:tabs>
          <w:tab w:leader="none" w:pos="65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Any proceeds, gains or other economic benefit actually or constructively received by the Holder upon any receipt or exercise of the Award, or upon the receipt or resale of any Shares underlying the Award, must be paid to the Company, and (ii) the Award shall terminate and any unexercised portion of the Award (whether or not vested) shall be forfeited, if (x) a Termination of Service occurs prior to a specified date, or within a specified time period following receipt or exercise of the Award, or (y) the Holder at any time, or during a specified time period, engages in any activity in competition with the Company, or which is inimical, contrary or harmful to the interests of the Company, as further defined by the Administrator or (z) the Holder incurs a Termination of Service for “cause” (as such term is defined in the sole discretion of the Administrator, or as set forth in a written agreement relating to such Award between the Company and the Holder); and</w:t>
      </w:r>
    </w:p>
    <w:p>
      <w:pPr>
        <w:spacing w:after="0" w:line="206"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All Awards (including any proceeds, gains or other economic benefit actually or constructively received by the Holder upon any receipt or exercise of any Award or upon the receipt or resale of any Shares underlying the Award) shall be subject to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to the extent set forth in such claw-back policy and/or in the applicable Award Agreement.</w:t>
      </w:r>
    </w:p>
    <w:p>
      <w:pPr>
        <w:spacing w:after="0" w:line="201" w:lineRule="exact"/>
        <w:rPr>
          <w:sz w:val="20"/>
          <w:szCs w:val="20"/>
          <w:color w:val="auto"/>
        </w:rPr>
      </w:pPr>
    </w:p>
    <w:p>
      <w:pPr>
        <w:jc w:val="both"/>
        <w:ind w:firstLine="729"/>
        <w:spacing w:after="0"/>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Prohibition on Repricing</w:t>
      </w:r>
      <w:r>
        <w:rPr>
          <w:rFonts w:ascii="Arial" w:cs="Arial" w:eastAsia="Arial" w:hAnsi="Arial"/>
          <w:sz w:val="18"/>
          <w:szCs w:val="18"/>
          <w:color w:val="auto"/>
        </w:rPr>
        <w:t>. Subject to Section 14.2, the Administrator shall not, without the approval of the stockholders of the Company, (i) authorize the amendment of any outstanding Option or Stock Appreciation Right to reduce its price per share, or (ii) cancel any Option or Stock Appreciation Right in exchange for cash or another Award when the Option or Stock Appreciation Right price per share exceeds the Fair Market Value of the underlying Shares. Subject to Section 14.2, the Administrator shall have the authority, without the approval of the stockholders of the Company, to amend any outstanding Award to increase the price per share or to cancel and replace an Award with the grant of an Award having a price per share that is greater than or equal to the price per share of the original Award.</w:t>
      </w:r>
    </w:p>
    <w:p>
      <w:pPr>
        <w:spacing w:after="0" w:line="212"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ARTICLE 13.</w:t>
      </w:r>
    </w:p>
    <w:p>
      <w:pPr>
        <w:spacing w:after="0" w:line="239"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ADMINISTRATION</w:t>
      </w:r>
    </w:p>
    <w:p>
      <w:pPr>
        <w:spacing w:after="0" w:line="243" w:lineRule="exact"/>
        <w:rPr>
          <w:sz w:val="20"/>
          <w:szCs w:val="20"/>
          <w:color w:val="auto"/>
        </w:rPr>
      </w:pPr>
    </w:p>
    <w:p>
      <w:pPr>
        <w:jc w:val="both"/>
        <w:ind w:firstLine="729"/>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Administrator</w:t>
      </w:r>
      <w:r>
        <w:rPr>
          <w:rFonts w:ascii="Arial" w:cs="Arial" w:eastAsia="Arial" w:hAnsi="Arial"/>
          <w:sz w:val="18"/>
          <w:szCs w:val="18"/>
          <w:color w:val="auto"/>
        </w:rPr>
        <w:t>. The Committee (or another committee or a subcommittee of the Board assuming the functions of the Committee under the Plan) shall administer the Plan (except as otherwise permitted herein). To the extent necessary to comply with Rule 16b-3 of the Exchange Act, and with respect to Awards that are intended to be Performance-Based Compensation, including Options and Stock Appreciation Rights, then the Committee (or another committee or subcommittee of the Board assuming the functions of the Committee under the Plan) shall take all action with respect to such Awards, and the individuals taking such action shall consist solely of two or more Non-Employee Directors appointed by and holding office at the pleasure of the Board, each of whom is intended to</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1" w:right="339" w:bottom="1440" w:gutter="0" w:footer="0" w:header="0"/>
        </w:sectPr>
      </w:pPr>
    </w:p>
    <w:bookmarkStart w:id="27" w:name="page28"/>
    <w:bookmarkEnd w:id="27"/>
    <w:p>
      <w:pPr>
        <w:jc w:val="both"/>
        <w:spacing w:after="0" w:line="253" w:lineRule="auto"/>
        <w:rPr>
          <w:sz w:val="20"/>
          <w:szCs w:val="20"/>
          <w:color w:val="auto"/>
        </w:rPr>
      </w:pPr>
      <w:r>
        <w:rPr>
          <w:rFonts w:ascii="Arial" w:cs="Arial" w:eastAsia="Arial" w:hAnsi="Arial"/>
          <w:sz w:val="17"/>
          <w:szCs w:val="17"/>
          <w:color w:val="auto"/>
        </w:rPr>
        <w:t>qualify as both a “non-employee director” as defined by Rule 16b-3 of the Exchange Act or any successor rule, an “outside director” for purposes of Section 162(m) of the Code and an “independent director” under the rules of any securities exchange or automated quotation system on which the Shares are listed, quoted or traded; provided that any action taken by the Committee shall be valid and effective, whether or not members of the Committee at the time of such action are later determined not to have satisfied the requirements for membership set forth in this Section 13.l or otherwise provided in any charter of the Committee. Except as may otherwise be provided in any charter of the Committee, appointment of Committee members shall be effective upon acceptance of appointment. Committee members may resign at any time by delivering written or electronic notice to the Board. Vacancies in the Committee may only be filled by the Board. Notwithstanding the foregoing, (a) the full Board, acting by a majority of its members in office, shall conduct the general administration of the Plan with respect to Awards granted to Non-Employee Directors and, with respect to such Awards, the terms “Administrator” and “Committee” as used in the Plan shall be deemed to refer to the Board and (b) the Board or Committee may delegate its authority hereunder to the extent permitted by Section 13.6.</w:t>
      </w:r>
    </w:p>
    <w:p>
      <w:pPr>
        <w:spacing w:after="0" w:line="207" w:lineRule="exact"/>
        <w:rPr>
          <w:sz w:val="20"/>
          <w:szCs w:val="20"/>
          <w:color w:val="auto"/>
        </w:rPr>
      </w:pPr>
    </w:p>
    <w:p>
      <w:pPr>
        <w:jc w:val="both"/>
        <w:ind w:firstLine="729"/>
        <w:spacing w:after="0" w:line="205" w:lineRule="exact"/>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u w:val="single" w:color="auto"/>
          <w:color w:val="auto"/>
        </w:rPr>
        <w:t>Duties and Powers of Committee</w:t>
      </w:r>
      <w:r>
        <w:rPr>
          <w:rFonts w:ascii="Arial" w:cs="Arial" w:eastAsia="Arial" w:hAnsi="Arial"/>
          <w:sz w:val="16"/>
          <w:szCs w:val="16"/>
          <w:color w:val="auto"/>
        </w:rPr>
        <w:t>. It shall be the duty of the Committee to conduct the general administration of the Plan in accordance with its provisions. The Committee shall have the power to interpret the Plan, the Program and the Award Agreement, and to adopt such rules for the administration, interpretation and application of the Plan as are not inconsistent therewith, to interpret, amend or revoke any such rules and to amend any Program or Award Agreement; provided that the rights or obligations of the Holder of the Award that is the subject of any such Program or Award Agreement are not affected adversely by such amendment, unless the consent of the Holder is obtained or such amendment is otherwise permitted under Section 14.10. Any such grant or award under the Plan need not be the same with respect to each Holder. Any such interpretations and rules with respect to Incentive Stock Options shall be consistent with the provisions of Section 422 of the Code. In its sole discretion, the Board may at any time and from time to time exercise any and all rights and duties of the Committee under the Plan except with respect to matters which under Rule 16b</w:t>
      </w:r>
      <w:r>
        <w:rPr>
          <w:rFonts w:ascii="MS PGothic" w:cs="MS PGothic" w:eastAsia="MS PGothic" w:hAnsi="MS PGothic"/>
          <w:sz w:val="16"/>
          <w:szCs w:val="16"/>
          <w:color w:val="auto"/>
        </w:rPr>
        <w:t>‑</w:t>
      </w:r>
      <w:r>
        <w:rPr>
          <w:rFonts w:ascii="Arial" w:cs="Arial" w:eastAsia="Arial" w:hAnsi="Arial"/>
          <w:sz w:val="16"/>
          <w:szCs w:val="16"/>
          <w:color w:val="auto"/>
        </w:rPr>
        <w:t>3 under the Exchange Act or any successor rule, or Section 162(m) of the Code, or any regulations or rules issued thereunder, or the rules of any securities exchange or automated quotation system on which the Shares are listed, quoted or traded are required to be determined in the sole discretion of the Committee.</w:t>
      </w:r>
    </w:p>
    <w:p>
      <w:pPr>
        <w:spacing w:after="0" w:line="221" w:lineRule="exact"/>
        <w:rPr>
          <w:sz w:val="20"/>
          <w:szCs w:val="20"/>
          <w:color w:val="auto"/>
        </w:rPr>
      </w:pPr>
    </w:p>
    <w:p>
      <w:pPr>
        <w:jc w:val="both"/>
        <w:ind w:firstLine="729"/>
        <w:spacing w:after="0"/>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Action by the Committee</w:t>
      </w:r>
      <w:r>
        <w:rPr>
          <w:rFonts w:ascii="Arial" w:cs="Arial" w:eastAsia="Arial" w:hAnsi="Arial"/>
          <w:sz w:val="18"/>
          <w:szCs w:val="18"/>
          <w:color w:val="auto"/>
        </w:rPr>
        <w:t>. Unless otherwise established by the Board or in any charter of the Committee, a majority of the Committee shall constitute a quorum and the acts of a majority of the members present at any meeting at which a quorum is present, and acts approved in writing by all members of the Committee in lieu of a meeting, shall be deemed the acts of the Committee. Each member of the Committee is entitled to, in good faith, rely or act upon any report or other information furnished to that member by any officer or other employee of the Company or any Affiliate, the Company’s independent certified public accountants, or any executive compensation consultant or other professional retained by the Company to assist in the administration of the Plan.</w:t>
      </w:r>
    </w:p>
    <w:p>
      <w:pPr>
        <w:spacing w:after="0" w:line="21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 xml:space="preserve">13.4 </w:t>
      </w:r>
      <w:r>
        <w:rPr>
          <w:rFonts w:ascii="Arial" w:cs="Arial" w:eastAsia="Arial" w:hAnsi="Arial"/>
          <w:sz w:val="17"/>
          <w:szCs w:val="17"/>
          <w:u w:val="single" w:color="auto"/>
          <w:color w:val="auto"/>
        </w:rPr>
        <w:t>Authority of Administrator</w:t>
      </w:r>
      <w:r>
        <w:rPr>
          <w:rFonts w:ascii="Arial" w:cs="Arial" w:eastAsia="Arial" w:hAnsi="Arial"/>
          <w:sz w:val="17"/>
          <w:szCs w:val="17"/>
          <w:color w:val="auto"/>
        </w:rPr>
        <w:t>. Subject to the Company’s Bylaws, the Committee’s Charter and any specific designation in the Plan,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Administrator has the exclusive power, authority and sole discretion to:</w:t>
      </w:r>
    </w:p>
    <w:p>
      <w:pPr>
        <w:spacing w:after="0" w:line="223" w:lineRule="exact"/>
        <w:rPr>
          <w:sz w:val="20"/>
          <w:szCs w:val="20"/>
          <w:color w:val="auto"/>
        </w:rPr>
      </w:pPr>
    </w:p>
    <w:p>
      <w:pPr>
        <w:ind w:left="640" w:hanging="30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Designate Eligible Individuals to receive Awards;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Eligible Individual;</w:t>
      </w:r>
    </w:p>
    <w:p>
      <w:pPr>
        <w:spacing w:after="0" w:line="238" w:lineRule="exact"/>
        <w:rPr>
          <w:rFonts w:ascii="Arial" w:cs="Arial" w:eastAsia="Arial" w:hAnsi="Arial"/>
          <w:sz w:val="18"/>
          <w:szCs w:val="18"/>
          <w:color w:val="auto"/>
        </w:rPr>
      </w:pPr>
    </w:p>
    <w:p>
      <w:pPr>
        <w:ind w:left="640" w:hanging="308"/>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to which an Award will relate;</w:t>
      </w:r>
    </w:p>
    <w:p>
      <w:pPr>
        <w:spacing w:after="0" w:line="238" w:lineRule="exact"/>
        <w:rPr>
          <w:rFonts w:ascii="Arial" w:cs="Arial" w:eastAsia="Arial" w:hAnsi="Arial"/>
          <w:sz w:val="18"/>
          <w:szCs w:val="18"/>
          <w:color w:val="auto"/>
        </w:rPr>
      </w:pPr>
    </w:p>
    <w:p>
      <w:pPr>
        <w:jc w:val="both"/>
        <w:ind w:left="660" w:hanging="328"/>
        <w:spacing w:after="0" w:line="284"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Determine the terms and conditions of any Award granted pursuant to the Plan, including, but not limited to, the exercise price, grant price, or purchase price, any Performance Criteria, any restrictions or limitations on the Award, any schedule for vesting, lapse of forfeiture restrictions or restrictions on the exercisability of an Award, and accelerations or waivers thereof, and any provisions related to non-competition and recapture of gain on an Award, based in each case on such considerations as the Administrator in its sole discretion determines;</w:t>
      </w:r>
    </w:p>
    <w:p>
      <w:pPr>
        <w:spacing w:after="0" w:line="182" w:lineRule="exact"/>
        <w:rPr>
          <w:rFonts w:ascii="Arial" w:cs="Arial" w:eastAsia="Arial" w:hAnsi="Arial"/>
          <w:sz w:val="16"/>
          <w:szCs w:val="16"/>
          <w:color w:val="auto"/>
        </w:rPr>
      </w:pPr>
    </w:p>
    <w:p>
      <w:pPr>
        <w:ind w:left="660" w:right="20" w:hanging="328"/>
        <w:spacing w:after="0" w:line="261" w:lineRule="auto"/>
        <w:tabs>
          <w:tab w:leader="none" w:pos="65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Determine whether, to what extent, and pursuant to what circumstances an Award may be settled in, or the exercise price of an Award may be paid in cash, Shares, other Awards, or other property, or an Award may be canceled, forfeited, or surrendered;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1" w:right="339" w:bottom="1440" w:gutter="0" w:footer="0" w:header="0"/>
        </w:sectPr>
      </w:pPr>
    </w:p>
    <w:bookmarkStart w:id="28" w:name="page29"/>
    <w:bookmarkEnd w:id="28"/>
    <w:p>
      <w:pPr>
        <w:spacing w:after="0" w:line="22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Prescribe the form of each Award Agreement, which need not be identical for each Holder;</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adopt, or revise any rules and regulations as it may deem necessary or advisable to administer the Plan;</w:t>
      </w:r>
    </w:p>
    <w:p>
      <w:pPr>
        <w:spacing w:after="0" w:line="238" w:lineRule="exact"/>
        <w:rPr>
          <w:rFonts w:ascii="Arial" w:cs="Arial" w:eastAsia="Arial" w:hAnsi="Arial"/>
          <w:sz w:val="18"/>
          <w:szCs w:val="18"/>
          <w:color w:val="auto"/>
        </w:rPr>
      </w:pPr>
    </w:p>
    <w:p>
      <w:pPr>
        <w:ind w:left="640" w:hanging="30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Interpret the terms of, and any matter arising pursuant to, the Plan, any Program or any Award Agreement;</w:t>
      </w:r>
    </w:p>
    <w:p>
      <w:pPr>
        <w:spacing w:after="0" w:line="238" w:lineRule="exact"/>
        <w:rPr>
          <w:rFonts w:ascii="Arial" w:cs="Arial" w:eastAsia="Arial" w:hAnsi="Arial"/>
          <w:sz w:val="18"/>
          <w:szCs w:val="18"/>
          <w:color w:val="auto"/>
        </w:rPr>
      </w:pPr>
    </w:p>
    <w:p>
      <w:pPr>
        <w:ind w:left="660" w:hanging="328"/>
        <w:spacing w:after="0" w:line="261" w:lineRule="auto"/>
        <w:tabs>
          <w:tab w:leader="none" w:pos="6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pursuant to the Plan or as the Administrator deems necessary or advisable to administer the Plan; and</w:t>
      </w:r>
    </w:p>
    <w:p>
      <w:pPr>
        <w:spacing w:after="0" w:line="197"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Accelerate wholly or partially the vesting or lapse of restrictions of any Award or portion thereof at any time after the grant of an Award, subject to whatever terms and conditions it selects and Section 14.2.</w:t>
      </w:r>
    </w:p>
    <w:p>
      <w:pPr>
        <w:spacing w:after="0" w:line="198" w:lineRule="exact"/>
        <w:rPr>
          <w:sz w:val="20"/>
          <w:szCs w:val="20"/>
          <w:color w:val="auto"/>
        </w:rPr>
      </w:pPr>
    </w:p>
    <w:p>
      <w:pPr>
        <w:jc w:val="both"/>
        <w:ind w:firstLine="729"/>
        <w:spacing w:after="0" w:line="291"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u w:val="single" w:color="auto"/>
          <w:color w:val="auto"/>
        </w:rPr>
        <w:t>Decisions Binding</w:t>
      </w:r>
      <w:r>
        <w:rPr>
          <w:rFonts w:ascii="Arial" w:cs="Arial" w:eastAsia="Arial" w:hAnsi="Arial"/>
          <w:sz w:val="17"/>
          <w:szCs w:val="17"/>
          <w:color w:val="auto"/>
        </w:rPr>
        <w:t>. The Administrator’s interpretation of the Plan, any Awards granted pursuant to the Plan, any Program, any Award Agreement and all decisions and determinations by the Administrator with respect to the Plan are final, binding, and conclusive on all parties.</w:t>
      </w:r>
    </w:p>
    <w:p>
      <w:pPr>
        <w:spacing w:after="0" w:line="174" w:lineRule="exact"/>
        <w:rPr>
          <w:sz w:val="20"/>
          <w:szCs w:val="20"/>
          <w:color w:val="auto"/>
        </w:rPr>
      </w:pPr>
    </w:p>
    <w:p>
      <w:pPr>
        <w:jc w:val="both"/>
        <w:ind w:firstLine="729"/>
        <w:spacing w:after="0" w:line="253" w:lineRule="auto"/>
        <w:rPr>
          <w:sz w:val="20"/>
          <w:szCs w:val="20"/>
          <w:color w:val="auto"/>
        </w:rPr>
      </w:pPr>
      <w:r>
        <w:rPr>
          <w:rFonts w:ascii="Arial" w:cs="Arial" w:eastAsia="Arial" w:hAnsi="Arial"/>
          <w:sz w:val="17"/>
          <w:szCs w:val="17"/>
          <w:color w:val="auto"/>
        </w:rPr>
        <w:t xml:space="preserve">13.6 </w:t>
      </w:r>
      <w:r>
        <w:rPr>
          <w:rFonts w:ascii="Arial" w:cs="Arial" w:eastAsia="Arial" w:hAnsi="Arial"/>
          <w:sz w:val="17"/>
          <w:szCs w:val="17"/>
          <w:u w:val="single" w:color="auto"/>
          <w:color w:val="auto"/>
        </w:rPr>
        <w:t>Delegation of Authority</w:t>
      </w:r>
      <w:r>
        <w:rPr>
          <w:rFonts w:ascii="Arial" w:cs="Arial" w:eastAsia="Arial" w:hAnsi="Arial"/>
          <w:sz w:val="17"/>
          <w:szCs w:val="17"/>
          <w:color w:val="auto"/>
        </w:rPr>
        <w:t>. To the extent permitted by Applicable Law, the Board or Committee may from time to time delegate to a committee of one or more members of the Board or one or more officers of the Company the authority to grant or amend Awards or to take other administrative actions pursuant to this Article 13; provided, however, that in no event shall an officer of the Company be delegated the authority to grant awards to, or amend awards held by, the following individuals: (a) individuals who are subject to Section 16 of the Exchange Act, (b) Covered Employees, or (c) officers of the Company (or Directors) to whom authority to grant or amend Awards has been delegated hereunder; provided, further, that any delegation of administrative authority shall only be permitted to the extent it is permissible under Section 162(m) of the Code and other Applicable Law. Any delegation hereunder shall be subject to the restrictions and limits that the Board or Committee specifies at the time of such delegation, and the Board may at any time rescind the authority so delegated or appoint a new delegatee. At all times, the delegatee appointed under this Section 13.6 shall serve in such capacity at the pleasure of the Board and the Committee.</w:t>
      </w:r>
    </w:p>
    <w:p>
      <w:pPr>
        <w:spacing w:after="0" w:line="207"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ARTICLE 14.</w:t>
      </w:r>
    </w:p>
    <w:p>
      <w:pPr>
        <w:spacing w:after="0" w:line="239"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MISCELLANEOUS PROVISIONS</w:t>
      </w:r>
    </w:p>
    <w:p>
      <w:pPr>
        <w:spacing w:after="0" w:line="243" w:lineRule="exact"/>
        <w:rPr>
          <w:sz w:val="20"/>
          <w:szCs w:val="20"/>
          <w:color w:val="auto"/>
        </w:rPr>
      </w:pPr>
    </w:p>
    <w:p>
      <w:pPr>
        <w:jc w:val="both"/>
        <w:ind w:firstLine="729"/>
        <w:spacing w:after="0" w:line="270"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Amendment, Suspension or Termination of the Plan</w:t>
      </w:r>
      <w:r>
        <w:rPr>
          <w:rFonts w:ascii="Arial" w:cs="Arial" w:eastAsia="Arial" w:hAnsi="Arial"/>
          <w:sz w:val="16"/>
          <w:szCs w:val="16"/>
          <w:color w:val="auto"/>
        </w:rPr>
        <w:t>. Except as otherwise provided in this Section 14.1, the Plan may be wholly or partially amended or otherwise modified, suspended or terminated at any time or from time to time by the Board or the Committee. However, without approval of the Company’s stockholders given within twelve (12) months before or after the action by the Administrator, no action of the Administrator may, except as provided in Section 14.2, (a) increase the limits imposed in Section 3.1 on the maximum number of Shares which may be issued under the Plan, (b) reduce the price per share of any outstanding Option or Stock Appreciation Right granted under the Plan or take any action prohibited under Section 12.6, or (c) cancel any Option or Stock Appreciation Right in exchange for cash or another Award when the Option or Stock Appreciation Right price per share exceeds the Fair Market Value of the underlying Shares. Except as provided in Section 14.10, no amendment, suspension or termination of the Plan shall, without the consent of the Holder, impair any rights or obligations under any Award theretofore granted or awarded, unless the Award itself otherwise expressly so provides. No Awards may be granted or awarded during any period of suspension or after termination of the Plan, and in no event may any Incentive Stock Option be granted under the Plan after the tenth (10th) anniversary of the Effective Date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Any Awards that are outstanding on the Expiration Date shall remain in force according to the terms of the Plan and the applicable Award Agreement.</w:t>
      </w:r>
    </w:p>
    <w:p>
      <w:pPr>
        <w:spacing w:after="0" w:line="19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Changes in Common Stock or Assets of the Company, Acquisition or Liquidation of the Company and Other Corporate Events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40" w:right="339" w:bottom="1440" w:gutter="0" w:footer="0" w:header="0"/>
        </w:sectPr>
      </w:pPr>
    </w:p>
    <w:bookmarkStart w:id="29" w:name="page30"/>
    <w:bookmarkEnd w:id="29"/>
    <w:p>
      <w:pPr>
        <w:jc w:val="both"/>
        <w:ind w:left="328" w:hanging="328"/>
        <w:spacing w:after="0" w:line="253" w:lineRule="auto"/>
        <w:tabs>
          <w:tab w:leader="none" w:pos="318"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the event of any stock dividend, stock split, combination or exchange of shares, merger, consolidation or other distribution (other than cash dividends) of Company assets to stockholders, or any other change affecting the Shares of the Company’s stock or the share price of the Company’s stock other than an Equity Restructuring, the Administrator may make equitable adjustments, if any, to reflect such change with respect to (i) the aggregate number and kind of Shares that may be issued under the Plan (including, but not limited to, adjustments of the limitations in Sections 3.1 and 3.3 on the maximum number and kind of Shares which may be issued under the Plan, adjustments of the Award Limit); (ii) the number and kind of Shares (or other securities or property) subject to outstanding Awards; (iii) the terms and conditions of any outstanding Awards (including, without limitation, any applicable performance targets or criteria with respect thereto); and (iv) the grant or exercise price per share for any outstanding Awards under the Plan. Any adjustment affecting an Award intended as Performance-Based Compensation shall be made consistent with the requirements of Section 162(m) of the Code.</w:t>
      </w:r>
    </w:p>
    <w:p>
      <w:pPr>
        <w:spacing w:after="0" w:line="210" w:lineRule="exact"/>
        <w:rPr>
          <w:rFonts w:ascii="Arial" w:cs="Arial" w:eastAsia="Arial" w:hAnsi="Arial"/>
          <w:sz w:val="17"/>
          <w:szCs w:val="17"/>
          <w:color w:val="auto"/>
        </w:rPr>
      </w:pPr>
    </w:p>
    <w:p>
      <w:pPr>
        <w:jc w:val="both"/>
        <w:ind w:left="328" w:hanging="328"/>
        <w:spacing w:after="0" w:line="274" w:lineRule="auto"/>
        <w:tabs>
          <w:tab w:leader="none" w:pos="328"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the event of any transaction or event described in Section 14.2(a) or any unusual or nonrecurring transactions or events affecting the Company, any Affiliate of the Company, or the financial statements of the Company or any Affiliate, or of changes in Applicable Law, regulations or accounting principles, the Administrator, in its sole discretion, and on such terms and conditions as it deems appropriate, either by the terms of the Award or by action taken prior to the occurrence of such transaction or event and either automatically or upon the Holder’s request,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laws, regulations or principles:</w:t>
      </w:r>
    </w:p>
    <w:p>
      <w:pPr>
        <w:spacing w:after="0" w:line="190" w:lineRule="exact"/>
        <w:rPr>
          <w:rFonts w:ascii="Arial" w:cs="Arial" w:eastAsia="Arial" w:hAnsi="Arial"/>
          <w:sz w:val="16"/>
          <w:szCs w:val="16"/>
          <w:color w:val="auto"/>
        </w:rPr>
      </w:pPr>
    </w:p>
    <w:p>
      <w:pPr>
        <w:jc w:val="both"/>
        <w:ind w:left="968" w:hanging="415"/>
        <w:spacing w:after="0" w:line="255" w:lineRule="auto"/>
        <w:tabs>
          <w:tab w:leader="none" w:pos="968" w:val="left"/>
        </w:tabs>
        <w:numPr>
          <w:ilvl w:val="2"/>
          <w:numId w:val="30"/>
        </w:numPr>
        <w:rPr>
          <w:rFonts w:ascii="Arial" w:cs="Arial" w:eastAsia="Arial" w:hAnsi="Arial"/>
          <w:sz w:val="17"/>
          <w:szCs w:val="17"/>
          <w:color w:val="auto"/>
        </w:rPr>
      </w:pPr>
      <w:r>
        <w:rPr>
          <w:rFonts w:ascii="Arial" w:cs="Arial" w:eastAsia="Arial" w:hAnsi="Arial"/>
          <w:sz w:val="17"/>
          <w:szCs w:val="17"/>
          <w:color w:val="auto"/>
        </w:rPr>
        <w:t>To provide for either (A) termination of any such Award in exchange for an amount of cash, if any, equal to the amount that would have been attained upon the exercise of such Award or realization of the Holder’s rights (and, for the avoidance of doubt, if as of the date of the occurrence of the transaction or event described in this Section 14.2 the Administrator determines in good faith that no amount would have been attained upon the exercise of such Award or realization of the Holder’s rights, then such Award may be terminated by the Company without payment) or (B) the replacement of such Award with other rights or property selected by the Administrator in its sole discretion having an aggregate value not exceeding the amount that could have been attained upon the exercise of such Award or realization of the Holder’s rights had such Award been currently exercisable or payable or fully vested;</w:t>
      </w:r>
    </w:p>
    <w:p>
      <w:pPr>
        <w:spacing w:after="0" w:line="206" w:lineRule="exact"/>
        <w:rPr>
          <w:rFonts w:ascii="Arial" w:cs="Arial" w:eastAsia="Arial" w:hAnsi="Arial"/>
          <w:sz w:val="17"/>
          <w:szCs w:val="17"/>
          <w:color w:val="auto"/>
        </w:rPr>
      </w:pPr>
    </w:p>
    <w:p>
      <w:pPr>
        <w:jc w:val="both"/>
        <w:ind w:left="968" w:hanging="465"/>
        <w:spacing w:after="0" w:line="248" w:lineRule="auto"/>
        <w:tabs>
          <w:tab w:leader="none" w:pos="968" w:val="left"/>
        </w:tabs>
        <w:numPr>
          <w:ilvl w:val="2"/>
          <w:numId w:val="30"/>
        </w:numPr>
        <w:rPr>
          <w:rFonts w:ascii="Arial" w:cs="Arial" w:eastAsia="Arial" w:hAnsi="Arial"/>
          <w:sz w:val="18"/>
          <w:szCs w:val="18"/>
          <w:color w:val="auto"/>
        </w:rPr>
      </w:pPr>
      <w:r>
        <w:rPr>
          <w:rFonts w:ascii="Arial" w:cs="Arial" w:eastAsia="Arial" w:hAnsi="Arial"/>
          <w:sz w:val="18"/>
          <w:szCs w:val="18"/>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208" w:lineRule="exact"/>
        <w:rPr>
          <w:rFonts w:ascii="Arial" w:cs="Arial" w:eastAsia="Arial" w:hAnsi="Arial"/>
          <w:sz w:val="18"/>
          <w:szCs w:val="18"/>
          <w:color w:val="auto"/>
        </w:rPr>
      </w:pPr>
    </w:p>
    <w:p>
      <w:pPr>
        <w:jc w:val="both"/>
        <w:ind w:left="968" w:hanging="514"/>
        <w:spacing w:after="0" w:line="294" w:lineRule="auto"/>
        <w:tabs>
          <w:tab w:leader="none" w:pos="968" w:val="left"/>
        </w:tabs>
        <w:numPr>
          <w:ilvl w:val="2"/>
          <w:numId w:val="30"/>
        </w:numPr>
        <w:rPr>
          <w:rFonts w:ascii="Arial" w:cs="Arial" w:eastAsia="Arial" w:hAnsi="Arial"/>
          <w:sz w:val="16"/>
          <w:szCs w:val="16"/>
          <w:color w:val="auto"/>
        </w:rPr>
      </w:pPr>
      <w:r>
        <w:rPr>
          <w:rFonts w:ascii="Arial" w:cs="Arial" w:eastAsia="Arial" w:hAnsi="Arial"/>
          <w:sz w:val="16"/>
          <w:szCs w:val="16"/>
          <w:color w:val="auto"/>
        </w:rPr>
        <w:t>To make adjustments in the number and type of Shares of the Company’s stock (or other securities or property) subject to outstanding Awards, and in the number and kind of outstanding Restricted Stock or Deferred Stock and/or in the terms and conditions of (including the grant or exercise price), and the criteria included in, outstanding Awards and Awards which may be granted in the future;</w:t>
      </w:r>
    </w:p>
    <w:p>
      <w:pPr>
        <w:spacing w:after="0" w:line="174" w:lineRule="exact"/>
        <w:rPr>
          <w:rFonts w:ascii="Arial" w:cs="Arial" w:eastAsia="Arial" w:hAnsi="Arial"/>
          <w:sz w:val="16"/>
          <w:szCs w:val="16"/>
          <w:color w:val="auto"/>
        </w:rPr>
      </w:pPr>
    </w:p>
    <w:p>
      <w:pPr>
        <w:ind w:left="968" w:hanging="505"/>
        <w:spacing w:after="0" w:line="261" w:lineRule="auto"/>
        <w:tabs>
          <w:tab w:leader="none" w:pos="956" w:val="left"/>
        </w:tabs>
        <w:numPr>
          <w:ilvl w:val="1"/>
          <w:numId w:val="30"/>
        </w:numPr>
        <w:rPr>
          <w:rFonts w:ascii="Arial" w:cs="Arial" w:eastAsia="Arial" w:hAnsi="Arial"/>
          <w:sz w:val="18"/>
          <w:szCs w:val="18"/>
          <w:color w:val="auto"/>
        </w:rPr>
      </w:pPr>
      <w:r>
        <w:rPr>
          <w:rFonts w:ascii="Arial" w:cs="Arial" w:eastAsia="Arial" w:hAnsi="Arial"/>
          <w:sz w:val="18"/>
          <w:szCs w:val="18"/>
          <w:color w:val="auto"/>
        </w:rPr>
        <w:t>To provide that such Award shall be exercisable or payable or fully vested with respect to all Shares covered thereby, notwithstanding anything to the contrary in the Plan or the applicable Program or Award Agreement; and</w:t>
      </w:r>
    </w:p>
    <w:p>
      <w:pPr>
        <w:spacing w:after="0" w:line="197" w:lineRule="exact"/>
        <w:rPr>
          <w:rFonts w:ascii="Arial" w:cs="Arial" w:eastAsia="Arial" w:hAnsi="Arial"/>
          <w:sz w:val="18"/>
          <w:szCs w:val="18"/>
          <w:color w:val="auto"/>
        </w:rPr>
      </w:pPr>
    </w:p>
    <w:p>
      <w:pPr>
        <w:ind w:left="968" w:hanging="455"/>
        <w:spacing w:after="0"/>
        <w:tabs>
          <w:tab w:leader="none" w:pos="968" w:val="left"/>
        </w:tabs>
        <w:numPr>
          <w:ilvl w:val="1"/>
          <w:numId w:val="30"/>
        </w:numPr>
        <w:rPr>
          <w:rFonts w:ascii="Arial" w:cs="Arial" w:eastAsia="Arial" w:hAnsi="Arial"/>
          <w:sz w:val="18"/>
          <w:szCs w:val="18"/>
          <w:color w:val="auto"/>
        </w:rPr>
      </w:pPr>
      <w:r>
        <w:rPr>
          <w:rFonts w:ascii="Arial" w:cs="Arial" w:eastAsia="Arial" w:hAnsi="Arial"/>
          <w:sz w:val="18"/>
          <w:szCs w:val="18"/>
          <w:color w:val="auto"/>
        </w:rPr>
        <w:t>To provide that the Award cannot vest, be exercised or become payable after such event.</w:t>
      </w:r>
    </w:p>
    <w:p>
      <w:pPr>
        <w:spacing w:after="0" w:line="238" w:lineRule="exact"/>
        <w:rPr>
          <w:rFonts w:ascii="Arial" w:cs="Arial" w:eastAsia="Arial" w:hAnsi="Arial"/>
          <w:sz w:val="18"/>
          <w:szCs w:val="18"/>
          <w:color w:val="auto"/>
        </w:rPr>
      </w:pPr>
    </w:p>
    <w:p>
      <w:pPr>
        <w:ind w:left="308" w:hanging="308"/>
        <w:spacing w:after="0"/>
        <w:tabs>
          <w:tab w:leader="none" w:pos="308"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connection with the occurrence of any Equity Restructuring, and notwithstanding anything to the contrary in Sections 14.2(a) and 14.2(b):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0908"/>
          </w:cols>
          <w:pgMar w:left="652" w:top="1421" w:right="339" w:bottom="1440" w:gutter="0" w:footer="0" w:header="0"/>
        </w:sectPr>
      </w:pPr>
    </w:p>
    <w:bookmarkStart w:id="30" w:name="page31"/>
    <w:bookmarkEnd w:id="30"/>
    <w:p>
      <w:pPr>
        <w:ind w:left="968" w:right="20" w:hanging="415"/>
        <w:spacing w:after="0" w:line="261" w:lineRule="auto"/>
        <w:tabs>
          <w:tab w:leader="none" w:pos="968"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number and type of securities subject to each outstanding Award and the exercise price or grant price thereof, if applicable, shall be equitably adjusted; and/or</w:t>
      </w:r>
    </w:p>
    <w:p>
      <w:pPr>
        <w:spacing w:after="0" w:line="197" w:lineRule="exact"/>
        <w:rPr>
          <w:rFonts w:ascii="Arial" w:cs="Arial" w:eastAsia="Arial" w:hAnsi="Arial"/>
          <w:sz w:val="18"/>
          <w:szCs w:val="18"/>
          <w:color w:val="auto"/>
        </w:rPr>
      </w:pPr>
    </w:p>
    <w:p>
      <w:pPr>
        <w:jc w:val="both"/>
        <w:ind w:left="968" w:hanging="465"/>
        <w:spacing w:after="0" w:line="241" w:lineRule="auto"/>
        <w:tabs>
          <w:tab w:leader="none" w:pos="968"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Administrator shall make such equitable adjustments, if any, as the Administrator in its discretion may deem appropriate to reflect such Equity Restructuring with respect to the aggregate number and kind of Shares that may be issued under the Plan (including, but not limited to, adjustments of the limitations in Sections 3.1 and 3.3 on the maximum number and kind of Shares which may be issued under the Plan, adjustments of the Award Limit). The adjustments provided under this Section 14.2(c) shall be nondiscretionary and shall be final and binding on the affected Holder and the Company.</w:t>
      </w:r>
    </w:p>
    <w:p>
      <w:pPr>
        <w:spacing w:after="0" w:line="216" w:lineRule="exact"/>
        <w:rPr>
          <w:rFonts w:ascii="Arial" w:cs="Arial" w:eastAsia="Arial" w:hAnsi="Arial"/>
          <w:sz w:val="18"/>
          <w:szCs w:val="18"/>
          <w:color w:val="auto"/>
        </w:rPr>
      </w:pPr>
    </w:p>
    <w:p>
      <w:pPr>
        <w:jc w:val="both"/>
        <w:ind w:left="328" w:hanging="328"/>
        <w:spacing w:after="0" w:line="268" w:lineRule="auto"/>
        <w:tabs>
          <w:tab w:leader="none" w:pos="328" w:val="left"/>
        </w:tabs>
        <w:numPr>
          <w:ilvl w:val="0"/>
          <w:numId w:val="32"/>
        </w:numPr>
        <w:rPr>
          <w:rFonts w:ascii="Arial" w:cs="Arial" w:eastAsia="Arial" w:hAnsi="Arial"/>
          <w:sz w:val="16"/>
          <w:szCs w:val="16"/>
          <w:color w:val="auto"/>
        </w:rPr>
      </w:pPr>
      <w:r>
        <w:rPr>
          <w:rFonts w:ascii="Arial" w:cs="Arial" w:eastAsia="Arial" w:hAnsi="Arial"/>
          <w:sz w:val="16"/>
          <w:szCs w:val="16"/>
          <w:color w:val="auto"/>
        </w:rPr>
        <w:t>Upon a Change in Control, the Administrator, may, in its sole discretion, do one or more of the following: (i) shorten the period during which Options or Stock Appreciation Rights are exercisable (provided they remain exercisable for at least 30 days after the date notice of such shortening is given to the holders of the Options or Stock Appreciation Rights); (ii) accelerate any vesting schedule to which an Award is subject; (iii) arrange to have the surviving or successor entity or any parent entity thereof assume the Awards; or (iv) cancel Awards upon payment to the holders of the Awards in cash, with respect to each Award to the extent then exercisable or vested (including, if applicable, any Awards as to which the vesting schedule has been accelerated as contemplated in clause (ii) above), of an amount that is the equivalent of the excess of the Fair Market Value of the Common Stock (at the effective time of the merger, reorganization, sale or other event) over (in the case of Options or Stock Appreciation Rights) the exercise price of the Option or Stock Appreciation Right. The Administrator may also provide for one or more of the foregoing alternatives in any particular Award Agreement. For the purposes of this Section 14.2(d),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was not solely common stock of the successor corporation or its parent, the Administrator may, with the consent of the successor corporation, provide for the consideration to be received upon the exercise of the Award, for each Share subject to an Award, to be solely common stock of the successor corporation or its parent equal in fair market value to the per share consideration received by holders of Common Stock in the Change in Control.</w:t>
      </w:r>
    </w:p>
    <w:p>
      <w:pPr>
        <w:spacing w:after="0" w:line="195" w:lineRule="exact"/>
        <w:rPr>
          <w:rFonts w:ascii="Arial" w:cs="Arial" w:eastAsia="Arial" w:hAnsi="Arial"/>
          <w:sz w:val="16"/>
          <w:szCs w:val="16"/>
          <w:color w:val="auto"/>
        </w:rPr>
      </w:pPr>
    </w:p>
    <w:p>
      <w:pPr>
        <w:ind w:left="328" w:hanging="328"/>
        <w:spacing w:after="0" w:line="261" w:lineRule="auto"/>
        <w:tabs>
          <w:tab w:leader="none" w:pos="31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Administrator may, in its sole discretion, include such further provisions and limitations in any Award, agreement or certificate, as it may deem equitable and in the best interests of the Company that are not inconsistent with the provisions of the Plan.</w:t>
      </w:r>
    </w:p>
    <w:p>
      <w:pPr>
        <w:spacing w:after="0" w:line="197" w:lineRule="exact"/>
        <w:rPr>
          <w:rFonts w:ascii="Arial" w:cs="Arial" w:eastAsia="Arial" w:hAnsi="Arial"/>
          <w:sz w:val="18"/>
          <w:szCs w:val="18"/>
          <w:color w:val="auto"/>
        </w:rPr>
      </w:pPr>
    </w:p>
    <w:p>
      <w:pPr>
        <w:jc w:val="both"/>
        <w:ind w:left="328" w:hanging="328"/>
        <w:spacing w:after="0" w:line="274" w:lineRule="auto"/>
        <w:tabs>
          <w:tab w:leader="none" w:pos="325" w:val="left"/>
        </w:tabs>
        <w:numPr>
          <w:ilvl w:val="0"/>
          <w:numId w:val="32"/>
        </w:numPr>
        <w:rPr>
          <w:rFonts w:ascii="Arial" w:cs="Arial" w:eastAsia="Arial" w:hAnsi="Arial"/>
          <w:sz w:val="16"/>
          <w:szCs w:val="16"/>
          <w:color w:val="auto"/>
        </w:rPr>
      </w:pPr>
      <w:r>
        <w:rPr>
          <w:rFonts w:ascii="Arial" w:cs="Arial" w:eastAsia="Arial" w:hAnsi="Arial"/>
          <w:sz w:val="16"/>
          <w:szCs w:val="16"/>
          <w:color w:val="auto"/>
        </w:rPr>
        <w:t>With respect to Awards which are granted to Covered Employees and are intended to qualify as Performance-Based Compensation, no adjustment or action described in this Section 14.2 or in any other provision of the Plan shall be authorized to the extent that such adjustment or action would cause such Award to fail to so qualify as Performance-Based Compensation, unless the Administrator determines that the Award should not so qualify. No adjustment or action described in this Section 14.2 or in any other provision of the Plan shall be authorized to the extent that such adjustment or action would cause the Plan to violate Section 422(b)(1) of the Code. Furthermore, no such adjustment or action shall be authorized to the extent such adjustment or action would result in short-swing profits liability under Section 16 or violate the exemptive conditions of Rule 16b-3 unless the Administrator determines that the Award is not to comply with such exemptive conditions.</w:t>
      </w:r>
    </w:p>
    <w:p>
      <w:pPr>
        <w:spacing w:after="0" w:line="190" w:lineRule="exact"/>
        <w:rPr>
          <w:rFonts w:ascii="Arial" w:cs="Arial" w:eastAsia="Arial" w:hAnsi="Arial"/>
          <w:sz w:val="16"/>
          <w:szCs w:val="16"/>
          <w:color w:val="auto"/>
        </w:rPr>
      </w:pPr>
    </w:p>
    <w:p>
      <w:pPr>
        <w:jc w:val="both"/>
        <w:ind w:left="328" w:hanging="328"/>
        <w:spacing w:after="0" w:line="241" w:lineRule="auto"/>
        <w:tabs>
          <w:tab w:leader="none" w:pos="3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existence of the Plan, the Program, the Award Agreement and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w:t>
      </w:r>
    </w:p>
    <w:p>
      <w:pPr>
        <w:spacing w:after="0" w:line="200" w:lineRule="exact"/>
        <w:rPr>
          <w:sz w:val="20"/>
          <w:szCs w:val="20"/>
          <w:color w:val="auto"/>
        </w:rPr>
      </w:pPr>
    </w:p>
    <w:p>
      <w:pPr>
        <w:spacing w:after="0" w:line="333"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0908"/>
          </w:cols>
          <w:pgMar w:left="652" w:top="1421" w:right="339" w:bottom="1440" w:gutter="0" w:footer="0" w:header="0"/>
        </w:sectPr>
      </w:pPr>
    </w:p>
    <w:bookmarkStart w:id="31" w:name="page32"/>
    <w:bookmarkEnd w:id="31"/>
    <w:p>
      <w:pPr>
        <w:ind w:left="660"/>
        <w:spacing w:after="0" w:line="261" w:lineRule="auto"/>
        <w:rPr>
          <w:sz w:val="20"/>
          <w:szCs w:val="20"/>
          <w:color w:val="auto"/>
        </w:rPr>
      </w:pPr>
      <w:r>
        <w:rPr>
          <w:rFonts w:ascii="Arial" w:cs="Arial" w:eastAsia="Arial" w:hAnsi="Arial"/>
          <w:sz w:val="18"/>
          <w:szCs w:val="18"/>
          <w:color w:val="auto"/>
        </w:rPr>
        <w:t>exchangeable for Common Stock, or the dissolution or liquidation of the Company, or any sale or transfer of all or any part of its assets or business, or any other corporate act or proceeding, whether of a similar character or otherwise.</w:t>
      </w:r>
    </w:p>
    <w:p>
      <w:pPr>
        <w:spacing w:after="0" w:line="198" w:lineRule="exact"/>
        <w:rPr>
          <w:sz w:val="20"/>
          <w:szCs w:val="20"/>
          <w:color w:val="auto"/>
        </w:rPr>
      </w:pPr>
    </w:p>
    <w:p>
      <w:pPr>
        <w:ind w:left="660" w:hanging="328"/>
        <w:spacing w:after="0" w:line="261"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action shall be taken under this Section 14.2 which shall cause an Award to fail to comply with Section 409A of the Code or the Treasury Regulations thereunder, to the extent applicable to such Award.</w:t>
      </w:r>
    </w:p>
    <w:p>
      <w:pPr>
        <w:spacing w:after="0" w:line="197" w:lineRule="exact"/>
        <w:rPr>
          <w:rFonts w:ascii="Arial" w:cs="Arial" w:eastAsia="Arial" w:hAnsi="Arial"/>
          <w:sz w:val="18"/>
          <w:szCs w:val="18"/>
          <w:color w:val="auto"/>
        </w:rPr>
      </w:pPr>
    </w:p>
    <w:p>
      <w:pPr>
        <w:jc w:val="both"/>
        <w:ind w:left="660" w:hanging="328"/>
        <w:spacing w:after="0" w:line="262" w:lineRule="auto"/>
        <w:tabs>
          <w:tab w:leader="none" w:pos="647"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the event of any pending stock dividend, stock split, combination or exchange of shares, merger, consolidation or other distribution (other than normal cash dividends) of Company assets to stockholders, or any other change affecting the Shares or the share price of the Common Stock including any Equity Restructuring, for reasons of administrative convenience, the Company in its sole discretion may refuse to permit the exercise of any Award during a period of thirty (30) days prior to the consummation of any such transaction.</w:t>
      </w:r>
    </w:p>
    <w:p>
      <w:pPr>
        <w:spacing w:after="0" w:line="199" w:lineRule="exact"/>
        <w:rPr>
          <w:sz w:val="20"/>
          <w:szCs w:val="20"/>
          <w:color w:val="auto"/>
        </w:rPr>
      </w:pPr>
    </w:p>
    <w:p>
      <w:pPr>
        <w:jc w:val="both"/>
        <w:ind w:firstLine="729"/>
        <w:spacing w:after="0" w:line="259"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u w:val="single" w:color="auto"/>
          <w:color w:val="auto"/>
        </w:rPr>
        <w:t>Approval of Plan by Stockholders</w:t>
      </w:r>
      <w:r>
        <w:rPr>
          <w:rFonts w:ascii="Arial" w:cs="Arial" w:eastAsia="Arial" w:hAnsi="Arial"/>
          <w:sz w:val="17"/>
          <w:szCs w:val="17"/>
          <w:color w:val="auto"/>
        </w:rPr>
        <w:t xml:space="preserve">. The Plan will be submitted for the approval of the Company’s stockholders within twelve (12) months after the date of the Board’s initial adoption of the Plan. Awards may be granted or awarded prior to such stockholder approval;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Awards shall not be exercisable, shall not vest and the restrictions thereon shall not lapse and no Shares shall be issued pursuant thereto prior to the time when the Plan is approved by the stockholders;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such approval has not been obtained at the end of said twelve (12) month period, all Awards previously granted or awarded under the Plan shall thereupon be canceled and become null and void.</w:t>
      </w:r>
    </w:p>
    <w:p>
      <w:pPr>
        <w:spacing w:after="0" w:line="20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No Stockholders Rights</w:t>
      </w:r>
      <w:r>
        <w:rPr>
          <w:rFonts w:ascii="Arial" w:cs="Arial" w:eastAsia="Arial" w:hAnsi="Arial"/>
          <w:sz w:val="18"/>
          <w:szCs w:val="18"/>
          <w:color w:val="auto"/>
        </w:rPr>
        <w:t>. Except as otherwise provided herein, a Holder shall have none of the rights of a stockholder with respect to Shares covered by any Award until the Holder becomes the record owner of such Shares.</w:t>
      </w:r>
    </w:p>
    <w:p>
      <w:pPr>
        <w:spacing w:after="0" w:line="19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14.5 </w:t>
      </w:r>
      <w:r>
        <w:rPr>
          <w:rFonts w:ascii="Arial" w:cs="Arial" w:eastAsia="Arial" w:hAnsi="Arial"/>
          <w:sz w:val="17"/>
          <w:szCs w:val="17"/>
          <w:u w:val="single" w:color="auto"/>
          <w:color w:val="auto"/>
        </w:rPr>
        <w:t>Paperless Administration</w:t>
      </w:r>
      <w:r>
        <w:rPr>
          <w:rFonts w:ascii="Arial" w:cs="Arial" w:eastAsia="Arial" w:hAnsi="Arial"/>
          <w:sz w:val="17"/>
          <w:szCs w:val="17"/>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191" w:lineRule="exact"/>
        <w:rPr>
          <w:sz w:val="20"/>
          <w:szCs w:val="20"/>
          <w:color w:val="auto"/>
        </w:rPr>
      </w:pPr>
    </w:p>
    <w:p>
      <w:pPr>
        <w:jc w:val="both"/>
        <w:ind w:firstLine="729"/>
        <w:spacing w:after="0"/>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Effect of Plan upon Other Compensation Plans</w:t>
      </w:r>
      <w:r>
        <w:rPr>
          <w:rFonts w:ascii="Arial" w:cs="Arial" w:eastAsia="Arial" w:hAnsi="Arial"/>
          <w:sz w:val="18"/>
          <w:szCs w:val="18"/>
          <w:color w:val="auto"/>
        </w:rPr>
        <w:t>. The adoption of the Plan shall not affect any other compensation or incentive plans in effect for the Company or any Affiliate. Nothing in the Plan shall be construed to limit the right of the Company or any Affiliate: (a) to establish any other forms of incentives or compensation for Employees, Directors or Consultants of the Company or any Affiliate,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216" w:lineRule="exact"/>
        <w:rPr>
          <w:sz w:val="20"/>
          <w:szCs w:val="20"/>
          <w:color w:val="auto"/>
        </w:rPr>
      </w:pPr>
    </w:p>
    <w:p>
      <w:pPr>
        <w:jc w:val="both"/>
        <w:ind w:firstLine="729"/>
        <w:spacing w:after="0" w:line="274" w:lineRule="auto"/>
        <w:rPr>
          <w:sz w:val="20"/>
          <w:szCs w:val="20"/>
          <w:color w:val="auto"/>
        </w:rPr>
      </w:pPr>
      <w:r>
        <w:rPr>
          <w:rFonts w:ascii="Arial" w:cs="Arial" w:eastAsia="Arial" w:hAnsi="Arial"/>
          <w:sz w:val="16"/>
          <w:szCs w:val="16"/>
          <w:color w:val="auto"/>
        </w:rPr>
        <w:t xml:space="preserve">14.7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The Plan, the granting and vesting of Awards under the Plan and the issuance and delivery of Shares and the payment of money under the Plan or under Awards granted or awarded hereunder are subject to compliance with all Applicable Law (including but not limited to state, federal and foreign securities law and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To the extent permitted by Applicable Law, the Plan and Awards granted or awarded hereunder shall be deemed amended to the extent necessary to conform to such Applicable Law.</w:t>
      </w:r>
    </w:p>
    <w:p>
      <w:pPr>
        <w:spacing w:after="0" w:line="190" w:lineRule="exact"/>
        <w:rPr>
          <w:sz w:val="20"/>
          <w:szCs w:val="20"/>
          <w:color w:val="auto"/>
        </w:rPr>
      </w:pPr>
    </w:p>
    <w:p>
      <w:pPr>
        <w:jc w:val="both"/>
        <w:ind w:firstLine="729"/>
        <w:spacing w:after="0" w:line="248"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References to Sections of the Code or Exchange Act.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21" w:right="339" w:bottom="1440" w:gutter="0" w:footer="0" w:header="0"/>
        </w:sectPr>
      </w:pPr>
    </w:p>
    <w:bookmarkStart w:id="32" w:name="page33"/>
    <w:bookmarkEnd w:id="32"/>
    <w:p>
      <w:pPr>
        <w:jc w:val="both"/>
        <w:ind w:firstLine="729"/>
        <w:spacing w:after="0" w:line="261" w:lineRule="auto"/>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any agreements hereunder shall be administered, interpreted and enforced under the internal laws of the State of Nevada without regard to conflicts of laws thereof or of any other jurisdiction.</w:t>
      </w:r>
    </w:p>
    <w:p>
      <w:pPr>
        <w:spacing w:after="0" w:line="198" w:lineRule="exact"/>
        <w:rPr>
          <w:sz w:val="20"/>
          <w:szCs w:val="20"/>
          <w:color w:val="auto"/>
        </w:rPr>
      </w:pPr>
    </w:p>
    <w:p>
      <w:pPr>
        <w:jc w:val="both"/>
        <w:ind w:firstLine="729"/>
        <w:spacing w:after="0" w:line="270" w:lineRule="auto"/>
        <w:rPr>
          <w:sz w:val="20"/>
          <w:szCs w:val="20"/>
          <w:color w:val="auto"/>
        </w:rPr>
      </w:pPr>
      <w:r>
        <w:rPr>
          <w:rFonts w:ascii="Arial" w:cs="Arial" w:eastAsia="Arial" w:hAnsi="Arial"/>
          <w:sz w:val="16"/>
          <w:szCs w:val="16"/>
          <w:color w:val="auto"/>
        </w:rPr>
        <w:t xml:space="preserve">14.10 </w:t>
      </w:r>
      <w:r>
        <w:rPr>
          <w:rFonts w:ascii="Arial" w:cs="Arial" w:eastAsia="Arial" w:hAnsi="Arial"/>
          <w:sz w:val="16"/>
          <w:szCs w:val="16"/>
          <w:u w:val="single" w:color="auto"/>
          <w:color w:val="auto"/>
        </w:rPr>
        <w:t>Section 409A</w:t>
      </w:r>
      <w:r>
        <w:rPr>
          <w:rFonts w:ascii="Arial" w:cs="Arial" w:eastAsia="Arial" w:hAnsi="Arial"/>
          <w:sz w:val="16"/>
          <w:szCs w:val="16"/>
          <w:color w:val="auto"/>
        </w:rPr>
        <w:t>. To the extent that the Administrator determines that any Award granted under the Plan is subject to Section 409A of the Code, the Program pursuant to which such Award is granted and the Award Agreement evidencing such Award shall incorporate the terms and conditions required by Section 409A of the Code. To the extent applicable, the Plan, the Program and any Award Agreements shall be interpreted in accordance with Section 409A of the Code and Department of Treasury regulations and other interpretive guidance issued thereunder, including without limitation any such regulations or other guidance that may be issued after the Effective Date. Notwithstanding any provision of the Plan to the contrary, in the event that following the Effective Date the Administrator determines that any Award may be subject to Section 409A of the Code and related Department of Treasury guidance (including such Department of Treasury guidance as may be issued after the Effective Date), the Administrator may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 and thereby avoid the application of any penalty taxes under such Section.</w:t>
      </w:r>
    </w:p>
    <w:p>
      <w:pPr>
        <w:spacing w:after="0" w:line="194" w:lineRule="exact"/>
        <w:rPr>
          <w:sz w:val="20"/>
          <w:szCs w:val="20"/>
          <w:color w:val="auto"/>
        </w:rPr>
      </w:pPr>
    </w:p>
    <w:p>
      <w:pPr>
        <w:jc w:val="both"/>
        <w:ind w:firstLine="729"/>
        <w:spacing w:after="0" w:line="261" w:lineRule="auto"/>
        <w:rPr>
          <w:sz w:val="20"/>
          <w:szCs w:val="20"/>
          <w:color w:val="auto"/>
        </w:rPr>
      </w:pPr>
      <w:r>
        <w:rPr>
          <w:rFonts w:ascii="Arial" w:cs="Arial" w:eastAsia="Arial" w:hAnsi="Arial"/>
          <w:sz w:val="18"/>
          <w:szCs w:val="18"/>
          <w:color w:val="auto"/>
        </w:rPr>
        <w:t xml:space="preserve">14.11 </w:t>
      </w:r>
      <w:r>
        <w:rPr>
          <w:rFonts w:ascii="Arial" w:cs="Arial" w:eastAsia="Arial" w:hAnsi="Arial"/>
          <w:sz w:val="18"/>
          <w:szCs w:val="18"/>
          <w:u w:val="single" w:color="auto"/>
          <w:color w:val="auto"/>
        </w:rPr>
        <w:t>No Rights to Awards</w:t>
      </w:r>
      <w:r>
        <w:rPr>
          <w:rFonts w:ascii="Arial" w:cs="Arial" w:eastAsia="Arial" w:hAnsi="Arial"/>
          <w:sz w:val="18"/>
          <w:szCs w:val="18"/>
          <w:color w:val="auto"/>
        </w:rPr>
        <w:t>. No Eligible Individual or other person shall have any claim to be granted any Award pursuant to the Plan, and neither the Company nor the Administrator is obligated to treat Eligible Individuals, Holders or any other persons uniformly.</w:t>
      </w:r>
    </w:p>
    <w:p>
      <w:pPr>
        <w:spacing w:after="0" w:line="198" w:lineRule="exact"/>
        <w:rPr>
          <w:sz w:val="20"/>
          <w:szCs w:val="20"/>
          <w:color w:val="auto"/>
        </w:rPr>
      </w:pPr>
    </w:p>
    <w:p>
      <w:pPr>
        <w:jc w:val="both"/>
        <w:ind w:firstLine="729"/>
        <w:spacing w:after="0" w:line="248" w:lineRule="auto"/>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Affiliate.</w:t>
      </w:r>
    </w:p>
    <w:p>
      <w:pPr>
        <w:spacing w:after="0" w:line="209" w:lineRule="exact"/>
        <w:rPr>
          <w:sz w:val="20"/>
          <w:szCs w:val="20"/>
          <w:color w:val="auto"/>
        </w:rPr>
      </w:pPr>
    </w:p>
    <w:p>
      <w:pPr>
        <w:jc w:val="both"/>
        <w:ind w:firstLine="729"/>
        <w:spacing w:after="0" w:line="254" w:lineRule="auto"/>
        <w:rPr>
          <w:sz w:val="20"/>
          <w:szCs w:val="20"/>
          <w:color w:val="auto"/>
        </w:rPr>
      </w:pPr>
      <w:r>
        <w:rPr>
          <w:rFonts w:ascii="Arial" w:cs="Arial" w:eastAsia="Arial" w:hAnsi="Arial"/>
          <w:sz w:val="17"/>
          <w:szCs w:val="17"/>
          <w:color w:val="auto"/>
        </w:rPr>
        <w:t xml:space="preserve">14.13 </w:t>
      </w:r>
      <w:r>
        <w:rPr>
          <w:rFonts w:ascii="Arial" w:cs="Arial" w:eastAsia="Arial" w:hAnsi="Arial"/>
          <w:sz w:val="17"/>
          <w:szCs w:val="17"/>
          <w:u w:val="single" w:color="auto"/>
          <w:color w:val="auto"/>
        </w:rPr>
        <w:t>Indemnification</w:t>
      </w:r>
      <w:r>
        <w:rPr>
          <w:rFonts w:ascii="Arial" w:cs="Arial" w:eastAsia="Arial" w:hAnsi="Arial"/>
          <w:sz w:val="17"/>
          <w:szCs w:val="17"/>
          <w:color w:val="auto"/>
        </w:rPr>
        <w:t>. To the extent allowable pursuant to Applicable Law,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provided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articles of incorporation or bylaws, as a matter of law, or otherwise, or any power that the Company may have to indemnify them or hold them harmless.</w:t>
      </w:r>
    </w:p>
    <w:p>
      <w:pPr>
        <w:spacing w:after="0" w:line="208" w:lineRule="exact"/>
        <w:rPr>
          <w:sz w:val="20"/>
          <w:szCs w:val="20"/>
          <w:color w:val="auto"/>
        </w:rPr>
      </w:pPr>
    </w:p>
    <w:p>
      <w:pPr>
        <w:jc w:val="both"/>
        <w:ind w:firstLine="729"/>
        <w:spacing w:after="0" w:line="248" w:lineRule="auto"/>
        <w:rPr>
          <w:sz w:val="20"/>
          <w:szCs w:val="20"/>
          <w:color w:val="auto"/>
        </w:rPr>
      </w:pPr>
      <w:r>
        <w:rPr>
          <w:rFonts w:ascii="Arial" w:cs="Arial" w:eastAsia="Arial" w:hAnsi="Arial"/>
          <w:sz w:val="18"/>
          <w:szCs w:val="18"/>
          <w:color w:val="auto"/>
        </w:rPr>
        <w:t xml:space="preserve">14.14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20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14.15 </w:t>
      </w:r>
      <w:r>
        <w:rPr>
          <w:rFonts w:ascii="Arial" w:cs="Arial" w:eastAsia="Arial" w:hAnsi="Arial"/>
          <w:sz w:val="18"/>
          <w:szCs w:val="18"/>
          <w:u w:val="single" w:color="auto"/>
          <w:color w:val="auto"/>
        </w:rPr>
        <w:t>Expenses</w:t>
      </w:r>
      <w:r>
        <w:rPr>
          <w:rFonts w:ascii="Arial" w:cs="Arial" w:eastAsia="Arial" w:hAnsi="Arial"/>
          <w:sz w:val="18"/>
          <w:szCs w:val="18"/>
          <w:color w:val="auto"/>
        </w:rPr>
        <w:t>. The expenses of administering the Plan shall be borne by the Company and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2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 hereby certify that the foregoing Amended and Restated 2014 Omnibus Incentive Plan was duly approved by the Shareholders of Wynn Resorts, Limited on June 25, 2020, to be effective as of June 25,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Executed on this 25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June, 2020.</w:t>
      </w:r>
    </w:p>
    <w:p>
      <w:pPr>
        <w:spacing w:after="0" w:line="186" w:lineRule="exact"/>
        <w:rPr>
          <w:sz w:val="20"/>
          <w:szCs w:val="20"/>
          <w:color w:val="auto"/>
        </w:rPr>
      </w:pPr>
    </w:p>
    <w:p>
      <w:pPr>
        <w:ind w:left="9560"/>
        <w:spacing w:after="0"/>
        <w:rPr>
          <w:sz w:val="20"/>
          <w:szCs w:val="20"/>
          <w:color w:val="auto"/>
        </w:rPr>
      </w:pPr>
      <w:r>
        <w:rPr>
          <w:rFonts w:ascii="Arial" w:cs="Arial" w:eastAsia="Arial" w:hAnsi="Arial"/>
          <w:sz w:val="16"/>
          <w:szCs w:val="16"/>
          <w:color w:val="auto"/>
        </w:rPr>
        <w:t>/s/ Ellen F. Whittemore</w:t>
      </w:r>
    </w:p>
    <w:p>
      <w:pPr>
        <w:spacing w:after="0" w:line="35" w:lineRule="exact"/>
        <w:rPr>
          <w:sz w:val="20"/>
          <w:szCs w:val="20"/>
          <w:color w:val="auto"/>
        </w:rPr>
      </w:pPr>
    </w:p>
    <w:p>
      <w:pPr>
        <w:ind w:left="8180"/>
        <w:spacing w:after="0"/>
        <w:rPr>
          <w:sz w:val="20"/>
          <w:szCs w:val="20"/>
          <w:color w:val="auto"/>
        </w:rPr>
      </w:pPr>
      <w:r>
        <w:rPr>
          <w:rFonts w:ascii="Arial" w:cs="Arial" w:eastAsia="Arial" w:hAnsi="Arial"/>
          <w:sz w:val="16"/>
          <w:szCs w:val="16"/>
          <w:u w:val="single" w:color="auto"/>
          <w:color w:val="auto"/>
        </w:rPr>
        <w:t>__________________________________</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Ellen F. Whittemore, Corporate Secretary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3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9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2014 Omnibus Incentive Plan of Wynn Resorts, Limited of our reports dated February 28, 2020, with respect to the consolidated financial statements and schedule of Wynn Resorts, Limited and the effectiveness of internal control over financial reporting of Wynn Resorts, Limited included in its Annual Report (Form 10-K) for the year ended December 31, 2019, filed with the Securities and Exchange Commission.</w:t>
      </w:r>
    </w:p>
    <w:p>
      <w:pPr>
        <w:spacing w:after="0" w:line="214"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30, 2020</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1)"/>
      <w:numFmt w:val="decimal"/>
      <w:start w:val="1"/>
    </w:lvl>
  </w:abstractNum>
  <w:abstractNum w:abstractNumId="2">
    <w:nsid w:val="431BD7B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3F2DBA31"/>
    <w:multiLevelType w:val="hybridMultilevel"/>
    <w:lvl w:ilvl="0">
      <w:lvlJc w:val="left"/>
      <w:lvlText w:val="%1"/>
      <w:numFmt w:val="lowerLetter"/>
      <w:start w:val="1"/>
    </w:lvl>
    <w:lvl w:ilvl="1">
      <w:lvlJc w:val="left"/>
      <w:lvlText w:val="(%2)"/>
      <w:numFmt w:val="decimal"/>
      <w:start w:val="2"/>
    </w:lvl>
  </w:abstractNum>
  <w:abstractNum w:abstractNumId="4">
    <w:nsid w:val="7C83E458"/>
    <w:multiLevelType w:val="hybridMultilevel"/>
    <w:lvl w:ilvl="0">
      <w:lvlJc w:val="left"/>
      <w:lvlText w:val="(%1)"/>
      <w:numFmt w:val="lowerLetter"/>
      <w:start w:val="2"/>
    </w:lvl>
    <w:lvl w:ilvl="1">
      <w:lvlJc w:val="left"/>
      <w:lvlText w:val="%2"/>
      <w:numFmt w:val="decimal"/>
      <w:start w:val="1"/>
    </w:lvl>
  </w:abstractNum>
  <w:abstractNum w:abstractNumId="5">
    <w:nsid w:val="257130A3"/>
    <w:multiLevelType w:val="hybridMultilevel"/>
    <w:lvl w:ilvl="0">
      <w:lvlJc w:val="left"/>
      <w:lvlText w:val="%1."/>
      <w:numFmt w:val="lowerLetter"/>
      <w:start w:val="1"/>
    </w:lvl>
  </w:abstractNum>
  <w:abstractNum w:abstractNumId="6">
    <w:nsid w:val="62BBD95A"/>
    <w:multiLevelType w:val="hybridMultilevel"/>
    <w:lvl w:ilvl="0">
      <w:lvlJc w:val="left"/>
      <w:lvlText w:val="%1."/>
      <w:numFmt w:val="lowerLetter"/>
      <w:start w:val="3"/>
    </w:lvl>
  </w:abstractNum>
  <w:abstractNum w:abstractNumId="7">
    <w:nsid w:val="436C6125"/>
    <w:multiLevelType w:val="hybridMultilevel"/>
    <w:lvl w:ilvl="0">
      <w:lvlJc w:val="left"/>
      <w:lvlText w:val="%1."/>
      <w:numFmt w:val="lowerLetter"/>
      <w:start w:val="1"/>
    </w:lvl>
  </w:abstractNum>
  <w:abstractNum w:abstractNumId="8">
    <w:nsid w:val="628C895D"/>
    <w:multiLevelType w:val="hybridMultilevel"/>
    <w:lvl w:ilvl="0">
      <w:lvlJc w:val="left"/>
      <w:lvlText w:val="%1."/>
      <w:numFmt w:val="lowerLetter"/>
      <w:start w:val="2"/>
    </w:lvl>
  </w:abstractNum>
  <w:abstractNum w:abstractNumId="9">
    <w:nsid w:val="333AB105"/>
    <w:multiLevelType w:val="hybridMultilevel"/>
    <w:lvl w:ilvl="0">
      <w:lvlJc w:val="left"/>
      <w:lvlText w:val="%1."/>
      <w:numFmt w:val="lowerLetter"/>
      <w:start w:val="1"/>
    </w:lvl>
  </w:abstractNum>
  <w:abstractNum w:abstractNumId="10">
    <w:nsid w:val="721DA317"/>
    <w:multiLevelType w:val="hybridMultilevel"/>
    <w:lvl w:ilvl="0">
      <w:lvlJc w:val="left"/>
      <w:lvlText w:val="%1."/>
      <w:numFmt w:val="lowerLetter"/>
      <w:start w:val="1"/>
    </w:lvl>
  </w:abstractNum>
  <w:abstractNum w:abstractNumId="11">
    <w:nsid w:val="2443A858"/>
    <w:multiLevelType w:val="hybridMultilevel"/>
    <w:lvl w:ilvl="0">
      <w:lvlJc w:val="left"/>
      <w:lvlText w:val="%1."/>
      <w:numFmt w:val="lowerLetter"/>
      <w:start w:val="1"/>
    </w:lvl>
  </w:abstractNum>
  <w:abstractNum w:abstractNumId="12">
    <w:nsid w:val="2D1D5AE9"/>
    <w:multiLevelType w:val="hybridMultilevel"/>
    <w:lvl w:ilvl="0">
      <w:lvlJc w:val="left"/>
      <w:lvlText w:val="%1."/>
      <w:numFmt w:val="lowerLetter"/>
      <w:start w:val="1"/>
    </w:lvl>
  </w:abstractNum>
  <w:abstractNum w:abstractNumId="13">
    <w:nsid w:val="6763845E"/>
    <w:multiLevelType w:val="hybridMultilevel"/>
    <w:lvl w:ilvl="0">
      <w:lvlJc w:val="left"/>
      <w:lvlText w:val="%1."/>
      <w:numFmt w:val="lowerLetter"/>
      <w:start w:val="4"/>
    </w:lvl>
  </w:abstractNum>
  <w:abstractNum w:abstractNumId="14">
    <w:nsid w:val="75A2A8D4"/>
    <w:multiLevelType w:val="hybridMultilevel"/>
    <w:lvl w:ilvl="0">
      <w:lvlJc w:val="left"/>
      <w:lvlText w:val="%1."/>
      <w:numFmt w:val="lowerLetter"/>
      <w:start w:val="1"/>
    </w:lvl>
  </w:abstractNum>
  <w:abstractNum w:abstractNumId="15">
    <w:nsid w:val="8EDBDAB"/>
    <w:multiLevelType w:val="hybridMultilevel"/>
    <w:lvl w:ilvl="0">
      <w:lvlJc w:val="left"/>
      <w:lvlText w:val="(%1)"/>
      <w:numFmt w:val="lowerLetter"/>
      <w:start w:val="1"/>
    </w:lvl>
  </w:abstractNum>
  <w:abstractNum w:abstractNumId="16">
    <w:nsid w:val="79838CB2"/>
    <w:multiLevelType w:val="hybridMultilevel"/>
    <w:lvl w:ilvl="0">
      <w:lvlJc w:val="left"/>
      <w:lvlText w:val="%1."/>
      <w:numFmt w:val="lowerLetter"/>
      <w:start w:val="1"/>
    </w:lvl>
  </w:abstractNum>
  <w:abstractNum w:abstractNumId="17">
    <w:nsid w:val="4353D0CD"/>
    <w:multiLevelType w:val="hybridMultilevel"/>
    <w:lvl w:ilvl="0">
      <w:lvlJc w:val="left"/>
      <w:lvlText w:val="%1."/>
      <w:numFmt w:val="lowerLetter"/>
      <w:start w:val="1"/>
    </w:lvl>
  </w:abstractNum>
  <w:abstractNum w:abstractNumId="18">
    <w:nsid w:val="B03E0C6"/>
    <w:multiLevelType w:val="hybridMultilevel"/>
    <w:lvl w:ilvl="0">
      <w:lvlJc w:val="left"/>
      <w:lvlText w:val="%1."/>
      <w:numFmt w:val="lowerLetter"/>
      <w:start w:val="1"/>
    </w:lvl>
  </w:abstractNum>
  <w:abstractNum w:abstractNumId="19">
    <w:nsid w:val="189A769B"/>
    <w:multiLevelType w:val="hybridMultilevel"/>
    <w:lvl w:ilvl="0">
      <w:lvlJc w:val="left"/>
      <w:lvlText w:val="%1."/>
      <w:numFmt w:val="lowerLetter"/>
      <w:start w:val="3"/>
    </w:lvl>
  </w:abstractNum>
  <w:abstractNum w:abstractNumId="20">
    <w:nsid w:val="54E49EB4"/>
    <w:multiLevelType w:val="hybridMultilevel"/>
    <w:lvl w:ilvl="0">
      <w:lvlJc w:val="left"/>
      <w:lvlText w:val="%1."/>
      <w:numFmt w:val="lowerLetter"/>
      <w:start w:val="1"/>
    </w:lvl>
  </w:abstractNum>
  <w:abstractNum w:abstractNumId="21">
    <w:nsid w:val="71F32454"/>
    <w:multiLevelType w:val="hybridMultilevel"/>
    <w:lvl w:ilvl="0">
      <w:lvlJc w:val="left"/>
      <w:lvlText w:val="%1."/>
      <w:numFmt w:val="lowerLetter"/>
      <w:start w:val="1"/>
    </w:lvl>
  </w:abstractNum>
  <w:abstractNum w:abstractNumId="22">
    <w:nsid w:val="2CA88611"/>
    <w:multiLevelType w:val="hybridMultilevel"/>
    <w:lvl w:ilvl="0">
      <w:lvlJc w:val="left"/>
      <w:lvlText w:val="%1."/>
      <w:numFmt w:val="lowerLetter"/>
      <w:start w:val="1"/>
    </w:lvl>
  </w:abstractNum>
  <w:abstractNum w:abstractNumId="23">
    <w:nsid w:val="836C40E"/>
    <w:multiLevelType w:val="hybridMultilevel"/>
    <w:lvl w:ilvl="0">
      <w:lvlJc w:val="left"/>
      <w:lvlText w:val="%1."/>
      <w:numFmt w:val="lowerLetter"/>
      <w:start w:val="4"/>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lowerLetter"/>
      <w:start w:val="3"/>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lowerLetter"/>
      <w:start w:val="6"/>
    </w:lvl>
  </w:abstractNum>
  <w:abstractNum w:abstractNumId="29">
    <w:nsid w:val="737B8DDC"/>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30">
    <w:nsid w:val="6CEAF087"/>
    <w:multiLevelType w:val="hybridMultilevel"/>
    <w:lvl w:ilvl="0">
      <w:lvlJc w:val="left"/>
      <w:lvlText w:val="%1"/>
      <w:numFmt w:val="lowerLetter"/>
      <w:start w:val="1"/>
    </w:lvl>
    <w:lvl w:ilvl="1">
      <w:lvlJc w:val="left"/>
      <w:lvlText w:val="%2."/>
      <w:numFmt w:val="lowerRoman"/>
      <w:start w:val="1"/>
    </w:lvl>
  </w:abstractNum>
  <w:abstractNum w:abstractNumId="31">
    <w:nsid w:val="22221A70"/>
    <w:multiLevelType w:val="hybridMultilevel"/>
    <w:lvl w:ilvl="0">
      <w:lvlJc w:val="left"/>
      <w:lvlText w:val="%1."/>
      <w:numFmt w:val="lowerLetter"/>
      <w:start w:val="4"/>
    </w:lvl>
    <w:lvl w:ilvl="1">
      <w:lvlJc w:val="left"/>
      <w:lvlText w:val="%2"/>
      <w:numFmt w:val="lowerRoman"/>
      <w:start w:val="1"/>
    </w:lvl>
  </w:abstractNum>
  <w:abstractNum w:abstractNumId="32">
    <w:nsid w:val="4516DDE9"/>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15" Type="http://schemas.openxmlformats.org/officeDocument/2006/relationships/hyperlink" Target="https://www.sec.gov/ix?doc=/Archives/edgar/data/1174922/000117492220000024/wynn-20191231.htm" TargetMode="External"/><Relationship Id="rId16" Type="http://schemas.openxmlformats.org/officeDocument/2006/relationships/hyperlink" Target="https://www.sec.gov/ix?doc=/Archives/edgar/data/1174922/000117492220000085/wynn-20200331.htm" TargetMode="External"/><Relationship Id="rId17" Type="http://schemas.openxmlformats.org/officeDocument/2006/relationships/hyperlink" Target="https://www.sec.gov/ix?doc=/Archives/edgar/data/1174922/000117492220000070/wynn-20200410.htm" TargetMode="External"/><Relationship Id="rId18" Type="http://schemas.openxmlformats.org/officeDocument/2006/relationships/hyperlink" Target="https://www.sec.gov/ix?doc=/Archives/edgar/data/1174922/000117492220000082/wynn-20200506.htm" TargetMode="External"/><Relationship Id="rId19" Type="http://schemas.openxmlformats.org/officeDocument/2006/relationships/hyperlink" Target="https://www.sec.gov/ix?doc=/Archives/edgar/data/1174922/000117492220000098/wynn-20200619.htm" TargetMode="External"/><Relationship Id="rId20" Type="http://schemas.openxmlformats.org/officeDocument/2006/relationships/hyperlink" Target="https://www.sec.gov/ix?doc=/Archives/edgar/data/1174922/000117492220000125/wynn-20200625.htm" TargetMode="External"/><Relationship Id="rId21" Type="http://schemas.openxmlformats.org/officeDocument/2006/relationships/hyperlink" Target="https://www.sec.gov/Archives/edgar/data/1174922/000119312520126275/d882700ddef14a.htm" TargetMode="External"/><Relationship Id="rId22" Type="http://schemas.openxmlformats.org/officeDocument/2006/relationships/hyperlink" Target="https://www.sec.gov/Archives/edgar/data/1174922/000091205702037829/a2088774z8-a12g.htm" TargetMode="External"/><Relationship Id="rId23" Type="http://schemas.openxmlformats.org/officeDocument/2006/relationships/hyperlink" Target="https://www.sec.gov/Archives/edgar/data/1174922/000117492215000044/ex-31.htm" TargetMode="External"/><Relationship Id="rId24" Type="http://schemas.openxmlformats.org/officeDocument/2006/relationships/hyperlink" Target="https://www.sec.gov/Archives/edgar/data/1174922/000117492220000024/ex32-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2020-06-30T16:28:46Z</dcterms:created>
  <dcterms:modified xsi:type="dcterms:W3CDTF">2020-06-30T16:28:46Z</dcterms:modified>
</cp:coreProperties>
</file>