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October 24, 2002</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333-98369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8</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4"/>
          <w:szCs w:val="24"/>
          <w:b w:val="1"/>
          <w:bCs w:val="1"/>
          <w:color w:val="auto"/>
        </w:rPr>
        <w:t>FORM S-1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REGISTRATION STATEMENT</w:t>
      </w:r>
    </w:p>
    <w:p>
      <w:pPr>
        <w:jc w:val="center"/>
        <w:spacing w:after="0" w:line="237"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140335</wp:posOffset>
            </wp:positionV>
            <wp:extent cx="105029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LLC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88-0494878</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Wynn Las Vegas Capital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40" w:type="dxa"/>
            <w:vAlign w:val="bottom"/>
          </w:tcPr>
          <w:p>
            <w:pPr>
              <w:jc w:val="center"/>
              <w:ind w:right="1012"/>
              <w:spacing w:after="0"/>
              <w:rPr>
                <w:sz w:val="20"/>
                <w:szCs w:val="20"/>
                <w:color w:val="auto"/>
              </w:rPr>
            </w:pPr>
            <w:r>
              <w:rPr>
                <w:rFonts w:ascii="Arial" w:cs="Arial" w:eastAsia="Arial" w:hAnsi="Arial"/>
                <w:sz w:val="14"/>
                <w:szCs w:val="14"/>
                <w:b w:val="1"/>
                <w:bCs w:val="1"/>
                <w:color w:val="auto"/>
                <w:w w:val="88"/>
              </w:rPr>
              <w:t>Nevada</w:t>
            </w:r>
          </w:p>
        </w:tc>
        <w:tc>
          <w:tcPr>
            <w:tcW w:w="3840" w:type="dxa"/>
            <w:vAlign w:val="bottom"/>
          </w:tcPr>
          <w:p>
            <w:pPr>
              <w:jc w:val="center"/>
              <w:ind w:right="72"/>
              <w:spacing w:after="0"/>
              <w:rPr>
                <w:sz w:val="20"/>
                <w:szCs w:val="20"/>
                <w:color w:val="auto"/>
              </w:rPr>
            </w:pPr>
            <w:r>
              <w:rPr>
                <w:rFonts w:ascii="Arial" w:cs="Arial" w:eastAsia="Arial" w:hAnsi="Arial"/>
                <w:sz w:val="14"/>
                <w:szCs w:val="14"/>
                <w:b w:val="1"/>
                <w:bCs w:val="1"/>
                <w:color w:val="auto"/>
                <w:w w:val="83"/>
              </w:rPr>
              <w:t>7990</w:t>
            </w:r>
          </w:p>
        </w:tc>
        <w:tc>
          <w:tcPr>
            <w:tcW w:w="2440" w:type="dxa"/>
            <w:vAlign w:val="bottom"/>
          </w:tcPr>
          <w:p>
            <w:pPr>
              <w:jc w:val="center"/>
              <w:ind w:left="1112"/>
              <w:spacing w:after="0"/>
              <w:rPr>
                <w:sz w:val="20"/>
                <w:szCs w:val="20"/>
                <w:color w:val="auto"/>
              </w:rPr>
            </w:pPr>
            <w:r>
              <w:rPr>
                <w:rFonts w:ascii="Arial" w:cs="Arial" w:eastAsia="Arial" w:hAnsi="Arial"/>
                <w:sz w:val="14"/>
                <w:szCs w:val="14"/>
                <w:b w:val="1"/>
                <w:bCs w:val="1"/>
                <w:color w:val="auto"/>
                <w:w w:val="88"/>
              </w:rPr>
              <w:t>46-0484992</w:t>
            </w:r>
          </w:p>
        </w:tc>
      </w:tr>
      <w:tr>
        <w:trPr>
          <w:trHeight w:val="149"/>
        </w:trPr>
        <w:tc>
          <w:tcPr>
            <w:tcW w:w="2840" w:type="dxa"/>
            <w:vAlign w:val="bottom"/>
          </w:tcPr>
          <w:p>
            <w:pPr>
              <w:jc w:val="center"/>
              <w:ind w:right="992"/>
              <w:spacing w:after="0" w:line="149" w:lineRule="exact"/>
              <w:rPr>
                <w:sz w:val="20"/>
                <w:szCs w:val="20"/>
                <w:color w:val="auto"/>
              </w:rPr>
            </w:pPr>
            <w:r>
              <w:rPr>
                <w:rFonts w:ascii="Arial" w:cs="Arial" w:eastAsia="Arial" w:hAnsi="Arial"/>
                <w:sz w:val="14"/>
                <w:szCs w:val="14"/>
                <w:color w:val="auto"/>
                <w:w w:val="88"/>
              </w:rPr>
              <w:t>(State or other jurisdiction</w:t>
            </w:r>
          </w:p>
        </w:tc>
        <w:tc>
          <w:tcPr>
            <w:tcW w:w="384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8"/>
              </w:rPr>
              <w:t>(Primary Standard Industrial</w:t>
            </w:r>
          </w:p>
        </w:tc>
        <w:tc>
          <w:tcPr>
            <w:tcW w:w="2440" w:type="dxa"/>
            <w:vAlign w:val="bottom"/>
          </w:tcPr>
          <w:p>
            <w:pPr>
              <w:jc w:val="center"/>
              <w:ind w:left="113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840" w:type="dxa"/>
            <w:vAlign w:val="bottom"/>
          </w:tcPr>
          <w:p>
            <w:pPr>
              <w:jc w:val="center"/>
              <w:ind w:right="992"/>
              <w:spacing w:after="0"/>
              <w:rPr>
                <w:sz w:val="20"/>
                <w:szCs w:val="20"/>
                <w:color w:val="auto"/>
              </w:rPr>
            </w:pPr>
            <w:r>
              <w:rPr>
                <w:rFonts w:ascii="Arial" w:cs="Arial" w:eastAsia="Arial" w:hAnsi="Arial"/>
                <w:sz w:val="14"/>
                <w:szCs w:val="14"/>
                <w:color w:val="auto"/>
                <w:w w:val="90"/>
              </w:rPr>
              <w:t>of incorporation or organization)</w:t>
            </w:r>
          </w:p>
        </w:tc>
        <w:tc>
          <w:tcPr>
            <w:tcW w:w="3840" w:type="dxa"/>
            <w:vAlign w:val="bottom"/>
          </w:tcPr>
          <w:p>
            <w:pPr>
              <w:jc w:val="center"/>
              <w:ind w:right="72"/>
              <w:spacing w:after="0"/>
              <w:rPr>
                <w:sz w:val="20"/>
                <w:szCs w:val="20"/>
                <w:color w:val="auto"/>
              </w:rPr>
            </w:pPr>
            <w:r>
              <w:rPr>
                <w:rFonts w:ascii="Arial" w:cs="Arial" w:eastAsia="Arial" w:hAnsi="Arial"/>
                <w:sz w:val="14"/>
                <w:szCs w:val="14"/>
                <w:color w:val="auto"/>
                <w:w w:val="88"/>
              </w:rPr>
              <w:t>Classification Code Number)</w:t>
            </w:r>
          </w:p>
        </w:tc>
        <w:tc>
          <w:tcPr>
            <w:tcW w:w="2440" w:type="dxa"/>
            <w:vAlign w:val="bottom"/>
          </w:tcPr>
          <w:p>
            <w:pPr>
              <w:jc w:val="center"/>
              <w:ind w:left="1132"/>
              <w:spacing w:after="0"/>
              <w:rPr>
                <w:sz w:val="20"/>
                <w:szCs w:val="20"/>
                <w:color w:val="auto"/>
              </w:rPr>
            </w:pPr>
            <w:r>
              <w:rPr>
                <w:rFonts w:ascii="Arial" w:cs="Arial" w:eastAsia="Arial" w:hAnsi="Arial"/>
                <w:sz w:val="14"/>
                <w:szCs w:val="14"/>
                <w:color w:val="auto"/>
                <w:w w:val="90"/>
              </w:rPr>
              <w:t>Identification Number)</w:t>
            </w:r>
          </w:p>
        </w:tc>
      </w:tr>
    </w:tbl>
    <w:p>
      <w:pPr>
        <w:spacing w:after="0" w:line="17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and Other Registrants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(See Table of Other Registrants Listed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3145 Las Vegas Boulevard South</w:t>
      </w:r>
    </w:p>
    <w:p>
      <w:pPr>
        <w:jc w:val="center"/>
        <w:spacing w:after="0" w:line="223" w:lineRule="auto"/>
        <w:rPr>
          <w:sz w:val="20"/>
          <w:szCs w:val="20"/>
          <w:color w:val="auto"/>
        </w:rPr>
      </w:pPr>
      <w:r>
        <w:rPr>
          <w:rFonts w:ascii="Arial" w:cs="Arial" w:eastAsia="Arial" w:hAnsi="Arial"/>
          <w:sz w:val="14"/>
          <w:szCs w:val="14"/>
          <w:b w:val="1"/>
          <w:bCs w:val="1"/>
          <w:color w:val="auto"/>
        </w:rPr>
        <w:t>Las Vegas, Nevada 89109</w:t>
      </w:r>
    </w:p>
    <w:p>
      <w:pPr>
        <w:jc w:val="center"/>
        <w:spacing w:after="0" w:line="222"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Ronald J. Kramer</w:t>
      </w:r>
    </w:p>
    <w:p>
      <w:pPr>
        <w:jc w:val="center"/>
        <w:spacing w:after="0" w:line="223" w:lineRule="auto"/>
        <w:rPr>
          <w:sz w:val="20"/>
          <w:szCs w:val="20"/>
          <w:color w:val="auto"/>
        </w:rPr>
      </w:pPr>
      <w:r>
        <w:rPr>
          <w:rFonts w:ascii="Arial" w:cs="Arial" w:eastAsia="Arial" w:hAnsi="Arial"/>
          <w:sz w:val="14"/>
          <w:szCs w:val="14"/>
          <w:b w:val="1"/>
          <w:bCs w:val="1"/>
          <w:color w:val="auto"/>
        </w:rPr>
        <w:t>Wynn Resorts, Limited</w:t>
      </w:r>
    </w:p>
    <w:p>
      <w:pPr>
        <w:jc w:val="center"/>
        <w:spacing w:after="0" w:line="222" w:lineRule="auto"/>
        <w:rPr>
          <w:sz w:val="20"/>
          <w:szCs w:val="20"/>
          <w:color w:val="auto"/>
        </w:rPr>
      </w:pPr>
      <w:r>
        <w:rPr>
          <w:rFonts w:ascii="Arial" w:cs="Arial" w:eastAsia="Arial" w:hAnsi="Arial"/>
          <w:sz w:val="14"/>
          <w:szCs w:val="14"/>
          <w:b w:val="1"/>
          <w:bCs w:val="1"/>
          <w:color w:val="auto"/>
        </w:rPr>
        <w:t>President</w:t>
      </w:r>
    </w:p>
    <w:p>
      <w:pPr>
        <w:jc w:val="center"/>
        <w:spacing w:after="0" w:line="221" w:lineRule="auto"/>
        <w:rPr>
          <w:sz w:val="20"/>
          <w:szCs w:val="20"/>
          <w:color w:val="auto"/>
        </w:rPr>
      </w:pPr>
      <w:r>
        <w:rPr>
          <w:rFonts w:ascii="Arial" w:cs="Arial" w:eastAsia="Arial" w:hAnsi="Arial"/>
          <w:sz w:val="14"/>
          <w:szCs w:val="14"/>
          <w:b w:val="1"/>
          <w:bCs w:val="1"/>
          <w:color w:val="auto"/>
        </w:rPr>
        <w:t>3145 Las Vegas Boulevard South</w:t>
      </w:r>
    </w:p>
    <w:p>
      <w:pPr>
        <w:jc w:val="center"/>
        <w:spacing w:after="0" w:line="222" w:lineRule="auto"/>
        <w:rPr>
          <w:sz w:val="20"/>
          <w:szCs w:val="20"/>
          <w:color w:val="auto"/>
        </w:rPr>
      </w:pPr>
      <w:r>
        <w:rPr>
          <w:rFonts w:ascii="Arial" w:cs="Arial" w:eastAsia="Arial" w:hAnsi="Arial"/>
          <w:sz w:val="14"/>
          <w:szCs w:val="14"/>
          <w:b w:val="1"/>
          <w:bCs w:val="1"/>
          <w:color w:val="auto"/>
        </w:rPr>
        <w:t>Las Vegas, Nevada 89109</w:t>
      </w:r>
    </w:p>
    <w:p>
      <w:pPr>
        <w:jc w:val="center"/>
        <w:spacing w:after="0" w:line="221" w:lineRule="auto"/>
        <w:rPr>
          <w:sz w:val="20"/>
          <w:szCs w:val="20"/>
          <w:color w:val="auto"/>
        </w:rPr>
      </w:pPr>
      <w:r>
        <w:rPr>
          <w:rFonts w:ascii="Arial" w:cs="Arial" w:eastAsia="Arial" w:hAnsi="Arial"/>
          <w:sz w:val="14"/>
          <w:szCs w:val="14"/>
          <w:b w:val="1"/>
          <w:bCs w:val="1"/>
          <w:color w:val="auto"/>
        </w:rPr>
        <w:t>(702) 733-4444</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680" w:type="dxa"/>
        <w:tblCellMar>
          <w:top w:w="0" w:type="dxa"/>
          <w:left w:w="0" w:type="dxa"/>
          <w:bottom w:w="0" w:type="dxa"/>
          <w:right w:w="0" w:type="dxa"/>
        </w:tblCellMar>
      </w:tblPr>
      <w:tr>
        <w:trPr>
          <w:trHeight w:val="172"/>
        </w:trPr>
        <w:tc>
          <w:tcPr>
            <w:tcW w:w="2880" w:type="dxa"/>
            <w:vAlign w:val="bottom"/>
          </w:tcPr>
          <w:p>
            <w:pPr>
              <w:spacing w:after="0"/>
              <w:rPr>
                <w:sz w:val="14"/>
                <w:szCs w:val="14"/>
                <w:color w:val="auto"/>
              </w:rPr>
            </w:pPr>
          </w:p>
        </w:tc>
        <w:tc>
          <w:tcPr>
            <w:tcW w:w="5120" w:type="dxa"/>
            <w:vAlign w:val="bottom"/>
          </w:tcPr>
          <w:p>
            <w:pPr>
              <w:ind w:left="880"/>
              <w:spacing w:after="0"/>
              <w:rPr>
                <w:sz w:val="20"/>
                <w:szCs w:val="20"/>
                <w:color w:val="auto"/>
              </w:rPr>
            </w:pPr>
            <w:r>
              <w:rPr>
                <w:rFonts w:ascii="Arial" w:cs="Arial" w:eastAsia="Arial" w:hAnsi="Arial"/>
                <w:sz w:val="14"/>
                <w:szCs w:val="14"/>
                <w:b w:val="1"/>
                <w:bCs w:val="1"/>
                <w:i w:val="1"/>
                <w:iCs w:val="1"/>
                <w:color w:val="auto"/>
              </w:rPr>
              <w:t>Copies to:</w:t>
            </w:r>
          </w:p>
        </w:tc>
      </w:tr>
      <w:tr>
        <w:trPr>
          <w:trHeight w:val="339"/>
        </w:trPr>
        <w:tc>
          <w:tcPr>
            <w:tcW w:w="2880" w:type="dxa"/>
            <w:vAlign w:val="bottom"/>
          </w:tcPr>
          <w:p>
            <w:pPr>
              <w:jc w:val="center"/>
              <w:ind w:right="792"/>
              <w:spacing w:after="0"/>
              <w:rPr>
                <w:sz w:val="20"/>
                <w:szCs w:val="20"/>
                <w:color w:val="auto"/>
              </w:rPr>
            </w:pPr>
            <w:r>
              <w:rPr>
                <w:rFonts w:ascii="Arial" w:cs="Arial" w:eastAsia="Arial" w:hAnsi="Arial"/>
                <w:sz w:val="14"/>
                <w:szCs w:val="14"/>
                <w:b w:val="1"/>
                <w:bCs w:val="1"/>
                <w:color w:val="auto"/>
                <w:w w:val="89"/>
              </w:rPr>
              <w:t>C. Kevin McGeehan, Esq.</w:t>
            </w:r>
          </w:p>
        </w:tc>
        <w:tc>
          <w:tcPr>
            <w:tcW w:w="5120" w:type="dxa"/>
            <w:vAlign w:val="bottom"/>
          </w:tcPr>
          <w:p>
            <w:pPr>
              <w:jc w:val="center"/>
              <w:ind w:left="3172"/>
              <w:spacing w:after="0"/>
              <w:rPr>
                <w:sz w:val="20"/>
                <w:szCs w:val="20"/>
                <w:color w:val="auto"/>
              </w:rPr>
            </w:pPr>
            <w:r>
              <w:rPr>
                <w:rFonts w:ascii="Arial" w:cs="Arial" w:eastAsia="Arial" w:hAnsi="Arial"/>
                <w:sz w:val="14"/>
                <w:szCs w:val="14"/>
                <w:b w:val="1"/>
                <w:bCs w:val="1"/>
                <w:color w:val="auto"/>
                <w:w w:val="87"/>
              </w:rPr>
              <w:t>Pamela B. Kelly, Esq.</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7"/>
              </w:rPr>
              <w:t>Ashok W. Mukhey, Esq.</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92"/>
              </w:rPr>
              <w:t>Latham &amp; Watkins</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96"/>
              </w:rPr>
              <w:t>Irell &amp; Manella LLP</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633 West Fifth Street, Suite 4000</w:t>
            </w:r>
          </w:p>
        </w:tc>
      </w:tr>
      <w:tr>
        <w:trPr>
          <w:trHeight w:val="149"/>
        </w:trPr>
        <w:tc>
          <w:tcPr>
            <w:tcW w:w="2880" w:type="dxa"/>
            <w:vAlign w:val="bottom"/>
          </w:tcPr>
          <w:p>
            <w:pPr>
              <w:jc w:val="center"/>
              <w:ind w:right="792"/>
              <w:spacing w:after="0" w:line="149" w:lineRule="exact"/>
              <w:rPr>
                <w:sz w:val="20"/>
                <w:szCs w:val="20"/>
                <w:color w:val="auto"/>
              </w:rPr>
            </w:pPr>
            <w:r>
              <w:rPr>
                <w:rFonts w:ascii="Arial" w:cs="Arial" w:eastAsia="Arial" w:hAnsi="Arial"/>
                <w:sz w:val="14"/>
                <w:szCs w:val="14"/>
                <w:b w:val="1"/>
                <w:bCs w:val="1"/>
                <w:color w:val="auto"/>
                <w:w w:val="85"/>
              </w:rPr>
              <w:t>1800 Avenue of the Stars, Suite 900</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6"/>
              </w:rPr>
              <w:t>Los Angeles, CA 90071-2007</w:t>
            </w:r>
          </w:p>
        </w:tc>
      </w:tr>
      <w:tr>
        <w:trPr>
          <w:trHeight w:val="149"/>
        </w:trPr>
        <w:tc>
          <w:tcPr>
            <w:tcW w:w="2880" w:type="dxa"/>
            <w:vAlign w:val="bottom"/>
          </w:tcPr>
          <w:p>
            <w:pPr>
              <w:jc w:val="center"/>
              <w:ind w:right="772"/>
              <w:spacing w:after="0" w:line="149" w:lineRule="exact"/>
              <w:rPr>
                <w:sz w:val="20"/>
                <w:szCs w:val="20"/>
                <w:color w:val="auto"/>
              </w:rPr>
            </w:pPr>
            <w:r>
              <w:rPr>
                <w:rFonts w:ascii="Arial" w:cs="Arial" w:eastAsia="Arial" w:hAnsi="Arial"/>
                <w:sz w:val="14"/>
                <w:szCs w:val="14"/>
                <w:b w:val="1"/>
                <w:bCs w:val="1"/>
                <w:color w:val="auto"/>
                <w:w w:val="86"/>
              </w:rPr>
              <w:t>Los Angeles, CA 90067-4276</w:t>
            </w:r>
          </w:p>
        </w:tc>
        <w:tc>
          <w:tcPr>
            <w:tcW w:w="5120" w:type="dxa"/>
            <w:vAlign w:val="bottom"/>
          </w:tcPr>
          <w:p>
            <w:pPr>
              <w:jc w:val="center"/>
              <w:ind w:left="3172"/>
              <w:spacing w:after="0" w:line="149" w:lineRule="exact"/>
              <w:rPr>
                <w:sz w:val="20"/>
                <w:szCs w:val="20"/>
                <w:color w:val="auto"/>
              </w:rPr>
            </w:pPr>
            <w:r>
              <w:rPr>
                <w:rFonts w:ascii="Arial" w:cs="Arial" w:eastAsia="Arial" w:hAnsi="Arial"/>
                <w:sz w:val="14"/>
                <w:szCs w:val="14"/>
                <w:b w:val="1"/>
                <w:bCs w:val="1"/>
                <w:color w:val="auto"/>
                <w:w w:val="87"/>
              </w:rPr>
              <w:t>(213) 485-1234</w:t>
            </w:r>
          </w:p>
        </w:tc>
      </w:tr>
      <w:tr>
        <w:trPr>
          <w:trHeight w:val="174"/>
        </w:trPr>
        <w:tc>
          <w:tcPr>
            <w:tcW w:w="2880" w:type="dxa"/>
            <w:vAlign w:val="bottom"/>
          </w:tcPr>
          <w:p>
            <w:pPr>
              <w:jc w:val="center"/>
              <w:ind w:right="772"/>
              <w:spacing w:after="0"/>
              <w:rPr>
                <w:sz w:val="20"/>
                <w:szCs w:val="20"/>
                <w:color w:val="auto"/>
              </w:rPr>
            </w:pPr>
            <w:r>
              <w:rPr>
                <w:rFonts w:ascii="Arial" w:cs="Arial" w:eastAsia="Arial" w:hAnsi="Arial"/>
                <w:sz w:val="14"/>
                <w:szCs w:val="14"/>
                <w:b w:val="1"/>
                <w:bCs w:val="1"/>
                <w:color w:val="auto"/>
                <w:w w:val="87"/>
              </w:rPr>
              <w:t>(310) 277-1010</w:t>
            </w:r>
          </w:p>
        </w:tc>
        <w:tc>
          <w:tcPr>
            <w:tcW w:w="512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this registration statement becomes effective.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127000</wp:posOffset>
            </wp:positionV>
            <wp:extent cx="10502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280"/>
        <w:spacing w:after="0"/>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Arial" w:cs="Arial" w:eastAsia="Arial" w:hAnsi="Arial"/>
          <w:sz w:val="12"/>
          <w:szCs w:val="12"/>
          <w:b w:val="1"/>
          <w:bCs w:val="1"/>
          <w:color w:val="auto"/>
        </w:rPr>
        <w:t>o</w:t>
      </w:r>
    </w:p>
    <w:p>
      <w:pPr>
        <w:spacing w:after="0" w:line="229" w:lineRule="exact"/>
        <w:rPr>
          <w:sz w:val="24"/>
          <w:szCs w:val="24"/>
          <w:color w:val="auto"/>
        </w:rPr>
      </w:pPr>
    </w:p>
    <w:p>
      <w:pPr>
        <w:ind w:right="140" w:firstLine="270"/>
        <w:spacing w:after="0" w:line="239" w:lineRule="auto"/>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19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3" w:lineRule="exact"/>
        <w:rPr>
          <w:sz w:val="24"/>
          <w:szCs w:val="24"/>
          <w:color w:val="auto"/>
        </w:rPr>
      </w:pPr>
    </w:p>
    <w:p>
      <w:pPr>
        <w:ind w:right="240" w:firstLine="270"/>
        <w:spacing w:after="0" w:line="239" w:lineRule="auto"/>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1680210</wp:posOffset>
            </wp:positionH>
            <wp:positionV relativeFrom="paragraph">
              <wp:posOffset>-15875</wp:posOffset>
            </wp:positionV>
            <wp:extent cx="1393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71" w:lineRule="exact"/>
        <w:rPr>
          <w:sz w:val="24"/>
          <w:szCs w:val="24"/>
          <w:color w:val="auto"/>
        </w:rPr>
      </w:pPr>
    </w:p>
    <w:p>
      <w:pPr>
        <w:ind w:left="280"/>
        <w:spacing w:after="0"/>
        <w:rPr>
          <w:sz w:val="20"/>
          <w:szCs w:val="20"/>
          <w:color w:val="auto"/>
        </w:rPr>
      </w:pPr>
      <w:r>
        <w:rPr>
          <w:rFonts w:ascii="Arial" w:cs="Arial" w:eastAsia="Arial" w:hAnsi="Arial"/>
          <w:sz w:val="14"/>
          <w:szCs w:val="14"/>
          <w:color w:val="auto"/>
        </w:rPr>
        <w:t xml:space="preserve">If delivery of the prospectus is expected to be made pursuant to Rule 434 under the Securities Act, check the following box. </w:t>
      </w:r>
      <w:r>
        <w:rPr>
          <w:rFonts w:ascii="Arial" w:cs="Arial" w:eastAsia="Arial" w:hAnsi="Arial"/>
          <w:sz w:val="14"/>
          <w:szCs w:val="14"/>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135255</wp:posOffset>
            </wp:positionV>
            <wp:extent cx="105029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tbl>
      <w:tblPr>
        <w:tblLayout w:type="fixed"/>
        <w:tblInd w:w="3240" w:type="dxa"/>
        <w:tblCellMar>
          <w:top w:w="0" w:type="dxa"/>
          <w:left w:w="0" w:type="dxa"/>
          <w:bottom w:w="0" w:type="dxa"/>
          <w:right w:w="0" w:type="dxa"/>
        </w:tblCellMar>
      </w:tblPr>
      <w:tr>
        <w:trPr>
          <w:trHeight w:val="161"/>
        </w:trPr>
        <w:tc>
          <w:tcPr>
            <w:tcW w:w="3460" w:type="dxa"/>
            <w:vAlign w:val="bottom"/>
          </w:tcPr>
          <w:p>
            <w:pPr>
              <w:jc w:val="center"/>
              <w:ind w:right="1852"/>
              <w:spacing w:after="0"/>
              <w:rPr>
                <w:sz w:val="20"/>
                <w:szCs w:val="20"/>
                <w:color w:val="auto"/>
              </w:rPr>
            </w:pPr>
            <w:r>
              <w:rPr>
                <w:rFonts w:ascii="Arial" w:cs="Arial" w:eastAsia="Arial" w:hAnsi="Arial"/>
                <w:sz w:val="14"/>
                <w:szCs w:val="14"/>
                <w:b w:val="1"/>
                <w:bCs w:val="1"/>
                <w:color w:val="auto"/>
                <w:w w:val="86"/>
              </w:rPr>
              <w:t>Title of Each Class of</w:t>
            </w:r>
          </w:p>
        </w:tc>
        <w:tc>
          <w:tcPr>
            <w:tcW w:w="3040" w:type="dxa"/>
            <w:vAlign w:val="bottom"/>
          </w:tcPr>
          <w:p>
            <w:pPr>
              <w:jc w:val="center"/>
              <w:ind w:left="1352"/>
              <w:spacing w:after="0"/>
              <w:rPr>
                <w:sz w:val="20"/>
                <w:szCs w:val="20"/>
                <w:color w:val="auto"/>
              </w:rPr>
            </w:pPr>
            <w:r>
              <w:rPr>
                <w:rFonts w:ascii="Arial" w:cs="Arial" w:eastAsia="Arial" w:hAnsi="Arial"/>
                <w:sz w:val="14"/>
                <w:szCs w:val="14"/>
                <w:b w:val="1"/>
                <w:bCs w:val="1"/>
                <w:color w:val="auto"/>
                <w:w w:val="83"/>
              </w:rPr>
              <w:t>Proposed</w:t>
            </w:r>
          </w:p>
        </w:tc>
        <w:tc>
          <w:tcPr>
            <w:tcW w:w="1240" w:type="dxa"/>
            <w:vAlign w:val="bottom"/>
          </w:tcPr>
          <w:p>
            <w:pPr>
              <w:jc w:val="center"/>
              <w:ind w:left="472"/>
              <w:spacing w:after="0"/>
              <w:rPr>
                <w:sz w:val="20"/>
                <w:szCs w:val="20"/>
                <w:color w:val="auto"/>
              </w:rPr>
            </w:pPr>
            <w:r>
              <w:rPr>
                <w:rFonts w:ascii="Arial" w:cs="Arial" w:eastAsia="Arial" w:hAnsi="Arial"/>
                <w:sz w:val="14"/>
                <w:szCs w:val="14"/>
                <w:b w:val="1"/>
                <w:bCs w:val="1"/>
                <w:color w:val="auto"/>
                <w:w w:val="88"/>
              </w:rPr>
              <w:t>Amount of</w:t>
            </w:r>
          </w:p>
        </w:tc>
      </w:tr>
      <w:tr>
        <w:trPr>
          <w:trHeight w:val="149"/>
        </w:trPr>
        <w:tc>
          <w:tcPr>
            <w:tcW w:w="3460" w:type="dxa"/>
            <w:vAlign w:val="bottom"/>
          </w:tcPr>
          <w:p>
            <w:pPr>
              <w:jc w:val="center"/>
              <w:ind w:right="1872"/>
              <w:spacing w:after="0" w:line="149" w:lineRule="exact"/>
              <w:rPr>
                <w:sz w:val="20"/>
                <w:szCs w:val="20"/>
                <w:color w:val="auto"/>
              </w:rPr>
            </w:pPr>
            <w:r>
              <w:rPr>
                <w:rFonts w:ascii="Arial" w:cs="Arial" w:eastAsia="Arial" w:hAnsi="Arial"/>
                <w:sz w:val="14"/>
                <w:szCs w:val="14"/>
                <w:b w:val="1"/>
                <w:bCs w:val="1"/>
                <w:color w:val="auto"/>
                <w:w w:val="84"/>
              </w:rPr>
              <w:t>Securities to be Registered</w:t>
            </w:r>
          </w:p>
        </w:tc>
        <w:tc>
          <w:tcPr>
            <w:tcW w:w="3040" w:type="dxa"/>
            <w:vAlign w:val="bottom"/>
          </w:tcPr>
          <w:p>
            <w:pPr>
              <w:jc w:val="center"/>
              <w:ind w:left="1332"/>
              <w:spacing w:after="0" w:line="149" w:lineRule="exact"/>
              <w:rPr>
                <w:sz w:val="20"/>
                <w:szCs w:val="20"/>
                <w:color w:val="auto"/>
              </w:rPr>
            </w:pPr>
            <w:r>
              <w:rPr>
                <w:rFonts w:ascii="Arial" w:cs="Arial" w:eastAsia="Arial" w:hAnsi="Arial"/>
                <w:sz w:val="14"/>
                <w:szCs w:val="14"/>
                <w:b w:val="1"/>
                <w:bCs w:val="1"/>
                <w:color w:val="auto"/>
                <w:w w:val="92"/>
              </w:rPr>
              <w:t>Maximum</w:t>
            </w:r>
          </w:p>
        </w:tc>
        <w:tc>
          <w:tcPr>
            <w:tcW w:w="1240" w:type="dxa"/>
            <w:vAlign w:val="bottom"/>
          </w:tcPr>
          <w:p>
            <w:pPr>
              <w:jc w:val="center"/>
              <w:ind w:left="452"/>
              <w:spacing w:after="0" w:line="149" w:lineRule="exact"/>
              <w:rPr>
                <w:sz w:val="20"/>
                <w:szCs w:val="20"/>
                <w:color w:val="auto"/>
              </w:rPr>
            </w:pPr>
            <w:r>
              <w:rPr>
                <w:rFonts w:ascii="Arial" w:cs="Arial" w:eastAsia="Arial" w:hAnsi="Arial"/>
                <w:sz w:val="14"/>
                <w:szCs w:val="14"/>
                <w:b w:val="1"/>
                <w:bCs w:val="1"/>
                <w:color w:val="auto"/>
                <w:w w:val="88"/>
              </w:rPr>
              <w:t>Registration</w:t>
            </w:r>
          </w:p>
        </w:tc>
      </w:tr>
      <w:tr>
        <w:trPr>
          <w:trHeight w:val="174"/>
        </w:trPr>
        <w:tc>
          <w:tcPr>
            <w:tcW w:w="3460" w:type="dxa"/>
            <w:vAlign w:val="bottom"/>
          </w:tcPr>
          <w:p>
            <w:pPr>
              <w:spacing w:after="0"/>
              <w:rPr>
                <w:sz w:val="15"/>
                <w:szCs w:val="15"/>
                <w:color w:val="auto"/>
              </w:rPr>
            </w:pPr>
          </w:p>
        </w:tc>
        <w:tc>
          <w:tcPr>
            <w:tcW w:w="3040" w:type="dxa"/>
            <w:vAlign w:val="bottom"/>
          </w:tcPr>
          <w:p>
            <w:pPr>
              <w:jc w:val="center"/>
              <w:ind w:left="1332"/>
              <w:spacing w:after="0"/>
              <w:rPr>
                <w:sz w:val="20"/>
                <w:szCs w:val="20"/>
                <w:color w:val="auto"/>
              </w:rPr>
            </w:pPr>
            <w:r>
              <w:rPr>
                <w:rFonts w:ascii="Arial" w:cs="Arial" w:eastAsia="Arial" w:hAnsi="Arial"/>
                <w:sz w:val="14"/>
                <w:szCs w:val="14"/>
                <w:b w:val="1"/>
                <w:bCs w:val="1"/>
                <w:color w:val="auto"/>
                <w:w w:val="86"/>
              </w:rPr>
              <w:t>Aggregate</w:t>
            </w:r>
          </w:p>
        </w:tc>
        <w:tc>
          <w:tcPr>
            <w:tcW w:w="1240" w:type="dxa"/>
            <w:vAlign w:val="bottom"/>
          </w:tcPr>
          <w:p>
            <w:pPr>
              <w:jc w:val="center"/>
              <w:ind w:left="452"/>
              <w:spacing w:after="0"/>
              <w:rPr>
                <w:sz w:val="20"/>
                <w:szCs w:val="20"/>
                <w:color w:val="auto"/>
              </w:rPr>
            </w:pPr>
            <w:r>
              <w:rPr>
                <w:rFonts w:ascii="Arial" w:cs="Arial" w:eastAsia="Arial" w:hAnsi="Arial"/>
                <w:sz w:val="14"/>
                <w:szCs w:val="14"/>
                <w:b w:val="1"/>
                <w:bCs w:val="1"/>
                <w:color w:val="auto"/>
                <w:w w:val="87"/>
              </w:rPr>
              <w:t>Fee(2)</w:t>
            </w:r>
          </w:p>
        </w:tc>
      </w:tr>
    </w:tbl>
    <w:p>
      <w:pPr>
        <w:sectPr>
          <w:pgSz w:w="11900" w:h="16838" w:orient="portrait"/>
          <w:cols w:equalWidth="0" w:num="1">
            <w:col w:w="11420"/>
          </w:cols>
          <w:pgMar w:left="240" w:top="46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4060" w:type="dxa"/>
            <w:vAlign w:val="bottom"/>
          </w:tcPr>
          <w:p>
            <w:pPr>
              <w:jc w:val="center"/>
              <w:ind w:left="2152"/>
              <w:spacing w:after="0"/>
              <w:rPr>
                <w:sz w:val="20"/>
                <w:szCs w:val="20"/>
                <w:color w:val="auto"/>
              </w:rPr>
            </w:pPr>
            <w:r>
              <w:rPr>
                <w:rFonts w:ascii="Arial" w:cs="Arial" w:eastAsia="Arial" w:hAnsi="Arial"/>
                <w:sz w:val="14"/>
                <w:szCs w:val="14"/>
                <w:b w:val="1"/>
                <w:bCs w:val="1"/>
                <w:color w:val="auto"/>
                <w:w w:val="88"/>
              </w:rPr>
              <w:t>Offering</w:t>
            </w:r>
          </w:p>
        </w:tc>
        <w:tc>
          <w:tcPr>
            <w:tcW w:w="1580" w:type="dxa"/>
            <w:vAlign w:val="bottom"/>
          </w:tcPr>
          <w:p>
            <w:pPr>
              <w:spacing w:after="0"/>
              <w:rPr>
                <w:sz w:val="14"/>
                <w:szCs w:val="14"/>
                <w:color w:val="auto"/>
              </w:rPr>
            </w:pPr>
          </w:p>
        </w:tc>
      </w:tr>
      <w:tr>
        <w:trPr>
          <w:trHeight w:val="174"/>
        </w:trPr>
        <w:tc>
          <w:tcPr>
            <w:tcW w:w="90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4060" w:type="dxa"/>
            <w:vAlign w:val="bottom"/>
          </w:tcPr>
          <w:p>
            <w:pPr>
              <w:jc w:val="center"/>
              <w:ind w:left="2172"/>
              <w:spacing w:after="0"/>
              <w:rPr>
                <w:sz w:val="20"/>
                <w:szCs w:val="20"/>
                <w:color w:val="auto"/>
              </w:rPr>
            </w:pPr>
            <w:r>
              <w:rPr>
                <w:rFonts w:ascii="Arial" w:cs="Arial" w:eastAsia="Arial" w:hAnsi="Arial"/>
                <w:sz w:val="14"/>
                <w:szCs w:val="14"/>
                <w:b w:val="1"/>
                <w:bCs w:val="1"/>
                <w:color w:val="auto"/>
                <w:w w:val="89"/>
              </w:rPr>
              <w:t>Price(1)</w:t>
            </w:r>
          </w:p>
        </w:tc>
        <w:tc>
          <w:tcPr>
            <w:tcW w:w="1580" w:type="dxa"/>
            <w:vAlign w:val="bottom"/>
          </w:tcPr>
          <w:p>
            <w:pPr>
              <w:spacing w:after="0"/>
              <w:rPr>
                <w:sz w:val="15"/>
                <w:szCs w:val="15"/>
                <w:color w:val="auto"/>
              </w:rPr>
            </w:pPr>
          </w:p>
        </w:tc>
      </w:tr>
      <w:tr>
        <w:trPr>
          <w:trHeight w:val="105"/>
        </w:trPr>
        <w:tc>
          <w:tcPr>
            <w:tcW w:w="5780" w:type="dxa"/>
            <w:vAlign w:val="bottom"/>
            <w:tcBorders>
              <w:bottom w:val="single" w:sz="8" w:color="808080"/>
            </w:tcBorders>
            <w:gridSpan w:val="2"/>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r>
        <w:trPr>
          <w:trHeight w:val="105"/>
        </w:trPr>
        <w:tc>
          <w:tcPr>
            <w:tcW w:w="900" w:type="dxa"/>
            <w:vAlign w:val="bottom"/>
          </w:tcPr>
          <w:p>
            <w:pPr>
              <w:spacing w:after="0"/>
              <w:rPr>
                <w:sz w:val="9"/>
                <w:szCs w:val="9"/>
                <w:color w:val="auto"/>
              </w:rPr>
            </w:pPr>
          </w:p>
        </w:tc>
        <w:tc>
          <w:tcPr>
            <w:tcW w:w="4880" w:type="dxa"/>
            <w:vAlign w:val="bottom"/>
          </w:tcPr>
          <w:p>
            <w:pPr>
              <w:spacing w:after="0"/>
              <w:rPr>
                <w:sz w:val="9"/>
                <w:szCs w:val="9"/>
                <w:color w:val="auto"/>
              </w:rPr>
            </w:pPr>
          </w:p>
        </w:tc>
        <w:tc>
          <w:tcPr>
            <w:tcW w:w="4060" w:type="dxa"/>
            <w:vAlign w:val="bottom"/>
          </w:tcPr>
          <w:p>
            <w:pPr>
              <w:spacing w:after="0"/>
              <w:rPr>
                <w:sz w:val="9"/>
                <w:szCs w:val="9"/>
                <w:color w:val="auto"/>
              </w:rPr>
            </w:pPr>
          </w:p>
        </w:tc>
        <w:tc>
          <w:tcPr>
            <w:tcW w:w="1580" w:type="dxa"/>
            <w:vAlign w:val="bottom"/>
          </w:tcPr>
          <w:p>
            <w:pPr>
              <w:spacing w:after="0"/>
              <w:rPr>
                <w:sz w:val="9"/>
                <w:szCs w:val="9"/>
                <w:color w:val="auto"/>
              </w:rPr>
            </w:pPr>
          </w:p>
        </w:tc>
      </w:tr>
      <w:tr>
        <w:trPr>
          <w:trHeight w:val="149"/>
        </w:trPr>
        <w:tc>
          <w:tcPr>
            <w:tcW w:w="57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 Second Mortgage Notes due 2010</w:t>
            </w:r>
          </w:p>
        </w:tc>
        <w:tc>
          <w:tcPr>
            <w:tcW w:w="4060" w:type="dxa"/>
            <w:vAlign w:val="bottom"/>
            <w:shd w:val="clear" w:color="auto" w:fill="CCEEFF"/>
          </w:tcPr>
          <w:p>
            <w:pPr>
              <w:jc w:val="right"/>
              <w:ind w:right="472"/>
              <w:spacing w:after="0" w:line="149" w:lineRule="exact"/>
              <w:rPr>
                <w:sz w:val="20"/>
                <w:szCs w:val="20"/>
                <w:color w:val="auto"/>
              </w:rPr>
            </w:pPr>
            <w:r>
              <w:rPr>
                <w:rFonts w:ascii="Arial" w:cs="Arial" w:eastAsia="Arial" w:hAnsi="Arial"/>
                <w:sz w:val="14"/>
                <w:szCs w:val="14"/>
                <w:color w:val="auto"/>
              </w:rPr>
              <w:t>$365,000,000</w:t>
            </w:r>
          </w:p>
        </w:tc>
        <w:tc>
          <w:tcPr>
            <w:tcW w:w="1580" w:type="dxa"/>
            <w:vAlign w:val="bottom"/>
            <w:shd w:val="clear" w:color="auto" w:fill="CCEEFF"/>
          </w:tcPr>
          <w:p>
            <w:pPr>
              <w:jc w:val="right"/>
              <w:ind w:right="512"/>
              <w:spacing w:after="0" w:line="149" w:lineRule="exact"/>
              <w:rPr>
                <w:sz w:val="20"/>
                <w:szCs w:val="20"/>
                <w:color w:val="auto"/>
              </w:rPr>
            </w:pPr>
            <w:r>
              <w:rPr>
                <w:rFonts w:ascii="Arial" w:cs="Arial" w:eastAsia="Arial" w:hAnsi="Arial"/>
                <w:sz w:val="14"/>
                <w:szCs w:val="14"/>
                <w:color w:val="auto"/>
              </w:rPr>
              <w:t>$33,580</w:t>
            </w:r>
          </w:p>
        </w:tc>
      </w:tr>
      <w:tr>
        <w:trPr>
          <w:trHeight w:val="118"/>
        </w:trPr>
        <w:tc>
          <w:tcPr>
            <w:tcW w:w="900" w:type="dxa"/>
            <w:vAlign w:val="bottom"/>
            <w:tcBorders>
              <w:bottom w:val="single" w:sz="8" w:color="808080"/>
            </w:tcBorders>
          </w:tcPr>
          <w:p>
            <w:pPr>
              <w:spacing w:after="0"/>
              <w:rPr>
                <w:sz w:val="10"/>
                <w:szCs w:val="10"/>
                <w:color w:val="auto"/>
              </w:rPr>
            </w:pPr>
          </w:p>
        </w:tc>
        <w:tc>
          <w:tcPr>
            <w:tcW w:w="488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r>
        <w:trPr>
          <w:trHeight w:val="266"/>
        </w:trPr>
        <w:tc>
          <w:tcPr>
            <w:tcW w:w="900" w:type="dxa"/>
            <w:vAlign w:val="bottom"/>
          </w:tcPr>
          <w:p>
            <w:pPr>
              <w:spacing w:after="0"/>
              <w:rPr>
                <w:sz w:val="20"/>
                <w:szCs w:val="20"/>
                <w:color w:val="auto"/>
              </w:rPr>
            </w:pPr>
            <w:r>
              <w:rPr>
                <w:rFonts w:ascii="Arial" w:cs="Arial" w:eastAsia="Arial" w:hAnsi="Arial"/>
                <w:sz w:val="14"/>
                <w:szCs w:val="14"/>
                <w:color w:val="auto"/>
                <w:w w:val="99"/>
              </w:rPr>
              <w:t>Guarantees of</w:t>
            </w:r>
          </w:p>
        </w:tc>
        <w:tc>
          <w:tcPr>
            <w:tcW w:w="4880" w:type="dxa"/>
            <w:vAlign w:val="bottom"/>
          </w:tcPr>
          <w:p>
            <w:pPr>
              <w:ind w:left="140"/>
              <w:spacing w:after="0"/>
              <w:rPr>
                <w:sz w:val="20"/>
                <w:szCs w:val="20"/>
                <w:color w:val="auto"/>
              </w:rPr>
            </w:pPr>
            <w:r>
              <w:rPr>
                <w:rFonts w:ascii="Arial" w:cs="Arial" w:eastAsia="Arial" w:hAnsi="Arial"/>
                <w:sz w:val="14"/>
                <w:szCs w:val="14"/>
                <w:color w:val="auto"/>
              </w:rPr>
              <w:t>% Second Mortgage Notes due 2010</w:t>
            </w:r>
          </w:p>
        </w:tc>
        <w:tc>
          <w:tcPr>
            <w:tcW w:w="4060" w:type="dxa"/>
            <w:vAlign w:val="bottom"/>
          </w:tcPr>
          <w:p>
            <w:pPr>
              <w:jc w:val="center"/>
              <w:ind w:left="2152"/>
              <w:spacing w:after="0"/>
              <w:rPr>
                <w:sz w:val="20"/>
                <w:szCs w:val="20"/>
                <w:color w:val="auto"/>
              </w:rPr>
            </w:pPr>
            <w:r>
              <w:rPr>
                <w:rFonts w:ascii="Arial" w:cs="Arial" w:eastAsia="Arial" w:hAnsi="Arial"/>
                <w:sz w:val="14"/>
                <w:szCs w:val="14"/>
                <w:color w:val="auto"/>
                <w:w w:val="83"/>
              </w:rPr>
              <w:t>None</w:t>
            </w:r>
          </w:p>
        </w:tc>
        <w:tc>
          <w:tcPr>
            <w:tcW w:w="1580" w:type="dxa"/>
            <w:vAlign w:val="bottom"/>
          </w:tcPr>
          <w:p>
            <w:pPr>
              <w:jc w:val="right"/>
              <w:ind w:right="652"/>
              <w:spacing w:after="0"/>
              <w:rPr>
                <w:sz w:val="20"/>
                <w:szCs w:val="20"/>
                <w:color w:val="auto"/>
              </w:rPr>
            </w:pPr>
            <w:r>
              <w:rPr>
                <w:rFonts w:ascii="Arial" w:cs="Arial" w:eastAsia="Arial" w:hAnsi="Arial"/>
                <w:sz w:val="14"/>
                <w:szCs w:val="14"/>
                <w:color w:val="auto"/>
              </w:rPr>
              <w:t>$0</w:t>
            </w:r>
          </w:p>
        </w:tc>
      </w:tr>
      <w:tr>
        <w:trPr>
          <w:trHeight w:val="105"/>
        </w:trPr>
        <w:tc>
          <w:tcPr>
            <w:tcW w:w="90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40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-511810</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-511810</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-262890</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-262890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46" w:lineRule="exact"/>
        <w:rPr>
          <w:sz w:val="20"/>
          <w:szCs w:val="20"/>
          <w:color w:val="auto"/>
        </w:rPr>
      </w:pPr>
    </w:p>
    <w:p>
      <w:pPr>
        <w:ind w:left="540" w:hanging="532"/>
        <w:spacing w:after="0"/>
        <w:tabs>
          <w:tab w:leader="none" w:pos="540" w:val="left"/>
        </w:tabs>
        <w:numPr>
          <w:ilvl w:val="0"/>
          <w:numId w:val="1"/>
        </w:numPr>
        <w:rPr>
          <w:rFonts w:ascii="Arial" w:cs="Arial" w:eastAsia="Arial" w:hAnsi="Arial"/>
          <w:sz w:val="27"/>
          <w:szCs w:val="27"/>
          <w:color w:val="auto"/>
          <w:vertAlign w:val="subscript"/>
        </w:rPr>
      </w:pPr>
      <w:r>
        <w:rPr>
          <w:rFonts w:ascii="Arial" w:cs="Arial" w:eastAsia="Arial" w:hAnsi="Arial"/>
          <w:sz w:val="14"/>
          <w:szCs w:val="14"/>
          <w:color w:val="auto"/>
        </w:rPr>
        <w:t>Estimated solely for the purpose of computing the amount of the registration fee pursuant to Rule 457(o) under the Securities Act.</w:t>
      </w:r>
    </w:p>
    <w:p>
      <w:pPr>
        <w:ind w:left="540" w:hanging="532"/>
        <w:spacing w:after="0" w:line="185" w:lineRule="auto"/>
        <w:tabs>
          <w:tab w:leader="none" w:pos="540" w:val="left"/>
        </w:tabs>
        <w:numPr>
          <w:ilvl w:val="0"/>
          <w:numId w:val="1"/>
        </w:numPr>
        <w:rPr>
          <w:rFonts w:ascii="Arial" w:cs="Arial" w:eastAsia="Arial" w:hAnsi="Arial"/>
          <w:sz w:val="18"/>
          <w:szCs w:val="18"/>
          <w:color w:val="auto"/>
          <w:vertAlign w:val="subscript"/>
        </w:rPr>
      </w:pPr>
      <w:r>
        <w:rPr>
          <w:rFonts w:ascii="Arial" w:cs="Arial" w:eastAsia="Arial" w:hAnsi="Arial"/>
          <w:sz w:val="10"/>
          <w:szCs w:val="10"/>
          <w:color w:val="auto"/>
        </w:rPr>
        <w:t>Previously paid. Pursuant to Rule 457(n) under the Securities Act, no separate fee is payable for the guarantees.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350520</wp:posOffset>
            </wp:positionV>
            <wp:extent cx="10502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firstLine="270"/>
        <w:spacing w:after="0" w:line="234" w:lineRule="auto"/>
        <w:rPr>
          <w:sz w:val="20"/>
          <w:szCs w:val="20"/>
          <w:color w:val="auto"/>
        </w:rPr>
      </w:pPr>
      <w:r>
        <w:rPr>
          <w:rFonts w:ascii="Arial" w:cs="Arial" w:eastAsia="Arial" w:hAnsi="Arial"/>
          <w:sz w:val="14"/>
          <w:szCs w:val="14"/>
          <w:b w:val="1"/>
          <w:bCs w:val="1"/>
          <w:color w:val="auto"/>
        </w:rPr>
        <w:t>The Registrants hereby amend this Registration Statement on such date or dates as may be necessary to delay its effective date until the Registrants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such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298450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Registrants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State or Other</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Jurisdiction of</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180" w:type="dxa"/>
            <w:vAlign w:val="bottom"/>
          </w:tcPr>
          <w:p>
            <w:pPr>
              <w:spacing w:after="0"/>
              <w:rPr>
                <w:sz w:val="12"/>
                <w:szCs w:val="12"/>
                <w:color w:val="auto"/>
              </w:rPr>
            </w:pPr>
          </w:p>
        </w:tc>
        <w:tc>
          <w:tcPr>
            <w:tcW w:w="3020" w:type="dxa"/>
            <w:vAlign w:val="bottom"/>
            <w:gridSpan w:val="2"/>
          </w:tcPr>
          <w:p>
            <w:pPr>
              <w:jc w:val="center"/>
              <w:ind w:right="1480"/>
              <w:spacing w:after="0" w:line="149" w:lineRule="exact"/>
              <w:rPr>
                <w:sz w:val="20"/>
                <w:szCs w:val="20"/>
                <w:color w:val="auto"/>
              </w:rPr>
            </w:pPr>
            <w:r>
              <w:rPr>
                <w:rFonts w:ascii="Arial" w:cs="Arial" w:eastAsia="Arial" w:hAnsi="Arial"/>
                <w:sz w:val="14"/>
                <w:szCs w:val="14"/>
                <w:b w:val="1"/>
                <w:bCs w:val="1"/>
                <w:color w:val="auto"/>
                <w:w w:val="89"/>
              </w:rPr>
              <w:t>Identification</w:t>
            </w:r>
          </w:p>
        </w:tc>
        <w:tc>
          <w:tcPr>
            <w:tcW w:w="0" w:type="dxa"/>
            <w:vAlign w:val="bottom"/>
          </w:tcPr>
          <w:p>
            <w:pPr>
              <w:spacing w:after="0"/>
              <w:rPr>
                <w:sz w:val="1"/>
                <w:szCs w:val="1"/>
                <w:color w:val="auto"/>
              </w:rPr>
            </w:pPr>
          </w:p>
        </w:tc>
      </w:tr>
      <w:tr>
        <w:trPr>
          <w:trHeight w:val="174"/>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Exact Name of Registrant as Specified in its Charter</w:t>
            </w:r>
          </w:p>
        </w:tc>
        <w:tc>
          <w:tcPr>
            <w:tcW w:w="1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or Organization</w:t>
            </w:r>
          </w:p>
        </w:tc>
        <w:tc>
          <w:tcPr>
            <w:tcW w:w="180" w:type="dxa"/>
            <w:vAlign w:val="bottom"/>
          </w:tcPr>
          <w:p>
            <w:pPr>
              <w:spacing w:after="0"/>
              <w:rPr>
                <w:sz w:val="15"/>
                <w:szCs w:val="15"/>
                <w:color w:val="auto"/>
              </w:rPr>
            </w:pPr>
          </w:p>
        </w:tc>
        <w:tc>
          <w:tcPr>
            <w:tcW w:w="302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48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Desert Inn Water Company,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88-0460932</w:t>
            </w: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Palo,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Delaware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88-0464820</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Valvino Lamore,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88-0459742</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Design &amp; Development,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88-0462235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Wynn Resorts Holdings,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88-0460933</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World Travel, LLC</w:t>
            </w:r>
          </w:p>
        </w:tc>
        <w:tc>
          <w:tcPr>
            <w:tcW w:w="1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47-0846667</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Las Vegas Jet, LLC</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88-0460935</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Wynn Resorts, Limited</w:t>
            </w:r>
          </w:p>
        </w:tc>
        <w:tc>
          <w:tcPr>
            <w:tcW w:w="1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46-0484987</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808080"/>
            </w:tcBorders>
          </w:tcPr>
          <w:p>
            <w:pPr>
              <w:spacing w:after="0"/>
              <w:rPr>
                <w:sz w:val="9"/>
                <w:szCs w:val="9"/>
                <w:color w:val="auto"/>
              </w:rPr>
            </w:pPr>
          </w:p>
        </w:tc>
        <w:tc>
          <w:tcPr>
            <w:tcW w:w="65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-1266190</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-1266190</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-1266190</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-1266190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-1266190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-1266190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following table sets forth the costs and expenses, other than underwriting discounts and commissions, payable by the Registrant in connection with the sale and distribution of the second mortgage notes being registered. All amounts shown are estimates except for the Securities and Exchange Commission registration fee and the National Securities Dealers, Inc. filing fee.</w:t>
      </w:r>
    </w:p>
    <w:p>
      <w:pPr>
        <w:spacing w:after="0" w:line="190" w:lineRule="exact"/>
        <w:rPr>
          <w:sz w:val="20"/>
          <w:szCs w:val="20"/>
          <w:color w:val="auto"/>
        </w:rPr>
      </w:pPr>
    </w:p>
    <w:p>
      <w:pPr>
        <w:ind w:left="85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66675</wp:posOffset>
            </wp:positionV>
            <wp:extent cx="85344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sectPr>
      </w:pPr>
    </w:p>
    <w:p>
      <w:pPr>
        <w:spacing w:after="0" w:line="235" w:lineRule="exact"/>
        <w:rPr>
          <w:sz w:val="20"/>
          <w:szCs w:val="20"/>
          <w:color w:val="auto"/>
        </w:rPr>
      </w:pPr>
    </w:p>
    <w:p>
      <w:pPr>
        <w:ind w:left="1960" w:right="1278"/>
        <w:spacing w:after="0" w:line="252" w:lineRule="auto"/>
        <w:rPr>
          <w:sz w:val="20"/>
          <w:szCs w:val="20"/>
          <w:color w:val="auto"/>
        </w:rPr>
      </w:pPr>
      <w:r>
        <w:rPr>
          <w:rFonts w:ascii="Arial" w:cs="Arial" w:eastAsia="Arial" w:hAnsi="Arial"/>
          <w:sz w:val="18"/>
          <w:szCs w:val="18"/>
          <w:color w:val="auto"/>
        </w:rPr>
        <w:t>Registration fee—Securities and Exchange Commission Filing fee—National Association of Securities Dealers, Inc. Printing and engraving expenses 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-546100</wp:posOffset>
            </wp:positionV>
            <wp:extent cx="477647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76470" cy="13716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-271780</wp:posOffset>
            </wp:positionV>
            <wp:extent cx="477647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Blue sky fees and expenses</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-129540</wp:posOffset>
            </wp:positionV>
            <wp:extent cx="477647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76470" cy="137160"/>
                    </a:xfrm>
                    <a:prstGeom prst="rect">
                      <a:avLst/>
                    </a:prstGeom>
                    <a:noFill/>
                  </pic:spPr>
                </pic:pic>
              </a:graphicData>
            </a:graphic>
          </wp:anchor>
        </w:drawing>
      </w:r>
    </w:p>
    <w:p>
      <w:pPr>
        <w:ind w:left="1960"/>
        <w:spacing w:after="0"/>
        <w:rPr>
          <w:sz w:val="20"/>
          <w:szCs w:val="20"/>
          <w:color w:val="auto"/>
        </w:rPr>
      </w:pPr>
      <w:r>
        <w:rPr>
          <w:rFonts w:ascii="Arial" w:cs="Arial" w:eastAsia="Arial" w:hAnsi="Arial"/>
          <w:sz w:val="18"/>
          <w:szCs w:val="18"/>
          <w:color w:val="auto"/>
        </w:rPr>
        <w:t>Miscellaneous</w:t>
      </w:r>
    </w:p>
    <w:p>
      <w:pPr>
        <w:spacing w:after="0" w:line="24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-125730</wp:posOffset>
            </wp:positionV>
            <wp:extent cx="477647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7647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62" w:hanging="862"/>
        <w:spacing w:after="0"/>
        <w:tabs>
          <w:tab w:leader="none" w:pos="862" w:val="left"/>
        </w:tabs>
        <w:numPr>
          <w:ilvl w:val="0"/>
          <w:numId w:val="2"/>
        </w:numPr>
        <w:rPr>
          <w:rFonts w:ascii="Arial" w:cs="Arial" w:eastAsia="Arial" w:hAnsi="Arial"/>
          <w:sz w:val="15"/>
          <w:szCs w:val="15"/>
          <w:color w:val="auto"/>
        </w:rPr>
      </w:pPr>
      <w:r>
        <w:rPr>
          <w:rFonts w:ascii="Arial" w:cs="Arial" w:eastAsia="Arial" w:hAnsi="Arial"/>
          <w:sz w:val="15"/>
          <w:szCs w:val="15"/>
          <w:color w:val="auto"/>
        </w:rPr>
        <w:t>31,280</w:t>
      </w:r>
    </w:p>
    <w:p>
      <w:pPr>
        <w:spacing w:after="0" w:line="49" w:lineRule="exact"/>
        <w:rPr>
          <w:rFonts w:ascii="Arial" w:cs="Arial" w:eastAsia="Arial" w:hAnsi="Arial"/>
          <w:sz w:val="15"/>
          <w:szCs w:val="15"/>
          <w:color w:val="auto"/>
        </w:rPr>
      </w:pPr>
    </w:p>
    <w:p>
      <w:pPr>
        <w:ind w:left="862"/>
        <w:spacing w:after="0"/>
        <w:rPr>
          <w:rFonts w:ascii="Arial" w:cs="Arial" w:eastAsia="Arial" w:hAnsi="Arial"/>
          <w:sz w:val="15"/>
          <w:szCs w:val="15"/>
          <w:color w:val="auto"/>
        </w:rPr>
      </w:pPr>
      <w:r>
        <w:rPr>
          <w:rFonts w:ascii="Arial" w:cs="Arial" w:eastAsia="Arial" w:hAnsi="Arial"/>
          <w:sz w:val="15"/>
          <w:szCs w:val="15"/>
          <w:color w:val="auto"/>
        </w:rPr>
        <w:t>30,500</w:t>
      </w:r>
    </w:p>
    <w:p>
      <w:pPr>
        <w:spacing w:after="0" w:line="44"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237,500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3,000,000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250,000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12,000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85344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3440" cy="21590"/>
                    </a:xfrm>
                    <a:prstGeom prst="rect">
                      <a:avLst/>
                    </a:prstGeom>
                    <a:noFill/>
                  </pic:spPr>
                </pic:pic>
              </a:graphicData>
            </a:graphic>
          </wp:anchor>
        </w:drawing>
      </w:r>
    </w:p>
    <w:p>
      <w:pPr>
        <w:spacing w:after="0" w:line="226" w:lineRule="exact"/>
        <w:rPr>
          <w:sz w:val="20"/>
          <w:szCs w:val="20"/>
          <w:color w:val="auto"/>
        </w:rPr>
      </w:pPr>
    </w:p>
    <w:p>
      <w:pPr>
        <w:ind w:left="642" w:hanging="642"/>
        <w:spacing w:after="0"/>
        <w:tabs>
          <w:tab w:leader="none" w:pos="642" w:val="left"/>
        </w:tabs>
        <w:numPr>
          <w:ilvl w:val="0"/>
          <w:numId w:val="3"/>
        </w:numPr>
        <w:rPr>
          <w:rFonts w:ascii="Arial" w:cs="Arial" w:eastAsia="Arial" w:hAnsi="Arial"/>
          <w:sz w:val="15"/>
          <w:szCs w:val="15"/>
          <w:color w:val="auto"/>
        </w:rPr>
      </w:pPr>
      <w:r>
        <w:rPr>
          <w:rFonts w:ascii="Arial" w:cs="Arial" w:eastAsia="Arial" w:hAnsi="Arial"/>
          <w:sz w:val="15"/>
          <w:szCs w:val="15"/>
          <w:color w:val="auto"/>
        </w:rPr>
        <w:t>3,821,280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116840</wp:posOffset>
            </wp:positionV>
            <wp:extent cx="85344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3440" cy="3873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2">
            <w:col w:w="7418" w:space="720"/>
            <w:col w:w="3282"/>
          </w:cols>
          <w:pgMar w:left="240" w:top="114" w:right="239" w:bottom="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31" w:lineRule="exact"/>
        <w:rPr>
          <w:sz w:val="20"/>
          <w:szCs w:val="20"/>
          <w:color w:val="auto"/>
        </w:rPr>
      </w:pPr>
    </w:p>
    <w:p>
      <w:pPr>
        <w:ind w:right="80" w:firstLine="348"/>
        <w:spacing w:after="0" w:line="286" w:lineRule="auto"/>
        <w:rPr>
          <w:sz w:val="20"/>
          <w:szCs w:val="20"/>
          <w:color w:val="auto"/>
        </w:rPr>
      </w:pPr>
      <w:r>
        <w:rPr>
          <w:rFonts w:ascii="Arial" w:cs="Arial" w:eastAsia="Arial" w:hAnsi="Arial"/>
          <w:sz w:val="16"/>
          <w:szCs w:val="16"/>
          <w:color w:val="auto"/>
        </w:rPr>
        <w:t>The Nevada Revised Statutes provide that a corporation may indemnify its officers and directors against expenses actually and reasonably incurred in the event an officer or director is made a party or threatened to be made a party to an action (other than an action brought by or on behalf of the corporation as discussed below) by reason of his or her official position with the corporation provided the director or officer (1) is not liable for the breach of any fiduciary duties as a director or officer involving intentional misconduct, fraud or a knowing violation of the law or (2) acted in good faith and in a manner he or she reasonably believed to be in the best interests of the corporation and, with respect to any criminal actions, had no reasonable cause to believe his or her conduct was unlawful. A corporation may indemnify its officers and directors against expenses, including amounts paid in settlement, actually and reasonably incurred in the event an officer or director is made a party or threatened to be made a party to an action by or on behalf of the corporation by reason of his or her official position with the corporation provided the director or officer (1) is not liable for the breach of any fiduciary duties as a director or officer involving intentional misconduct, fraud or a knowing violation of the laws or (2) acted in good faith and in a manner he or she reasonably believed to be in the best interests of the corporation. The Nevada Revised Statutes further provides that a corporation generally may not indemnify an officer or director if it is determined by a court that such officer or director is liable to the corporation or responsible for any amounts paid to the corporation as a settlement, unless a court also determines that the officer or director is entitled to indemnification in light of all of the relevant facts and circumstances. The Nevada Revised Statutes require a corporation to indemnify an officer or director to the extent he or she is successful on the merits or otherwise successfully defends the action.</w:t>
      </w:r>
    </w:p>
    <w:p>
      <w:pPr>
        <w:sectPr>
          <w:pgSz w:w="11900" w:h="16838" w:orient="portrait"/>
          <w:cols w:equalWidth="0" w:num="1">
            <w:col w:w="11420"/>
          </w:cols>
          <w:pgMar w:left="240" w:top="114" w:right="239" w:bottom="0" w:gutter="0" w:footer="0" w:header="0"/>
          <w:type w:val="continuous"/>
        </w:sectPr>
      </w:pPr>
    </w:p>
    <w:bookmarkStart w:id="2" w:name="page3"/>
    <w:bookmarkEnd w:id="2"/>
    <w:p>
      <w:pPr>
        <w:jc w:val="both"/>
        <w:ind w:right="160" w:firstLine="348"/>
        <w:spacing w:after="0" w:line="259" w:lineRule="auto"/>
        <w:rPr>
          <w:sz w:val="20"/>
          <w:szCs w:val="20"/>
          <w:color w:val="auto"/>
        </w:rPr>
      </w:pPr>
      <w:r>
        <w:rPr>
          <w:rFonts w:ascii="Arial" w:cs="Arial" w:eastAsia="Arial" w:hAnsi="Arial"/>
          <w:sz w:val="18"/>
          <w:szCs w:val="18"/>
          <w:color w:val="auto"/>
        </w:rPr>
        <w:t>The Nevada Revised Statutes also provide that a limited liability company may indemnify its managers, members, employees and agents against expenses actually and reasonably incurred in the event a manager, member, employee or agent is made a party or threatened to be made a party to an action (other than an action brought by or on behalf of the company as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discussed below) by reason of his or her position with the company provided he or she acted in good faith and in a manner reasonably believed to be in or not opposed to the best interests of the company and, with respect to any criminal actions, had no reasonable cause to believe his or her conduct was unlawful. A limited liability company may indemnify its managers, members, employees and agent against expenses actually and reasonably incurred in the event a manager, member, employee or agent is made a party or threatened to be made a party to an action by or on behalf of the company by reason of his or her position with the company provided he or she acted in good faith and in a manner reasonably believed to be in or not opposed to the best interests of the company. The Nevada Revised Statues further provide that a limited liability company generally may not indemnify any manager, member, employee or agent if it is determined by a court that he or she is liable to the company or responsible for any amounts paid to the company as a settlement, unless a court also determines that he or she is entitled to indemnification in light of all of the relevant facts and circumstances. The Nevada Revised Statutes require a limited liability company to indemnify a manager, member, employee or agent to the extent he or she is successful on the merits or otherwise successfully defends the action.</w:t>
      </w:r>
    </w:p>
    <w:p>
      <w:pPr>
        <w:spacing w:after="0" w:line="162"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Wynn Capital's bylaws provide that it will indemnify its directors and officers to the maximum extent permitted by Nevada law, including in circumstances in which indemnification is otherwise discretionary under Nevada law. These indemnification provisions and the indemnification agreements may be sufficiently broad to permit indemnification of Wynn Capital's officers and directors for liabilities, including reimbursement of expenses incurred, arising under the Securities Act of 1933, as amended, which we refer to as the Securities Act. We have been advised that, in the opinion of the Securities and Exchange Commission, indemnification of directors or officers for liabilities arising under the Securities Act of 1933, as amended, is against public policy and, therefore, such indemnification provisions may be unenforceable.</w:t>
      </w:r>
    </w:p>
    <w:p>
      <w:pPr>
        <w:spacing w:after="0" w:line="198"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Wynn Las Vegas' and operating agreement, attached as Exhibit 3.2 hereto, provide that it shall indemnify its members to the maximum extent permitted by Nevada law.</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Underwriting Agreement, attached as Exhibit 1.1 hereto, provides for indemnification by the Underwriters of Wynn Resorts and its officers and directors for certain liabilities, including matters arising under the Securities Act.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is a summary of the transactions by the Registrants during the past three years involving sales of the Registrants' securities that were not registered under the Securities Act:</w:t>
      </w:r>
    </w:p>
    <w:p>
      <w:pPr>
        <w:spacing w:after="0" w:line="186" w:lineRule="exact"/>
        <w:rPr>
          <w:sz w:val="20"/>
          <w:szCs w:val="20"/>
          <w:color w:val="auto"/>
        </w:rPr>
      </w:pPr>
    </w:p>
    <w:p>
      <w:pPr>
        <w:ind w:left="540" w:right="200" w:firstLine="359"/>
        <w:spacing w:after="0" w:line="259" w:lineRule="auto"/>
        <w:tabs>
          <w:tab w:leader="none" w:pos="11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April 2000, Stephen A. Wynn formed Valvino Lamore, LLC, known as Valvino, as its single member. Between April and September 2000, Mr. Wynn made equity contributions in an aggregate amount of $220.7 million. Until immediately prior to the consummation of this offering, our assets and operations were held and conducted by Valvino and its subsidiaries.</w:t>
      </w:r>
    </w:p>
    <w:p>
      <w:pPr>
        <w:spacing w:after="0" w:line="194" w:lineRule="exact"/>
        <w:rPr>
          <w:rFonts w:ascii="Arial" w:cs="Arial" w:eastAsia="Arial" w:hAnsi="Arial"/>
          <w:sz w:val="18"/>
          <w:szCs w:val="18"/>
          <w:color w:val="auto"/>
        </w:rPr>
      </w:pPr>
    </w:p>
    <w:p>
      <w:pPr>
        <w:jc w:val="both"/>
        <w:ind w:left="540" w:right="140" w:firstLine="359"/>
        <w:spacing w:after="0" w:line="256" w:lineRule="auto"/>
        <w:tabs>
          <w:tab w:leader="none" w:pos="118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October 2000, Aruze USA, Inc., a Nevada corporation, contributed $260 million in cash to Valvino in exchange for 100,000 common shares, which represented a 50% interest in the profits and losses of Valvino, and was admitted as a member of Valvino. In connection with such contribution by Aruze USA, Valvino also issued 100,000 common shares, representing a 50% interest in Valvino's profits and losses, to Mr. Wynn to evidence his ownership interest in the limited liability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40" w:right="80" w:firstLine="359"/>
        <w:spacing w:after="0" w:line="332" w:lineRule="auto"/>
        <w:tabs>
          <w:tab w:leader="none" w:pos="117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April 2001, Baron Asset Fund, a Massachusetts business trust, contributed $20.8 million in cash to Valvino in exchange for 7,692.31 common shares, which represented approximately a 3.70%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80" w:firstLine="359"/>
        <w:spacing w:after="0" w:line="314" w:lineRule="auto"/>
        <w:tabs>
          <w:tab w:leader="none" w:pos="1184" w:val="left"/>
        </w:tabs>
        <w:numPr>
          <w:ilvl w:val="0"/>
          <w:numId w:val="5"/>
        </w:numPr>
        <w:rPr>
          <w:rFonts w:ascii="Arial" w:cs="Arial" w:eastAsia="Arial" w:hAnsi="Arial"/>
          <w:sz w:val="15"/>
          <w:szCs w:val="15"/>
          <w:color w:val="auto"/>
        </w:rPr>
      </w:pPr>
      <w:r>
        <w:rPr>
          <w:rFonts w:ascii="Arial" w:cs="Arial" w:eastAsia="Arial" w:hAnsi="Arial"/>
          <w:sz w:val="15"/>
          <w:szCs w:val="15"/>
          <w:color w:val="auto"/>
        </w:rPr>
        <w:t>In April 2002, (1) Baron Asset Fund contributed an additional approximately $20.3 million in cash to Valvino, (2) Aruze USA contributed an additional $120 million in cash to Valvino, (3) Mr. Wynn contributed an additional approximately $32 million in cash to Valvino and (4) Mr. Wynn contributed his interest in Wynn Resorts (Macau) S.A., which was valued at approximately $56 million by the parties in the negotiation of Mr. Wynn's contribution of his interest, to Valvino. As a result of these capital contributions, Baron Asset Fund was issued an additional 2,834.01 common shares and its interest in Valvino's profits and losses increased to 5%. Aruze USA and Mr. Wynn received no additional shares as a result of the April 2002 capital contributions. Immediately following these capital contributions, each of Mr. Wynn and Aruze USA held a 47.5% interest in Valvino's profits and losses.</w:t>
      </w:r>
    </w:p>
    <w:p>
      <w:pPr>
        <w:spacing w:after="0" w:line="158" w:lineRule="exact"/>
        <w:rPr>
          <w:rFonts w:ascii="Arial" w:cs="Arial" w:eastAsia="Arial" w:hAnsi="Arial"/>
          <w:sz w:val="15"/>
          <w:szCs w:val="15"/>
          <w:color w:val="auto"/>
        </w:rPr>
      </w:pPr>
    </w:p>
    <w:p>
      <w:pPr>
        <w:ind w:left="540" w:right="400" w:firstLine="359"/>
        <w:spacing w:after="0" w:line="332" w:lineRule="auto"/>
        <w:tabs>
          <w:tab w:leader="none" w:pos="1174"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June 2002, the Kenneth R. Wynn Family Trust contributed $1.2 million in cash to Valvino in exchange for 307.38 common shares, which represented approximately a 0.146% interest in the profits and losses of Valvino, and was admitted as a member of Valvino.</w:t>
      </w:r>
    </w:p>
    <w:p>
      <w:pPr>
        <w:spacing w:after="0" w:line="139" w:lineRule="exact"/>
        <w:rPr>
          <w:rFonts w:ascii="Arial" w:cs="Arial" w:eastAsia="Arial" w:hAnsi="Arial"/>
          <w:sz w:val="16"/>
          <w:szCs w:val="16"/>
          <w:color w:val="auto"/>
        </w:rPr>
      </w:pPr>
    </w:p>
    <w:p>
      <w:pPr>
        <w:ind w:left="540" w:right="300" w:firstLine="359"/>
        <w:spacing w:after="0" w:line="268" w:lineRule="auto"/>
        <w:tabs>
          <w:tab w:leader="none" w:pos="1242"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May 2002, Wynn Las Vegas Capital Corp., referred to as Wynn Capital, issued one share to Wynn Las Vegas, LLC in connection with the formation of Wynn Capital.</w:t>
      </w:r>
    </w:p>
    <w:p>
      <w:pPr>
        <w:spacing w:after="0" w:line="185" w:lineRule="exact"/>
        <w:rPr>
          <w:rFonts w:ascii="Arial" w:cs="Arial" w:eastAsia="Arial" w:hAnsi="Arial"/>
          <w:sz w:val="18"/>
          <w:szCs w:val="18"/>
          <w:color w:val="auto"/>
        </w:rPr>
      </w:pPr>
    </w:p>
    <w:p>
      <w:pPr>
        <w:ind w:left="1200" w:hanging="301"/>
        <w:spacing w:after="0"/>
        <w:tabs>
          <w:tab w:leader="none" w:pos="12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the other guarantor Registrants has engaged in various formation issuances of limited liability company membership interests.</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and the Registrant believes that each transaction was exempt from the registration requirements of the Securities Act by virtue of Section 4(2) thereof and, or Regulation D promulgated thereunder or Rule 701 pursuant to compensatory benefit plans and contracts relating to compensation as provided under Rule 701.</w:t>
      </w:r>
    </w:p>
    <w:p>
      <w:pPr>
        <w:sectPr>
          <w:pgSz w:w="11900" w:h="16838" w:orient="portrait"/>
          <w:cols w:equalWidth="0" w:num="1">
            <w:col w:w="11420"/>
          </w:cols>
          <w:pgMar w:left="240" w:top="131" w:right="239" w:bottom="0" w:gutter="0" w:footer="0" w:header="0"/>
        </w:sect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Exhibits and Financial Statement Schedules</w:t>
      </w:r>
    </w:p>
    <w:p>
      <w:pPr>
        <w:sectPr>
          <w:pgSz w:w="11900" w:h="16838" w:orient="portrait"/>
          <w:cols w:equalWidth="0" w:num="1">
            <w:col w:w="11420"/>
          </w:cols>
          <w:pgMar w:left="240" w:top="131" w:right="239" w:bottom="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(a) 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0" w:type="dxa"/>
            <w:vAlign w:val="bottom"/>
            <w:gridSpan w:val="2"/>
          </w:tcPr>
          <w:p>
            <w:pPr>
              <w:jc w:val="right"/>
              <w:ind w:right="2520"/>
              <w:spacing w:after="0"/>
              <w:rPr>
                <w:sz w:val="20"/>
                <w:szCs w:val="20"/>
                <w:color w:val="auto"/>
              </w:rPr>
            </w:pPr>
            <w:r>
              <w:rPr>
                <w:rFonts w:ascii="Arial" w:cs="Arial" w:eastAsia="Arial" w:hAnsi="Arial"/>
                <w:sz w:val="14"/>
                <w:szCs w:val="14"/>
                <w:b w:val="1"/>
                <w:bCs w:val="1"/>
                <w:color w:val="auto"/>
              </w:rPr>
              <w:t>Footnote</w:t>
            </w:r>
          </w:p>
        </w:tc>
      </w:tr>
      <w:tr>
        <w:trPr>
          <w:trHeight w:val="174"/>
        </w:trPr>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80" w:type="dxa"/>
            <w:vAlign w:val="bottom"/>
          </w:tcPr>
          <w:p>
            <w:pPr>
              <w:ind w:left="58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2"/>
          </w:tcPr>
          <w:p>
            <w:pPr>
              <w:jc w:val="right"/>
              <w:ind w:right="2680"/>
              <w:spacing w:after="0"/>
              <w:rPr>
                <w:sz w:val="20"/>
                <w:szCs w:val="20"/>
                <w:color w:val="auto"/>
              </w:rPr>
            </w:pPr>
            <w:r>
              <w:rPr>
                <w:rFonts w:ascii="Arial" w:cs="Arial" w:eastAsia="Arial" w:hAnsi="Arial"/>
                <w:sz w:val="14"/>
                <w:szCs w:val="14"/>
                <w:b w:val="1"/>
                <w:bCs w:val="1"/>
                <w:color w:val="auto"/>
              </w:rPr>
              <w:t>No.</w:t>
            </w: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8"/>
              </w:rPr>
              <w:t>Form of Underwriting Agreement.</w:t>
            </w:r>
          </w:p>
        </w:tc>
        <w:tc>
          <w:tcPr>
            <w:tcW w:w="16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8"/>
              </w:rPr>
              <w:t>First Amended and Restated Articles of Incorporation of the Wynn Las Vegas Capital Corp.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Bylaws of the Wynn Las Vegas Capital Corp.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9"/>
              </w:rPr>
              <w:t>First Amended and Restated Articles of Organization of Desert Inn Water Company,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5"/>
              </w:rPr>
              <w:t>Form of First Amended and Restated Operating Agreement Desert Inn Water Company,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7"/>
              </w:rPr>
              <w:t>First Amended and Restated Articles of Organization of Valvino Lamore, LLC, as amended.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II-3</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4"/>
          </w:tcPr>
          <w:p>
            <w:pPr>
              <w:spacing w:after="0"/>
              <w:rPr>
                <w:sz w:val="19"/>
                <w:szCs w:val="19"/>
                <w:color w:val="auto"/>
              </w:rPr>
            </w:pPr>
          </w:p>
        </w:tc>
        <w:tc>
          <w:tcPr>
            <w:tcW w:w="3380" w:type="dxa"/>
            <w:vAlign w:val="bottom"/>
            <w:tcBorders>
              <w:bottom w:val="single" w:sz="8" w:color="808080"/>
            </w:tcBorders>
            <w:gridSpan w:val="3"/>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8"/>
              </w:rPr>
              <w:t>Form of Second Amended and Restated Operating Agreement of Valvino Lamore, LLC, as amended.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7"/>
              </w:rPr>
              <w:t>First Amended and Restated Articles of Organization of Wynn Design &amp; Development,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Form of First Amended and Restated Operating Agreement of Wynn Design &amp; Development,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Wynn Resorts Holdings,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3"/>
              </w:rPr>
              <w:t>Form of Second Amended and Restated Operating Agreement of Wynn Resorts Holdings,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World Travel,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World Travel,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First Amended and Restated Articles of Organization of Las Vegas Jet,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Las Vegas Jet,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Form of First Amended and Restated Operating Agreement of Palo,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1"/>
              </w:rPr>
              <w:t>Form of Certificate of Formation of Palo, LLC, as amended.</w:t>
            </w:r>
          </w:p>
        </w:tc>
        <w:tc>
          <w:tcPr>
            <w:tcW w:w="2800" w:type="dxa"/>
            <w:vAlign w:val="bottom"/>
          </w:tcPr>
          <w:p>
            <w:pPr>
              <w:spacing w:after="0"/>
              <w:rPr>
                <w:sz w:val="18"/>
                <w:szCs w:val="18"/>
                <w:color w:val="auto"/>
              </w:rPr>
            </w:pP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Fourth Amended and Restated Bylaws of Wynn Resorts, Limited.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Second Amended and Restated Articles of Incorporation of Wynn Resorts, Limited.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Form of Indenture, dated</w:t>
            </w:r>
          </w:p>
        </w:tc>
        <w:tc>
          <w:tcPr>
            <w:tcW w:w="1680" w:type="dxa"/>
            <w:vAlign w:val="bottom"/>
          </w:tcPr>
          <w:p>
            <w:pPr>
              <w:ind w:left="80"/>
              <w:spacing w:after="0"/>
              <w:rPr>
                <w:sz w:val="20"/>
                <w:szCs w:val="20"/>
                <w:color w:val="auto"/>
              </w:rPr>
            </w:pPr>
            <w:r>
              <w:rPr>
                <w:rFonts w:ascii="Arial" w:cs="Arial" w:eastAsia="Arial" w:hAnsi="Arial"/>
                <w:sz w:val="18"/>
                <w:szCs w:val="18"/>
                <w:color w:val="auto"/>
                <w:w w:val="93"/>
              </w:rPr>
              <w:t>, 2002, governing the</w:t>
            </w:r>
          </w:p>
        </w:tc>
        <w:tc>
          <w:tcPr>
            <w:tcW w:w="2800" w:type="dxa"/>
            <w:vAlign w:val="bottom"/>
          </w:tcPr>
          <w:p>
            <w:pPr>
              <w:ind w:left="60"/>
              <w:spacing w:after="0"/>
              <w:rPr>
                <w:sz w:val="20"/>
                <w:szCs w:val="20"/>
                <w:color w:val="auto"/>
              </w:rPr>
            </w:pPr>
            <w:r>
              <w:rPr>
                <w:rFonts w:ascii="Arial" w:cs="Arial" w:eastAsia="Arial" w:hAnsi="Arial"/>
                <w:sz w:val="18"/>
                <w:szCs w:val="18"/>
                <w:color w:val="auto"/>
                <w:w w:val="92"/>
              </w:rPr>
              <w:t>% Second Mortgage Notes due 2010</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by and among Wynn Las Vegas, LLC, Wynn Las Vegas Capital Corp., Desert Inn Water Company,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6"/>
              </w:rPr>
              <w:t>LLC, Wynn Design &amp; Development, LLC, Wynn Resorts Holdings, LLC,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World Travel, LLC, Palo, LLC, Valvino Lamore, LLC and Wells Fargo Bank, National Association,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as trustee.</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Form of Deed of Trust, Assignment of Rents and Leases, Security Agreement and Fixture Filing in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rPr>
              <w:t>favor of Wells Fargo Bank, National Association, as trustee under the Indenture.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3"/>
              </w:rPr>
              <w:t>Form of Guarantee and Collateral Agreement, dated as of</w:t>
            </w:r>
          </w:p>
        </w:tc>
        <w:tc>
          <w:tcPr>
            <w:tcW w:w="2800" w:type="dxa"/>
            <w:vAlign w:val="bottom"/>
          </w:tcPr>
          <w:p>
            <w:pPr>
              <w:ind w:left="760"/>
              <w:spacing w:after="0"/>
              <w:rPr>
                <w:sz w:val="20"/>
                <w:szCs w:val="20"/>
                <w:color w:val="auto"/>
              </w:rPr>
            </w:pPr>
            <w:r>
              <w:rPr>
                <w:rFonts w:ascii="Arial" w:cs="Arial" w:eastAsia="Arial" w:hAnsi="Arial"/>
                <w:sz w:val="18"/>
                <w:szCs w:val="18"/>
                <w:color w:val="auto"/>
              </w:rPr>
              <w:t>, 2002, among Valvino</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Lamore, LLC, Wynn Las Vegas Capital Corp., Palo, LLC, Wynn Resorts Holdings, LLC,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Water Company, LLC, World Travel LLC, Las Vegas Jet, LLC, Wynn Las Vegas, LLC and the 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Grantors from to time party thereto in favor of Wells Fargo Bank, National Association, as trustee.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Opinion of Irell &amp; Manella LLP.</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0"/>
              </w:rPr>
              <w:t>Lamore, LLC and Stephen A. Wynn.</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w w:val="94"/>
              </w:rPr>
              <w:t>Corporation, Valvino Lamore, LLC and Stephen A. Wynn.</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Inn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Pr>
          <w:p>
            <w:pPr>
              <w:ind w:left="340"/>
              <w:spacing w:after="0"/>
              <w:rPr>
                <w:sz w:val="20"/>
                <w:szCs w:val="20"/>
                <w:color w:val="auto"/>
              </w:rPr>
            </w:pPr>
            <w:r>
              <w:rPr>
                <w:rFonts w:ascii="Arial" w:cs="Arial" w:eastAsia="Arial" w:hAnsi="Arial"/>
                <w:sz w:val="18"/>
                <w:szCs w:val="18"/>
                <w:color w:val="auto"/>
              </w:rPr>
              <w:t>II-4</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820" w:type="dxa"/>
            <w:vAlign w:val="bottom"/>
            <w:tcBorders>
              <w:bottom w:val="single" w:sz="8" w:color="808080"/>
            </w:tcBorders>
            <w:gridSpan w:val="2"/>
          </w:tcPr>
          <w:p>
            <w:pPr>
              <w:spacing w:after="0"/>
              <w:rPr>
                <w:sz w:val="19"/>
                <w:szCs w:val="19"/>
                <w:color w:val="auto"/>
              </w:rPr>
            </w:pPr>
          </w:p>
        </w:tc>
        <w:tc>
          <w:tcPr>
            <w:tcW w:w="7220" w:type="dxa"/>
            <w:vAlign w:val="bottom"/>
            <w:tcBorders>
              <w:bottom w:val="single" w:sz="8" w:color="808080"/>
            </w:tcBorders>
            <w:gridSpan w:val="4"/>
          </w:tcPr>
          <w:p>
            <w:pPr>
              <w:spacing w:after="0"/>
              <w:rPr>
                <w:sz w:val="19"/>
                <w:szCs w:val="19"/>
                <w:color w:val="auto"/>
              </w:rPr>
            </w:pPr>
          </w:p>
        </w:tc>
        <w:tc>
          <w:tcPr>
            <w:tcW w:w="3380" w:type="dxa"/>
            <w:vAlign w:val="bottom"/>
            <w:tcBorders>
              <w:bottom w:val="single" w:sz="8" w:color="808080"/>
            </w:tcBorders>
            <w:gridSpan w:val="3"/>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7"/>
              </w:rPr>
              <w:t>Third Amendment to Asset and Land Purchase Agreement, dated as of June 22, 2000, by and among</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Corporation, Valvino Lamore, LLC, Stephen A. Wynn, Rambas Marketing Co., LLC, and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Water Company,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Fourth Amendment to Asset and Land Purchase Agreement, dated as of October 27,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Fifth Amendment to Asset and Land Purchase Agreement, dated as of November 3, 2000, by and</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5"/>
              </w:rPr>
              <w:t>Agreement, dated January 25, 2001, by and between Wynn Resorts Holdings, LLC and Calitri</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(4)</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3"/>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5"/>
              </w:rPr>
              <w:t>Lease Agreement, dated November 1, 2001, by and between Valvino Lamore, LLC and Wynn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Resorts Holdings,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1"/>
              </w:rPr>
              <w:t>Art Rental and Licensing Agreement, dated November 1, 2001, by and between Stephen A. Wynn</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6"/>
              </w:rPr>
              <w:t>and Wynn Resorts Holdings, LLC.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10.10</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89"/>
              </w:rPr>
              <w:t>Stockholders Agreement, dated as of April 11, 2002, by and among Stephen A. Wynn, Baron Asset</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Fund and Aruze USA, Inc.</w:t>
            </w:r>
          </w:p>
        </w:tc>
        <w:tc>
          <w:tcPr>
            <w:tcW w:w="1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10.11</w:t>
            </w:r>
          </w:p>
        </w:tc>
        <w:tc>
          <w:tcPr>
            <w:tcW w:w="7220" w:type="dxa"/>
            <w:vAlign w:val="bottom"/>
            <w:gridSpan w:val="4"/>
          </w:tcPr>
          <w:p>
            <w:pPr>
              <w:ind w:left="100"/>
              <w:spacing w:after="0"/>
              <w:rPr>
                <w:sz w:val="20"/>
                <w:szCs w:val="20"/>
                <w:color w:val="auto"/>
              </w:rPr>
            </w:pPr>
            <w:r>
              <w:rPr>
                <w:rFonts w:ascii="Arial" w:cs="Arial" w:eastAsia="Arial" w:hAnsi="Arial"/>
                <w:sz w:val="18"/>
                <w:szCs w:val="18"/>
                <w:color w:val="auto"/>
                <w:w w:val="90"/>
              </w:rPr>
              <w:t>Agreement for Guaranteed Maximum Price Construction Services between Wynn Las Vegas, LLC</w:t>
            </w:r>
          </w:p>
        </w:tc>
        <w:tc>
          <w:tcPr>
            <w:tcW w:w="3380" w:type="dxa"/>
            <w:vAlign w:val="bottom"/>
            <w:gridSpan w:val="3"/>
          </w:tcPr>
          <w:p>
            <w:pPr>
              <w:jc w:val="right"/>
              <w:ind w:right="23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-9855835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-9855835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-9855835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-9855835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-9855835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-9855835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-8260715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-8260715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-2961005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-2961005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480" w:type="dxa"/>
            <w:vAlign w:val="bottom"/>
          </w:tcPr>
          <w:p>
            <w:pPr>
              <w:spacing w:after="0"/>
              <w:rPr>
                <w:sz w:val="18"/>
                <w:szCs w:val="18"/>
                <w:color w:val="auto"/>
              </w:rPr>
            </w:pP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Form of Indemnity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Contribution Agreement, dated as of June 11, 2002 by and among Stephen A. Wynn, Aruze USA,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dated as of June 13, 2002, by and between Stephen A. Wynn and Wynn Resorts,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48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80" w:type="dxa"/>
            <w:vAlign w:val="bottom"/>
          </w:tcPr>
          <w:p>
            <w:pPr>
              <w:ind w:left="2600"/>
              <w:spacing w:after="0"/>
              <w:rPr>
                <w:sz w:val="20"/>
                <w:szCs w:val="20"/>
                <w:color w:val="auto"/>
              </w:rPr>
            </w:pPr>
            <w:r>
              <w:rPr>
                <w:rFonts w:ascii="Arial" w:cs="Arial" w:eastAsia="Arial" w:hAnsi="Arial"/>
                <w:sz w:val="18"/>
                <w:szCs w:val="18"/>
                <w:color w:val="auto"/>
              </w:rPr>
              <w:t>II-5</w:t>
            </w:r>
          </w:p>
        </w:tc>
        <w:tc>
          <w:tcPr>
            <w:tcW w:w="296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Concession Contract for Operating Casino Gaming or Other Forms of Gaming in the Macao Special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Administrative Region, dated June 24, 2002, between the Macau Special Administrative Region and</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Wynn Resorts (Macau) S.A. (English translation of Chinese version of Concession Agreement).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Art Rental and Licensing Agreement, dated August 19, 2002, by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Professional Design Services Agreement, effective as of October 5, 2001, between Wynn Design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A.A. Marnell II, Chtd.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General Conditions to the Professional Design Services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Trademark/Service Mark Purchase Agreement, dated June 7, 2001, between Wynn Resorts and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STAD Trust.</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as of April 1, 2001, between Stephen A. Wynn and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LLC.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Employment Agreement, dated as of July 7, 2000, by and between Wynn Design &amp; Development,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William Todd Nisbet.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6,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Marc H. Rubinstein.</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9,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John Strzemp.</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Second Amended and Restated Art Rental and Licensing Agreement, dated September 18, 2002, by</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18,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22"/>
        </w:trPr>
        <w:tc>
          <w:tcPr>
            <w:tcW w:w="820" w:type="dxa"/>
            <w:vAlign w:val="bottom"/>
          </w:tcPr>
          <w:p>
            <w:pPr>
              <w:spacing w:after="0"/>
              <w:rPr>
                <w:sz w:val="19"/>
                <w:szCs w:val="19"/>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Kenneth R. Wynn.</w:t>
            </w:r>
          </w:p>
        </w:tc>
        <w:tc>
          <w:tcPr>
            <w:tcW w:w="296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480" w:type="dxa"/>
            <w:vAlign w:val="bottom"/>
          </w:tcPr>
          <w:p>
            <w:pPr>
              <w:ind w:left="2600"/>
              <w:spacing w:after="0"/>
              <w:rPr>
                <w:sz w:val="20"/>
                <w:szCs w:val="20"/>
                <w:color w:val="auto"/>
              </w:rPr>
            </w:pPr>
            <w:r>
              <w:rPr>
                <w:rFonts w:ascii="Arial" w:cs="Arial" w:eastAsia="Arial" w:hAnsi="Arial"/>
                <w:sz w:val="18"/>
                <w:szCs w:val="18"/>
                <w:color w:val="auto"/>
              </w:rPr>
              <w:t>II-6</w:t>
            </w:r>
          </w:p>
        </w:tc>
        <w:tc>
          <w:tcPr>
            <w:tcW w:w="296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7640" w:type="dxa"/>
            <w:vAlign w:val="bottom"/>
            <w:tcBorders>
              <w:bottom w:val="single" w:sz="8" w:color="808080"/>
            </w:tcBorders>
            <w:gridSpan w:val="2"/>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Tax Indemnification Agreement, effective as of September 24, 2002, by and among Stephen 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Wynn, Aruze USA, Inc., Baron Asset Fund on behalf of the Baron Asset Fund Series, Baron Asset</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Fund on behalf of the Baron Growth Fund Series, Kenneth R. Wynn Family Trust dated February 20,</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1985, Valvino Lamore, LLC and Wynn Resorts, Limited.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26,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DeRuyter O. Butler.</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Employment Agreement, dated as of October 4th,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Stephen A. Wynn.</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Letter of Intent, dated May 24, 2002, by and between Valvino Lamore, LLC and Ferrari North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22"/>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-7026275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-7026275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-1451610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5" w:name="page6"/>
    <w:bookmarkEnd w:id="5"/>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 and Ferrari North 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Letter of Intent, dated May 24, 2002, by and between Valvino Lamore, LLC and Maserati North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 and Maserati North 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Employment Agreement, dated as of October 4,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Distribution Agreement and Assignment, effective as of October 17, 2002, by and between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Resorts, Limited and Valvino Lamore, LLC.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Master Disbursement Agreement by and among Wynn Las Vegas, LLC,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Capital Corp., Wynn Design &amp; Development, LLC, Deutsche Bank Trust Company Americas and</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Wells Fargo Bank, 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Lease Agreement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Golf Course Lease by and between Wynn Resorts Holdings, LLC and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Driving Range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Parking Facility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Share Subscription and Shareholders' Agreement, made and entered into as of October 15, 2002, by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and among S.H.W. &amp; Co. Limited, SKKG Limited, L'Arc de Triomphe Limited, Classic Wave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Limited, Yany Kwan Yan Chi, Li Tai Foon, Kwan Yan Ming, Wong Chi Seng,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International, Ltd., and Wynn Resorts (Macau) Holdings, Ltd.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4"/>
              </w:rPr>
              <w:t>Shareholders' Agreement, made and entered into as of October 15, 2002, by and among Wong Chi</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Seng, Wynn Resorts International, Ltd., Wynn Resorts (Macau), Limited and Wynn Resorts (Macau),</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S.A.</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Mortgage, Security Agreement and Assignment, dated as of February 28, 2002, between World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Travel, LLC and Bank of America, N.A.</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Registration Rights Agreement, dated October   , 2002, by and between Wynn Resorts,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Limited and Stephen A. Wynn.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3520" w:type="dxa"/>
            <w:vAlign w:val="bottom"/>
          </w:tcPr>
          <w:p>
            <w:pPr>
              <w:ind w:left="100"/>
              <w:spacing w:after="0"/>
              <w:rPr>
                <w:sz w:val="20"/>
                <w:szCs w:val="20"/>
                <w:color w:val="auto"/>
              </w:rPr>
            </w:pPr>
            <w:r>
              <w:rPr>
                <w:rFonts w:ascii="Arial" w:cs="Arial" w:eastAsia="Arial" w:hAnsi="Arial"/>
                <w:sz w:val="18"/>
                <w:szCs w:val="18"/>
                <w:color w:val="auto"/>
                <w:w w:val="93"/>
              </w:rPr>
              <w:t>Form of Management Agreement, made as of</w:t>
            </w:r>
          </w:p>
        </w:tc>
        <w:tc>
          <w:tcPr>
            <w:tcW w:w="4100" w:type="dxa"/>
            <w:vAlign w:val="bottom"/>
            <w:gridSpan w:val="2"/>
          </w:tcPr>
          <w:p>
            <w:pPr>
              <w:jc w:val="right"/>
              <w:ind w:right="512"/>
              <w:spacing w:after="0"/>
              <w:rPr>
                <w:sz w:val="20"/>
                <w:szCs w:val="20"/>
                <w:color w:val="auto"/>
              </w:rPr>
            </w:pPr>
            <w:r>
              <w:rPr>
                <w:rFonts w:ascii="Arial" w:cs="Arial" w:eastAsia="Arial" w:hAnsi="Arial"/>
                <w:sz w:val="18"/>
                <w:szCs w:val="18"/>
                <w:color w:val="auto"/>
                <w:w w:val="88"/>
              </w:rPr>
              <w:t>, 2002, by and among Wynn Las Vegas, LLC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the subsidiaries and affiliates listed on Exhibit A thereto and Wynn Resorts, Limited.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10.62</w:t>
            </w:r>
          </w:p>
        </w:tc>
        <w:tc>
          <w:tcPr>
            <w:tcW w:w="3520" w:type="dxa"/>
            <w:vAlign w:val="bottom"/>
          </w:tcPr>
          <w:p>
            <w:pPr>
              <w:ind w:left="100"/>
              <w:spacing w:after="0"/>
              <w:rPr>
                <w:sz w:val="20"/>
                <w:szCs w:val="20"/>
                <w:color w:val="auto"/>
              </w:rPr>
            </w:pPr>
            <w:r>
              <w:rPr>
                <w:rFonts w:ascii="Arial" w:cs="Arial" w:eastAsia="Arial" w:hAnsi="Arial"/>
                <w:sz w:val="18"/>
                <w:szCs w:val="18"/>
                <w:color w:val="auto"/>
                <w:w w:val="90"/>
              </w:rPr>
              <w:t>Form of Credit Agreement, dated as of October</w:t>
            </w:r>
          </w:p>
        </w:tc>
        <w:tc>
          <w:tcPr>
            <w:tcW w:w="4100" w:type="dxa"/>
            <w:vAlign w:val="bottom"/>
            <w:gridSpan w:val="2"/>
          </w:tcPr>
          <w:p>
            <w:pPr>
              <w:jc w:val="right"/>
              <w:ind w:right="672"/>
              <w:spacing w:after="0"/>
              <w:rPr>
                <w:sz w:val="20"/>
                <w:szCs w:val="20"/>
                <w:color w:val="auto"/>
              </w:rPr>
            </w:pPr>
            <w:r>
              <w:rPr>
                <w:rFonts w:ascii="Arial" w:cs="Arial" w:eastAsia="Arial" w:hAnsi="Arial"/>
                <w:sz w:val="18"/>
                <w:szCs w:val="18"/>
                <w:color w:val="auto"/>
                <w:w w:val="91"/>
              </w:rPr>
              <w:t>, 2002, among Wynn Las Vegas, LLC and the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22"/>
        </w:trPr>
        <w:tc>
          <w:tcPr>
            <w:tcW w:w="8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88"/>
              </w:rPr>
              <w:t>several lenders from time to time parties thereto.</w:t>
            </w:r>
          </w:p>
        </w:tc>
        <w:tc>
          <w:tcPr>
            <w:tcW w:w="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432"/>
        </w:trPr>
        <w:tc>
          <w:tcPr>
            <w:tcW w:w="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80" w:type="dxa"/>
            <w:vAlign w:val="bottom"/>
          </w:tcPr>
          <w:p>
            <w:pPr>
              <w:jc w:val="right"/>
              <w:ind w:right="2512"/>
              <w:spacing w:after="0"/>
              <w:rPr>
                <w:sz w:val="20"/>
                <w:szCs w:val="20"/>
                <w:color w:val="auto"/>
              </w:rPr>
            </w:pPr>
            <w:r>
              <w:rPr>
                <w:rFonts w:ascii="Arial" w:cs="Arial" w:eastAsia="Arial" w:hAnsi="Arial"/>
                <w:sz w:val="18"/>
                <w:szCs w:val="18"/>
                <w:color w:val="auto"/>
              </w:rPr>
              <w:t>II-7</w:t>
            </w:r>
          </w:p>
        </w:tc>
        <w:tc>
          <w:tcPr>
            <w:tcW w:w="2980" w:type="dxa"/>
            <w:vAlign w:val="bottom"/>
          </w:tcPr>
          <w:p>
            <w:pPr>
              <w:spacing w:after="0"/>
              <w:rPr>
                <w:sz w:val="24"/>
                <w:szCs w:val="24"/>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4100" w:type="dxa"/>
            <w:vAlign w:val="bottom"/>
            <w:tcBorders>
              <w:bottom w:val="single" w:sz="8" w:color="808080"/>
            </w:tcBorders>
            <w:gridSpan w:val="2"/>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Loan Agreement, dated as of October</w:t>
            </w:r>
          </w:p>
        </w:tc>
        <w:tc>
          <w:tcPr>
            <w:tcW w:w="41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 2002, by and among Wynn Las Vegas, LLC,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4"/>
              </w:rPr>
              <w:t>Fargo Bank Nevada, N.A. and the lenders listed therein.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3, 2002, from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Americas, Bank of America, N.A. and Bear Stearns Corporate Lending, Inc. to Bank of America,</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FF&amp;E Facility Commitment Letter, dated September 16, 2002, from Bank of America, N.A. to Bank</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of America, 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August 22, 2002, from The CIT Group/Equipment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3"/>
              </w:rPr>
              <w:t>Financing, Inc.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October 18, 2002, from General Electric Capital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September 13, 2002, from SG Cowen Securities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Societe Generale to Deutsche Bank Securities Inc.</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22, 2002, from GMAC Commercial Mortgage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Form of Underwriting Agreement by and among Wynn Resorts, Limited and the several underwriters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listed in Schedule I thereto.</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10.71</w:t>
            </w:r>
          </w:p>
        </w:tc>
        <w:tc>
          <w:tcPr>
            <w:tcW w:w="352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3280" w:type="dxa"/>
            <w:vAlign w:val="bottom"/>
          </w:tcPr>
          <w:p>
            <w:pPr>
              <w:jc w:val="right"/>
              <w:ind w:right="452"/>
              <w:spacing w:after="0"/>
              <w:rPr>
                <w:sz w:val="20"/>
                <w:szCs w:val="20"/>
                <w:color w:val="auto"/>
              </w:rPr>
            </w:pPr>
            <w:r>
              <w:rPr>
                <w:rFonts w:ascii="Arial" w:cs="Arial" w:eastAsia="Arial" w:hAnsi="Arial"/>
                <w:sz w:val="18"/>
                <w:szCs w:val="18"/>
                <w:color w:val="auto"/>
                <w:w w:val="94"/>
              </w:rPr>
              <w:t>, 2002, by Wynn Las Vegas, LLC, in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favor of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Promissory Note made by Wynn Las Vegas, LLC (included in Exhibit 10.63).</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w w:val="90"/>
              </w:rPr>
              <w:t>, 2002, by Wells Fargo Bank Northwest,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National Association. (included in Exhibit 10.63)</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Form of Assignment and Assumption Agreement, dated as of October   , 2002, between Wynn Las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Vegas, LLC and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Completion Guaranty, dated as of October   , 2002, by Wynn Completion Guarantor,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in favor of Deutsche Bank Trust Company Americas, as the Bank Agent, and Wells Fargo Bank,</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National Association, as Trustee.</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c>
          <w:tcPr>
            <w:tcW w:w="352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Project Lenders Intercreditor Agreement by and among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6"/>
              </w:rPr>
              <w:t>Americas and Wells Fargo Bank,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FF&amp;E Intercreditor Agreement by and among Deutsche Bank Trust Company Americas,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Wells Fargo Bank, National Association and Wells Fargo Bank Nevada, National Association.</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1"/>
              </w:rPr>
              <w:t>Form of Guarantee and Collateral Agreement, dated as of</w:t>
            </w:r>
          </w:p>
        </w:tc>
        <w:tc>
          <w:tcPr>
            <w:tcW w:w="3280" w:type="dxa"/>
            <w:vAlign w:val="bottom"/>
          </w:tcPr>
          <w:p>
            <w:pPr>
              <w:jc w:val="right"/>
              <w:ind w:right="792"/>
              <w:spacing w:after="0"/>
              <w:rPr>
                <w:sz w:val="20"/>
                <w:szCs w:val="20"/>
                <w:color w:val="auto"/>
              </w:rPr>
            </w:pPr>
            <w:r>
              <w:rPr>
                <w:rFonts w:ascii="Arial" w:cs="Arial" w:eastAsia="Arial" w:hAnsi="Arial"/>
                <w:sz w:val="18"/>
                <w:szCs w:val="18"/>
                <w:color w:val="auto"/>
              </w:rPr>
              <w:t>, 2002 among Valvino</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Water Company, LLC, World Travel LLC, Las Vegas Jet, LLC, Wynn Las Vegas, LLC and the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Grantors from time to time party thereto in favor of Deutsche Bank Trust Company Americas, as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10.81</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Parent Guaranty, dated as of October</w:t>
            </w:r>
          </w:p>
        </w:tc>
        <w:tc>
          <w:tcPr>
            <w:tcW w:w="4100" w:type="dxa"/>
            <w:vAlign w:val="bottom"/>
            <w:gridSpan w:val="2"/>
          </w:tcPr>
          <w:p>
            <w:pPr>
              <w:jc w:val="right"/>
              <w:ind w:right="412"/>
              <w:spacing w:after="0"/>
              <w:rPr>
                <w:sz w:val="20"/>
                <w:szCs w:val="20"/>
                <w:color w:val="auto"/>
              </w:rPr>
            </w:pPr>
            <w:r>
              <w:rPr>
                <w:rFonts w:ascii="Arial" w:cs="Arial" w:eastAsia="Arial" w:hAnsi="Arial"/>
                <w:sz w:val="18"/>
                <w:szCs w:val="18"/>
                <w:color w:val="auto"/>
                <w:w w:val="89"/>
              </w:rPr>
              <w:t>, 2002, by Wynn Resorts, Limited in favor of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22"/>
        </w:trPr>
        <w:tc>
          <w:tcPr>
            <w:tcW w:w="8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Fargo Bank, National Association, as Trustee.</w:t>
            </w:r>
          </w:p>
        </w:tc>
        <w:tc>
          <w:tcPr>
            <w:tcW w:w="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-5568315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-5568315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95" w:orient="portrait"/>
          <w:cols w:equalWidth="0" w:num="1">
            <w:col w:w="11420"/>
          </w:cols>
          <w:pgMar w:left="240" w:top="131" w:right="239" w:bottom="0" w:gutter="0" w:footer="0" w:header="0"/>
        </w:sectPr>
      </w:pPr>
    </w:p>
    <w:bookmarkStart w:id="6" w:name="page7"/>
    <w:bookmarkEnd w:id="6"/>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Parent Guaranty, dated as of October   , 2002, by Wynn Resorts, Limited in favor of</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22"/>
        </w:trPr>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Deutsche Bank Trust Company Americas, as administrative agent.</w:t>
            </w:r>
          </w:p>
        </w:tc>
        <w:tc>
          <w:tcPr>
            <w:tcW w:w="3060" w:type="dxa"/>
            <w:vAlign w:val="bottom"/>
          </w:tcPr>
          <w:p>
            <w:pPr>
              <w:spacing w:after="0"/>
              <w:rPr>
                <w:sz w:val="19"/>
                <w:szCs w:val="19"/>
                <w:color w:val="auto"/>
              </w:rPr>
            </w:pPr>
          </w:p>
        </w:tc>
      </w:tr>
      <w:tr>
        <w:trPr>
          <w:trHeight w:val="43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40" w:type="dxa"/>
            <w:vAlign w:val="bottom"/>
          </w:tcPr>
          <w:p>
            <w:pPr>
              <w:ind w:left="4760"/>
              <w:spacing w:after="0"/>
              <w:rPr>
                <w:sz w:val="20"/>
                <w:szCs w:val="20"/>
                <w:color w:val="auto"/>
              </w:rPr>
            </w:pPr>
            <w:r>
              <w:rPr>
                <w:rFonts w:ascii="Arial" w:cs="Arial" w:eastAsia="Arial" w:hAnsi="Arial"/>
                <w:sz w:val="18"/>
                <w:szCs w:val="18"/>
                <w:color w:val="auto"/>
              </w:rPr>
              <w:t>II-8</w:t>
            </w:r>
          </w:p>
        </w:tc>
        <w:tc>
          <w:tcPr>
            <w:tcW w:w="3060" w:type="dxa"/>
            <w:vAlign w:val="bottom"/>
          </w:tcPr>
          <w:p>
            <w:pPr>
              <w:spacing w:after="0"/>
              <w:rPr>
                <w:sz w:val="24"/>
                <w:szCs w:val="24"/>
                <w:color w:val="auto"/>
              </w:rPr>
            </w:pPr>
          </w:p>
        </w:tc>
      </w:tr>
      <w:tr>
        <w:trPr>
          <w:trHeight w:val="228"/>
        </w:trPr>
        <w:tc>
          <w:tcPr>
            <w:tcW w:w="6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540" w:type="dxa"/>
            <w:vAlign w:val="bottom"/>
            <w:tcBorders>
              <w:bottom w:val="single" w:sz="8" w:color="808080"/>
            </w:tcBorders>
          </w:tcPr>
          <w:p>
            <w:pPr>
              <w:spacing w:after="0"/>
              <w:rPr>
                <w:sz w:val="19"/>
                <w:szCs w:val="19"/>
                <w:color w:val="auto"/>
              </w:rPr>
            </w:pPr>
          </w:p>
        </w:tc>
        <w:tc>
          <w:tcPr>
            <w:tcW w:w="3060" w:type="dxa"/>
            <w:vAlign w:val="bottom"/>
            <w:tcBorders>
              <w:bottom w:val="single" w:sz="8" w:color="808080"/>
            </w:tcBorders>
          </w:tcPr>
          <w:p>
            <w:pPr>
              <w:spacing w:after="0"/>
              <w:rPr>
                <w:sz w:val="19"/>
                <w:szCs w:val="1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Purchase Agreement.</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7540" w:type="dxa"/>
            <w:vAlign w:val="bottom"/>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Las Vegas,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 of Irell &amp; Manella LLP (included in Exhibit 5.1).</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Consents of Persons Named to Become Directors.</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540" w:type="dxa"/>
            <w:vAlign w:val="bottom"/>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Desert Inn Water Company,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Palo,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540" w:type="dxa"/>
            <w:vAlign w:val="bottom"/>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Wynn Design &amp; Development,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World Travel,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Las Vegas Jet,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Las Vegas,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30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-3462020</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-3462020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6"/>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Registrants on August 20,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Registrants on September 18,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4 to the Registration Statement on Form S-1 of Wynn Resorts, Limited filed October 7,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Registrants on October 7,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5 to the Registration Statement on Form S-1 of Wynn Resorts, Limited filed October 21,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Registrants on October 21,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6"/>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6 to the Registration Statement on Form S-1 of Wynn Resorts, Limited filed October 22,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6"/>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5 to the Form S-1 filed by the Registrants on October 22, 2002.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54" w:lineRule="exact"/>
        <w:rPr>
          <w:sz w:val="20"/>
          <w:szCs w:val="20"/>
          <w:color w:val="auto"/>
        </w:rPr>
      </w:pPr>
    </w:p>
    <w:p>
      <w:pPr>
        <w:ind w:left="540" w:hanging="532"/>
        <w:spacing w:after="0"/>
        <w:tabs>
          <w:tab w:leader="none" w:pos="540" w:val="left"/>
        </w:tabs>
        <w:numPr>
          <w:ilvl w:val="0"/>
          <w:numId w:val="7"/>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Amendment No. 7 to the Registration Statement on Form S-1 of Wynn Resorts, Limited filed October 23,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7" w:lineRule="auto"/>
        <w:tabs>
          <w:tab w:leader="none" w:pos="540" w:val="left"/>
        </w:tabs>
        <w:numPr>
          <w:ilvl w:val="0"/>
          <w:numId w:val="7"/>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6 filed by the Registrants on October 23,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8 to the Registration Statement on Form S-1 of Wynn Resorts, Limited filed October 24,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7"/>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7 to the Form S-1 filed by the Registrants on October 24, 2002.</w:t>
      </w:r>
    </w:p>
    <w:p>
      <w:pPr>
        <w:spacing w:after="0" w:line="54"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7"/>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9 to the Registration Statement on Form S-1 of Wynn Resorts, Limited filed October 24, 2002 (Registration No. 333-90600).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Financial Statement Schedules:</w:t>
      </w:r>
    </w:p>
    <w:p>
      <w:pPr>
        <w:spacing w:after="0" w:line="22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66675</wp:posOffset>
            </wp:positionV>
            <wp:extent cx="2273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27330" cy="21590"/>
                    </a:xfrm>
                    <a:prstGeom prst="rect">
                      <a:avLst/>
                    </a:prstGeom>
                    <a:noFill/>
                  </pic:spPr>
                </pic:pic>
              </a:graphicData>
            </a:graphic>
          </wp:anchor>
        </w:drawing>
      </w:r>
    </w:p>
    <w:p>
      <w:pPr>
        <w:spacing w:after="0" w:line="215"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Schedule II—Valuation and Qualifying Accounts</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550545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05450" cy="1371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43307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46" w:lineRule="exact"/>
        <w:rPr>
          <w:sz w:val="20"/>
          <w:szCs w:val="20"/>
          <w:color w:val="auto"/>
        </w:rPr>
      </w:pPr>
    </w:p>
    <w:p>
      <w:pPr>
        <w:ind w:left="540" w:hanging="532"/>
        <w:spacing w:after="0"/>
        <w:tabs>
          <w:tab w:leader="none" w:pos="540" w:val="left"/>
        </w:tabs>
        <w:numPr>
          <w:ilvl w:val="0"/>
          <w:numId w:val="8"/>
        </w:numPr>
        <w:rPr>
          <w:rFonts w:ascii="Arial" w:cs="Arial" w:eastAsia="Arial" w:hAnsi="Arial"/>
          <w:sz w:val="27"/>
          <w:szCs w:val="27"/>
          <w:color w:val="auto"/>
          <w:vertAlign w:val="subscript"/>
        </w:rPr>
      </w:pPr>
      <w:r>
        <w:rPr>
          <w:rFonts w:ascii="Arial" w:cs="Arial" w:eastAsia="Arial" w:hAnsi="Arial"/>
          <w:sz w:val="14"/>
          <w:szCs w:val="14"/>
          <w:color w:val="auto"/>
        </w:rPr>
        <w:t>Previously filed with Amendment No. 7 filed by the Registrants on October 24, 2002.</w:t>
      </w:r>
    </w:p>
    <w:p>
      <w:pPr>
        <w:spacing w:after="0" w:line="19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Securities and Exchange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a director, officer or controlling person in connection with the securities being registered hereunder, the Registrant will, unless in the opinion of its counsel the matter has been settled by controlling precedent, submit to a</w:t>
      </w:r>
    </w:p>
    <w:p>
      <w:pPr>
        <w:sectPr>
          <w:pgSz w:w="11900" w:h="16877" w:orient="portrait"/>
          <w:cols w:equalWidth="0" w:num="1">
            <w:col w:w="11420"/>
          </w:cols>
          <w:pgMar w:left="240" w:top="131" w:right="239" w:bottom="0" w:gutter="0" w:footer="0" w:header="0"/>
        </w:sectPr>
      </w:pPr>
    </w:p>
    <w:bookmarkStart w:id="7" w:name="page8"/>
    <w:bookmarkEnd w:id="7"/>
    <w:p>
      <w:pPr>
        <w:spacing w:after="0" w:line="5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court of appropriate jurisdiction the question whether such indemnification by it is against public policy as expressed in the Securities Act, and will be governed by the final adjudication of such issue.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540" w:right="420" w:firstLine="359"/>
        <w:spacing w:after="0" w:line="306" w:lineRule="auto"/>
        <w:tabs>
          <w:tab w:leader="none" w:pos="1184"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0" w:lineRule="exact"/>
        <w:rPr>
          <w:rFonts w:ascii="Arial" w:cs="Arial" w:eastAsia="Arial" w:hAnsi="Arial"/>
          <w:sz w:val="16"/>
          <w:szCs w:val="16"/>
          <w:color w:val="auto"/>
        </w:rPr>
      </w:pPr>
    </w:p>
    <w:p>
      <w:pPr>
        <w:ind w:left="540" w:right="120" w:firstLine="359"/>
        <w:spacing w:after="0" w:line="259" w:lineRule="auto"/>
        <w:tabs>
          <w:tab w:leader="none" w:pos="1184"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VALVINO LAMORE,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S-1</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WORLD TRAVEL,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p>
      <w:pPr>
        <w:ind w:left="440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jc w:val="center"/>
        <w:ind w:left="4480"/>
        <w:spacing w:after="0"/>
        <w:tabs>
          <w:tab w:leader="none" w:pos="220" w:val="left"/>
        </w:tabs>
        <w:rPr>
          <w:sz w:val="20"/>
          <w:szCs w:val="20"/>
          <w:color w:val="auto"/>
        </w:rPr>
      </w:pPr>
      <w:r>
        <w:rPr>
          <w:rFonts w:ascii="Arial" w:cs="Arial" w:eastAsia="Arial" w:hAnsi="Arial"/>
          <w:sz w:val="18"/>
          <w:szCs w:val="18"/>
          <w:color w:val="auto"/>
        </w:rPr>
        <w:t>Name:</w:t>
        <w:tab/>
        <w:t>John Strzemp</w:t>
      </w:r>
    </w:p>
    <w:p>
      <w:pPr>
        <w:sectPr>
          <w:pgSz w:w="11900" w:h="16893" w:orient="portrait"/>
          <w:cols w:equalWidth="0" w:num="1">
            <w:col w:w="11420"/>
          </w:cols>
          <w:pgMar w:left="240" w:top="131" w:right="239" w:bottom="0" w:gutter="0" w:footer="0" w:header="0"/>
        </w:sectPr>
      </w:pPr>
    </w:p>
    <w:bookmarkStart w:id="8" w:name="page9"/>
    <w:bookmarkEnd w:id="8"/>
    <w:p>
      <w:pPr>
        <w:ind w:left="47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ind w:right="2780"/>
        <w:spacing w:after="0" w:line="268" w:lineRule="auto"/>
        <w:rPr>
          <w:sz w:val="20"/>
          <w:szCs w:val="20"/>
          <w:color w:val="auto"/>
        </w:rPr>
      </w:pPr>
      <w:r>
        <w:rPr>
          <w:rFonts w:ascii="Arial" w:cs="Arial" w:eastAsia="Arial" w:hAnsi="Arial"/>
          <w:sz w:val="18"/>
          <w:szCs w:val="18"/>
          <w:color w:val="auto"/>
        </w:rPr>
        <w:t>Executive Vice President and Chief Financial Officer</w:t>
      </w:r>
    </w:p>
    <w:p>
      <w:pPr>
        <w:spacing w:after="0" w:line="186" w:lineRule="exact"/>
        <w:rPr>
          <w:sz w:val="20"/>
          <w:szCs w:val="20"/>
          <w:color w:val="auto"/>
        </w:rPr>
      </w:pPr>
    </w:p>
    <w:p>
      <w:pPr>
        <w:sectPr>
          <w:pgSz w:w="11900" w:h="16838" w:orient="portrait"/>
          <w:cols w:equalWidth="0" w:num="2">
            <w:col w:w="5120" w:space="340"/>
            <w:col w:w="5960"/>
          </w:cols>
          <w:pgMar w:left="240" w:top="131" w:right="239" w:bottom="0" w:gutter="0" w:footer="0" w:header="0"/>
        </w:sect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S-2</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LAS VEGAS JET,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Las Vegas,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S-3</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DESIGN &amp; DEVELOPMENT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S-4</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DESERT INN WATER COMPANY,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3380" w:type="dxa"/>
            <w:vAlign w:val="bottom"/>
          </w:tcPr>
          <w:p>
            <w:pPr>
              <w:ind w:left="300"/>
              <w:spacing w:after="0"/>
              <w:rPr>
                <w:sz w:val="20"/>
                <w:szCs w:val="20"/>
                <w:color w:val="auto"/>
              </w:rPr>
            </w:pPr>
            <w:r>
              <w:rPr>
                <w:rFonts w:ascii="Arial" w:cs="Arial" w:eastAsia="Arial" w:hAnsi="Arial"/>
                <w:sz w:val="18"/>
                <w:szCs w:val="18"/>
                <w:color w:val="auto"/>
              </w:rPr>
              <w:t>Chief Executive Officer of</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24,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Wynn Resorts, Limited</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8"/>
              </w:rPr>
              <w:t>Stephen A. Wynn</w:t>
            </w:r>
          </w:p>
        </w:tc>
        <w:tc>
          <w:tcPr>
            <w:tcW w:w="3380" w:type="dxa"/>
            <w:vAlign w:val="bottom"/>
          </w:tcPr>
          <w:p>
            <w:pPr>
              <w:ind w:left="300"/>
              <w:spacing w:after="0"/>
              <w:rPr>
                <w:sz w:val="20"/>
                <w:szCs w:val="20"/>
                <w:color w:val="auto"/>
              </w:rPr>
            </w:pPr>
            <w:r>
              <w:rPr>
                <w:rFonts w:ascii="Arial" w:cs="Arial" w:eastAsia="Arial" w:hAnsi="Arial"/>
                <w:sz w:val="18"/>
                <w:szCs w:val="18"/>
                <w:color w:val="auto"/>
              </w:rPr>
              <w:t>(Principal Executive Officer)</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200" w:type="dxa"/>
            <w:vAlign w:val="bottom"/>
          </w:tcPr>
          <w:p>
            <w:pPr>
              <w:ind w:left="700"/>
              <w:spacing w:after="0"/>
              <w:rPr>
                <w:sz w:val="20"/>
                <w:szCs w:val="20"/>
                <w:color w:val="auto"/>
              </w:rPr>
            </w:pPr>
            <w:r>
              <w:rPr>
                <w:rFonts w:ascii="Arial" w:cs="Arial" w:eastAsia="Arial" w:hAnsi="Arial"/>
                <w:sz w:val="18"/>
                <w:szCs w:val="18"/>
                <w:color w:val="auto"/>
              </w:rPr>
              <w:t>/s/ JOHN STRZEMP</w:t>
            </w:r>
          </w:p>
        </w:tc>
        <w:tc>
          <w:tcPr>
            <w:tcW w:w="3380" w:type="dxa"/>
            <w:vAlign w:val="bottom"/>
          </w:tcPr>
          <w:p>
            <w:pPr>
              <w:ind w:left="300"/>
              <w:spacing w:after="0"/>
              <w:rPr>
                <w:sz w:val="20"/>
                <w:szCs w:val="20"/>
                <w:color w:val="auto"/>
              </w:rPr>
            </w:pPr>
            <w:r>
              <w:rPr>
                <w:rFonts w:ascii="Arial" w:cs="Arial" w:eastAsia="Arial" w:hAnsi="Arial"/>
                <w:sz w:val="18"/>
                <w:szCs w:val="18"/>
                <w:color w:val="auto"/>
              </w:rPr>
              <w:t>Executive Vice President and</w:t>
            </w:r>
          </w:p>
        </w:tc>
        <w:tc>
          <w:tcPr>
            <w:tcW w:w="2260" w:type="dxa"/>
            <w:vAlign w:val="bottom"/>
          </w:tcPr>
          <w:p>
            <w:pPr>
              <w:ind w:left="1040"/>
              <w:spacing w:after="0"/>
              <w:rPr>
                <w:sz w:val="20"/>
                <w:szCs w:val="20"/>
                <w:color w:val="auto"/>
              </w:rPr>
            </w:pPr>
            <w:r>
              <w:rPr>
                <w:rFonts w:ascii="Arial" w:cs="Arial" w:eastAsia="Arial" w:hAnsi="Arial"/>
                <w:sz w:val="18"/>
                <w:szCs w:val="18"/>
                <w:color w:val="auto"/>
                <w:w w:val="86"/>
              </w:rPr>
              <w:t>October 24, 2002</w:t>
            </w:r>
          </w:p>
        </w:tc>
        <w:tc>
          <w:tcPr>
            <w:tcW w:w="0" w:type="dxa"/>
            <w:vAlign w:val="bottom"/>
          </w:tcPr>
          <w:p>
            <w:pPr>
              <w:spacing w:after="0"/>
              <w:rPr>
                <w:sz w:val="1"/>
                <w:szCs w:val="1"/>
                <w:color w:val="auto"/>
              </w:rPr>
            </w:pPr>
          </w:p>
        </w:tc>
      </w:tr>
      <w:tr>
        <w:trPr>
          <w:trHeight w:val="127"/>
        </w:trPr>
        <w:tc>
          <w:tcPr>
            <w:tcW w:w="3200" w:type="dxa"/>
            <w:vAlign w:val="bottom"/>
            <w:tcBorders>
              <w:bottom w:val="single" w:sz="8" w:color="808080"/>
            </w:tcBorders>
          </w:tcPr>
          <w:p>
            <w:pPr>
              <w:spacing w:after="0"/>
              <w:rPr>
                <w:sz w:val="11"/>
                <w:szCs w:val="11"/>
                <w:color w:val="auto"/>
              </w:rPr>
            </w:pPr>
          </w:p>
        </w:tc>
        <w:tc>
          <w:tcPr>
            <w:tcW w:w="3380" w:type="dxa"/>
            <w:vAlign w:val="bottom"/>
            <w:vMerge w:val="restart"/>
          </w:tcPr>
          <w:p>
            <w:pPr>
              <w:ind w:left="300"/>
              <w:spacing w:after="0"/>
              <w:rPr>
                <w:sz w:val="20"/>
                <w:szCs w:val="20"/>
                <w:color w:val="auto"/>
              </w:rPr>
            </w:pPr>
            <w:r>
              <w:rPr>
                <w:rFonts w:ascii="Arial" w:cs="Arial" w:eastAsia="Arial" w:hAnsi="Arial"/>
                <w:sz w:val="18"/>
                <w:szCs w:val="18"/>
                <w:color w:val="auto"/>
              </w:rPr>
              <w:t>Chief Financial Officer of</w:t>
            </w:r>
          </w:p>
        </w:tc>
        <w:tc>
          <w:tcPr>
            <w:tcW w:w="2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3200" w:type="dxa"/>
            <w:vAlign w:val="bottom"/>
          </w:tcPr>
          <w:p>
            <w:pPr>
              <w:spacing w:after="0"/>
              <w:rPr>
                <w:sz w:val="6"/>
                <w:szCs w:val="6"/>
                <w:color w:val="auto"/>
              </w:rPr>
            </w:pPr>
          </w:p>
        </w:tc>
        <w:tc>
          <w:tcPr>
            <w:tcW w:w="3380" w:type="dxa"/>
            <w:vAlign w:val="bottom"/>
            <w:vMerge w:val="continue"/>
          </w:tcPr>
          <w:p>
            <w:pPr>
              <w:spacing w:after="0"/>
              <w:rPr>
                <w:sz w:val="6"/>
                <w:szCs w:val="6"/>
                <w:color w:val="auto"/>
              </w:rPr>
            </w:pPr>
          </w:p>
        </w:tc>
        <w:tc>
          <w:tcPr>
            <w:tcW w:w="2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3200" w:type="dxa"/>
            <w:vAlign w:val="bottom"/>
          </w:tcPr>
          <w:p>
            <w:pPr>
              <w:jc w:val="center"/>
              <w:spacing w:after="0"/>
              <w:rPr>
                <w:sz w:val="20"/>
                <w:szCs w:val="20"/>
                <w:color w:val="auto"/>
              </w:rPr>
            </w:pPr>
            <w:r>
              <w:rPr>
                <w:rFonts w:ascii="Arial" w:cs="Arial" w:eastAsia="Arial" w:hAnsi="Arial"/>
                <w:sz w:val="18"/>
                <w:szCs w:val="18"/>
                <w:color w:val="auto"/>
                <w:w w:val="86"/>
              </w:rPr>
              <w:t>John Strzemp</w:t>
            </w:r>
          </w:p>
        </w:tc>
        <w:tc>
          <w:tcPr>
            <w:tcW w:w="3380" w:type="dxa"/>
            <w:vAlign w:val="bottom"/>
          </w:tcPr>
          <w:p>
            <w:pPr>
              <w:ind w:left="300"/>
              <w:spacing w:after="0"/>
              <w:rPr>
                <w:sz w:val="20"/>
                <w:szCs w:val="20"/>
                <w:color w:val="auto"/>
              </w:rPr>
            </w:pPr>
            <w:r>
              <w:rPr>
                <w:rFonts w:ascii="Arial" w:cs="Arial" w:eastAsia="Arial" w:hAnsi="Arial"/>
                <w:sz w:val="18"/>
                <w:szCs w:val="18"/>
                <w:color w:val="auto"/>
              </w:rPr>
              <w:t>Wynn Resorts, Limited</w:t>
            </w: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-782955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-782955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-216535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0" w:name="page11"/>
    <w:bookmarkEnd w:id="10"/>
    <w:p>
      <w:pPr>
        <w:ind w:left="3500"/>
        <w:spacing w:after="0"/>
        <w:rPr>
          <w:sz w:val="20"/>
          <w:szCs w:val="20"/>
          <w:color w:val="auto"/>
        </w:rPr>
      </w:pPr>
      <w:r>
        <w:rPr>
          <w:rFonts w:ascii="Arial" w:cs="Arial" w:eastAsia="Arial" w:hAnsi="Arial"/>
          <w:sz w:val="18"/>
          <w:szCs w:val="18"/>
          <w:color w:val="auto"/>
        </w:rPr>
        <w:t>(Principal Financial Officer and Principal</w:t>
      </w:r>
    </w:p>
    <w:p>
      <w:pPr>
        <w:spacing w:after="0" w:line="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Accounting Officer)</w:t>
      </w:r>
    </w:p>
    <w:p>
      <w:pPr>
        <w:spacing w:after="0" w:line="219"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77470</wp:posOffset>
            </wp:positionV>
            <wp:extent cx="2242185"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242185" cy="21590"/>
                    </a:xfrm>
                    <a:prstGeom prst="rect">
                      <a:avLst/>
                    </a:prstGeom>
                    <a:noFill/>
                  </pic:spPr>
                </pic:pic>
              </a:graphicData>
            </a:graphic>
          </wp:anchor>
        </w:drawing>
      </w:r>
    </w:p>
    <w:p>
      <w:pPr>
        <w:spacing w:after="0" w:line="232" w:lineRule="exact"/>
        <w:rPr>
          <w:sz w:val="20"/>
          <w:szCs w:val="20"/>
          <w:color w:val="auto"/>
        </w:rPr>
      </w:pPr>
    </w:p>
    <w:p>
      <w:pPr>
        <w:jc w:val="center"/>
        <w:ind w:right="6260"/>
        <w:spacing w:after="0"/>
        <w:rPr>
          <w:sz w:val="20"/>
          <w:szCs w:val="20"/>
          <w:color w:val="auto"/>
        </w:rPr>
      </w:pPr>
      <w:r>
        <w:rPr>
          <w:rFonts w:ascii="Arial" w:cs="Arial" w:eastAsia="Arial" w:hAnsi="Arial"/>
          <w:sz w:val="18"/>
          <w:szCs w:val="18"/>
          <w:color w:val="auto"/>
        </w:rPr>
        <w:t>John Strzemp</w:t>
      </w:r>
    </w:p>
    <w:p>
      <w:pPr>
        <w:spacing w:after="0" w:line="15" w:lineRule="exact"/>
        <w:rPr>
          <w:sz w:val="20"/>
          <w:szCs w:val="20"/>
          <w:color w:val="auto"/>
        </w:rPr>
      </w:pPr>
    </w:p>
    <w:p>
      <w:pPr>
        <w:jc w:val="center"/>
        <w:ind w:right="6260"/>
        <w:spacing w:after="0"/>
        <w:rPr>
          <w:sz w:val="20"/>
          <w:szCs w:val="20"/>
          <w:color w:val="auto"/>
        </w:rPr>
      </w:pPr>
      <w:r>
        <w:rPr>
          <w:rFonts w:ascii="Arial" w:cs="Arial" w:eastAsia="Arial" w:hAnsi="Arial"/>
          <w:sz w:val="18"/>
          <w:szCs w:val="18"/>
          <w:i w:val="1"/>
          <w:iCs w:val="1"/>
          <w:color w:val="auto"/>
        </w:rPr>
        <w:t>Attorney-in-fact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RESORTS HOLDINGS,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S-6</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PALO,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86" w:gutter="0" w:footer="0" w:header="0"/>
        </w:sectPr>
      </w:pPr>
    </w:p>
    <w:bookmarkStart w:id="11" w:name="page12"/>
    <w:bookmarkEnd w:id="11"/>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S-7</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WYNN LAS VEGAS, LLC</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HOLDINGS,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VALVINO LAMORE, LLC, its member</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By: WYNN RESORTS, LIMITED, its member</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p>
      <w:pPr>
        <w:ind w:left="1320"/>
        <w:spacing w:after="0"/>
        <w:tabs>
          <w:tab w:leader="none" w:pos="5120" w:val="left"/>
          <w:tab w:leader="none" w:pos="808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80136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8013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2680" w:type="dxa"/>
            <w:vAlign w:val="bottom"/>
            <w:gridSpan w:val="2"/>
          </w:tcPr>
          <w:p>
            <w:pPr>
              <w:jc w:val="center"/>
              <w:ind w:right="4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of</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8"/>
              </w:rPr>
              <w:t>Stephen A. Wynn</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Executive Officer)</w:t>
            </w:r>
          </w:p>
        </w:tc>
        <w:tc>
          <w:tcPr>
            <w:tcW w:w="4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520" w:type="dxa"/>
            <w:vAlign w:val="bottom"/>
          </w:tcPr>
          <w:p>
            <w:pPr>
              <w:spacing w:after="0"/>
              <w:rPr>
                <w:sz w:val="24"/>
                <w:szCs w:val="24"/>
                <w:color w:val="auto"/>
              </w:rPr>
            </w:pPr>
          </w:p>
        </w:tc>
        <w:tc>
          <w:tcPr>
            <w:tcW w:w="2840" w:type="dxa"/>
            <w:vAlign w:val="bottom"/>
            <w:gridSpan w:val="3"/>
          </w:tcPr>
          <w:p>
            <w:pPr>
              <w:ind w:left="180"/>
              <w:spacing w:after="0"/>
              <w:rPr>
                <w:sz w:val="20"/>
                <w:szCs w:val="20"/>
                <w:color w:val="auto"/>
              </w:rPr>
            </w:pPr>
            <w:r>
              <w:rPr>
                <w:rFonts w:ascii="Arial" w:cs="Arial" w:eastAsia="Arial" w:hAnsi="Arial"/>
                <w:sz w:val="18"/>
                <w:szCs w:val="18"/>
                <w:color w:val="auto"/>
              </w:rPr>
              <w:t>/s/ 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Executive Vice President and</w:t>
            </w:r>
          </w:p>
        </w:tc>
        <w:tc>
          <w:tcPr>
            <w:tcW w:w="4420" w:type="dxa"/>
            <w:vAlign w:val="bottom"/>
          </w:tcPr>
          <w:p>
            <w:pPr>
              <w:ind w:left="620"/>
              <w:spacing w:after="0"/>
              <w:rPr>
                <w:sz w:val="20"/>
                <w:szCs w:val="20"/>
                <w:color w:val="auto"/>
              </w:rPr>
            </w:pPr>
            <w:r>
              <w:rPr>
                <w:rFonts w:ascii="Arial" w:cs="Arial" w:eastAsia="Arial" w:hAnsi="Arial"/>
                <w:sz w:val="18"/>
                <w:szCs w:val="18"/>
                <w:color w:val="auto"/>
              </w:rPr>
              <w:t>October 24, 2002</w:t>
            </w:r>
          </w:p>
        </w:tc>
        <w:tc>
          <w:tcPr>
            <w:tcW w:w="0" w:type="dxa"/>
            <w:vAlign w:val="bottom"/>
          </w:tcPr>
          <w:p>
            <w:pPr>
              <w:spacing w:after="0"/>
              <w:rPr>
                <w:sz w:val="1"/>
                <w:szCs w:val="1"/>
                <w:color w:val="auto"/>
              </w:rPr>
            </w:pPr>
          </w:p>
        </w:tc>
      </w:tr>
      <w:tr>
        <w:trPr>
          <w:trHeight w:val="127"/>
        </w:trPr>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3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2"/>
            <w:vMerge w:val="restart"/>
          </w:tcPr>
          <w:p>
            <w:pPr>
              <w:ind w:left="140"/>
              <w:spacing w:after="0"/>
              <w:rPr>
                <w:sz w:val="20"/>
                <w:szCs w:val="20"/>
                <w:color w:val="auto"/>
              </w:rPr>
            </w:pPr>
            <w:r>
              <w:rPr>
                <w:rFonts w:ascii="Arial" w:cs="Arial" w:eastAsia="Arial" w:hAnsi="Arial"/>
                <w:sz w:val="18"/>
                <w:szCs w:val="18"/>
                <w:color w:val="auto"/>
              </w:rPr>
              <w:t>Chief Financial Officer of</w:t>
            </w:r>
          </w:p>
        </w:tc>
        <w:tc>
          <w:tcPr>
            <w:tcW w:w="4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2"/>
          </w:tcPr>
          <w:p>
            <w:pPr>
              <w:jc w:val="center"/>
              <w:ind w:right="980"/>
              <w:spacing w:after="0"/>
              <w:rPr>
                <w:sz w:val="20"/>
                <w:szCs w:val="20"/>
                <w:color w:val="auto"/>
              </w:rPr>
            </w:pPr>
            <w:r>
              <w:rPr>
                <w:rFonts w:ascii="Arial" w:cs="Arial" w:eastAsia="Arial" w:hAnsi="Arial"/>
                <w:sz w:val="18"/>
                <w:szCs w:val="18"/>
                <w:color w:val="auto"/>
                <w:w w:val="86"/>
              </w:rPr>
              <w:t>John Strzemp</w:t>
            </w: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Wynn Resorts, Limited</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(Principal Financial Officer and Principal</w:t>
            </w: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Accounting Officer)</w:t>
            </w: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00" w:type="dxa"/>
            <w:vAlign w:val="bottom"/>
          </w:tcPr>
          <w:p>
            <w:pPr>
              <w:spacing w:after="0"/>
              <w:rPr>
                <w:sz w:val="24"/>
                <w:szCs w:val="24"/>
                <w:color w:val="auto"/>
              </w:rPr>
            </w:pPr>
          </w:p>
        </w:tc>
        <w:tc>
          <w:tcPr>
            <w:tcW w:w="2540" w:type="dxa"/>
            <w:vAlign w:val="bottom"/>
            <w:gridSpan w:val="2"/>
          </w:tcPr>
          <w:p>
            <w:pPr>
              <w:ind w:left="860"/>
              <w:spacing w:after="0"/>
              <w:rPr>
                <w:sz w:val="20"/>
                <w:szCs w:val="20"/>
                <w:color w:val="auto"/>
              </w:rPr>
            </w:pPr>
            <w:r>
              <w:rPr>
                <w:rFonts w:ascii="Arial" w:cs="Arial" w:eastAsia="Arial" w:hAnsi="Arial"/>
                <w:sz w:val="18"/>
                <w:szCs w:val="18"/>
                <w:color w:val="auto"/>
              </w:rPr>
              <w:t>/s/ 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40" w:type="dxa"/>
            <w:vAlign w:val="bottom"/>
            <w:tcBorders>
              <w:bottom w:val="single" w:sz="8" w:color="808080"/>
            </w:tcBorders>
            <w:gridSpan w:val="2"/>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66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color w:val="auto"/>
                <w:w w:val="86"/>
              </w:rPr>
              <w:t>John Strzemp</w:t>
            </w:r>
          </w:p>
        </w:tc>
        <w:tc>
          <w:tcPr>
            <w:tcW w:w="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2"/>
          </w:tcPr>
          <w:p>
            <w:pPr>
              <w:jc w:val="center"/>
              <w:ind w:left="892"/>
              <w:spacing w:after="0"/>
              <w:rPr>
                <w:sz w:val="20"/>
                <w:szCs w:val="20"/>
                <w:color w:val="auto"/>
              </w:rPr>
            </w:pPr>
            <w:r>
              <w:rPr>
                <w:rFonts w:ascii="Arial" w:cs="Arial" w:eastAsia="Arial" w:hAnsi="Arial"/>
                <w:sz w:val="18"/>
                <w:szCs w:val="18"/>
                <w:i w:val="1"/>
                <w:iCs w:val="1"/>
                <w:color w:val="auto"/>
                <w:w w:val="91"/>
              </w:rPr>
              <w:t>Attorney-in-fact</w:t>
            </w:r>
          </w:p>
        </w:tc>
        <w:tc>
          <w:tcPr>
            <w:tcW w:w="9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60" w:type="dxa"/>
            <w:vAlign w:val="bottom"/>
          </w:tcPr>
          <w:p>
            <w:pPr>
              <w:ind w:left="1260"/>
              <w:spacing w:after="0"/>
              <w:rPr>
                <w:sz w:val="20"/>
                <w:szCs w:val="20"/>
                <w:color w:val="auto"/>
              </w:rPr>
            </w:pPr>
            <w:r>
              <w:rPr>
                <w:rFonts w:ascii="Arial" w:cs="Arial" w:eastAsia="Arial" w:hAnsi="Arial"/>
                <w:sz w:val="18"/>
                <w:szCs w:val="18"/>
                <w:color w:val="auto"/>
              </w:rPr>
              <w:t>S-8</w:t>
            </w: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2026920</wp:posOffset>
            </wp:positionH>
            <wp:positionV relativeFrom="paragraph">
              <wp:posOffset>-2175510</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-2175510</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-1609090</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-1609090</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ectPr>
          <w:pgSz w:w="11900" w:h="16838" w:orient="portrait"/>
          <w:cols w:equalWidth="0" w:num="1">
            <w:col w:w="11420"/>
          </w:cols>
          <w:pgMar w:left="240" w:top="131" w:right="239" w:bottom="0" w:gutter="0" w:footer="0" w:header="0"/>
        </w:sectPr>
      </w:pPr>
    </w:p>
    <w:bookmarkStart w:id="12" w:name="page13"/>
    <w:bookmarkEnd w:id="12"/>
    <w:p>
      <w:pPr>
        <w:ind w:left="4400"/>
        <w:spacing w:after="0"/>
        <w:rPr>
          <w:sz w:val="20"/>
          <w:szCs w:val="20"/>
          <w:color w:val="auto"/>
        </w:rPr>
      </w:pPr>
      <w:r>
        <w:rPr>
          <w:rFonts w:ascii="Arial" w:cs="Arial" w:eastAsia="Arial" w:hAnsi="Arial"/>
          <w:sz w:val="18"/>
          <w:szCs w:val="18"/>
          <w:color w:val="auto"/>
        </w:rPr>
        <w:t>WYNN LAS VEGAS CAPITAL CORP.</w:t>
      </w:r>
    </w:p>
    <w:p>
      <w:pPr>
        <w:spacing w:after="0" w:line="225" w:lineRule="exact"/>
        <w:rPr>
          <w:sz w:val="20"/>
          <w:szCs w:val="20"/>
          <w:color w:val="auto"/>
        </w:rPr>
      </w:pPr>
    </w:p>
    <w:p>
      <w:pPr>
        <w:ind w:left="440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3013075</wp:posOffset>
            </wp:positionH>
            <wp:positionV relativeFrom="paragraph">
              <wp:posOffset>77470</wp:posOffset>
            </wp:positionV>
            <wp:extent cx="2568575"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68575" cy="21590"/>
                    </a:xfrm>
                    <a:prstGeom prst="rect">
                      <a:avLst/>
                    </a:prstGeom>
                    <a:noFill/>
                  </pic:spPr>
                </pic:pic>
              </a:graphicData>
            </a:graphic>
          </wp:anchor>
        </w:drawing>
      </w:r>
    </w:p>
    <w:p>
      <w:pPr>
        <w:spacing w:after="0" w:line="232"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Name:</w:t>
        <w:tab/>
        <w:t>John Strzemp</w:t>
      </w:r>
    </w:p>
    <w:p>
      <w:pPr>
        <w:spacing w:after="0" w:line="15" w:lineRule="exact"/>
        <w:rPr>
          <w:sz w:val="20"/>
          <w:szCs w:val="20"/>
          <w:color w:val="auto"/>
        </w:rPr>
      </w:pPr>
    </w:p>
    <w:p>
      <w:pPr>
        <w:ind w:left="4740"/>
        <w:spacing w:after="0"/>
        <w:tabs>
          <w:tab w:leader="none" w:pos="5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Treasurer</w:t>
      </w:r>
    </w:p>
    <w:p>
      <w:pPr>
        <w:spacing w:after="0" w:line="219"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80" w:type="dxa"/>
            <w:vAlign w:val="bottom"/>
          </w:tcPr>
          <w:p>
            <w:pPr>
              <w:jc w:val="center"/>
              <w:ind w:right="1095"/>
              <w:spacing w:after="0"/>
              <w:rPr>
                <w:sz w:val="20"/>
                <w:szCs w:val="20"/>
                <w:color w:val="auto"/>
              </w:rPr>
            </w:pPr>
            <w:r>
              <w:rPr>
                <w:rFonts w:ascii="Arial" w:cs="Arial" w:eastAsia="Arial" w:hAnsi="Arial"/>
                <w:sz w:val="14"/>
                <w:szCs w:val="14"/>
                <w:b w:val="1"/>
                <w:bCs w:val="1"/>
                <w:color w:val="auto"/>
                <w:w w:val="86"/>
              </w:rPr>
              <w:t>Signature</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60" w:type="dxa"/>
            <w:vAlign w:val="bottom"/>
          </w:tcPr>
          <w:p>
            <w:pPr>
              <w:ind w:left="1980"/>
              <w:spacing w:after="0"/>
              <w:rPr>
                <w:sz w:val="20"/>
                <w:szCs w:val="20"/>
                <w:color w:val="auto"/>
              </w:rPr>
            </w:pPr>
            <w:r>
              <w:rPr>
                <w:rFonts w:ascii="Arial" w:cs="Arial" w:eastAsia="Arial" w:hAnsi="Arial"/>
                <w:sz w:val="14"/>
                <w:szCs w:val="14"/>
                <w:b w:val="1"/>
                <w:bCs w:val="1"/>
                <w:color w:val="auto"/>
              </w:rPr>
              <w:t>Title</w:t>
            </w:r>
          </w:p>
        </w:tc>
        <w:tc>
          <w:tcPr>
            <w:tcW w:w="340" w:type="dxa"/>
            <w:vAlign w:val="bottom"/>
          </w:tcPr>
          <w:p>
            <w:pPr>
              <w:spacing w:after="0"/>
              <w:rPr>
                <w:sz w:val="15"/>
                <w:szCs w:val="15"/>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05"/>
        </w:trPr>
        <w:tc>
          <w:tcPr>
            <w:tcW w:w="8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58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6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765"/>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center"/>
              <w:ind w:right="111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Director and President</w:t>
            </w:r>
          </w:p>
        </w:tc>
        <w:tc>
          <w:tcPr>
            <w:tcW w:w="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24, 2002</w:t>
            </w:r>
          </w:p>
        </w:tc>
        <w:tc>
          <w:tcPr>
            <w:tcW w:w="0" w:type="dxa"/>
            <w:vAlign w:val="bottom"/>
          </w:tcPr>
          <w:p>
            <w:pPr>
              <w:spacing w:after="0"/>
              <w:rPr>
                <w:sz w:val="1"/>
                <w:szCs w:val="1"/>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center"/>
              <w:ind w:right="1095"/>
              <w:spacing w:after="0"/>
              <w:rPr>
                <w:sz w:val="20"/>
                <w:szCs w:val="20"/>
                <w:color w:val="auto"/>
              </w:rPr>
            </w:pPr>
            <w:r>
              <w:rPr>
                <w:rFonts w:ascii="Arial" w:cs="Arial" w:eastAsia="Arial" w:hAnsi="Arial"/>
                <w:sz w:val="18"/>
                <w:szCs w:val="18"/>
                <w:color w:val="auto"/>
                <w:w w:val="88"/>
              </w:rPr>
              <w:t>Stephen A. Wynn</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20" w:type="dxa"/>
            <w:vAlign w:val="bottom"/>
          </w:tcPr>
          <w:p>
            <w:pPr>
              <w:spacing w:after="0"/>
              <w:rPr>
                <w:sz w:val="24"/>
                <w:szCs w:val="24"/>
                <w:color w:val="auto"/>
              </w:rPr>
            </w:pPr>
          </w:p>
        </w:tc>
        <w:tc>
          <w:tcPr>
            <w:tcW w:w="380" w:type="dxa"/>
            <w:vAlign w:val="bottom"/>
          </w:tcPr>
          <w:p>
            <w:pPr>
              <w:ind w:left="180"/>
              <w:spacing w:after="0"/>
              <w:rPr>
                <w:sz w:val="20"/>
                <w:szCs w:val="20"/>
                <w:color w:val="auto"/>
              </w:rPr>
            </w:pPr>
            <w:r>
              <w:rPr>
                <w:rFonts w:ascii="Arial" w:cs="Arial" w:eastAsia="Arial" w:hAnsi="Arial"/>
                <w:sz w:val="18"/>
                <w:szCs w:val="18"/>
                <w:color w:val="auto"/>
                <w:w w:val="94"/>
              </w:rPr>
              <w:t>/s/</w:t>
            </w:r>
          </w:p>
        </w:tc>
        <w:tc>
          <w:tcPr>
            <w:tcW w:w="2580" w:type="dxa"/>
            <w:vAlign w:val="bottom"/>
          </w:tcPr>
          <w:p>
            <w:pPr>
              <w:jc w:val="center"/>
              <w:ind w:right="1135"/>
              <w:spacing w:after="0"/>
              <w:rPr>
                <w:sz w:val="20"/>
                <w:szCs w:val="20"/>
                <w:color w:val="auto"/>
              </w:rPr>
            </w:pPr>
            <w:r>
              <w:rPr>
                <w:rFonts w:ascii="Arial" w:cs="Arial" w:eastAsia="Arial" w:hAnsi="Arial"/>
                <w:sz w:val="18"/>
                <w:szCs w:val="18"/>
                <w:color w:val="auto"/>
                <w:w w:val="91"/>
              </w:rPr>
              <w:t>JOHN STRZEMP</w:t>
            </w:r>
          </w:p>
        </w:tc>
        <w:tc>
          <w:tcPr>
            <w:tcW w:w="34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w w:val="93"/>
              </w:rPr>
              <w:t>Treasurer (Principal Financial Officer and Principal Accounting</w:t>
            </w:r>
          </w:p>
        </w:tc>
        <w:tc>
          <w:tcPr>
            <w:tcW w:w="34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October 24, 2002</w:t>
            </w:r>
          </w:p>
        </w:tc>
        <w:tc>
          <w:tcPr>
            <w:tcW w:w="0" w:type="dxa"/>
            <w:vAlign w:val="bottom"/>
          </w:tcPr>
          <w:p>
            <w:pPr>
              <w:spacing w:after="0"/>
              <w:rPr>
                <w:sz w:val="1"/>
                <w:szCs w:val="1"/>
                <w:color w:val="auto"/>
              </w:rPr>
            </w:pPr>
          </w:p>
        </w:tc>
      </w:tr>
      <w:tr>
        <w:trPr>
          <w:trHeight w:val="127"/>
        </w:trPr>
        <w:tc>
          <w:tcPr>
            <w:tcW w:w="8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tcPr>
          <w:p>
            <w:pPr>
              <w:spacing w:after="0"/>
              <w:rPr>
                <w:sz w:val="11"/>
                <w:szCs w:val="11"/>
                <w:color w:val="auto"/>
              </w:rPr>
            </w:pPr>
          </w:p>
        </w:tc>
        <w:tc>
          <w:tcPr>
            <w:tcW w:w="340" w:type="dxa"/>
            <w:vAlign w:val="bottom"/>
          </w:tcPr>
          <w:p>
            <w:pPr>
              <w:spacing w:after="0"/>
              <w:rPr>
                <w:sz w:val="11"/>
                <w:szCs w:val="11"/>
                <w:color w:val="auto"/>
              </w:rPr>
            </w:pPr>
          </w:p>
        </w:tc>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8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580" w:type="dxa"/>
            <w:vAlign w:val="bottom"/>
            <w:vMerge w:val="restart"/>
          </w:tcPr>
          <w:p>
            <w:pPr>
              <w:jc w:val="center"/>
              <w:ind w:right="1095"/>
              <w:spacing w:after="0"/>
              <w:rPr>
                <w:sz w:val="20"/>
                <w:szCs w:val="20"/>
                <w:color w:val="auto"/>
              </w:rPr>
            </w:pPr>
            <w:r>
              <w:rPr>
                <w:rFonts w:ascii="Arial" w:cs="Arial" w:eastAsia="Arial" w:hAnsi="Arial"/>
                <w:sz w:val="18"/>
                <w:szCs w:val="18"/>
                <w:color w:val="auto"/>
                <w:w w:val="86"/>
              </w:rPr>
              <w:t>John Strzemp</w:t>
            </w:r>
          </w:p>
        </w:tc>
        <w:tc>
          <w:tcPr>
            <w:tcW w:w="340" w:type="dxa"/>
            <w:vAlign w:val="bottom"/>
          </w:tcPr>
          <w:p>
            <w:pPr>
              <w:spacing w:after="0"/>
              <w:rPr>
                <w:sz w:val="6"/>
                <w:szCs w:val="6"/>
                <w:color w:val="auto"/>
              </w:rPr>
            </w:pPr>
          </w:p>
        </w:tc>
        <w:tc>
          <w:tcPr>
            <w:tcW w:w="468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58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color w:val="auto"/>
              </w:rPr>
              <w:t>*By:</w:t>
            </w:r>
          </w:p>
        </w:tc>
        <w:tc>
          <w:tcPr>
            <w:tcW w:w="2580" w:type="dxa"/>
            <w:vAlign w:val="bottom"/>
          </w:tcPr>
          <w:p>
            <w:pPr>
              <w:ind w:left="480"/>
              <w:spacing w:after="0"/>
              <w:rPr>
                <w:sz w:val="20"/>
                <w:szCs w:val="20"/>
                <w:color w:val="auto"/>
              </w:rPr>
            </w:pPr>
            <w:r>
              <w:rPr>
                <w:rFonts w:ascii="Arial" w:cs="Arial" w:eastAsia="Arial" w:hAnsi="Arial"/>
                <w:sz w:val="18"/>
                <w:szCs w:val="18"/>
                <w:color w:val="auto"/>
              </w:rPr>
              <w:t>/s/ JOHN STRZEMP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8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jc w:val="center"/>
              <w:ind w:left="95"/>
              <w:spacing w:after="0"/>
              <w:rPr>
                <w:sz w:val="20"/>
                <w:szCs w:val="20"/>
                <w:color w:val="auto"/>
              </w:rPr>
            </w:pPr>
            <w:r>
              <w:rPr>
                <w:rFonts w:ascii="Arial" w:cs="Arial" w:eastAsia="Arial" w:hAnsi="Arial"/>
                <w:sz w:val="18"/>
                <w:szCs w:val="18"/>
                <w:color w:val="auto"/>
                <w:w w:val="86"/>
              </w:rPr>
              <w:t>John Strzemp</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580" w:type="dxa"/>
            <w:vAlign w:val="bottom"/>
          </w:tcPr>
          <w:p>
            <w:pPr>
              <w:jc w:val="center"/>
              <w:ind w:left="95"/>
              <w:spacing w:after="0"/>
              <w:rPr>
                <w:sz w:val="20"/>
                <w:szCs w:val="20"/>
                <w:color w:val="auto"/>
              </w:rPr>
            </w:pPr>
            <w:r>
              <w:rPr>
                <w:rFonts w:ascii="Arial" w:cs="Arial" w:eastAsia="Arial" w:hAnsi="Arial"/>
                <w:sz w:val="18"/>
                <w:szCs w:val="18"/>
                <w:i w:val="1"/>
                <w:iCs w:val="1"/>
                <w:color w:val="auto"/>
                <w:w w:val="91"/>
              </w:rPr>
              <w:t>Attorney-in-fact</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tcPr>
          <w:p>
            <w:pPr>
              <w:ind w:left="1260"/>
              <w:spacing w:after="0"/>
              <w:rPr>
                <w:sz w:val="20"/>
                <w:szCs w:val="20"/>
                <w:color w:val="auto"/>
              </w:rPr>
            </w:pPr>
            <w:r>
              <w:rPr>
                <w:rFonts w:ascii="Arial" w:cs="Arial" w:eastAsia="Arial" w:hAnsi="Arial"/>
                <w:sz w:val="18"/>
                <w:szCs w:val="18"/>
                <w:color w:val="auto"/>
              </w:rPr>
              <w:t>S-9</w:t>
            </w: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-2493010</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-2493010</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-2493010</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-2493010</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-2493010</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-2493010</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-1918335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-1918335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-1351915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-1351915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-786130</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-786130</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Amendment No. 8 to the Registration Statement to be signed on its behalf by the undersigned, thereunto duly authorized, in Las Vegas, Nevada, on the 24th day of October, 2002.</w:t>
      </w:r>
    </w:p>
    <w:p>
      <w:pPr>
        <w:spacing w:after="0" w:line="13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tbl>
      <w:tblPr>
        <w:tblLayout w:type="fixed"/>
        <w:tblInd w:w="4400" w:type="dxa"/>
        <w:tblCellMar>
          <w:top w:w="0" w:type="dxa"/>
          <w:left w:w="0" w:type="dxa"/>
          <w:bottom w:w="0" w:type="dxa"/>
          <w:right w:w="0" w:type="dxa"/>
        </w:tblCellMar>
      </w:tblPr>
      <w:tr>
        <w:trPr>
          <w:trHeight w:val="222"/>
        </w:trPr>
        <w:tc>
          <w:tcPr>
            <w:tcW w:w="940" w:type="dxa"/>
            <w:vAlign w:val="bottom"/>
            <w:gridSpan w:val="2"/>
          </w:tcPr>
          <w:p>
            <w:pPr>
              <w:spacing w:after="0"/>
              <w:rPr>
                <w:sz w:val="20"/>
                <w:szCs w:val="20"/>
                <w:color w:val="auto"/>
              </w:rPr>
            </w:pPr>
            <w:r>
              <w:rPr>
                <w:rFonts w:ascii="Arial" w:cs="Arial" w:eastAsia="Arial" w:hAnsi="Arial"/>
                <w:sz w:val="18"/>
                <w:szCs w:val="18"/>
                <w:color w:val="auto"/>
              </w:rPr>
              <w:t>By:</w:t>
            </w:r>
          </w:p>
        </w:tc>
        <w:tc>
          <w:tcPr>
            <w:tcW w:w="3440" w:type="dxa"/>
            <w:vAlign w:val="bottom"/>
          </w:tcPr>
          <w:p>
            <w:pPr>
              <w:ind w:left="520"/>
              <w:spacing w:after="0"/>
              <w:rPr>
                <w:sz w:val="20"/>
                <w:szCs w:val="20"/>
                <w:color w:val="auto"/>
              </w:rPr>
            </w:pPr>
            <w:r>
              <w:rPr>
                <w:rFonts w:ascii="Arial" w:cs="Arial" w:eastAsia="Arial" w:hAnsi="Arial"/>
                <w:sz w:val="18"/>
                <w:szCs w:val="18"/>
                <w:color w:val="auto"/>
              </w:rPr>
              <w:t>/s/ JOHN STRZEMP</w:t>
            </w:r>
          </w:p>
        </w:tc>
      </w:tr>
      <w:tr>
        <w:trPr>
          <w:trHeight w:val="120"/>
        </w:trPr>
        <w:tc>
          <w:tcPr>
            <w:tcW w:w="340" w:type="dxa"/>
            <w:vAlign w:val="bottom"/>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r>
        <w:trPr>
          <w:trHeight w:val="313"/>
        </w:trPr>
        <w:tc>
          <w:tcPr>
            <w:tcW w:w="3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440" w:type="dxa"/>
            <w:vAlign w:val="bottom"/>
          </w:tcPr>
          <w:p>
            <w:pPr>
              <w:ind w:left="120"/>
              <w:spacing w:after="0"/>
              <w:rPr>
                <w:sz w:val="20"/>
                <w:szCs w:val="20"/>
                <w:color w:val="auto"/>
              </w:rPr>
            </w:pPr>
            <w:r>
              <w:rPr>
                <w:rFonts w:ascii="Arial" w:cs="Arial" w:eastAsia="Arial" w:hAnsi="Arial"/>
                <w:sz w:val="18"/>
                <w:szCs w:val="18"/>
                <w:color w:val="auto"/>
              </w:rPr>
              <w:t>John Strzemp</w:t>
            </w:r>
          </w:p>
        </w:tc>
      </w:tr>
      <w:tr>
        <w:trPr>
          <w:trHeight w:val="216"/>
        </w:trPr>
        <w:tc>
          <w:tcPr>
            <w:tcW w:w="34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120"/>
              <w:spacing w:after="0"/>
              <w:rPr>
                <w:sz w:val="20"/>
                <w:szCs w:val="20"/>
                <w:color w:val="auto"/>
              </w:rPr>
            </w:pPr>
            <w:r>
              <w:rPr>
                <w:rFonts w:ascii="Arial" w:cs="Arial" w:eastAsia="Arial" w:hAnsi="Arial"/>
                <w:sz w:val="18"/>
                <w:szCs w:val="18"/>
                <w:color w:val="auto"/>
                <w:w w:val="92"/>
              </w:rPr>
              <w:t>Executive Vice President and Chief Financial</w:t>
            </w:r>
          </w:p>
        </w:tc>
      </w:tr>
      <w:tr>
        <w:trPr>
          <w:trHeight w:val="222"/>
        </w:trPr>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40" w:type="dxa"/>
            <w:vAlign w:val="bottom"/>
          </w:tcPr>
          <w:p>
            <w:pPr>
              <w:ind w:left="120"/>
              <w:spacing w:after="0"/>
              <w:rPr>
                <w:sz w:val="20"/>
                <w:szCs w:val="20"/>
                <w:color w:val="auto"/>
              </w:rPr>
            </w:pPr>
            <w:r>
              <w:rPr>
                <w:rFonts w:ascii="Arial" w:cs="Arial" w:eastAsia="Arial" w:hAnsi="Arial"/>
                <w:sz w:val="18"/>
                <w:szCs w:val="18"/>
                <w:color w:val="auto"/>
              </w:rPr>
              <w:t>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-491490</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-491490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Pursuant to the requirements of the Securities Act, this Amendment No. 8 to the Registration Statement has been signed by the following persons in the capacities and on the dates indicated below.</w:t>
      </w:r>
    </w:p>
    <w:p>
      <w:pPr>
        <w:spacing w:after="0" w:line="182" w:lineRule="exact"/>
        <w:rPr>
          <w:sz w:val="20"/>
          <w:szCs w:val="20"/>
          <w:color w:val="auto"/>
        </w:rPr>
      </w:pPr>
    </w:p>
    <w:p>
      <w:pPr>
        <w:ind w:left="1620"/>
        <w:spacing w:after="0"/>
        <w:tabs>
          <w:tab w:leader="none" w:pos="6300" w:val="left"/>
          <w:tab w:leader="none" w:pos="101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jc w:val="center"/>
              <w:spacing w:after="0"/>
              <w:rPr>
                <w:sz w:val="20"/>
                <w:szCs w:val="20"/>
                <w:color w:val="auto"/>
              </w:rPr>
            </w:pPr>
            <w:r>
              <w:rPr>
                <w:rFonts w:ascii="Arial" w:cs="Arial" w:eastAsia="Arial" w:hAnsi="Arial"/>
                <w:sz w:val="18"/>
                <w:szCs w:val="18"/>
                <w:color w:val="auto"/>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Chief Executive Officer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24,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(Principal Executive Officer) and Chairman of the Board</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8"/>
              </w:rPr>
              <w:t>Stephen A. Wynn</w:t>
            </w:r>
          </w:p>
        </w:tc>
        <w:tc>
          <w:tcPr>
            <w:tcW w:w="536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780" w:type="dxa"/>
            <w:vAlign w:val="bottom"/>
          </w:tcPr>
          <w:p>
            <w:pPr>
              <w:ind w:left="1000"/>
              <w:spacing w:after="0"/>
              <w:rPr>
                <w:sz w:val="20"/>
                <w:szCs w:val="20"/>
                <w:color w:val="auto"/>
              </w:rPr>
            </w:pPr>
            <w:r>
              <w:rPr>
                <w:rFonts w:ascii="Arial" w:cs="Arial" w:eastAsia="Arial" w:hAnsi="Arial"/>
                <w:sz w:val="18"/>
                <w:szCs w:val="18"/>
                <w:color w:val="auto"/>
              </w:rPr>
              <w:t>/s/ JOHN STRZEMP</w:t>
            </w:r>
          </w:p>
        </w:tc>
        <w:tc>
          <w:tcPr>
            <w:tcW w:w="5360" w:type="dxa"/>
            <w:vAlign w:val="bottom"/>
          </w:tcPr>
          <w:p>
            <w:pPr>
              <w:ind w:left="340"/>
              <w:spacing w:after="0"/>
              <w:rPr>
                <w:sz w:val="20"/>
                <w:szCs w:val="20"/>
                <w:color w:val="auto"/>
              </w:rPr>
            </w:pPr>
            <w:r>
              <w:rPr>
                <w:rFonts w:ascii="Arial" w:cs="Arial" w:eastAsia="Arial" w:hAnsi="Arial"/>
                <w:sz w:val="18"/>
                <w:szCs w:val="18"/>
                <w:color w:val="auto"/>
              </w:rPr>
              <w:t>Executive Vice President and Chief Financial Officer (Principal</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24, 2002</w:t>
            </w:r>
          </w:p>
        </w:tc>
        <w:tc>
          <w:tcPr>
            <w:tcW w:w="0" w:type="dxa"/>
            <w:vAlign w:val="bottom"/>
          </w:tcPr>
          <w:p>
            <w:pPr>
              <w:spacing w:after="0"/>
              <w:rPr>
                <w:sz w:val="1"/>
                <w:szCs w:val="1"/>
                <w:color w:val="auto"/>
              </w:rPr>
            </w:pPr>
          </w:p>
        </w:tc>
      </w:tr>
      <w:tr>
        <w:trPr>
          <w:trHeight w:val="127"/>
        </w:trPr>
        <w:tc>
          <w:tcPr>
            <w:tcW w:w="3780" w:type="dxa"/>
            <w:vAlign w:val="bottom"/>
            <w:tcBorders>
              <w:bottom w:val="single" w:sz="8" w:color="808080"/>
            </w:tcBorders>
          </w:tcPr>
          <w:p>
            <w:pPr>
              <w:spacing w:after="0"/>
              <w:rPr>
                <w:sz w:val="11"/>
                <w:szCs w:val="11"/>
                <w:color w:val="auto"/>
              </w:rPr>
            </w:pPr>
          </w:p>
        </w:tc>
        <w:tc>
          <w:tcPr>
            <w:tcW w:w="5360" w:type="dxa"/>
            <w:vAlign w:val="bottom"/>
            <w:vMerge w:val="restart"/>
          </w:tcPr>
          <w:p>
            <w:pPr>
              <w:ind w:left="340"/>
              <w:spacing w:after="0"/>
              <w:rPr>
                <w:sz w:val="20"/>
                <w:szCs w:val="20"/>
                <w:color w:val="auto"/>
              </w:rPr>
            </w:pPr>
            <w:r>
              <w:rPr>
                <w:rFonts w:ascii="Arial" w:cs="Arial" w:eastAsia="Arial" w:hAnsi="Arial"/>
                <w:sz w:val="18"/>
                <w:szCs w:val="18"/>
                <w:color w:val="auto"/>
              </w:rPr>
              <w:t>Financial Officer and Principal Accounting Officer)</w:t>
            </w: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John Strzemp</w:t>
            </w:r>
          </w:p>
        </w:tc>
        <w:tc>
          <w:tcPr>
            <w:tcW w:w="5360" w:type="dxa"/>
            <w:vAlign w:val="bottom"/>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780" w:type="dxa"/>
            <w:vAlign w:val="bottom"/>
            <w:vMerge w:val="continue"/>
          </w:tcPr>
          <w:p>
            <w:pPr>
              <w:spacing w:after="0"/>
              <w:rPr>
                <w:sz w:val="21"/>
                <w:szCs w:val="21"/>
                <w:color w:val="auto"/>
              </w:rPr>
            </w:pPr>
          </w:p>
        </w:tc>
        <w:tc>
          <w:tcPr>
            <w:tcW w:w="5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spacing w:after="0"/>
              <w:rPr>
                <w:sz w:val="20"/>
                <w:szCs w:val="20"/>
                <w:color w:val="auto"/>
              </w:rPr>
            </w:pPr>
            <w:r>
              <w:rPr>
                <w:rFonts w:ascii="Arial" w:cs="Arial" w:eastAsia="Arial" w:hAnsi="Arial"/>
                <w:sz w:val="18"/>
                <w:szCs w:val="18"/>
                <w:color w:val="auto"/>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24,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8"/>
              </w:rPr>
              <w:t>Ronald J. Kramer</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spacing w:after="0"/>
              <w:rPr>
                <w:sz w:val="20"/>
                <w:szCs w:val="20"/>
                <w:color w:val="auto"/>
              </w:rPr>
            </w:pPr>
            <w:r>
              <w:rPr>
                <w:rFonts w:ascii="Arial" w:cs="Arial" w:eastAsia="Arial" w:hAnsi="Arial"/>
                <w:sz w:val="18"/>
                <w:szCs w:val="18"/>
                <w:color w:val="auto"/>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24,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92"/>
              </w:rPr>
              <w:t>Robert J. Miller</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3780" w:type="dxa"/>
            <w:vAlign w:val="bottom"/>
          </w:tcPr>
          <w:p>
            <w:pPr>
              <w:jc w:val="center"/>
              <w:spacing w:after="0"/>
              <w:rPr>
                <w:sz w:val="20"/>
                <w:szCs w:val="20"/>
                <w:color w:val="auto"/>
              </w:rPr>
            </w:pPr>
            <w:r>
              <w:rPr>
                <w:rFonts w:ascii="Arial" w:cs="Arial" w:eastAsia="Arial" w:hAnsi="Arial"/>
                <w:sz w:val="18"/>
                <w:szCs w:val="18"/>
                <w:color w:val="auto"/>
              </w:rPr>
              <w:t>*</w:t>
            </w:r>
          </w:p>
        </w:tc>
        <w:tc>
          <w:tcPr>
            <w:tcW w:w="5360" w:type="dxa"/>
            <w:vAlign w:val="bottom"/>
          </w:tcPr>
          <w:p>
            <w:pPr>
              <w:ind w:left="340"/>
              <w:spacing w:after="0"/>
              <w:rPr>
                <w:sz w:val="20"/>
                <w:szCs w:val="20"/>
                <w:color w:val="auto"/>
              </w:rPr>
            </w:pPr>
            <w:r>
              <w:rPr>
                <w:rFonts w:ascii="Arial" w:cs="Arial" w:eastAsia="Arial" w:hAnsi="Arial"/>
                <w:sz w:val="18"/>
                <w:szCs w:val="18"/>
                <w:color w:val="auto"/>
              </w:rPr>
              <w:t>Director</w:t>
            </w:r>
          </w:p>
        </w:tc>
        <w:tc>
          <w:tcPr>
            <w:tcW w:w="1760" w:type="dxa"/>
            <w:vAlign w:val="bottom"/>
          </w:tcPr>
          <w:p>
            <w:pPr>
              <w:ind w:left="520"/>
              <w:spacing w:after="0"/>
              <w:rPr>
                <w:sz w:val="20"/>
                <w:szCs w:val="20"/>
                <w:color w:val="auto"/>
              </w:rPr>
            </w:pPr>
            <w:r>
              <w:rPr>
                <w:rFonts w:ascii="Arial" w:cs="Arial" w:eastAsia="Arial" w:hAnsi="Arial"/>
                <w:sz w:val="18"/>
                <w:szCs w:val="18"/>
                <w:color w:val="auto"/>
                <w:w w:val="87"/>
              </w:rPr>
              <w:t>October 24, 2002</w:t>
            </w:r>
          </w:p>
        </w:tc>
        <w:tc>
          <w:tcPr>
            <w:tcW w:w="0" w:type="dxa"/>
            <w:vAlign w:val="bottom"/>
          </w:tcPr>
          <w:p>
            <w:pPr>
              <w:spacing w:after="0"/>
              <w:rPr>
                <w:sz w:val="1"/>
                <w:szCs w:val="1"/>
                <w:color w:val="auto"/>
              </w:rPr>
            </w:pPr>
          </w:p>
        </w:tc>
      </w:tr>
      <w:tr>
        <w:trPr>
          <w:trHeight w:val="120"/>
        </w:trPr>
        <w:tc>
          <w:tcPr>
            <w:tcW w:w="3780" w:type="dxa"/>
            <w:vAlign w:val="bottom"/>
            <w:tcBorders>
              <w:bottom w:val="single" w:sz="8" w:color="808080"/>
            </w:tcBorders>
          </w:tcPr>
          <w:p>
            <w:pPr>
              <w:spacing w:after="0"/>
              <w:rPr>
                <w:sz w:val="10"/>
                <w:szCs w:val="10"/>
                <w:color w:val="auto"/>
              </w:rPr>
            </w:pPr>
          </w:p>
        </w:tc>
        <w:tc>
          <w:tcPr>
            <w:tcW w:w="53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780" w:type="dxa"/>
            <w:vAlign w:val="bottom"/>
          </w:tcPr>
          <w:p>
            <w:pPr>
              <w:jc w:val="center"/>
              <w:spacing w:after="0"/>
              <w:rPr>
                <w:sz w:val="20"/>
                <w:szCs w:val="20"/>
                <w:color w:val="auto"/>
              </w:rPr>
            </w:pPr>
            <w:r>
              <w:rPr>
                <w:rFonts w:ascii="Arial" w:cs="Arial" w:eastAsia="Arial" w:hAnsi="Arial"/>
                <w:sz w:val="18"/>
                <w:szCs w:val="18"/>
                <w:color w:val="auto"/>
                <w:w w:val="87"/>
              </w:rPr>
              <w:t>Elaine P. Wynn</w:t>
            </w:r>
          </w:p>
        </w:tc>
        <w:tc>
          <w:tcPr>
            <w:tcW w:w="5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-2892425</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-2892425</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-2326640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-2326640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-1623060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-1623060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-920115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-920115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2386965</wp:posOffset>
            </wp:positionH>
            <wp:positionV relativeFrom="paragraph">
              <wp:posOffset>-216535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-216535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19"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jc w:val="right"/>
              <w:ind w:right="432"/>
              <w:spacing w:after="0"/>
              <w:rPr>
                <w:sz w:val="20"/>
                <w:szCs w:val="20"/>
                <w:color w:val="auto"/>
              </w:rPr>
            </w:pPr>
            <w:r>
              <w:rPr>
                <w:rFonts w:ascii="Arial" w:cs="Arial" w:eastAsia="Arial" w:hAnsi="Arial"/>
                <w:sz w:val="18"/>
                <w:szCs w:val="18"/>
                <w:color w:val="auto"/>
              </w:rPr>
              <w:t>October 24, 2002</w:t>
            </w:r>
          </w:p>
        </w:tc>
      </w:tr>
      <w:tr>
        <w:trPr>
          <w:trHeight w:val="120"/>
        </w:trPr>
        <w:tc>
          <w:tcPr>
            <w:tcW w:w="7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319"/>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ind w:left="440"/>
              <w:spacing w:after="0"/>
              <w:rPr>
                <w:sz w:val="20"/>
                <w:szCs w:val="20"/>
                <w:color w:val="auto"/>
              </w:rPr>
            </w:pPr>
            <w:r>
              <w:rPr>
                <w:rFonts w:ascii="Arial" w:cs="Arial" w:eastAsia="Arial" w:hAnsi="Arial"/>
                <w:sz w:val="18"/>
                <w:szCs w:val="18"/>
                <w:color w:val="auto"/>
              </w:rPr>
              <w:t>Stanley R. Zax</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432"/>
        </w:trPr>
        <w:tc>
          <w:tcPr>
            <w:tcW w:w="820" w:type="dxa"/>
            <w:vAlign w:val="bottom"/>
            <w:gridSpan w:val="2"/>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2640" w:type="dxa"/>
            <w:vAlign w:val="bottom"/>
          </w:tcPr>
          <w:p>
            <w:pPr>
              <w:ind w:left="940"/>
              <w:spacing w:after="0"/>
              <w:rPr>
                <w:sz w:val="20"/>
                <w:szCs w:val="20"/>
                <w:color w:val="auto"/>
              </w:rPr>
            </w:pPr>
            <w:r>
              <w:rPr>
                <w:rFonts w:ascii="Arial" w:cs="Arial" w:eastAsia="Arial" w:hAnsi="Arial"/>
                <w:sz w:val="18"/>
                <w:szCs w:val="18"/>
                <w:color w:val="auto"/>
              </w:rPr>
              <w:t>/s/ JOHN STRZEMP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120"/>
        </w:trPr>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5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tcPr>
          <w:p>
            <w:pPr>
              <w:spacing w:after="0"/>
              <w:rPr>
                <w:sz w:val="10"/>
                <w:szCs w:val="10"/>
                <w:color w:val="auto"/>
              </w:rPr>
            </w:pPr>
          </w:p>
        </w:tc>
      </w:tr>
      <w:tr>
        <w:trPr>
          <w:trHeight w:val="313"/>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jc w:val="center"/>
              <w:ind w:left="952"/>
              <w:spacing w:after="0"/>
              <w:rPr>
                <w:sz w:val="20"/>
                <w:szCs w:val="20"/>
                <w:color w:val="auto"/>
              </w:rPr>
            </w:pPr>
            <w:r>
              <w:rPr>
                <w:rFonts w:ascii="Arial" w:cs="Arial" w:eastAsia="Arial" w:hAnsi="Arial"/>
                <w:sz w:val="18"/>
                <w:szCs w:val="18"/>
                <w:color w:val="auto"/>
                <w:w w:val="86"/>
              </w:rPr>
              <w:t>John Strzemp</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tcPr>
          <w:p>
            <w:pPr>
              <w:jc w:val="center"/>
              <w:ind w:left="952"/>
              <w:spacing w:after="0"/>
              <w:rPr>
                <w:sz w:val="20"/>
                <w:szCs w:val="20"/>
                <w:color w:val="auto"/>
              </w:rPr>
            </w:pPr>
            <w:r>
              <w:rPr>
                <w:rFonts w:ascii="Arial" w:cs="Arial" w:eastAsia="Arial" w:hAnsi="Arial"/>
                <w:sz w:val="18"/>
                <w:szCs w:val="18"/>
                <w:i w:val="1"/>
                <w:iCs w:val="1"/>
                <w:color w:val="auto"/>
                <w:w w:val="91"/>
              </w:rPr>
              <w:t>Attorney-in-fact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432"/>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jc w:val="center"/>
              <w:ind w:right="1772"/>
              <w:spacing w:after="0"/>
              <w:rPr>
                <w:sz w:val="20"/>
                <w:szCs w:val="20"/>
                <w:color w:val="auto"/>
              </w:rPr>
            </w:pPr>
            <w:r>
              <w:rPr>
                <w:rFonts w:ascii="Arial" w:cs="Arial" w:eastAsia="Arial" w:hAnsi="Arial"/>
                <w:sz w:val="18"/>
                <w:szCs w:val="18"/>
                <w:color w:val="auto"/>
                <w:w w:val="89"/>
              </w:rPr>
              <w:t>S-10</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8"/>
        </w:trPr>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gridSpan w:val="2"/>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r>
      <w:tr>
        <w:trPr>
          <w:trHeight w:val="643"/>
        </w:trPr>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2"/>
          </w:tcPr>
          <w:p>
            <w:pPr>
              <w:jc w:val="center"/>
              <w:ind w:right="1252"/>
              <w:spacing w:after="0"/>
              <w:rPr>
                <w:sz w:val="20"/>
                <w:szCs w:val="20"/>
                <w:color w:val="auto"/>
              </w:rPr>
            </w:pPr>
            <w:r>
              <w:rPr>
                <w:rFonts w:ascii="Arial" w:cs="Arial" w:eastAsia="Arial" w:hAnsi="Arial"/>
                <w:sz w:val="18"/>
                <w:szCs w:val="18"/>
                <w:b w:val="1"/>
                <w:bCs w:val="1"/>
                <w:color w:val="auto"/>
              </w:rPr>
              <w:t>EXHIBIT INDEX</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54"/>
        </w:trPr>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Exhibit</w:t>
            </w:r>
          </w:p>
        </w:tc>
        <w:tc>
          <w:tcPr>
            <w:tcW w:w="1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0" w:type="dxa"/>
            <w:vAlign w:val="bottom"/>
            <w:gridSpan w:val="2"/>
          </w:tcPr>
          <w:p>
            <w:pPr>
              <w:jc w:val="right"/>
              <w:ind w:right="2432"/>
              <w:spacing w:after="0"/>
              <w:rPr>
                <w:sz w:val="20"/>
                <w:szCs w:val="20"/>
                <w:color w:val="auto"/>
              </w:rPr>
            </w:pPr>
            <w:r>
              <w:rPr>
                <w:rFonts w:ascii="Arial" w:cs="Arial" w:eastAsia="Arial" w:hAnsi="Arial"/>
                <w:sz w:val="14"/>
                <w:szCs w:val="14"/>
                <w:b w:val="1"/>
                <w:bCs w:val="1"/>
                <w:color w:val="auto"/>
              </w:rPr>
              <w:t>Footnote</w:t>
            </w:r>
          </w:p>
        </w:tc>
      </w:tr>
      <w:tr>
        <w:trPr>
          <w:trHeight w:val="174"/>
        </w:trPr>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360"/>
              <w:spacing w:after="0"/>
              <w:rPr>
                <w:sz w:val="20"/>
                <w:szCs w:val="20"/>
                <w:color w:val="auto"/>
              </w:rPr>
            </w:pPr>
            <w:r>
              <w:rPr>
                <w:rFonts w:ascii="Arial" w:cs="Arial" w:eastAsia="Arial" w:hAnsi="Arial"/>
                <w:sz w:val="14"/>
                <w:szCs w:val="14"/>
                <w:b w:val="1"/>
                <w:bCs w:val="1"/>
                <w:color w:val="auto"/>
              </w:rPr>
              <w:t>Description</w:t>
            </w:r>
          </w:p>
        </w:tc>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2"/>
          </w:tcPr>
          <w:p>
            <w:pPr>
              <w:jc w:val="right"/>
              <w:ind w:right="2592"/>
              <w:spacing w:after="0"/>
              <w:rPr>
                <w:sz w:val="20"/>
                <w:szCs w:val="20"/>
                <w:color w:val="auto"/>
              </w:rPr>
            </w:pPr>
            <w:r>
              <w:rPr>
                <w:rFonts w:ascii="Arial" w:cs="Arial" w:eastAsia="Arial" w:hAnsi="Arial"/>
                <w:sz w:val="14"/>
                <w:szCs w:val="14"/>
                <w:b w:val="1"/>
                <w:bCs w:val="1"/>
                <w:color w:val="auto"/>
              </w:rPr>
              <w:t>No.</w:t>
            </w:r>
          </w:p>
        </w:tc>
      </w:tr>
      <w:tr>
        <w:trPr>
          <w:trHeight w:val="105"/>
        </w:trPr>
        <w:tc>
          <w:tcPr>
            <w:tcW w:w="7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360" w:type="dxa"/>
            <w:vAlign w:val="bottom"/>
          </w:tcPr>
          <w:p>
            <w:pPr>
              <w:spacing w:after="0"/>
              <w:rPr>
                <w:sz w:val="9"/>
                <w:szCs w:val="9"/>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8"/>
              </w:rPr>
              <w:t>Form of Underwriting Agreement.</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Wynn Las Vegas,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Wynn Las Vegas,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8"/>
              </w:rPr>
              <w:t>First Amended and Restated Articles of Incorporation of the Wynn Las Vegas Capital Corp.</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Bylaws of the Wynn Las Vegas Capital Corp.</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9"/>
              </w:rPr>
              <w:t>First Amended and Restated Articles of Organization of Desert Inn Water Company,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5"/>
              </w:rPr>
              <w:t>Form of First Amended and Restated Operating Agreement Desert Inn Water Company,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7"/>
              </w:rPr>
              <w:t>First Amended and Restated Articles of Organization of Valvino Lamore, LLC, as amended.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8"/>
              </w:rPr>
              <w:t>Form of Second Amended and Restated Operating Agreement of Valvino Lamore, LLC, as amended.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7"/>
              </w:rPr>
              <w:t>First Amended and Restated Articles of Organization of Wynn Design &amp; Development,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3.10</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Form of First Amended and Restated Operating Agreement of Wynn Design &amp; Development,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3.11</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Wynn Resorts Holdings,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3"/>
              </w:rPr>
              <w:t>Form of Second Amended and Restated Operating Agreement of Wynn Resorts Holdings,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World Travel,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3.14</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World Travel,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3.15</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First Amended and Restated Articles of Organization of Las Vegas Jet,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3.16</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Las Vegas Jet,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3.17</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Form of First Amended and Restated Operating Agreement of Palo, LLC.</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3.18</w:t>
            </w:r>
          </w:p>
        </w:tc>
        <w:tc>
          <w:tcPr>
            <w:tcW w:w="4420" w:type="dxa"/>
            <w:vAlign w:val="bottom"/>
            <w:gridSpan w:val="5"/>
          </w:tcPr>
          <w:p>
            <w:pPr>
              <w:ind w:left="100"/>
              <w:spacing w:after="0"/>
              <w:rPr>
                <w:sz w:val="20"/>
                <w:szCs w:val="20"/>
                <w:color w:val="auto"/>
              </w:rPr>
            </w:pPr>
            <w:r>
              <w:rPr>
                <w:rFonts w:ascii="Arial" w:cs="Arial" w:eastAsia="Arial" w:hAnsi="Arial"/>
                <w:sz w:val="18"/>
                <w:szCs w:val="18"/>
                <w:color w:val="auto"/>
                <w:w w:val="91"/>
              </w:rPr>
              <w:t>Form of Certificate of Formation of Palo, LLC, as amended.</w:t>
            </w:r>
          </w:p>
        </w:tc>
        <w:tc>
          <w:tcPr>
            <w:tcW w:w="2800" w:type="dxa"/>
            <w:vAlign w:val="bottom"/>
          </w:tcPr>
          <w:p>
            <w:pPr>
              <w:spacing w:after="0"/>
              <w:rPr>
                <w:sz w:val="18"/>
                <w:szCs w:val="18"/>
                <w:color w:val="auto"/>
              </w:rPr>
            </w:pP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3.19</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Fourth Amended and Restated Bylaws of Wynn Resorts, Limited.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(14)</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3.20</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Second Amended and Restated Articles of Incorporation of Wynn Resorts, Limited.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Form of Indenture, dated</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w w:val="93"/>
              </w:rPr>
              <w:t>, 2002, governing the</w:t>
            </w:r>
          </w:p>
        </w:tc>
        <w:tc>
          <w:tcPr>
            <w:tcW w:w="2800" w:type="dxa"/>
            <w:vAlign w:val="bottom"/>
          </w:tcPr>
          <w:p>
            <w:pPr>
              <w:ind w:left="60"/>
              <w:spacing w:after="0"/>
              <w:rPr>
                <w:sz w:val="20"/>
                <w:szCs w:val="20"/>
                <w:color w:val="auto"/>
              </w:rPr>
            </w:pPr>
            <w:r>
              <w:rPr>
                <w:rFonts w:ascii="Arial" w:cs="Arial" w:eastAsia="Arial" w:hAnsi="Arial"/>
                <w:sz w:val="18"/>
                <w:szCs w:val="18"/>
                <w:color w:val="auto"/>
                <w:w w:val="92"/>
              </w:rPr>
              <w:t>% Second Mortgage Notes due 2010</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by and among Wynn Las Vegas, LLC, Wynn Las Vegas Capital Corp., Desert Inn Water Company,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6"/>
              </w:rPr>
              <w:t>LLC, Wynn Design &amp; Development, LLC, Wynn Resorts Holdings, LLC, Las Vegas Jet, LLC,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World Travel, LLC, Palo, LLC, Valvino Lamore, LLC and Wells Fargo Bank, National Association,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as trustee.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Form of Deed of Trust, Assignment of Rents and Leases, Security Agreement and Fixture Filing in</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rPr>
              <w:t>favor of Wells Fargo Bank, National Association, as trustee under the Indenture.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4420" w:type="dxa"/>
            <w:vAlign w:val="bottom"/>
            <w:gridSpan w:val="5"/>
          </w:tcPr>
          <w:p>
            <w:pPr>
              <w:ind w:left="100"/>
              <w:spacing w:after="0"/>
              <w:rPr>
                <w:sz w:val="20"/>
                <w:szCs w:val="20"/>
                <w:color w:val="auto"/>
              </w:rPr>
            </w:pPr>
            <w:r>
              <w:rPr>
                <w:rFonts w:ascii="Arial" w:cs="Arial" w:eastAsia="Arial" w:hAnsi="Arial"/>
                <w:sz w:val="18"/>
                <w:szCs w:val="18"/>
                <w:color w:val="auto"/>
                <w:w w:val="93"/>
              </w:rPr>
              <w:t>Form of Guarantee and Collateral Agreement, dated as of</w:t>
            </w:r>
          </w:p>
        </w:tc>
        <w:tc>
          <w:tcPr>
            <w:tcW w:w="2800" w:type="dxa"/>
            <w:vAlign w:val="bottom"/>
          </w:tcPr>
          <w:p>
            <w:pPr>
              <w:ind w:left="760"/>
              <w:spacing w:after="0"/>
              <w:rPr>
                <w:sz w:val="20"/>
                <w:szCs w:val="20"/>
                <w:color w:val="auto"/>
              </w:rPr>
            </w:pPr>
            <w:r>
              <w:rPr>
                <w:rFonts w:ascii="Arial" w:cs="Arial" w:eastAsia="Arial" w:hAnsi="Arial"/>
                <w:sz w:val="18"/>
                <w:szCs w:val="18"/>
                <w:color w:val="auto"/>
              </w:rPr>
              <w:t>, 2002, among Valvino</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Lamore, LLC, Wynn Las Vegas Capital Corp., Palo, LLC, Wynn Resorts Holdings, LLC,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Water Company, LLC, World Travel LLC, Las Vegas Jet, LLC, Wynn Las Vegas, LLC and the 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Grantors from to time party thereto in favor of Wells Fargo Bank, National Association, as trustee.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Opinion of Irell &amp; Manella LLP.</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(11)</w:t>
            </w:r>
          </w:p>
        </w:tc>
      </w:tr>
      <w:tr>
        <w:trPr>
          <w:trHeight w:val="120"/>
        </w:trPr>
        <w:tc>
          <w:tcPr>
            <w:tcW w:w="820" w:type="dxa"/>
            <w:vAlign w:val="bottom"/>
            <w:tcBorders>
              <w:bottom w:val="single" w:sz="8" w:color="808080"/>
            </w:tcBorders>
            <w:gridSpan w:val="2"/>
          </w:tcPr>
          <w:p>
            <w:pPr>
              <w:spacing w:after="0"/>
              <w:rPr>
                <w:sz w:val="10"/>
                <w:szCs w:val="10"/>
                <w:color w:val="auto"/>
              </w:rPr>
            </w:pPr>
          </w:p>
        </w:tc>
        <w:tc>
          <w:tcPr>
            <w:tcW w:w="7220" w:type="dxa"/>
            <w:vAlign w:val="bottom"/>
            <w:tcBorders>
              <w:bottom w:val="single" w:sz="8" w:color="808080"/>
            </w:tcBorders>
            <w:gridSpan w:val="6"/>
          </w:tcPr>
          <w:p>
            <w:pPr>
              <w:spacing w:after="0"/>
              <w:rPr>
                <w:sz w:val="10"/>
                <w:szCs w:val="10"/>
                <w:color w:val="auto"/>
              </w:rPr>
            </w:pPr>
          </w:p>
        </w:tc>
        <w:tc>
          <w:tcPr>
            <w:tcW w:w="3380" w:type="dxa"/>
            <w:vAlign w:val="bottom"/>
            <w:tcBorders>
              <w:bottom w:val="single" w:sz="8" w:color="808080"/>
            </w:tcBorders>
            <w:gridSpan w:val="3"/>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Asset and Land Purchase Agreement, dated as of April 28, 2000, by and among Starwood Hotels &amp;</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Resorts Worldwide, Inc., Sheraton Gaming Corporation, Sheraton Desert Inn Corporation, Valvino</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w w:val="90"/>
              </w:rPr>
              <w:t>Lamore, LLC and Stephen A. Wynn.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8"/>
              </w:rPr>
              <w:t>First Amendment to Asset and Land Purchase Agreement, dated as of May 26, 2000, by and among</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20" w:type="dxa"/>
            <w:vAlign w:val="bottom"/>
            <w:gridSpan w:val="5"/>
          </w:tcPr>
          <w:p>
            <w:pPr>
              <w:ind w:left="100"/>
              <w:spacing w:after="0"/>
              <w:rPr>
                <w:sz w:val="20"/>
                <w:szCs w:val="20"/>
                <w:color w:val="auto"/>
              </w:rPr>
            </w:pPr>
            <w:r>
              <w:rPr>
                <w:rFonts w:ascii="Arial" w:cs="Arial" w:eastAsia="Arial" w:hAnsi="Arial"/>
                <w:sz w:val="18"/>
                <w:szCs w:val="18"/>
                <w:color w:val="auto"/>
                <w:w w:val="94"/>
              </w:rPr>
              <w:t>Corporation, Valvino Lamore, LLC and Stephen A. Wynn.</w:t>
            </w: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2"/>
              </w:rPr>
              <w:t>Second Amendment to Asset and Land Purchase Agreement, dated as of June 16, 2000, by and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among Starwood Hotels &amp; Resorts Worldwide, Inc., Sheraton Gaming Corporation, Sheraton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Inn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10.4</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7"/>
              </w:rPr>
              <w:t>Third Amendment to Asset and Land Purchase Agreement, dated as of June 22, 2000, by and among</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2"/>
              </w:rPr>
              <w:t>Starwood Hotels &amp; Resorts Worldwide, Inc., Sheraton Gaming Corporation, Sheraton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Corporation, Valvino Lamore, LLC, Stephen A. Wynn, Rambas Marketing Co., LLC, and Desert Inn</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Water Company, LLC.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Fourth Amendment to Asset and Land Purchase Agreement, dated as of October 27, 2000, by and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1"/>
              </w:rPr>
              <w:t>Fifth Amendment to Asset and Land Purchase Agreement, dated as of November 3, 2000, by and</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0"/>
              </w:rPr>
              <w:t>among Starwood Hotels &amp; Resorts Worldwide, Inc., Sheraton Gaming Corporation, Sheraton SGC</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89"/>
              </w:rPr>
              <w:t>Sub Corporation, Valvino Lamore, LLC, Stephen A. Wynn, Rambas Marketing Co., LLC, and Desert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gridSpan w:val="2"/>
          </w:tcPr>
          <w:p>
            <w:pPr>
              <w:ind w:left="100"/>
              <w:spacing w:after="0"/>
              <w:rPr>
                <w:sz w:val="20"/>
                <w:szCs w:val="20"/>
                <w:color w:val="auto"/>
              </w:rPr>
            </w:pPr>
            <w:r>
              <w:rPr>
                <w:rFonts w:ascii="Arial" w:cs="Arial" w:eastAsia="Arial" w:hAnsi="Arial"/>
                <w:sz w:val="18"/>
                <w:szCs w:val="18"/>
                <w:color w:val="auto"/>
              </w:rPr>
              <w:t>Inn Water Company, LLC.</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w:t>
            </w:r>
          </w:p>
        </w:tc>
        <w:tc>
          <w:tcPr>
            <w:tcW w:w="7220" w:type="dxa"/>
            <w:vAlign w:val="bottom"/>
            <w:gridSpan w:val="6"/>
          </w:tcPr>
          <w:p>
            <w:pPr>
              <w:ind w:left="100"/>
              <w:spacing w:after="0"/>
              <w:rPr>
                <w:sz w:val="20"/>
                <w:szCs w:val="20"/>
                <w:color w:val="auto"/>
              </w:rPr>
            </w:pPr>
            <w:r>
              <w:rPr>
                <w:rFonts w:ascii="Arial" w:cs="Arial" w:eastAsia="Arial" w:hAnsi="Arial"/>
                <w:sz w:val="18"/>
                <w:szCs w:val="18"/>
                <w:color w:val="auto"/>
                <w:w w:val="95"/>
              </w:rPr>
              <w:t>Agreement, dated January 25, 2001, by and between Wynn Resorts Holdings, LLC and Calitri</w:t>
            </w:r>
          </w:p>
        </w:tc>
        <w:tc>
          <w:tcPr>
            <w:tcW w:w="3380" w:type="dxa"/>
            <w:vAlign w:val="bottom"/>
            <w:gridSpan w:val="3"/>
          </w:tcPr>
          <w:p>
            <w:pPr>
              <w:jc w:val="right"/>
              <w:ind w:right="2212"/>
              <w:spacing w:after="0"/>
              <w:rPr>
                <w:sz w:val="20"/>
                <w:szCs w:val="20"/>
                <w:color w:val="auto"/>
              </w:rPr>
            </w:pPr>
            <w:r>
              <w:rPr>
                <w:rFonts w:ascii="Arial" w:cs="Arial" w:eastAsia="Arial" w:hAnsi="Arial"/>
                <w:sz w:val="18"/>
                <w:szCs w:val="18"/>
                <w:color w:val="auto"/>
              </w:rPr>
              <w:t>(4)</w:t>
            </w:r>
          </w:p>
        </w:tc>
      </w:tr>
      <w:tr>
        <w:trPr>
          <w:trHeight w:val="222"/>
        </w:trPr>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20" w:type="dxa"/>
            <w:vAlign w:val="bottom"/>
            <w:gridSpan w:val="5"/>
          </w:tcPr>
          <w:p>
            <w:pPr>
              <w:ind w:left="100"/>
              <w:spacing w:after="0"/>
              <w:rPr>
                <w:sz w:val="20"/>
                <w:szCs w:val="20"/>
                <w:color w:val="auto"/>
              </w:rPr>
            </w:pPr>
            <w:r>
              <w:rPr>
                <w:rFonts w:ascii="Arial" w:cs="Arial" w:eastAsia="Arial" w:hAnsi="Arial"/>
                <w:sz w:val="18"/>
                <w:szCs w:val="18"/>
                <w:color w:val="auto"/>
              </w:rPr>
              <w:t>Services and Licensing Limited Liability Company.</w:t>
            </w:r>
          </w:p>
        </w:tc>
        <w:tc>
          <w:tcPr>
            <w:tcW w:w="2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3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2386965</wp:posOffset>
            </wp:positionH>
            <wp:positionV relativeFrom="paragraph">
              <wp:posOffset>-10215880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-10215880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2970530</wp:posOffset>
            </wp:positionH>
            <wp:positionV relativeFrom="paragraph">
              <wp:posOffset>-9650095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517525</wp:posOffset>
            </wp:positionH>
            <wp:positionV relativeFrom="paragraph">
              <wp:posOffset>-9650095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-8878570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-8878570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457835</wp:posOffset>
            </wp:positionH>
            <wp:positionV relativeFrom="paragraph">
              <wp:posOffset>-8054975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-8054975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-8054975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-8054975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-8054975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-8054975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-3372485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-3372485</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Lease Agreement, dated November 1, 2001, by and between Valvino Lamore, LLC and Wynn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Resorts Holdings, LLC.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Art Rental and Licensing Agreement, dated November 1, 2001, by and between Stephen A. Wynn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Stockholders Agreement, dated as of April 11, 2002, by and among Stephen A. Wynn, Baron Asset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Fund and Aruze USA,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Agreement for Guaranteed Maximum Price Construction Services between Wynn Las Vegas,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Marnell Corrao Associates, Inc. for Le Rêve.</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Continuing Guaranty, dated June 4, 2002, by Austi, Inc. in favor of Wynn Las Vegas,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Design/Build Agreement, dated June 6, 2002, by and between Wynn Las Vegas, LLC and Bomel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(1)</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1"/>
              </w:rPr>
              <w:t>Construction Company,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10.14</w:t>
            </w:r>
          </w:p>
        </w:tc>
        <w:tc>
          <w:tcPr>
            <w:tcW w:w="2160" w:type="dxa"/>
            <w:vAlign w:val="bottom"/>
          </w:tcPr>
          <w:p>
            <w:pPr>
              <w:ind w:left="100"/>
              <w:spacing w:after="0"/>
              <w:rPr>
                <w:sz w:val="20"/>
                <w:szCs w:val="20"/>
                <w:color w:val="auto"/>
              </w:rPr>
            </w:pPr>
            <w:r>
              <w:rPr>
                <w:rFonts w:ascii="Arial" w:cs="Arial" w:eastAsia="Arial" w:hAnsi="Arial"/>
                <w:sz w:val="18"/>
                <w:szCs w:val="18"/>
                <w:color w:val="auto"/>
                <w:w w:val="97"/>
              </w:rPr>
              <w:t>2002 Stock Incentive Plan</w:t>
            </w:r>
          </w:p>
        </w:tc>
        <w:tc>
          <w:tcPr>
            <w:tcW w:w="5480" w:type="dxa"/>
            <w:vAlign w:val="bottom"/>
          </w:tcPr>
          <w:p>
            <w:pPr>
              <w:spacing w:after="0"/>
              <w:rPr>
                <w:sz w:val="18"/>
                <w:szCs w:val="18"/>
                <w:color w:val="auto"/>
              </w:rPr>
            </w:pP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Form of Indemnity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Employment Agreement, dated April 1, 2002, by and between Wynn Resorts Holdings, LLC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Ronald J. Kramer.</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Contribution Agreement, dated as of June 11, 2002 by and among Stephen A. Wynn, Aruze USA,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Inc., Baron Asset Fund, the Kenneth R. Wynn Family Trust dated February 1985 and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Amended and Restated Business Loan Agreement, dated as of May 30, 2002, between Bank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America, N.A. and World Travel,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10.19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Continuing Guaranty, dated May 30, 2002, by Valvino Lamore, LLC in favor of Bank of America,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22"/>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N.A.</w:t>
            </w:r>
          </w:p>
        </w:tc>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gridSpan w:val="2"/>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10.20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dated as of June 13, 2002, by and between Stephen A. Wynn and Wynn Resorts,</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Limited.</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May 30, 2002, between Stephen A. Wynn and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10.22</w:t>
            </w:r>
          </w:p>
        </w:tc>
        <w:tc>
          <w:tcPr>
            <w:tcW w:w="2160" w:type="dxa"/>
            <w:vAlign w:val="bottom"/>
          </w:tcPr>
          <w:p>
            <w:pPr>
              <w:ind w:left="100"/>
              <w:spacing w:after="0"/>
              <w:rPr>
                <w:sz w:val="20"/>
                <w:szCs w:val="20"/>
                <w:color w:val="auto"/>
              </w:rPr>
            </w:pPr>
            <w:r>
              <w:rPr>
                <w:rFonts w:ascii="Arial" w:cs="Arial" w:eastAsia="Arial" w:hAnsi="Arial"/>
                <w:sz w:val="18"/>
                <w:szCs w:val="18"/>
                <w:color w:val="auto"/>
              </w:rPr>
              <w:t>Agreement, dated as of</w:t>
            </w:r>
          </w:p>
        </w:tc>
        <w:tc>
          <w:tcPr>
            <w:tcW w:w="5480" w:type="dxa"/>
            <w:vAlign w:val="bottom"/>
          </w:tcPr>
          <w:p>
            <w:pPr>
              <w:ind w:left="80"/>
              <w:spacing w:after="0"/>
              <w:rPr>
                <w:sz w:val="20"/>
                <w:szCs w:val="20"/>
                <w:color w:val="auto"/>
              </w:rPr>
            </w:pPr>
            <w:r>
              <w:rPr>
                <w:rFonts w:ascii="Arial" w:cs="Arial" w:eastAsia="Arial" w:hAnsi="Arial"/>
                <w:sz w:val="18"/>
                <w:szCs w:val="18"/>
                <w:color w:val="auto"/>
                <w:w w:val="98"/>
              </w:rPr>
              <w:t>, between Wynn Design and Development, LLC and Butler/Ashworth</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Architects, Inc.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5"/>
              </w:rPr>
              <w:t>Employment Agreement, dated as of May 31, 2002, by and between Valvino Lamore, LLC and Matt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Maddox.</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Concession Contract for the Operation of Games of Chance or Other Games in Casinos in the Macau</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8"/>
              </w:rPr>
              <w:t>Special Administrative Region, dated June 24, 2002, between the Macau Special Administrative</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Region and Wynn Resorts (Macau) S.A. (English translation of Portuguese version of Concession</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Agreement).</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Amended and Restated Commitment Letter Agreement, dated June 14, 2002, among Deutsche Bank</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Trust Company Americas, Deutsche Bank Securities Inc., Bank of America, N.A., Banc of America</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Securities LLC, Bear Stearns Corporate Lending, Inc., Bear Stearns &amp; Co. Inc., Wynn Resorts</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Holdings, LLC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Agreement for Guarantee Maximum Price Construction Services Change Order, dated as of</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(2)</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August 12, 2002 between Marnell Corrao Associates, Inc. and Wynn Las Vegas,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Concession Contract for Operating Casino Gaming or Other Forms of Gaming in the Macao Special</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Administrative Region, dated June 24, 2002, between the Macau Special Administrative Region and</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Wynn Resorts (Macau) S.A. (English translation of Chinese version of Concession Agreement).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Art Rental and Licensing Agreement, dated August 19, 2002, by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between Stephen A. Wynn and Wynn Resorts Holdings, LLC.</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Professional Design Services Agreement, effective as of October 5, 2001, between Wynn Design</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A.A. Marnell II, Chtd.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General Conditions to the Professional Design Services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Trademark/Service Mark Purchase Agreement, dated June 7, 2001, between Wynn Resorts and The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STAD Trust.</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7"/>
              </w:rPr>
              <w:t>Purchase Agreement, dated as of April 1, 2001, between Stephen A. Wynn and Valvino Lamore,</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LLC.</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First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Second Amendment to Amended and Restated Operating Agreement.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10.36</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Third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10.37</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Fourth Amendment to Amended and Restated Operating Agreement of Valvino Lamore, LLC.</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10.38</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Employment Agreement, dated as of July 7, 2000, by and between Wynn Design &amp; Development,</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LLC and William Todd Nisbet.</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10.39</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6,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Marc H. Rubinstein.</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10.40</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Employment Agreement, dated as of September 9,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(4)</w:t>
            </w:r>
          </w:p>
        </w:tc>
      </w:tr>
      <w:tr>
        <w:trPr>
          <w:trHeight w:val="216"/>
        </w:trPr>
        <w:tc>
          <w:tcPr>
            <w:tcW w:w="8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John Strzemp.</w:t>
            </w:r>
          </w:p>
        </w:tc>
        <w:tc>
          <w:tcPr>
            <w:tcW w:w="548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10.41</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Second Amended and Restated Art Rental and Licensing Agreement, dated September 18, 2002, by</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22"/>
        </w:trPr>
        <w:tc>
          <w:tcPr>
            <w:tcW w:w="820" w:type="dxa"/>
            <w:vAlign w:val="bottom"/>
          </w:tcPr>
          <w:p>
            <w:pPr>
              <w:spacing w:after="0"/>
              <w:rPr>
                <w:sz w:val="19"/>
                <w:szCs w:val="19"/>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and between Stephen A. Wynn and Wynn Resorts Holdings, LLC.</w:t>
            </w:r>
          </w:p>
        </w:tc>
        <w:tc>
          <w:tcPr>
            <w:tcW w:w="296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7640" w:type="dxa"/>
            <w:vAlign w:val="bottom"/>
            <w:tcBorders>
              <w:bottom w:val="single" w:sz="8" w:color="808080"/>
            </w:tcBorders>
            <w:gridSpan w:val="2"/>
          </w:tcPr>
          <w:p>
            <w:pPr>
              <w:spacing w:after="0"/>
              <w:rPr>
                <w:sz w:val="10"/>
                <w:szCs w:val="10"/>
                <w:color w:val="auto"/>
              </w:rPr>
            </w:pPr>
          </w:p>
        </w:tc>
        <w:tc>
          <w:tcPr>
            <w:tcW w:w="296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10.42</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18,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Kenneth R. Wynn.</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10.43</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9"/>
              </w:rPr>
              <w:t>Tax Indemnification Agreement, effective as of September 24, 2002, by and among Stephen A.</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6"/>
              </w:rPr>
              <w:t>Wynn, Aruze USA, Inc., Baron Asset Fund on behalf of the Baron Asset Fund Series, Baron Asset</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3"/>
              </w:rPr>
              <w:t>Fund on behalf of the Baron Growth Fund Series, Kenneth R. Wynn Family Trust dated February 20,</w:t>
            </w:r>
          </w:p>
        </w:tc>
        <w:tc>
          <w:tcPr>
            <w:tcW w:w="296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1985, Valvino Lamore, LLC and Wynn Resorts, Limited.</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10.44</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Employment Agreement, dated as of September 26, 2002, by and between Wynn Design &amp;</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16"/>
        </w:trPr>
        <w:tc>
          <w:tcPr>
            <w:tcW w:w="820" w:type="dxa"/>
            <w:vAlign w:val="bottom"/>
          </w:tcPr>
          <w:p>
            <w:pPr>
              <w:spacing w:after="0"/>
              <w:rPr>
                <w:sz w:val="18"/>
                <w:szCs w:val="18"/>
                <w:color w:val="auto"/>
              </w:rPr>
            </w:pP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rPr>
              <w:t>Development, LLC and DeRuyter O. Butler.</w:t>
            </w:r>
          </w:p>
        </w:tc>
        <w:tc>
          <w:tcPr>
            <w:tcW w:w="296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10.45</w:t>
            </w:r>
          </w:p>
        </w:tc>
        <w:tc>
          <w:tcPr>
            <w:tcW w:w="7640" w:type="dxa"/>
            <w:vAlign w:val="bottom"/>
            <w:gridSpan w:val="2"/>
          </w:tcPr>
          <w:p>
            <w:pPr>
              <w:ind w:left="100"/>
              <w:spacing w:after="0"/>
              <w:rPr>
                <w:sz w:val="20"/>
                <w:szCs w:val="20"/>
                <w:color w:val="auto"/>
              </w:rPr>
            </w:pPr>
            <w:r>
              <w:rPr>
                <w:rFonts w:ascii="Arial" w:cs="Arial" w:eastAsia="Arial" w:hAnsi="Arial"/>
                <w:sz w:val="18"/>
                <w:szCs w:val="18"/>
                <w:color w:val="auto"/>
                <w:w w:val="94"/>
              </w:rPr>
              <w:t>Employment Agreement, dated as of October 4th, 2002, by and between Wynn Resorts, Limited and</w:t>
            </w:r>
          </w:p>
        </w:tc>
        <w:tc>
          <w:tcPr>
            <w:tcW w:w="2960" w:type="dxa"/>
            <w:vAlign w:val="bottom"/>
          </w:tcPr>
          <w:p>
            <w:pPr>
              <w:jc w:val="right"/>
              <w:ind w:right="2212"/>
              <w:spacing w:after="0"/>
              <w:rPr>
                <w:sz w:val="20"/>
                <w:szCs w:val="20"/>
                <w:color w:val="auto"/>
              </w:rPr>
            </w:pPr>
            <w:r>
              <w:rPr>
                <w:rFonts w:ascii="Arial" w:cs="Arial" w:eastAsia="Arial" w:hAnsi="Arial"/>
                <w:sz w:val="18"/>
                <w:szCs w:val="18"/>
                <w:color w:val="auto"/>
              </w:rPr>
              <w:t>(6)</w:t>
            </w:r>
          </w:p>
        </w:tc>
      </w:tr>
      <w:tr>
        <w:trPr>
          <w:trHeight w:val="222"/>
        </w:trPr>
        <w:tc>
          <w:tcPr>
            <w:tcW w:w="820" w:type="dxa"/>
            <w:vAlign w:val="bottom"/>
          </w:tcPr>
          <w:p>
            <w:pPr>
              <w:spacing w:after="0"/>
              <w:rPr>
                <w:sz w:val="19"/>
                <w:szCs w:val="19"/>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Stephen A. Wynn.</w:t>
            </w:r>
          </w:p>
        </w:tc>
        <w:tc>
          <w:tcPr>
            <w:tcW w:w="5480" w:type="dxa"/>
            <w:vAlign w:val="bottom"/>
          </w:tcPr>
          <w:p>
            <w:pPr>
              <w:spacing w:after="0"/>
              <w:rPr>
                <w:sz w:val="19"/>
                <w:szCs w:val="19"/>
                <w:color w:val="auto"/>
              </w:rPr>
            </w:pPr>
          </w:p>
        </w:tc>
        <w:tc>
          <w:tcPr>
            <w:tcW w:w="29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-7369175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-7369175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-1451610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-1451610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Letter of Intent, dated May 24, 2002, by and between Valvino Lamore, LLC and Ferrari North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 and Ferrari North 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Letter of Intent, dated May 24, 2002, by and between Valvino Lamore, LLC and Maserati North</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10.49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First Amendment to Letter of Intent, dated as of October 4, 2002, by and between Valvino Lamore,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 and Maserati North America, Inc.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Employment Agreement, dated as of October 4, 2002, by and between Wynn Resorts, Limited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Marc D. Schorr.</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10.51</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Distribution Agreement and Assignment, effective as of October 17, 2002, by and between Wynn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9"/>
              </w:rPr>
              <w:t>Resorts, Limited and Valvino Lamore, LLC.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10.52</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Master Disbursement Agreement by and among Wynn Las Vegas, LLC,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Capital Corp., Wynn Design &amp; Development, LLC, Deutsche Bank Trust Company Americas and</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Wells Fargo Bank, 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Lease Agreement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Golf Course Lease by and between Wynn Resorts Holdings, LLC and Wynn Las Vegas,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LLC.</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Driving Range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Parking Facility Lease by and between Valvino Lamore, LLC and Wynn Las Vegas,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Share Subscription and Shareholders' Agreement, made and entered into as of October 15, 2002, by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and among S.H.W. &amp; Co. Limited, SKKG Limited, L'Arc de Triomphe Limited, Classic Wave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Limited, Yany Kwan Yan Chi, Li Tai Foon, Kwan Yan Ming, Wong Chi Seng, Wynn Resorts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International, Ltd., and Wynn Resorts (Macau) Holdings, Ltd.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4"/>
              </w:rPr>
              <w:t>Shareholders' Agreement, made and entered into as of October 15, 2002, by and among Wong Chi</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Seng, Wynn Resorts International, Ltd., Wynn Resorts (Macau), Limited and Wynn Resorts (Macau),</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S.A.</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10.59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Mortgage, Security Agreement and Assignment, dated as of February 28, 2002, between World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(8)</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Travel, LLC and Bank of America, N.A.</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Registration Rights Agreement, dated October   , 2002, by and between Wynn Resorts,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Limited and Stephen A. Wynn.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10.61</w:t>
            </w:r>
          </w:p>
        </w:tc>
        <w:tc>
          <w:tcPr>
            <w:tcW w:w="3520" w:type="dxa"/>
            <w:vAlign w:val="bottom"/>
          </w:tcPr>
          <w:p>
            <w:pPr>
              <w:ind w:left="100"/>
              <w:spacing w:after="0"/>
              <w:rPr>
                <w:sz w:val="20"/>
                <w:szCs w:val="20"/>
                <w:color w:val="auto"/>
              </w:rPr>
            </w:pPr>
            <w:r>
              <w:rPr>
                <w:rFonts w:ascii="Arial" w:cs="Arial" w:eastAsia="Arial" w:hAnsi="Arial"/>
                <w:sz w:val="18"/>
                <w:szCs w:val="18"/>
                <w:color w:val="auto"/>
                <w:w w:val="93"/>
              </w:rPr>
              <w:t>Form of Management Agreement, made as of</w:t>
            </w:r>
          </w:p>
        </w:tc>
        <w:tc>
          <w:tcPr>
            <w:tcW w:w="4100" w:type="dxa"/>
            <w:vAlign w:val="bottom"/>
            <w:gridSpan w:val="2"/>
          </w:tcPr>
          <w:p>
            <w:pPr>
              <w:jc w:val="right"/>
              <w:ind w:right="512"/>
              <w:spacing w:after="0"/>
              <w:rPr>
                <w:sz w:val="20"/>
                <w:szCs w:val="20"/>
                <w:color w:val="auto"/>
              </w:rPr>
            </w:pPr>
            <w:r>
              <w:rPr>
                <w:rFonts w:ascii="Arial" w:cs="Arial" w:eastAsia="Arial" w:hAnsi="Arial"/>
                <w:sz w:val="18"/>
                <w:szCs w:val="18"/>
                <w:color w:val="auto"/>
                <w:w w:val="88"/>
              </w:rPr>
              <w:t>, 2002, by and among Wynn Las Vegas, LLC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(10)</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the subsidiaries and affiliates listed on Exhibit A thereto and Wynn Resorts, Limited.</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10.62</w:t>
            </w:r>
          </w:p>
        </w:tc>
        <w:tc>
          <w:tcPr>
            <w:tcW w:w="3520" w:type="dxa"/>
            <w:vAlign w:val="bottom"/>
          </w:tcPr>
          <w:p>
            <w:pPr>
              <w:ind w:left="100"/>
              <w:spacing w:after="0"/>
              <w:rPr>
                <w:sz w:val="20"/>
                <w:szCs w:val="20"/>
                <w:color w:val="auto"/>
              </w:rPr>
            </w:pPr>
            <w:r>
              <w:rPr>
                <w:rFonts w:ascii="Arial" w:cs="Arial" w:eastAsia="Arial" w:hAnsi="Arial"/>
                <w:sz w:val="18"/>
                <w:szCs w:val="18"/>
                <w:color w:val="auto"/>
                <w:w w:val="90"/>
              </w:rPr>
              <w:t>Form of Credit Agreement, dated as of October</w:t>
            </w:r>
          </w:p>
        </w:tc>
        <w:tc>
          <w:tcPr>
            <w:tcW w:w="4100" w:type="dxa"/>
            <w:vAlign w:val="bottom"/>
            <w:gridSpan w:val="2"/>
          </w:tcPr>
          <w:p>
            <w:pPr>
              <w:jc w:val="right"/>
              <w:ind w:right="672"/>
              <w:spacing w:after="0"/>
              <w:rPr>
                <w:sz w:val="20"/>
                <w:szCs w:val="20"/>
                <w:color w:val="auto"/>
              </w:rPr>
            </w:pPr>
            <w:r>
              <w:rPr>
                <w:rFonts w:ascii="Arial" w:cs="Arial" w:eastAsia="Arial" w:hAnsi="Arial"/>
                <w:sz w:val="18"/>
                <w:szCs w:val="18"/>
                <w:color w:val="auto"/>
                <w:w w:val="91"/>
              </w:rPr>
              <w:t>, 2002, among Wynn Las Vegas, LLC and the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22"/>
        </w:trPr>
        <w:tc>
          <w:tcPr>
            <w:tcW w:w="8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88"/>
              </w:rPr>
              <w:t>several lenders from time to time parties thereto.</w:t>
            </w:r>
          </w:p>
        </w:tc>
        <w:tc>
          <w:tcPr>
            <w:tcW w:w="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120"/>
        </w:trPr>
        <w:tc>
          <w:tcPr>
            <w:tcW w:w="820" w:type="dxa"/>
            <w:vAlign w:val="bottom"/>
            <w:tcBorders>
              <w:bottom w:val="single" w:sz="8" w:color="808080"/>
            </w:tcBorders>
          </w:tcPr>
          <w:p>
            <w:pPr>
              <w:spacing w:after="0"/>
              <w:rPr>
                <w:sz w:val="10"/>
                <w:szCs w:val="10"/>
                <w:color w:val="auto"/>
              </w:rPr>
            </w:pPr>
          </w:p>
        </w:tc>
        <w:tc>
          <w:tcPr>
            <w:tcW w:w="3520" w:type="dxa"/>
            <w:vAlign w:val="bottom"/>
            <w:tcBorders>
              <w:bottom w:val="single" w:sz="8" w:color="808080"/>
            </w:tcBorders>
          </w:tcPr>
          <w:p>
            <w:pPr>
              <w:spacing w:after="0"/>
              <w:rPr>
                <w:sz w:val="10"/>
                <w:szCs w:val="10"/>
                <w:color w:val="auto"/>
              </w:rPr>
            </w:pPr>
          </w:p>
        </w:tc>
        <w:tc>
          <w:tcPr>
            <w:tcW w:w="4100" w:type="dxa"/>
            <w:vAlign w:val="bottom"/>
            <w:tcBorders>
              <w:bottom w:val="single" w:sz="8" w:color="808080"/>
            </w:tcBorders>
            <w:gridSpan w:val="2"/>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r>
      <w:tr>
        <w:trPr>
          <w:trHeight w:val="313"/>
        </w:trPr>
        <w:tc>
          <w:tcPr>
            <w:tcW w:w="820" w:type="dxa"/>
            <w:vAlign w:val="bottom"/>
          </w:tcPr>
          <w:p>
            <w:pPr>
              <w:jc w:val="right"/>
              <w:spacing w:after="0"/>
              <w:rPr>
                <w:sz w:val="20"/>
                <w:szCs w:val="20"/>
                <w:color w:val="auto"/>
              </w:rPr>
            </w:pPr>
            <w:r>
              <w:rPr>
                <w:rFonts w:ascii="Arial" w:cs="Arial" w:eastAsia="Arial" w:hAnsi="Arial"/>
                <w:sz w:val="18"/>
                <w:szCs w:val="18"/>
                <w:color w:val="auto"/>
              </w:rPr>
              <w:t>10.63</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Loan Agreement, dated as of October</w:t>
            </w:r>
          </w:p>
        </w:tc>
        <w:tc>
          <w:tcPr>
            <w:tcW w:w="4100" w:type="dxa"/>
            <w:vAlign w:val="bottom"/>
            <w:gridSpan w:val="2"/>
          </w:tcPr>
          <w:p>
            <w:pPr>
              <w:jc w:val="right"/>
              <w:ind w:right="312"/>
              <w:spacing w:after="0"/>
              <w:rPr>
                <w:sz w:val="20"/>
                <w:szCs w:val="20"/>
                <w:color w:val="auto"/>
              </w:rPr>
            </w:pPr>
            <w:r>
              <w:rPr>
                <w:rFonts w:ascii="Arial" w:cs="Arial" w:eastAsia="Arial" w:hAnsi="Arial"/>
                <w:sz w:val="18"/>
                <w:szCs w:val="18"/>
                <w:color w:val="auto"/>
                <w:w w:val="89"/>
              </w:rPr>
              <w:t>, 2002, by and among Wynn Las Vegas, LLC,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4"/>
              </w:rPr>
              <w:t>Fargo Bank Nevada, N.A. and the lenders listed therein.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10.64</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3, 2002, from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Americas, Bank of America, N.A. and Bear Stearns Corporate Lending, Inc. to Bank of America,</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FF&amp;E Facility Commitment Letter, dated September 16, 2002, from Bank of America, N.A. to Bank</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of America, National Association.</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August 22, 2002, from The CIT Group/Equipment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3"/>
              </w:rPr>
              <w:t>Financing, Inc.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10.67</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October 18, 2002, from General Electric Capital</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FF&amp;E Facility Commitment Letter, dated September 13, 2002, from SG Cowen Securities and</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Societe Generale to Deutsche Bank Securities Inc.</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9"/>
              </w:rPr>
              <w:t>FF&amp;E Facility Commitment Letter, dated October 22, 2002, from GMAC Commercial Mortgage</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8"/>
              </w:rPr>
              <w:t>Corporation to Bank of America,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10.70</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3"/>
              </w:rPr>
              <w:t>Form of Underwriting Agreement by and among Wynn Resorts, Limited and the several underwriters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(12)</w:t>
            </w: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listed in Schedule I thereto.</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10.71</w:t>
            </w:r>
          </w:p>
        </w:tc>
        <w:tc>
          <w:tcPr>
            <w:tcW w:w="352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10.72</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89"/>
              </w:rPr>
              <w:t>Form of Borrower Security Agreement, dated as of October</w:t>
            </w:r>
          </w:p>
        </w:tc>
        <w:tc>
          <w:tcPr>
            <w:tcW w:w="3280" w:type="dxa"/>
            <w:vAlign w:val="bottom"/>
          </w:tcPr>
          <w:p>
            <w:pPr>
              <w:jc w:val="right"/>
              <w:ind w:right="452"/>
              <w:spacing w:after="0"/>
              <w:rPr>
                <w:sz w:val="20"/>
                <w:szCs w:val="20"/>
                <w:color w:val="auto"/>
              </w:rPr>
            </w:pPr>
            <w:r>
              <w:rPr>
                <w:rFonts w:ascii="Arial" w:cs="Arial" w:eastAsia="Arial" w:hAnsi="Arial"/>
                <w:sz w:val="18"/>
                <w:szCs w:val="18"/>
                <w:color w:val="auto"/>
                <w:w w:val="94"/>
              </w:rPr>
              <w:t>, 2002, by Wynn Las Vegas, LLC, in</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favor of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10.73</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Form of Promissory Note made by Wynn Las Vegas, LLC (included in Exhibit 10.63).</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2"/>
              </w:rPr>
              <w:t>Form of Aircraft Security Agreement, dated as of October</w:t>
            </w:r>
          </w:p>
        </w:tc>
        <w:tc>
          <w:tcPr>
            <w:tcW w:w="3280" w:type="dxa"/>
            <w:vAlign w:val="bottom"/>
          </w:tcPr>
          <w:p>
            <w:pPr>
              <w:jc w:val="right"/>
              <w:ind w:right="312"/>
              <w:spacing w:after="0"/>
              <w:rPr>
                <w:sz w:val="20"/>
                <w:szCs w:val="20"/>
                <w:color w:val="auto"/>
              </w:rPr>
            </w:pPr>
            <w:r>
              <w:rPr>
                <w:rFonts w:ascii="Arial" w:cs="Arial" w:eastAsia="Arial" w:hAnsi="Arial"/>
                <w:sz w:val="18"/>
                <w:szCs w:val="18"/>
                <w:color w:val="auto"/>
                <w:w w:val="90"/>
              </w:rPr>
              <w:t>, 2002, by Wells Fargo Bank Northwest,</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rPr>
              <w:t>National Association. (included in Exhibit 10.63)</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10.75</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Form of Assignment and Assumption Agreement, dated as of October   , 2002, between Wynn Las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Vegas, LLC and Wells Fargo Bank Nevada, National Association (included in Exhibit 10.63).</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10.76</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6"/>
              </w:rPr>
              <w:t>Form of Completion Guaranty, dated as of October   , 2002, by Wynn Completion Guarantor, LLC</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in favor of Deutsche Bank Trust Company Americas, as the Bank Agent, and Wells Fargo Bank,</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National Association, as Trustee.</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10.77</w:t>
            </w:r>
          </w:p>
        </w:tc>
        <w:tc>
          <w:tcPr>
            <w:tcW w:w="3520" w:type="dxa"/>
            <w:vAlign w:val="bottom"/>
          </w:tcPr>
          <w:p>
            <w:pPr>
              <w:ind w:left="100"/>
              <w:spacing w:after="0"/>
              <w:rPr>
                <w:sz w:val="20"/>
                <w:szCs w:val="20"/>
                <w:color w:val="auto"/>
              </w:rPr>
            </w:pPr>
            <w:r>
              <w:rPr>
                <w:rFonts w:ascii="Arial" w:cs="Arial" w:eastAsia="Arial" w:hAnsi="Arial"/>
                <w:sz w:val="18"/>
                <w:szCs w:val="18"/>
                <w:color w:val="auto"/>
              </w:rPr>
              <w:t>Intentionally deleted.</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10.78</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Form of Project Lenders Intercreditor Agreement by and among Deutsche Bank Trust Company</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6"/>
              </w:rPr>
              <w:t>Americas and Wells Fargo Bank, National Association.</w:t>
            </w: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10.79</w:t>
            </w: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7"/>
              </w:rPr>
              <w:t>Form of FF&amp;E Intercreditor Agreement by and among Deutsche Bank Trust Company Americas,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Wells Fargo Bank, National Association and Wells Fargo Bank Nevada, National Association.</w:t>
            </w: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10.80</w:t>
            </w:r>
          </w:p>
        </w:tc>
        <w:tc>
          <w:tcPr>
            <w:tcW w:w="4340" w:type="dxa"/>
            <w:vAlign w:val="bottom"/>
            <w:gridSpan w:val="2"/>
          </w:tcPr>
          <w:p>
            <w:pPr>
              <w:ind w:left="100"/>
              <w:spacing w:after="0"/>
              <w:rPr>
                <w:sz w:val="20"/>
                <w:szCs w:val="20"/>
                <w:color w:val="auto"/>
              </w:rPr>
            </w:pPr>
            <w:r>
              <w:rPr>
                <w:rFonts w:ascii="Arial" w:cs="Arial" w:eastAsia="Arial" w:hAnsi="Arial"/>
                <w:sz w:val="18"/>
                <w:szCs w:val="18"/>
                <w:color w:val="auto"/>
                <w:w w:val="91"/>
              </w:rPr>
              <w:t>Form of Guarantee and Collateral Agreement, dated as of</w:t>
            </w:r>
          </w:p>
        </w:tc>
        <w:tc>
          <w:tcPr>
            <w:tcW w:w="3280" w:type="dxa"/>
            <w:vAlign w:val="bottom"/>
          </w:tcPr>
          <w:p>
            <w:pPr>
              <w:jc w:val="right"/>
              <w:ind w:right="792"/>
              <w:spacing w:after="0"/>
              <w:rPr>
                <w:sz w:val="20"/>
                <w:szCs w:val="20"/>
                <w:color w:val="auto"/>
              </w:rPr>
            </w:pPr>
            <w:r>
              <w:rPr>
                <w:rFonts w:ascii="Arial" w:cs="Arial" w:eastAsia="Arial" w:hAnsi="Arial"/>
                <w:sz w:val="18"/>
                <w:szCs w:val="18"/>
                <w:color w:val="auto"/>
              </w:rPr>
              <w:t>, 2002 among Valvino</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(13)</w:t>
            </w: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5"/>
              </w:rPr>
              <w:t>Lamore, LLC, Wynn Las Vegas Capital Corp., Palo, LLC, Wynn Resorts Holdings, LLC, Desert Inn</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rPr>
              <w:t>Water Company, LLC, World Travel LLC, Las Vegas Jet, LLC, Wynn Las Vegas, LLC and the</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7620" w:type="dxa"/>
            <w:vAlign w:val="bottom"/>
            <w:gridSpan w:val="3"/>
          </w:tcPr>
          <w:p>
            <w:pPr>
              <w:ind w:left="100"/>
              <w:spacing w:after="0"/>
              <w:rPr>
                <w:sz w:val="20"/>
                <w:szCs w:val="20"/>
                <w:color w:val="auto"/>
              </w:rPr>
            </w:pPr>
            <w:r>
              <w:rPr>
                <w:rFonts w:ascii="Arial" w:cs="Arial" w:eastAsia="Arial" w:hAnsi="Arial"/>
                <w:sz w:val="18"/>
                <w:szCs w:val="18"/>
                <w:color w:val="auto"/>
                <w:w w:val="98"/>
              </w:rPr>
              <w:t>Grantors from time to time party thereto in favor of Deutsche Bank Trust Company Americas, as</w:t>
            </w:r>
          </w:p>
        </w:tc>
        <w:tc>
          <w:tcPr>
            <w:tcW w:w="2980" w:type="dxa"/>
            <w:vAlign w:val="bottom"/>
          </w:tcPr>
          <w:p>
            <w:pPr>
              <w:spacing w:after="0"/>
              <w:rPr>
                <w:sz w:val="18"/>
                <w:szCs w:val="18"/>
                <w:color w:val="auto"/>
              </w:rPr>
            </w:pPr>
          </w:p>
        </w:tc>
      </w:tr>
      <w:tr>
        <w:trPr>
          <w:trHeight w:val="216"/>
        </w:trPr>
        <w:tc>
          <w:tcPr>
            <w:tcW w:w="82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administrative agent.</w:t>
            </w:r>
          </w:p>
        </w:tc>
        <w:tc>
          <w:tcPr>
            <w:tcW w:w="8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820" w:type="dxa"/>
            <w:vAlign w:val="bottom"/>
          </w:tcPr>
          <w:p>
            <w:pPr>
              <w:jc w:val="right"/>
              <w:spacing w:after="0"/>
              <w:rPr>
                <w:sz w:val="20"/>
                <w:szCs w:val="20"/>
                <w:color w:val="auto"/>
              </w:rPr>
            </w:pPr>
            <w:r>
              <w:rPr>
                <w:rFonts w:ascii="Arial" w:cs="Arial" w:eastAsia="Arial" w:hAnsi="Arial"/>
                <w:sz w:val="18"/>
                <w:szCs w:val="18"/>
                <w:color w:val="auto"/>
              </w:rPr>
              <w:t>10.81</w:t>
            </w: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Form of Parent Guaranty, dated as of October</w:t>
            </w:r>
          </w:p>
        </w:tc>
        <w:tc>
          <w:tcPr>
            <w:tcW w:w="4100" w:type="dxa"/>
            <w:vAlign w:val="bottom"/>
            <w:gridSpan w:val="2"/>
          </w:tcPr>
          <w:p>
            <w:pPr>
              <w:jc w:val="right"/>
              <w:ind w:right="412"/>
              <w:spacing w:after="0"/>
              <w:rPr>
                <w:sz w:val="20"/>
                <w:szCs w:val="20"/>
                <w:color w:val="auto"/>
              </w:rPr>
            </w:pPr>
            <w:r>
              <w:rPr>
                <w:rFonts w:ascii="Arial" w:cs="Arial" w:eastAsia="Arial" w:hAnsi="Arial"/>
                <w:sz w:val="18"/>
                <w:szCs w:val="18"/>
                <w:color w:val="auto"/>
                <w:w w:val="89"/>
              </w:rPr>
              <w:t>, 2002, by Wynn Resorts, Limited in favor of Wells</w:t>
            </w:r>
          </w:p>
        </w:tc>
        <w:tc>
          <w:tcPr>
            <w:tcW w:w="298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22"/>
        </w:trPr>
        <w:tc>
          <w:tcPr>
            <w:tcW w:w="820" w:type="dxa"/>
            <w:vAlign w:val="bottom"/>
          </w:tcPr>
          <w:p>
            <w:pPr>
              <w:spacing w:after="0"/>
              <w:rPr>
                <w:sz w:val="19"/>
                <w:szCs w:val="19"/>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w w:val="92"/>
              </w:rPr>
              <w:t>Fargo Bank, National Association, as Trustee.</w:t>
            </w:r>
          </w:p>
        </w:tc>
        <w:tc>
          <w:tcPr>
            <w:tcW w:w="8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9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-5568315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-5568315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10.82</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Parent Guaranty, dated as of October   , 2002, by Wynn Resorts, Limited in favor of</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540" w:type="dxa"/>
            <w:vAlign w:val="bottom"/>
          </w:tcPr>
          <w:p>
            <w:pPr>
              <w:ind w:left="100"/>
              <w:spacing w:after="0"/>
              <w:rPr>
                <w:sz w:val="20"/>
                <w:szCs w:val="20"/>
                <w:color w:val="auto"/>
              </w:rPr>
            </w:pPr>
            <w:r>
              <w:rPr>
                <w:rFonts w:ascii="Arial" w:cs="Arial" w:eastAsia="Arial" w:hAnsi="Arial"/>
                <w:sz w:val="18"/>
                <w:szCs w:val="18"/>
                <w:color w:val="auto"/>
              </w:rPr>
              <w:t>Deutsche Bank Trust Company Americas, as administrative agent.</w:t>
            </w:r>
          </w:p>
        </w:tc>
        <w:tc>
          <w:tcPr>
            <w:tcW w:w="3060" w:type="dxa"/>
            <w:vAlign w:val="bottom"/>
          </w:tcPr>
          <w:p>
            <w:pPr>
              <w:spacing w:after="0"/>
              <w:rPr>
                <w:sz w:val="18"/>
                <w:szCs w:val="18"/>
                <w:color w:val="auto"/>
              </w:rPr>
            </w:pP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10.83</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Purchase Agreement.</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(16)</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12.1</w:t>
            </w:r>
          </w:p>
        </w:tc>
        <w:tc>
          <w:tcPr>
            <w:tcW w:w="7540" w:type="dxa"/>
            <w:vAlign w:val="bottom"/>
          </w:tcPr>
          <w:p>
            <w:pPr>
              <w:ind w:left="100"/>
              <w:spacing w:after="0"/>
              <w:rPr>
                <w:sz w:val="20"/>
                <w:szCs w:val="20"/>
                <w:color w:val="auto"/>
              </w:rPr>
            </w:pPr>
            <w:r>
              <w:rPr>
                <w:rFonts w:ascii="Arial" w:cs="Arial" w:eastAsia="Arial" w:hAnsi="Arial"/>
                <w:sz w:val="18"/>
                <w:szCs w:val="18"/>
                <w:color w:val="auto"/>
              </w:rPr>
              <w:t>Computation of Ratio of Earnings to Fixed Charges.</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Las Vegas,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54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r>
        <w:trPr>
          <w:trHeight w:val="313"/>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Las Vegas Capital Corp.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21.3</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Desert Inn Water Company,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21.4</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Palo,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Valvino Lamore,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Design &amp; Development,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21.7</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Wynn Resorts Holdings,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World Travel,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21.9</w:t>
            </w:r>
          </w:p>
        </w:tc>
        <w:tc>
          <w:tcPr>
            <w:tcW w:w="7540" w:type="dxa"/>
            <w:vAlign w:val="bottom"/>
          </w:tcPr>
          <w:p>
            <w:pPr>
              <w:ind w:left="100"/>
              <w:spacing w:after="0"/>
              <w:rPr>
                <w:sz w:val="20"/>
                <w:szCs w:val="20"/>
                <w:color w:val="auto"/>
              </w:rPr>
            </w:pPr>
            <w:r>
              <w:rPr>
                <w:rFonts w:ascii="Arial" w:cs="Arial" w:eastAsia="Arial" w:hAnsi="Arial"/>
                <w:sz w:val="18"/>
                <w:szCs w:val="18"/>
                <w:color w:val="auto"/>
              </w:rPr>
              <w:t>Subsidiaries of Las Vegas Jet,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(7)</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 of Irell &amp; Manella LLP (included in Exhibit 5.1).</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(11)</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 of Deloitte &amp; Touche LLP.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23.3</w:t>
            </w:r>
          </w:p>
        </w:tc>
        <w:tc>
          <w:tcPr>
            <w:tcW w:w="7540" w:type="dxa"/>
            <w:vAlign w:val="bottom"/>
          </w:tcPr>
          <w:p>
            <w:pPr>
              <w:ind w:left="100"/>
              <w:spacing w:after="0"/>
              <w:rPr>
                <w:sz w:val="20"/>
                <w:szCs w:val="20"/>
                <w:color w:val="auto"/>
              </w:rPr>
            </w:pPr>
            <w:r>
              <w:rPr>
                <w:rFonts w:ascii="Arial" w:cs="Arial" w:eastAsia="Arial" w:hAnsi="Arial"/>
                <w:sz w:val="18"/>
                <w:szCs w:val="18"/>
                <w:color w:val="auto"/>
              </w:rPr>
              <w:t>Consents of Persons Named to Become Directors.</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(15)</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24.1</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 and directors of Wynn Las Vegas Capital Corp.</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7540" w:type="dxa"/>
            <w:vAlign w:val="bottom"/>
          </w:tcPr>
          <w:p>
            <w:pPr>
              <w:ind w:left="100"/>
              <w:spacing w:after="0"/>
              <w:rPr>
                <w:sz w:val="20"/>
                <w:szCs w:val="20"/>
                <w:color w:val="auto"/>
              </w:rPr>
            </w:pPr>
            <w:r>
              <w:rPr>
                <w:rFonts w:ascii="Arial" w:cs="Arial" w:eastAsia="Arial" w:hAnsi="Arial"/>
                <w:sz w:val="18"/>
                <w:szCs w:val="18"/>
                <w:color w:val="auto"/>
                <w:w w:val="99"/>
              </w:rPr>
              <w:t>Powers of Attorney of officers of Valvino Lamore, LLC re: of Desert Inn Water Company,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24.3</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Palo,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24.5</w:t>
            </w:r>
          </w:p>
        </w:tc>
        <w:tc>
          <w:tcPr>
            <w:tcW w:w="7540" w:type="dxa"/>
            <w:vAlign w:val="bottom"/>
          </w:tcPr>
          <w:p>
            <w:pPr>
              <w:ind w:left="100"/>
              <w:spacing w:after="0"/>
              <w:rPr>
                <w:sz w:val="20"/>
                <w:szCs w:val="20"/>
                <w:color w:val="auto"/>
              </w:rPr>
            </w:pPr>
            <w:r>
              <w:rPr>
                <w:rFonts w:ascii="Arial" w:cs="Arial" w:eastAsia="Arial" w:hAnsi="Arial"/>
                <w:sz w:val="18"/>
                <w:szCs w:val="18"/>
                <w:color w:val="auto"/>
                <w:w w:val="97"/>
              </w:rPr>
              <w:t>Powers of Attorney of officers of Valvino Lamore, LLC re: of Wynn Design &amp; Development,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Resorts Holdings,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World Travel,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Las Vegas Jet,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16"/>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24.9</w:t>
            </w:r>
          </w:p>
        </w:tc>
        <w:tc>
          <w:tcPr>
            <w:tcW w:w="7540" w:type="dxa"/>
            <w:vAlign w:val="bottom"/>
          </w:tcPr>
          <w:p>
            <w:pPr>
              <w:ind w:left="100"/>
              <w:spacing w:after="0"/>
              <w:rPr>
                <w:sz w:val="20"/>
                <w:szCs w:val="20"/>
                <w:color w:val="auto"/>
              </w:rPr>
            </w:pPr>
            <w:r>
              <w:rPr>
                <w:rFonts w:ascii="Arial" w:cs="Arial" w:eastAsia="Arial" w:hAnsi="Arial"/>
                <w:sz w:val="18"/>
                <w:szCs w:val="18"/>
                <w:color w:val="auto"/>
              </w:rPr>
              <w:t>Powers of Attorney of officers of Valvino Lamore, LLC re: of Wynn Las Vegas, LLC.</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(3)</w:t>
            </w:r>
          </w:p>
        </w:tc>
      </w:tr>
      <w:tr>
        <w:trPr>
          <w:trHeight w:val="222"/>
        </w:trPr>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25.1</w:t>
            </w:r>
          </w:p>
        </w:tc>
        <w:tc>
          <w:tcPr>
            <w:tcW w:w="7540" w:type="dxa"/>
            <w:vAlign w:val="bottom"/>
          </w:tcPr>
          <w:p>
            <w:pPr>
              <w:ind w:left="100"/>
              <w:spacing w:after="0"/>
              <w:rPr>
                <w:sz w:val="20"/>
                <w:szCs w:val="20"/>
                <w:color w:val="auto"/>
              </w:rPr>
            </w:pPr>
            <w:r>
              <w:rPr>
                <w:rFonts w:ascii="Arial" w:cs="Arial" w:eastAsia="Arial" w:hAnsi="Arial"/>
                <w:sz w:val="18"/>
                <w:szCs w:val="18"/>
                <w:color w:val="auto"/>
              </w:rPr>
              <w:t>Form of T-1 Statement of Eligibility and Qualification of Trustee.</w:t>
            </w:r>
          </w:p>
        </w:tc>
        <w:tc>
          <w:tcPr>
            <w:tcW w:w="3060" w:type="dxa"/>
            <w:vAlign w:val="bottom"/>
          </w:tcPr>
          <w:p>
            <w:pPr>
              <w:jc w:val="right"/>
              <w:ind w:right="2212"/>
              <w:spacing w:after="0"/>
              <w:rPr>
                <w:sz w:val="20"/>
                <w:szCs w:val="20"/>
                <w:color w:val="auto"/>
              </w:rPr>
            </w:pPr>
            <w:r>
              <w:rPr>
                <w:rFonts w:ascii="Arial" w:cs="Arial" w:eastAsia="Arial" w:hAnsi="Arial"/>
                <w:sz w:val="18"/>
                <w:szCs w:val="18"/>
                <w:color w:val="auto"/>
              </w:rPr>
              <w:t>(9)</w:t>
            </w:r>
          </w:p>
        </w:tc>
      </w:tr>
      <w:tr>
        <w:trPr>
          <w:trHeight w:val="120"/>
        </w:trPr>
        <w:tc>
          <w:tcPr>
            <w:tcW w:w="68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7540" w:type="dxa"/>
            <w:vAlign w:val="bottom"/>
          </w:tcPr>
          <w:p>
            <w:pPr>
              <w:spacing w:after="0"/>
              <w:rPr>
                <w:sz w:val="10"/>
                <w:szCs w:val="10"/>
                <w:color w:val="auto"/>
              </w:rPr>
            </w:pPr>
          </w:p>
        </w:tc>
        <w:tc>
          <w:tcPr>
            <w:tcW w:w="30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-3049905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-3049905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-14605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ind w:left="540" w:hanging="532"/>
        <w:spacing w:after="0"/>
        <w:tabs>
          <w:tab w:leader="none" w:pos="540" w:val="left"/>
        </w:tabs>
        <w:numPr>
          <w:ilvl w:val="0"/>
          <w:numId w:val="10"/>
        </w:numPr>
        <w:rPr>
          <w:rFonts w:ascii="Arial" w:cs="Arial" w:eastAsia="Arial" w:hAnsi="Arial"/>
          <w:sz w:val="27"/>
          <w:szCs w:val="27"/>
          <w:color w:val="auto"/>
          <w:vertAlign w:val="subscript"/>
        </w:rPr>
      </w:pPr>
      <w:r>
        <w:rPr>
          <w:rFonts w:ascii="Arial" w:cs="Arial" w:eastAsia="Arial" w:hAnsi="Arial"/>
          <w:sz w:val="14"/>
          <w:szCs w:val="14"/>
          <w:color w:val="auto"/>
        </w:rPr>
        <w:t>Incorporated by reference to the Registration Statement on Form S-1 of Wynn Resorts, Limited filed June 17, 2002 (Registration No. 333-90600).</w:t>
      </w:r>
    </w:p>
    <w:p>
      <w:pPr>
        <w:spacing w:after="0" w:line="54" w:lineRule="exact"/>
        <w:rPr>
          <w:rFonts w:ascii="Arial" w:cs="Arial" w:eastAsia="Arial" w:hAnsi="Arial"/>
          <w:sz w:val="27"/>
          <w:szCs w:val="27"/>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1 to the Registration Statement on Form S-1 of Wynn Resorts, Limited filed August 20,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Previously filed with the Form S-1 filed by the Registrants on August 20,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0"/>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3 to the Registration Statement on Form S-1 of Wynn Resorts, Limited filed September 18,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2 to the Form S-1 filed by the Registrants on September 18,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4 to the Registration Statement on Form S-1 of Wynn Resorts, Limited filed October 7,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0"/>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3 to the Form S-1 filed by the Registrants on October 7,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5 to the Registration Statement on Form S-1 of Wynn Resorts, Limited filed October 21,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4 to the Form S-1 filed by the Registrants on October 21, 2002.</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0"/>
        </w:numPr>
        <w:rPr>
          <w:rFonts w:ascii="Arial" w:cs="Arial" w:eastAsia="Arial" w:hAnsi="Arial"/>
          <w:sz w:val="21"/>
          <w:szCs w:val="21"/>
          <w:color w:val="auto"/>
          <w:vertAlign w:val="subscript"/>
        </w:rPr>
      </w:pPr>
      <w:r>
        <w:rPr>
          <w:rFonts w:ascii="Arial" w:cs="Arial" w:eastAsia="Arial" w:hAnsi="Arial"/>
          <w:sz w:val="11"/>
          <w:szCs w:val="11"/>
          <w:color w:val="auto"/>
        </w:rPr>
        <w:t>Incorporated by reference to Amendment No. 6 to the Registration Statement on Form S-1 of Wynn Resorts, Limited filed October 22, 2002 (Registration No. 333-90600).</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5 to the Form S-1 filed by the Registrants on October 22, 2002.</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7 to the Registration Statement on Form S-1 of Wynn Resorts, Limited filed October 23, 2002 (Registration No. 333-90600).</w:t>
      </w:r>
    </w:p>
    <w:p>
      <w:pPr>
        <w:spacing w:after="0" w:line="54" w:lineRule="exact"/>
        <w:rPr>
          <w:rFonts w:ascii="Arial" w:cs="Arial" w:eastAsia="Arial" w:hAnsi="Arial"/>
          <w:sz w:val="23"/>
          <w:szCs w:val="23"/>
          <w:color w:val="auto"/>
          <w:vertAlign w:val="subscript"/>
        </w:rPr>
      </w:pPr>
    </w:p>
    <w:p>
      <w:pPr>
        <w:ind w:left="540" w:hanging="532"/>
        <w:spacing w:after="0" w:line="187" w:lineRule="auto"/>
        <w:tabs>
          <w:tab w:leader="none" w:pos="540" w:val="left"/>
        </w:tabs>
        <w:numPr>
          <w:ilvl w:val="0"/>
          <w:numId w:val="10"/>
        </w:numPr>
        <w:rPr>
          <w:rFonts w:ascii="Arial" w:cs="Arial" w:eastAsia="Arial" w:hAnsi="Arial"/>
          <w:sz w:val="21"/>
          <w:szCs w:val="21"/>
          <w:color w:val="auto"/>
          <w:vertAlign w:val="subscript"/>
        </w:rPr>
      </w:pPr>
      <w:r>
        <w:rPr>
          <w:rFonts w:ascii="Arial" w:cs="Arial" w:eastAsia="Arial" w:hAnsi="Arial"/>
          <w:sz w:val="11"/>
          <w:szCs w:val="11"/>
          <w:color w:val="auto"/>
        </w:rPr>
        <w:t>Previously filed with Amendment No. 6 to the Form S-1 filed by the Registrants on October 23, 2002.</w:t>
      </w:r>
    </w:p>
    <w:p>
      <w:pPr>
        <w:spacing w:after="0" w:line="54" w:lineRule="exact"/>
        <w:rPr>
          <w:rFonts w:ascii="Arial" w:cs="Arial" w:eastAsia="Arial" w:hAnsi="Arial"/>
          <w:sz w:val="21"/>
          <w:szCs w:val="21"/>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8 to the Registration Statement on Form S-1 of Wynn Resorts, Limited filed October 24, 2002 (Registration No. 333-90600).</w:t>
      </w:r>
    </w:p>
    <w:p>
      <w:pPr>
        <w:spacing w:after="0" w:line="41"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Previously filed with Amendment No. 7 to the Form S-1 filed by the Registrants on October 24, 2002.</w:t>
      </w:r>
    </w:p>
    <w:p>
      <w:pPr>
        <w:spacing w:after="0" w:line="54" w:lineRule="exact"/>
        <w:rPr>
          <w:rFonts w:ascii="Arial" w:cs="Arial" w:eastAsia="Arial" w:hAnsi="Arial"/>
          <w:sz w:val="23"/>
          <w:szCs w:val="23"/>
          <w:color w:val="auto"/>
          <w:vertAlign w:val="subscript"/>
        </w:rPr>
      </w:pPr>
    </w:p>
    <w:p>
      <w:pPr>
        <w:ind w:left="540" w:hanging="532"/>
        <w:spacing w:after="0" w:line="183" w:lineRule="auto"/>
        <w:tabs>
          <w:tab w:leader="none" w:pos="540" w:val="left"/>
        </w:tabs>
        <w:numPr>
          <w:ilvl w:val="0"/>
          <w:numId w:val="10"/>
        </w:numPr>
        <w:rPr>
          <w:rFonts w:ascii="Arial" w:cs="Arial" w:eastAsia="Arial" w:hAnsi="Arial"/>
          <w:sz w:val="23"/>
          <w:szCs w:val="23"/>
          <w:color w:val="auto"/>
          <w:vertAlign w:val="subscript"/>
        </w:rPr>
      </w:pPr>
      <w:r>
        <w:rPr>
          <w:rFonts w:ascii="Arial" w:cs="Arial" w:eastAsia="Arial" w:hAnsi="Arial"/>
          <w:sz w:val="12"/>
          <w:szCs w:val="12"/>
          <w:color w:val="auto"/>
        </w:rPr>
        <w:t>Incorporated by reference to Amendment No. 9 to the Registration Statement on Form S-1 of Wynn Resorts, Limited filed October 24, 2002 (Registration No. 333-90600).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Other Registrants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II INFORMATION NOT REQUIRED IN PROSPECTUS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13. Other Expenses of Issuance and Distribution</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14. Indemnification of Directors and Officers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15. Recent Sales of Unregistered Securities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16. Exhibits and Financial Statement Schedules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Item 17. Undertakings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SIGNATURES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EXHIBIT INDEX</w:t>
        </w:r>
      </w:hyperlink>
    </w:p>
    <w:sectPr>
      <w:pgSz w:w="11900" w:h="16838" w:orient="portrait"/>
      <w:cols w:equalWidth="0" w:num="1">
        <w:col w:w="11420"/>
      </w:cols>
      <w:pgMar w:left="240" w:top="131" w:right="239" w:bottom="2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3"/>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2"/>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2019-12-15T07:43:23Z</dcterms:created>
  <dcterms:modified xsi:type="dcterms:W3CDTF">2019-12-15T07:43:23Z</dcterms:modified>
</cp:coreProperties>
</file>