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10, 2026</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WYNN RESORTS, LIMITED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(702) 770-7555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220" w:type="dxa"/>
        <w:jc w:val="left"/>
        <w:tblInd w:w="0" w:type="dxa"/>
        <w:tblLayout w:type="fixed"/>
        <w:tblCellMar>
          <w:top w:w="28" w:type="dxa"/>
          <w:left w:w="28" w:type="dxa"/>
          <w:bottom w:w="28" w:type="dxa"/>
          <w:right w:w="28" w:type="dxa"/>
        </w:tblCellMar>
      </w:tblPr>
      <w:tblGrid>
        <w:gridCol w:w="332"/>
        <w:gridCol w:w="291"/>
        <w:gridCol w:w="293"/>
        <w:gridCol w:w="381"/>
        <w:gridCol w:w="381"/>
        <w:gridCol w:w="54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10, 2026, Wynn Resorts, Limited (“Wynn Resorts”) announced that Wynn Resorts Finance, LLC (“Wynn Resorts Finance”) and its subsidiary, Wynn Resorts Capital Corp., each an indirect wholly-owned subsidiary of Wynn Resorts, plan to offer $900 million aggregate principal amount of Senior Notes due 2035 (the “Notes”). Wynn Resorts Finance intends to contribute and/or lend the net proceeds from this offering, together with cash on hand, to its subsidiary, Wynn Las Vegas, LLC (“Wynn Las Vegas”), who will use the amounts to (i) redeem in full Wynn Las Vegas and Wynn Las Vegas Capital Corp.’s outstanding 5.250% Senior Notes due 2027 (the "2027 WLV Notes") and (ii) pay fees and expenses related to the issuance of the Notes and the redemption of the 2027 WLV Notes. A copy of the press release is attached hereto as Exhibit 99.1 and is hereby incorporated by reference.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does not constitute an offer to sell or the solicitation of an offer to buy the Notes or any other security and shall not constitute an offer, solicitation or sale of the Notes or any other security in any jurisdiction in which such offering, solicitation or sale would be unlawful. The Notes being offered in the offering will not be and have not been registered under the Securities Act of 1933, as amended (the “Securities Act”), and may not be offered or sold in the United States absent registration or an applicable exemption from the registration requirements of the Securities Act.</w:t>
      </w:r>
    </w:p>
    <w:p>
      <w:pPr>
        <w:pStyle w:val="TextBody"/>
        <w:bidi w:val="0"/>
        <w:spacing w:before="0" w:after="0"/>
        <w:ind w:left="0" w:right="0" w:firstLine="45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Report, including Exhibit 99.1, contains “forward-looking statements” within the meaning of the U.S. Private Securities Litigation Reform Act of 1995. These statements are based upon management’s current expectations, beliefs, assumptions and estimates, and on information currently available to us, all of which are subject to change, and are not guarantees of timing, future results or performance. These forward-looking statements involve certain risks and uncertainties and other factors that could cause actual results to differ materially from those indicated in such forward-looking statements, as discussed further in the attached press release.</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9991" w:type="dxa"/>
        <w:jc w:val="left"/>
        <w:tblInd w:w="0" w:type="dxa"/>
        <w:tblLayout w:type="fixed"/>
        <w:tblCellMar>
          <w:top w:w="28" w:type="dxa"/>
          <w:left w:w="28" w:type="dxa"/>
          <w:bottom w:w="28" w:type="dxa"/>
          <w:right w:w="28" w:type="dxa"/>
        </w:tblCellMar>
      </w:tblPr>
      <w:tblGrid>
        <w:gridCol w:w="342"/>
        <w:gridCol w:w="301"/>
        <w:gridCol w:w="303"/>
        <w:gridCol w:w="2634"/>
        <w:gridCol w:w="2634"/>
        <w:gridCol w:w="377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wrf900mseniornotesla.htm">
              <w:r>
                <w:rPr>
                  <w:rStyle w:val="InternetLink"/>
                  <w:rFonts w:ascii="Times New Roman;serif" w:hAnsi="Times New Roman;serif"/>
                  <w:b w:val="false"/>
                  <w:color w:val="000080"/>
                  <w:sz w:val="20"/>
                  <w:u w:val="single"/>
                </w:rPr>
                <w:t xml:space="preserve">Press release, dated </w:t>
              </w:r>
            </w:hyperlink>
            <w:hyperlink w:anchor="ex991-wrf900mseniornotesla.htm">
              <w:r>
                <w:rPr>
                  <w:rStyle w:val="InternetLink"/>
                  <w:rFonts w:ascii="Times New Roman;serif" w:hAnsi="Times New Roman;serif"/>
                  <w:b w:val="false"/>
                  <w:color w:val="000080"/>
                  <w:sz w:val="20"/>
                  <w:u w:val="single"/>
                </w:rPr>
                <w:t xml:space="preserve">September </w:t>
              </w:r>
            </w:hyperlink>
            <w:hyperlink w:anchor="ex991-wrf900mseniornotesla.htm">
              <w:r>
                <w:rPr>
                  <w:rStyle w:val="InternetLink"/>
                  <w:rFonts w:ascii="Times New Roman;serif" w:hAnsi="Times New Roman;serif"/>
                  <w:b w:val="false"/>
                  <w:color w:val="000080"/>
                  <w:sz w:val="20"/>
                  <w:u w:val="single"/>
                </w:rPr>
                <w:t>1</w:t>
              </w:r>
            </w:hyperlink>
            <w:hyperlink w:anchor="ex991-wrf900mseniornotesla.htm">
              <w:r>
                <w:rPr>
                  <w:rStyle w:val="InternetLink"/>
                  <w:rFonts w:ascii="Times New Roman;serif" w:hAnsi="Times New Roman;serif"/>
                  <w:b w:val="false"/>
                  <w:color w:val="000080"/>
                  <w:sz w:val="20"/>
                  <w:u w:val="single"/>
                </w:rPr>
                <w:t>0, 2026</w:t>
              </w:r>
            </w:hyperlink>
            <w:hyperlink w:anchor="ex991-wrf900mseniornotesla.htm">
              <w:r>
                <w:rPr>
                  <w:rStyle w:val="InternetLink"/>
                  <w:rFonts w:ascii="Times New Roman;serif" w:hAnsi="Times New Roman;serif"/>
                  <w:b w:val="false"/>
                  <w:color w:val="000080"/>
                  <w:sz w:val="20"/>
                  <w:u w:val="single"/>
                </w:rPr>
                <w:t>,</w:t>
              </w:r>
            </w:hyperlink>
            <w:hyperlink w:anchor="ex991-wrf900mseniornotesla.htm">
              <w:r>
                <w:rPr>
                  <w:rStyle w:val="InternetLink"/>
                  <w:rFonts w:ascii="Times New Roman;serif" w:hAnsi="Times New Roman;serif"/>
                  <w:b w:val="false"/>
                  <w:color w:val="000080"/>
                  <w:sz w:val="20"/>
                  <w:u w:val="single"/>
                </w:rPr>
                <w:t xml:space="preserve"> of Wynn Resorts, Limited.</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250" w:type="dxa"/>
        <w:jc w:val="left"/>
        <w:tblInd w:w="0" w:type="dxa"/>
        <w:tblLayout w:type="fixed"/>
        <w:tblCellMar>
          <w:top w:w="28" w:type="dxa"/>
          <w:left w:w="28" w:type="dxa"/>
          <w:bottom w:w="28" w:type="dxa"/>
          <w:right w:w="28" w:type="dxa"/>
        </w:tblCellMar>
      </w:tblPr>
      <w:tblGrid>
        <w:gridCol w:w="254"/>
        <w:gridCol w:w="224"/>
        <w:gridCol w:w="226"/>
        <w:gridCol w:w="574"/>
        <w:gridCol w:w="574"/>
        <w:gridCol w:w="576"/>
        <w:gridCol w:w="109"/>
        <w:gridCol w:w="109"/>
        <w:gridCol w:w="109"/>
        <w:gridCol w:w="134"/>
        <w:gridCol w:w="134"/>
        <w:gridCol w:w="136"/>
        <w:gridCol w:w="109"/>
        <w:gridCol w:w="109"/>
        <w:gridCol w:w="109"/>
        <w:gridCol w:w="1102"/>
        <w:gridCol w:w="1102"/>
        <w:gridCol w:w="1560"/>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RESORTS, LIMITED</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Craig J. Fullalove </w:t>
            </w:r>
          </w:p>
        </w:tc>
      </w:tr>
      <w:tr>
        <w:trPr/>
        <w:tc>
          <w:tcPr>
            <w:tcW w:w="704"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Craig J. Fullalove </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Announces Private Offering of $900 Million of Wynn Resorts Finance Senior Notes due 2035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LAS VEGAS, September 10, 2026 /PRNewswire/ -- Wynn Resorts, Limited (NASDAQ: WYNN) (“Wynn Resorts”) announced today that Wynn Resorts Finance, LLC (“Wynn Resorts Finance”) and its subsidiary Wynn Resorts Capital Corp. (“Wynn Resorts Capital” and, together with Wynn Resorts Finance, the “Issuers”), each an indirect wholly-owned subsidiary of Wynn Resorts, are offering $900 million aggregate principal amount of Senior Notes due 2035 (the “Notes”) in a private offering.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Notes will initially be jointly and severally guaranteed by all of Wynn Resorts Finance’s domestic subsidiaries (collectively, the “Guarantors”) that guarantee the Issuers’ existing senior secured credit facilities (the “Senior Credit Facilities”), except Wynn Resorts Capital, which is the co-issuer of the Notes, the Issuers’ 5.125% Senior Notes due 2029 (the “2029 WRF Notes”), the Issuers’ 7.125% Senior Notes due 2031 (the “2031 WRF Notes”) and the Issuers’ 6.250% Senior Notes due 2033 (the “2033 WRF Notes”). The Notes and guarantees will be senior unsecured obligations of the Issuers and the Guarantors and will rank equal in right of payment with all existing and future liabilities of the Issuers and such Guarantors that are not subordinated, including their obligations under the Senior Credit Facilities, the 2029 WRF Notes, the 2031 WRF Notes and the 2033 WRF Notes, and, with respect to Wynn Las Vegas, LLC (“Wynn Las Vegas”) and certain of its subsidiaries, their obligations under Wynn Las Vegas and Wynn Las Vegas Capital Corp.’s 5.250% Senior Notes due 2027 (the “2027 WLV Notes”). The Notes and guarantees will be effectively subordinated to all of the Issuers’ and the Guarantors’ existing and future secured debt (to the extent of the value of the collateral securing such debt), including the Senior Credit Facilities and, until the 2027 WLV Notes are redeemed using the proceeds of this offering, the 2027 WLV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Wynn Resorts Finance plans to contribute and/or lend the net proceeds from the offering, together with cash on hand, to its subsidiary, Wynn Las Vegas, who will use the amounts to (i) redeem in full the 2027 WLV Notes and (ii) pay fees and expenses related to the issuance of the Notes and the redemption of the 2027 WLV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Issuers will make the offering pursuant to an exemption under the Securities Act of 1933, as amended (the “Securities Act”). The initial purchasers of the Notes will offer the Notes only to persons reasonably believed to be qualified institutional buyers in reliance on Rule 144A under the Securities Act or outside the United States to certain persons in reliance on Regulation S under the Securities Act. The Notes have not been and will not be registered under the Securities Act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Wynn Las Vegas intends to redeem all of the outstanding 2027 WLV Notes on or after the closing of this offering. This press release does not constitute a notice of redemption or an offer to purchase or the solicitation of an offer to sell such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This release contains forward-looking statements, including those related to the offering of Notes and whether or not the Issuers will consummate the offering. Such forward-looking statements are subject to a number of risks and uncertainties that could cause actual results to differ materially from those we express in these forward-looking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geopolitical conflicts,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risks associated with current and future projects (including Wynn Al Marjan Island), cybersecurity risk and our leverage and ability to meet our debt service obligations. Additional information concerning potential factors that could affect Wynn Resorts’ financial results is included in Wynn Resorts’ Annual Report on Form 10-K for the year ended December 31, 2025, as supplemented by Wynn Resorts’ other periodic reports filed with the Securities and Exchange Commission from time to time. Neither Wynn Resorts nor the Issuers are under any obligation to (and expressly disclaim any such obligation to) update or revise their forward-looking statements as a result of new information, future events or otherwise, except as required by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SOURCE: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Wynn Resorts, Limited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Lauren Seiler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702-770-7555</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investorrelations@wynnresorts.com</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1643</Words>
  <Characters>8935</Characters>
  <CharactersWithSpaces>10557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