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ind w:left="460" w:right="1940" w:hanging="452"/>
        <w:spacing w:after="0" w:line="438" w:lineRule="auto"/>
        <w:tabs>
          <w:tab w:leader="none" w:pos="44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2010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194"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No. 333-100768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WYNN LAS VEGAS, LLC</w:t>
      </w:r>
    </w:p>
    <w:p>
      <w:pPr>
        <w:spacing w:after="0" w:line="4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320"/>
          </w:cols>
          <w:pgMar w:left="240" w:top="230" w:right="339" w:bottom="1440" w:gutter="0" w:footer="0" w:header="0"/>
        </w:sectPr>
      </w:pPr>
    </w:p>
    <w:p>
      <w:pPr>
        <w:spacing w:after="0" w:line="175"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NEVADA</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88-0494875</w:t>
      </w:r>
    </w:p>
    <w:p>
      <w:pPr>
        <w:spacing w:after="0" w:line="55" w:lineRule="exact"/>
        <w:rPr>
          <w:sz w:val="24"/>
          <w:szCs w:val="24"/>
          <w:color w:val="auto"/>
        </w:rPr>
      </w:pPr>
    </w:p>
    <w:p>
      <w:pPr>
        <w:sectPr>
          <w:pgSz w:w="11900" w:h="16838" w:orient="portrait"/>
          <w:cols w:equalWidth="0" w:num="2">
            <w:col w:w="7600" w:space="720"/>
            <w:col w:w="3000"/>
          </w:cols>
          <w:pgMar w:left="240" w:top="230" w:right="339" w:bottom="1440" w:gutter="0" w:footer="0" w:header="0"/>
          <w:type w:val="continuous"/>
        </w:sectPr>
      </w:pPr>
    </w:p>
    <w:p>
      <w:pPr>
        <w:ind w:left="196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1" w:lineRule="exact"/>
        <w:rPr>
          <w:sz w:val="24"/>
          <w:szCs w:val="24"/>
          <w:color w:val="auto"/>
        </w:rPr>
      </w:pPr>
    </w:p>
    <w:p>
      <w:pPr>
        <w:sectPr>
          <w:pgSz w:w="11900" w:h="16838" w:orient="portrait"/>
          <w:cols w:equalWidth="0" w:num="2">
            <w:col w:w="7500" w:space="720"/>
            <w:col w:w="3100"/>
          </w:cols>
          <w:pgMar w:left="240" w:top="230" w:right="339" w:bottom="1440" w:gutter="0" w:footer="0" w:header="0"/>
          <w:type w:val="continuous"/>
        </w:sectPr>
      </w:pPr>
    </w:p>
    <w:p>
      <w:pPr>
        <w:jc w:val="center"/>
        <w:ind w:right="-99"/>
        <w:spacing w:after="0"/>
        <w:rPr>
          <w:sz w:val="20"/>
          <w:szCs w:val="20"/>
          <w:color w:val="auto"/>
        </w:rPr>
      </w:pPr>
      <w:r>
        <w:rPr>
          <w:rFonts w:ascii="Arial" w:cs="Arial" w:eastAsia="Arial" w:hAnsi="Arial"/>
          <w:sz w:val="16"/>
          <w:szCs w:val="16"/>
          <w:b w:val="1"/>
          <w:bCs w:val="1"/>
          <w:color w:val="auto"/>
        </w:rPr>
        <w:t>3131 Las Vegas Boulevard South—Las Vegas, Nevada 89109</w:t>
      </w:r>
    </w:p>
    <w:p>
      <w:pPr>
        <w:spacing w:after="0" w:line="4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3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2"/>
          <w:szCs w:val="12"/>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196850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type w:val="continuous"/>
        </w:sectPr>
      </w:pPr>
    </w:p>
    <w:p>
      <w:pPr>
        <w:spacing w:after="0" w:line="200" w:lineRule="exact"/>
        <w:rPr>
          <w:sz w:val="24"/>
          <w:szCs w:val="24"/>
          <w:color w:val="auto"/>
        </w:rPr>
      </w:pPr>
    </w:p>
    <w:p>
      <w:pPr>
        <w:spacing w:after="0" w:line="277" w:lineRule="exact"/>
        <w:rPr>
          <w:sz w:val="24"/>
          <w:szCs w:val="24"/>
          <w:color w:val="auto"/>
        </w:rPr>
      </w:pPr>
    </w:p>
    <w:p>
      <w:pPr>
        <w:ind w:right="1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53" w:lineRule="exact"/>
        <w:rPr>
          <w:sz w:val="24"/>
          <w:szCs w:val="24"/>
          <w:color w:val="auto"/>
        </w:rPr>
      </w:pPr>
    </w:p>
    <w:p>
      <w:pPr>
        <w:ind w:left="1920"/>
        <w:spacing w:after="0" w:line="207" w:lineRule="exact"/>
        <w:tabs>
          <w:tab w:leader="none" w:pos="3900" w:val="left"/>
          <w:tab w:leader="none" w:pos="73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78" w:lineRule="exact"/>
        <w:rPr>
          <w:sz w:val="24"/>
          <w:szCs w:val="24"/>
          <w:color w:val="auto"/>
        </w:rPr>
      </w:pPr>
    </w:p>
    <w:p>
      <w:pPr>
        <w:ind w:left="460"/>
        <w:spacing w:after="0" w:line="207" w:lineRule="exact"/>
        <w:tabs>
          <w:tab w:leader="none" w:pos="8540" w:val="left"/>
          <w:tab w:leader="none" w:pos="9220" w:val="left"/>
        </w:tabs>
        <w:rPr>
          <w:sz w:val="20"/>
          <w:szCs w:val="20"/>
          <w:color w:val="auto"/>
        </w:rPr>
      </w:pPr>
      <w:r>
        <w:rPr>
          <w:rFonts w:ascii="Arial" w:cs="Arial" w:eastAsia="Arial" w:hAnsi="Arial"/>
          <w:sz w:val="16"/>
          <w:szCs w:val="16"/>
          <w:color w:val="auto"/>
        </w:rPr>
        <w:t>Indicate by check mark whether the registrant is a shell company (as defined in Rule12b-2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97"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7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Wynn Resorts Holdings, LLC owns all of the membership interests of the Registrant as of May 7,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480" w:type="dxa"/>
            <w:vAlign w:val="bottom"/>
            <w:gridSpan w:val="13"/>
          </w:tcPr>
          <w:p>
            <w:pPr>
              <w:ind w:left="40"/>
              <w:spacing w:after="0"/>
              <w:rPr>
                <w:sz w:val="20"/>
                <w:szCs w:val="20"/>
                <w:color w:val="auto"/>
              </w:rPr>
            </w:pPr>
            <w:r>
              <w:rPr>
                <w:rFonts w:ascii="Arial" w:cs="Arial" w:eastAsia="Arial" w:hAnsi="Arial"/>
                <w:sz w:val="18"/>
                <w:szCs w:val="18"/>
                <w:b w:val="1"/>
                <w:bCs w:val="1"/>
                <w:color w:val="auto"/>
              </w:rPr>
              <w:t>Financial Information</w:t>
            </w:r>
          </w:p>
        </w:tc>
        <w:tc>
          <w:tcPr>
            <w:tcW w:w="1300" w:type="dxa"/>
            <w:vAlign w:val="bottom"/>
          </w:tcPr>
          <w:p>
            <w:pPr>
              <w:spacing w:after="0"/>
              <w:rPr>
                <w:sz w:val="19"/>
                <w:szCs w:val="19"/>
                <w:color w:val="auto"/>
              </w:rPr>
            </w:pP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Item 1.</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100" w:type="dxa"/>
            <w:vAlign w:val="bottom"/>
            <w:gridSpan w:val="11"/>
          </w:tcPr>
          <w:p>
            <w:pPr>
              <w:spacing w:after="0"/>
              <w:rPr>
                <w:sz w:val="20"/>
                <w:szCs w:val="20"/>
                <w:color w:val="auto"/>
              </w:rPr>
            </w:pPr>
            <w:r>
              <w:rPr>
                <w:rFonts w:ascii="Arial" w:cs="Arial" w:eastAsia="Arial" w:hAnsi="Arial"/>
                <w:sz w:val="18"/>
                <w:szCs w:val="18"/>
                <w:color w:val="auto"/>
              </w:rPr>
              <w:t>Financial Statements</w:t>
            </w:r>
          </w:p>
        </w:tc>
        <w:tc>
          <w:tcPr>
            <w:tcW w:w="1300" w:type="dxa"/>
            <w:vAlign w:val="bottom"/>
          </w:tcPr>
          <w:p>
            <w:pPr>
              <w:spacing w:after="0"/>
              <w:rPr>
                <w:sz w:val="24"/>
                <w:szCs w:val="24"/>
                <w:color w:val="auto"/>
              </w:rPr>
            </w:pPr>
          </w:p>
        </w:tc>
      </w:tr>
      <w:tr>
        <w:trPr>
          <w:trHeight w:val="286"/>
        </w:trPr>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4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 March 31, 2010 (unaudited) and December 31, 2009</w:t>
              </w:r>
            </w:hyperlink>
          </w:p>
        </w:tc>
        <w:tc>
          <w:tcPr>
            <w:tcW w:w="2360" w:type="dxa"/>
            <w:vAlign w:val="bottom"/>
            <w:gridSpan w:val="3"/>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100" w:type="dxa"/>
            <w:vAlign w:val="bottom"/>
            <w:gridSpan w:val="1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(unaudited) – Three months ended March 31, 2010 and 2009</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100" w:type="dxa"/>
            <w:vAlign w:val="bottom"/>
            <w:gridSpan w:val="11"/>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Cash Flows (unaudited) – Three months ended March 31, 2010 and 2009</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Condensed Consolidated Financial Statements (unaudited)</w:t>
              </w:r>
            </w:hyperlink>
          </w:p>
        </w:tc>
        <w:tc>
          <w:tcPr>
            <w:tcW w:w="3220" w:type="dxa"/>
            <w:vAlign w:val="bottom"/>
            <w:tcBorders>
              <w:top w:val="single" w:sz="8" w:color="0000EE"/>
            </w:tcBorders>
            <w:gridSpan w:val="4"/>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Item 2.</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100" w:type="dxa"/>
            <w:vAlign w:val="bottom"/>
            <w:gridSpan w:val="11"/>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Item 3.</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2800" w:type="dxa"/>
            <w:vAlign w:val="bottom"/>
            <w:gridSpan w:val="4"/>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Item 4.</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100" w:type="dxa"/>
            <w:vAlign w:val="bottom"/>
            <w:gridSpan w:val="1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43"/>
        </w:trPr>
        <w:tc>
          <w:tcPr>
            <w:tcW w:w="6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40" w:type="dxa"/>
            <w:vAlign w:val="bottom"/>
          </w:tcPr>
          <w:p>
            <w:pPr>
              <w:spacing w:after="0"/>
              <w:rPr>
                <w:sz w:val="24"/>
                <w:szCs w:val="24"/>
                <w:color w:val="auto"/>
              </w:rPr>
            </w:pPr>
          </w:p>
        </w:tc>
        <w:tc>
          <w:tcPr>
            <w:tcW w:w="9440" w:type="dxa"/>
            <w:vAlign w:val="bottom"/>
            <w:gridSpan w:val="12"/>
          </w:tcPr>
          <w:p>
            <w:pPr>
              <w:ind w:left="60"/>
              <w:spacing w:after="0"/>
              <w:rPr>
                <w:sz w:val="20"/>
                <w:szCs w:val="20"/>
                <w:color w:val="auto"/>
              </w:rPr>
            </w:pPr>
            <w:r>
              <w:rPr>
                <w:rFonts w:ascii="Arial" w:cs="Arial" w:eastAsia="Arial" w:hAnsi="Arial"/>
                <w:sz w:val="18"/>
                <w:szCs w:val="18"/>
                <w:b w:val="1"/>
                <w:bCs w:val="1"/>
                <w:color w:val="auto"/>
              </w:rPr>
              <w:t>Other Information</w:t>
            </w:r>
          </w:p>
        </w:tc>
        <w:tc>
          <w:tcPr>
            <w:tcW w:w="1300" w:type="dxa"/>
            <w:vAlign w:val="bottom"/>
          </w:tcPr>
          <w:p>
            <w:pPr>
              <w:spacing w:after="0"/>
              <w:rPr>
                <w:sz w:val="24"/>
                <w:szCs w:val="24"/>
                <w:color w:val="auto"/>
              </w:rPr>
            </w:pPr>
          </w:p>
        </w:tc>
      </w:tr>
      <w:tr>
        <w:trPr>
          <w:trHeight w:val="286"/>
        </w:trPr>
        <w:tc>
          <w:tcPr>
            <w:tcW w:w="640" w:type="dxa"/>
            <w:vAlign w:val="bottom"/>
          </w:tcPr>
          <w:p>
            <w:pPr>
              <w:spacing w:after="0"/>
              <w:rPr>
                <w:sz w:val="20"/>
                <w:szCs w:val="20"/>
                <w:color w:val="auto"/>
              </w:rPr>
            </w:pPr>
            <w:r>
              <w:rPr>
                <w:rFonts w:ascii="Arial" w:cs="Arial" w:eastAsia="Arial" w:hAnsi="Arial"/>
                <w:sz w:val="18"/>
                <w:szCs w:val="18"/>
                <w:color w:val="auto"/>
                <w:w w:val="99"/>
              </w:rPr>
              <w:t>Item IA.</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100" w:type="dxa"/>
            <w:vAlign w:val="bottom"/>
            <w:gridSpan w:val="1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Item 2.</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100" w:type="dxa"/>
            <w:vAlign w:val="bottom"/>
            <w:gridSpan w:val="1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Unregistered Sales of Equity Securities and Use of Proceeds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Item 6.</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40" w:type="dxa"/>
            <w:vAlign w:val="bottom"/>
            <w:tcBorders>
              <w:top w:val="single" w:sz="8" w:color="0000EE"/>
            </w:tcBorders>
            <w:gridSpan w:val="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4860" w:type="dxa"/>
            <w:vAlign w:val="bottom"/>
            <w:gridSpan w:val="7"/>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1020" w:type="dxa"/>
            <w:vAlign w:val="bottom"/>
            <w:gridSpan w:val="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Signature</w:t>
              </w:r>
            </w:hyperlink>
          </w:p>
        </w:tc>
        <w:tc>
          <w:tcPr>
            <w:tcW w:w="580" w:type="dxa"/>
            <w:vAlign w:val="bottom"/>
            <w:tcBorders>
              <w:top w:val="single" w:sz="8" w:color="0000EE"/>
            </w:tcBorders>
          </w:tcPr>
          <w:p>
            <w:pPr>
              <w:spacing w:after="0"/>
              <w:rPr>
                <w:sz w:val="24"/>
                <w:szCs w:val="24"/>
                <w:color w:val="auto"/>
              </w:rPr>
            </w:pPr>
          </w:p>
        </w:tc>
        <w:tc>
          <w:tcPr>
            <w:tcW w:w="8520" w:type="dxa"/>
            <w:vAlign w:val="bottom"/>
            <w:gridSpan w:val="10"/>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83"/>
        </w:trPr>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100" w:type="dxa"/>
            <w:vAlign w:val="bottom"/>
            <w:gridSpan w:val="7"/>
          </w:tcPr>
          <w:p>
            <w:pPr>
              <w:jc w:val="right"/>
              <w:ind w:right="20"/>
              <w:spacing w:after="0"/>
              <w:rPr>
                <w:sz w:val="20"/>
                <w:szCs w:val="20"/>
                <w:color w:val="auto"/>
              </w:rPr>
            </w:pPr>
            <w:r>
              <w:rPr>
                <w:rFonts w:ascii="Arial" w:cs="Arial" w:eastAsia="Arial" w:hAnsi="Arial"/>
                <w:sz w:val="18"/>
                <w:szCs w:val="18"/>
                <w:color w:val="auto"/>
              </w:rPr>
              <w:t>2</w:t>
            </w: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March 31,</w:t>
            </w:r>
          </w:p>
        </w:tc>
        <w:tc>
          <w:tcPr>
            <w:tcW w:w="1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46,506</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118,716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110,860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79,462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264,104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3,808,409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3,851,668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39,854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4,185,632</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4,254,324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vMerge w:val="restart"/>
          </w:tcPr>
          <w:p>
            <w:pPr>
              <w:ind w:left="282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1,050</w:t>
            </w:r>
          </w:p>
        </w:tc>
        <w:tc>
          <w:tcPr>
            <w:tcW w:w="26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55,973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11,928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58,183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101,507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233,606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230,688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2,551,602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2,551,520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87,113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82,339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2,878,823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2,868,771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924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1,915,094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1,912,146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(608,285)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(526,593)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1,306,809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1,385,553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4,185,632</w:t>
            </w:r>
          </w:p>
        </w:tc>
        <w:tc>
          <w:tcPr>
            <w:tcW w:w="260" w:type="dxa"/>
            <w:vAlign w:val="bottom"/>
          </w:tcPr>
          <w:p>
            <w:pPr>
              <w:spacing w:after="0"/>
              <w:rPr>
                <w:sz w:val="19"/>
                <w:szCs w:val="19"/>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4,254,324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19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19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00" w:type="dxa"/>
            <w:vAlign w:val="bottom"/>
          </w:tcPr>
          <w:p>
            <w:pPr>
              <w:spacing w:after="0"/>
              <w:rPr>
                <w:sz w:val="12"/>
                <w:szCs w:val="12"/>
                <w:color w:val="auto"/>
              </w:rPr>
            </w:pPr>
          </w:p>
        </w:tc>
        <w:tc>
          <w:tcPr>
            <w:tcW w:w="68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Casino</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$139,510</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$ 117,481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77,595</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95,943</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96,909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51,627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Gross revenues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364,675</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345,832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(46,068)</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(54,310)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318,607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291,522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Casino</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76,827</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75,984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30,598</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57,986</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57,141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35,887</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59,821</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64,662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6,640</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4,774</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78,926</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77,444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353,092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(34,485)</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(58,384)</w:t>
            </w:r>
          </w:p>
        </w:tc>
        <w:tc>
          <w:tcPr>
            <w:tcW w:w="0" w:type="dxa"/>
            <w:vAlign w:val="bottom"/>
          </w:tcPr>
          <w:p>
            <w:pPr>
              <w:spacing w:after="0"/>
              <w:rPr>
                <w:sz w:val="1"/>
                <w:szCs w:val="1"/>
                <w:color w:val="auto"/>
              </w:rPr>
            </w:pPr>
          </w:p>
        </w:tc>
      </w:tr>
      <w:tr>
        <w:trPr>
          <w:trHeight w:val="222"/>
        </w:trPr>
        <w:tc>
          <w:tcPr>
            <w:tcW w:w="95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6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 and other</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(45,076)</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(36,841)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swap fair value</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(2,278)</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680" w:type="dxa"/>
            <w:vAlign w:val="bottom"/>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(47,207)</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(37,080)</w:t>
            </w:r>
          </w:p>
        </w:tc>
        <w:tc>
          <w:tcPr>
            <w:tcW w:w="0" w:type="dxa"/>
            <w:vAlign w:val="bottom"/>
          </w:tcPr>
          <w:p>
            <w:pPr>
              <w:spacing w:after="0"/>
              <w:rPr>
                <w:sz w:val="1"/>
                <w:szCs w:val="1"/>
                <w:color w:val="auto"/>
              </w:rPr>
            </w:pPr>
          </w:p>
        </w:tc>
      </w:tr>
      <w:tr>
        <w:trPr>
          <w:trHeight w:val="20"/>
        </w:trPr>
        <w:tc>
          <w:tcPr>
            <w:tcW w:w="952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520" w:type="dxa"/>
            <w:vAlign w:val="bottom"/>
            <w:gridSpan w:val="2"/>
            <w:vMerge w:val="continue"/>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 (81,692)</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 (95,464)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2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2"/>
              </w:rPr>
              <w:t>March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3"/>
          </w:tcPr>
          <w:p>
            <w:pPr>
              <w:jc w:val="right"/>
              <w:ind w:right="192"/>
              <w:spacing w:after="0"/>
              <w:rPr>
                <w:sz w:val="20"/>
                <w:szCs w:val="20"/>
                <w:color w:val="auto"/>
              </w:rPr>
            </w:pPr>
            <w:r>
              <w:rPr>
                <w:rFonts w:ascii="Arial" w:cs="Arial" w:eastAsia="Arial" w:hAnsi="Arial"/>
                <w:sz w:val="18"/>
                <w:szCs w:val="18"/>
                <w:color w:val="auto"/>
                <w:w w:val="82"/>
              </w:rPr>
              <w:t>$ (81,692)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(95,464)</w:t>
            </w: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78,926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77,444</w:t>
            </w: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2,178</w:t>
            </w: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4,426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6,166</w:t>
            </w: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from unconsolidated affiliates, net of distributions</w:t>
            </w:r>
          </w:p>
        </w:tc>
        <w:tc>
          <w:tcPr>
            <w:tcW w:w="96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w:t>
            </w: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6,640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584</w:t>
            </w: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13,940</w:t>
            </w: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2,278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960" w:type="dxa"/>
            <w:vAlign w:val="bottom"/>
            <w:gridSpan w:val="3"/>
          </w:tcPr>
          <w:p>
            <w:pPr>
              <w:jc w:val="right"/>
              <w:ind w:right="192"/>
              <w:spacing w:after="0"/>
              <w:rPr>
                <w:sz w:val="20"/>
                <w:szCs w:val="20"/>
                <w:color w:val="auto"/>
              </w:rPr>
            </w:pPr>
            <w:r>
              <w:rPr>
                <w:rFonts w:ascii="Arial" w:cs="Arial" w:eastAsia="Arial" w:hAnsi="Arial"/>
                <w:sz w:val="18"/>
                <w:szCs w:val="18"/>
                <w:color w:val="auto"/>
              </w:rPr>
              <w:t>(14,496)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11,181</w:t>
            </w: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3,127</w:t>
            </w:r>
          </w:p>
        </w:tc>
      </w:tr>
      <w:tr>
        <w:trPr>
          <w:trHeight w:val="216"/>
        </w:trPr>
        <w:tc>
          <w:tcPr>
            <w:tcW w:w="20" w:type="dxa"/>
            <w:vAlign w:val="bottom"/>
          </w:tcPr>
          <w:p>
            <w:pPr>
              <w:spacing w:after="0"/>
              <w:rPr>
                <w:sz w:val="18"/>
                <w:szCs w:val="18"/>
                <w:color w:val="auto"/>
              </w:rPr>
            </w:pPr>
          </w:p>
        </w:tc>
        <w:tc>
          <w:tcPr>
            <w:tcW w:w="936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1,470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(32,223)</w:t>
            </w: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 net</w:t>
            </w:r>
          </w:p>
        </w:tc>
        <w:tc>
          <w:tcPr>
            <w:tcW w:w="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7,703</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360" w:type="dxa"/>
            <w:vAlign w:val="bottom"/>
          </w:tcPr>
          <w:p>
            <w:pPr>
              <w:ind w:left="1280"/>
              <w:spacing w:after="0"/>
              <w:rPr>
                <w:sz w:val="20"/>
                <w:szCs w:val="20"/>
                <w:color w:val="auto"/>
              </w:rPr>
            </w:pPr>
            <w:r>
              <w:rPr>
                <w:rFonts w:ascii="Arial" w:cs="Arial" w:eastAsia="Arial" w:hAnsi="Arial"/>
                <w:sz w:val="18"/>
                <w:szCs w:val="18"/>
                <w:color w:val="auto"/>
              </w:rPr>
              <w:t>Net cash provided by (used in) operating activities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9,869</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(4,745)</w:t>
            </w: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960" w:type="dxa"/>
            <w:vAlign w:val="bottom"/>
            <w:gridSpan w:val="3"/>
          </w:tcPr>
          <w:p>
            <w:pPr>
              <w:jc w:val="right"/>
              <w:ind w:right="192"/>
              <w:spacing w:after="0"/>
              <w:rPr>
                <w:sz w:val="20"/>
                <w:szCs w:val="20"/>
                <w:color w:val="auto"/>
              </w:rPr>
            </w:pPr>
            <w:r>
              <w:rPr>
                <w:rFonts w:ascii="Arial" w:cs="Arial" w:eastAsia="Arial" w:hAnsi="Arial"/>
                <w:sz w:val="18"/>
                <w:szCs w:val="18"/>
                <w:color w:val="auto"/>
              </w:rPr>
              <w:t>(35,458)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(115,028)</w:t>
            </w: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other assets</w:t>
            </w:r>
          </w:p>
        </w:tc>
        <w:tc>
          <w:tcPr>
            <w:tcW w:w="96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(382)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(2,755)</w:t>
            </w: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6,473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(3,663)</w:t>
            </w:r>
          </w:p>
        </w:tc>
      </w:tr>
      <w:tr>
        <w:trPr>
          <w:trHeight w:val="27"/>
        </w:trPr>
        <w:tc>
          <w:tcPr>
            <w:tcW w:w="20" w:type="dxa"/>
            <w:vAlign w:val="bottom"/>
          </w:tcPr>
          <w:p>
            <w:pPr>
              <w:spacing w:after="0"/>
              <w:rPr>
                <w:sz w:val="2"/>
                <w:szCs w:val="2"/>
                <w:color w:val="auto"/>
              </w:rPr>
            </w:pPr>
          </w:p>
        </w:tc>
        <w:tc>
          <w:tcPr>
            <w:tcW w:w="936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w w:val="98"/>
              </w:rPr>
              <w:t>(29,367)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(121,446)</w:t>
            </w:r>
          </w:p>
        </w:tc>
      </w:tr>
      <w:tr>
        <w:trPr>
          <w:trHeight w:val="222"/>
        </w:trPr>
        <w:tc>
          <w:tcPr>
            <w:tcW w:w="93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96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(350)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(50,350)</w:t>
            </w: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20" w:type="dxa"/>
            <w:vAlign w:val="bottom"/>
          </w:tcPr>
          <w:p>
            <w:pPr>
              <w:spacing w:after="0"/>
              <w:rPr>
                <w:sz w:val="18"/>
                <w:szCs w:val="18"/>
                <w:color w:val="auto"/>
              </w:rPr>
            </w:pPr>
          </w:p>
        </w:tc>
        <w:tc>
          <w:tcPr>
            <w:tcW w:w="94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contribution from the Parent</w:t>
            </w:r>
          </w:p>
        </w:tc>
        <w:tc>
          <w:tcPr>
            <w:tcW w:w="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100,000</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360" w:type="dxa"/>
            <w:vAlign w:val="bottom"/>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960" w:type="dxa"/>
            <w:vAlign w:val="bottom"/>
            <w:gridSpan w:val="3"/>
          </w:tcPr>
          <w:p>
            <w:pPr>
              <w:jc w:val="right"/>
              <w:ind w:right="192"/>
              <w:spacing w:after="0"/>
              <w:rPr>
                <w:sz w:val="20"/>
                <w:szCs w:val="20"/>
                <w:color w:val="auto"/>
              </w:rPr>
            </w:pPr>
            <w:r>
              <w:rPr>
                <w:rFonts w:ascii="Arial" w:cs="Arial" w:eastAsia="Arial" w:hAnsi="Arial"/>
                <w:sz w:val="18"/>
                <w:szCs w:val="18"/>
                <w:color w:val="auto"/>
              </w:rPr>
              <w:t>(350)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99,650</w:t>
            </w: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Decrease in cash and cash equivalents</w:t>
            </w:r>
          </w:p>
        </w:tc>
        <w:tc>
          <w:tcPr>
            <w:tcW w:w="960" w:type="dxa"/>
            <w:vAlign w:val="bottom"/>
            <w:gridSpan w:val="3"/>
          </w:tcPr>
          <w:p>
            <w:pPr>
              <w:jc w:val="right"/>
              <w:ind w:right="192"/>
              <w:spacing w:after="0"/>
              <w:rPr>
                <w:sz w:val="20"/>
                <w:szCs w:val="20"/>
                <w:color w:val="auto"/>
              </w:rPr>
            </w:pPr>
            <w:r>
              <w:rPr>
                <w:rFonts w:ascii="Arial" w:cs="Arial" w:eastAsia="Arial" w:hAnsi="Arial"/>
                <w:sz w:val="18"/>
                <w:szCs w:val="18"/>
                <w:color w:val="auto"/>
              </w:rPr>
              <w:t>(19,848)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(26,541)</w:t>
            </w: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66,354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123,315</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Balance, end of period</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8"/>
              </w:rPr>
              <w:t>$ 46,506</w:t>
            </w:r>
          </w:p>
        </w:tc>
        <w:tc>
          <w:tcPr>
            <w:tcW w:w="32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96,774</w:t>
            </w:r>
          </w:p>
        </w:tc>
      </w:tr>
      <w:tr>
        <w:trPr>
          <w:trHeight w:val="20"/>
        </w:trPr>
        <w:tc>
          <w:tcPr>
            <w:tcW w:w="2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Organization</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Wynn Las Vegas, LLC was formed on April 17, 2001 as a Nevada limited liability company.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 The Company was organized primarily to construct and operate “Wynn Las Vegas,” a destination resort and casino on the “Strip” in Las Vegas, Nevada. Wynn Las Vegas opened on April 28, 2005. On December 22, 2008, the Company opened Encore at Wynn Las Vegas (“Encore”), an expansion of Wynn Las Vegas. Encore is a 2,034 all-suite hotel fully integrated with Wynn Las Vegas.</w:t>
      </w:r>
    </w:p>
    <w:p>
      <w:pPr>
        <w:spacing w:after="0" w:line="14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March 31, 2010, the Company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months ended March 31, 2010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2009.</w:t>
      </w:r>
    </w:p>
    <w:p>
      <w:pPr>
        <w:spacing w:after="0" w:line="193" w:lineRule="exact"/>
        <w:rPr>
          <w:sz w:val="20"/>
          <w:szCs w:val="20"/>
          <w:color w:val="auto"/>
        </w:rPr>
      </w:pPr>
    </w:p>
    <w:p>
      <w:pPr>
        <w:ind w:left="240" w:right="7900" w:hanging="232"/>
        <w:spacing w:after="0" w:line="417" w:lineRule="auto"/>
        <w:tabs>
          <w:tab w:leader="none" w:pos="187"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i w:val="1"/>
          <w:iCs w:val="1"/>
          <w:color w:val="auto"/>
        </w:rPr>
        <w:t>Accounts Receivable and Credit Risk</w:t>
      </w:r>
    </w:p>
    <w:p>
      <w:pPr>
        <w:spacing w:after="0" w:line="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March 31, 2010 and December 31, 2009, approximately 71% and 68% respectively, of the Company’s markers were due from customers residing in foreign countries, primarily in Asia. Business or economic conditions or other significant events in these countries could affect the collectibility of such receivables.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allowance for doubtful accounts is maintained to reduce the Company’s receivables to their estimated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deferred revenues until services are provided to the customer.</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Revenues are recognized net of certain sales incentives which are recorded as a reduction of revenue. Consequently, the Company’s casino revenues are reduced by discounts and points earned in customer loyalty programs, such as the players club loyalty program.</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 and then deducted as promotional allowances. The estimated cost of providing such promotional allowances is primarily included in casino expenses as follows (amounts in thousands):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8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8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$ 10,903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$ 14,384</w:t>
            </w:r>
          </w:p>
        </w:tc>
        <w:tc>
          <w:tcPr>
            <w:tcW w:w="20" w:type="dxa"/>
            <w:vAlign w:val="bottom"/>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Food and beverage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15,691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17,128</w:t>
            </w:r>
          </w:p>
        </w:tc>
        <w:tc>
          <w:tcPr>
            <w:tcW w:w="2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4,821</w:t>
            </w:r>
          </w:p>
        </w:tc>
        <w:tc>
          <w:tcPr>
            <w:tcW w:w="4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20" w:type="dxa"/>
            <w:vAlign w:val="bottom"/>
          </w:tcPr>
          <w:p>
            <w:pPr>
              <w:spacing w:after="0"/>
              <w:rPr>
                <w:sz w:val="18"/>
                <w:szCs w:val="18"/>
                <w:color w:val="auto"/>
              </w:rPr>
            </w:pPr>
          </w:p>
        </w:tc>
      </w:tr>
      <w:tr>
        <w:trPr>
          <w:trHeight w:val="222"/>
        </w:trPr>
        <w:tc>
          <w:tcPr>
            <w:tcW w:w="8820" w:type="dxa"/>
            <w:vAlign w:val="bottom"/>
          </w:tcPr>
          <w:p>
            <w:pPr>
              <w:ind w:left="440"/>
              <w:spacing w:after="0"/>
              <w:rPr>
                <w:sz w:val="20"/>
                <w:szCs w:val="20"/>
                <w:color w:val="auto"/>
              </w:rPr>
            </w:pPr>
            <w:r>
              <w:rPr>
                <w:rFonts w:ascii="Arial" w:cs="Arial" w:eastAsia="Arial" w:hAnsi="Arial"/>
                <w:sz w:val="18"/>
                <w:szCs w:val="18"/>
                <w:color w:val="auto"/>
              </w:rPr>
              <w:t>Total</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5"/>
              </w:rPr>
              <w:t>$ 31,415</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$ 34,212</w:t>
            </w:r>
          </w:p>
        </w:tc>
      </w:tr>
      <w:tr>
        <w:trPr>
          <w:trHeight w:val="20"/>
        </w:trPr>
        <w:tc>
          <w:tcPr>
            <w:tcW w:w="8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Taxes</w:t>
      </w:r>
    </w:p>
    <w:p>
      <w:pPr>
        <w:spacing w:after="0" w:line="90" w:lineRule="exact"/>
        <w:rPr>
          <w:sz w:val="20"/>
          <w:szCs w:val="20"/>
          <w:color w:val="auto"/>
        </w:rPr>
      </w:pPr>
    </w:p>
    <w:p>
      <w:pPr>
        <w:jc w:val="both"/>
        <w:ind w:right="640" w:firstLine="456"/>
        <w:spacing w:after="0" w:line="335" w:lineRule="auto"/>
        <w:rPr>
          <w:sz w:val="20"/>
          <w:szCs w:val="20"/>
          <w:color w:val="auto"/>
        </w:rPr>
      </w:pPr>
      <w:r>
        <w:rPr>
          <w:rFonts w:ascii="Arial" w:cs="Arial" w:eastAsia="Arial" w:hAnsi="Arial"/>
          <w:sz w:val="15"/>
          <w:szCs w:val="15"/>
          <w:color w:val="auto"/>
        </w:rPr>
        <w:t>The Company is subject to taxes based on gross gaming revenues, subject to applicable adjustments. These gaming taxes are an assessment on the Company’s gaming revenues and are recorded as an expense within the “Casino” line item in the accompanying Condensed Consolidated Statements of Operations. These taxes totaled approximately $9.7 million and $8.7 million for the three months ended March 31, 2010 and 2009, respectively.</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 expenses advertising costs the first time the advertising takes place. Advertising costs incurred in development periods are included in pre-opening costs. Once a project is completed,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color w:val="auto"/>
        </w:rPr>
        <w:t>advertising costs are included in general and administrative expenses. For the three months ended March 31, 2010 and 2009, advertising costs totaled approximately $3.5 million and $6.9 million, respectively.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Company accounts for share based compensation related to equity shares of Wynn Resorts granted to its employees by recognizing the costs of the employee services received in exchange for the equity award instrument based on the grant date fair value of the awards over the service period. For the three months ended March 31, 2010 and 2009, the Company recorded $2.9 million and $2.2 million, respectively, in share based compensation with a corresponding credit to contributed capital.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amounts in the condensed consolidated financial statements for 2009 have been reclassified to be consistent with the current year presentation.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reclassifications had no effect on the previously reported net loss.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9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In June 2009, the Financial Accounting Standards Board (the “FASB”) issued new accounting standards regarding the consolidation of variable interest entities. These new accounting standards address the effects of elimination of the qualifying special-purpose entity concept from previous standards. These new accounting standards amend previous guidance in determining whether an enterprise has a controlling financial interest in a variable interest entity. This determination identifies the primary beneficiary of a variable interest entity as the enterprise that has both the power to direct the activities of a variable interest entity that most significantly impacts the entity’s economic performance and the ability to absorb losses or the right to receive benefits of the entity that could potentially be significant to the variable interest entity. The Company adopted the new accounting standards on January 1, 2010. The adoption of these new accounting standards did not have a material effect on the Company’s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Supplemental Disclosure of Cash Flow Information</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Interest paid for the three months ended March 31, 2010 and 2009 totaled approximately $4.3 million and $6.2 million, respectively. Interest capitalized for the three months ended March 31, 2010 totaled approximately $0.2 million. There was no interest capitalized during the three months ended March 31, 2009.</w:t>
      </w:r>
    </w:p>
    <w:p>
      <w:pPr>
        <w:spacing w:after="0" w:line="85"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During the three months ended March 31, 2010 and 2009, capital expenditures include a decrease of approximately $2 million and an increase of approximately $95 million, respectively, in construction payables and retention recorded through amounts due to affiliates.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Receivables,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5"/>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39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2010</w:t>
            </w:r>
          </w:p>
        </w:tc>
        <w:tc>
          <w:tcPr>
            <w:tcW w:w="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5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$162,427</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149,786</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Hotel</w:t>
            </w:r>
          </w:p>
        </w:tc>
        <w:tc>
          <w:tcPr>
            <w:tcW w:w="5040" w:type="dxa"/>
            <w:vAlign w:val="bottom"/>
            <w:gridSpan w:val="2"/>
          </w:tcPr>
          <w:p>
            <w:pPr>
              <w:jc w:val="right"/>
              <w:spacing w:after="0"/>
              <w:rPr>
                <w:sz w:val="20"/>
                <w:szCs w:val="20"/>
                <w:color w:val="auto"/>
              </w:rPr>
            </w:pPr>
            <w:r>
              <w:rPr>
                <w:rFonts w:ascii="Arial" w:cs="Arial" w:eastAsia="Arial" w:hAnsi="Arial"/>
                <w:sz w:val="18"/>
                <w:szCs w:val="18"/>
                <w:color w:val="auto"/>
              </w:rPr>
              <w:t>18,390</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17,490</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3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10,309</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40" w:type="dxa"/>
            <w:vAlign w:val="bottom"/>
          </w:tcPr>
          <w:p>
            <w:pPr>
              <w:spacing w:after="0"/>
              <w:rPr>
                <w:sz w:val="19"/>
                <w:szCs w:val="19"/>
                <w:color w:val="auto"/>
              </w:rPr>
            </w:pPr>
          </w:p>
        </w:tc>
        <w:tc>
          <w:tcPr>
            <w:tcW w:w="5040" w:type="dxa"/>
            <w:vAlign w:val="bottom"/>
            <w:gridSpan w:val="2"/>
          </w:tcPr>
          <w:p>
            <w:pPr>
              <w:jc w:val="right"/>
              <w:spacing w:after="0"/>
              <w:rPr>
                <w:sz w:val="20"/>
                <w:szCs w:val="20"/>
                <w:color w:val="auto"/>
              </w:rPr>
            </w:pPr>
            <w:r>
              <w:rPr>
                <w:rFonts w:ascii="Arial" w:cs="Arial" w:eastAsia="Arial" w:hAnsi="Arial"/>
                <w:sz w:val="18"/>
                <w:szCs w:val="18"/>
                <w:color w:val="auto"/>
              </w:rPr>
              <w:t>191,126</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178,266</w:t>
            </w:r>
          </w:p>
        </w:tc>
        <w:tc>
          <w:tcPr>
            <w:tcW w:w="0" w:type="dxa"/>
            <w:vAlign w:val="bottom"/>
          </w:tcPr>
          <w:p>
            <w:pPr>
              <w:spacing w:after="0"/>
              <w:rPr>
                <w:sz w:val="1"/>
                <w:szCs w:val="1"/>
                <w:color w:val="auto"/>
              </w:rPr>
            </w:pPr>
          </w:p>
        </w:tc>
      </w:tr>
      <w:tr>
        <w:trPr>
          <w:trHeight w:val="218"/>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4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(72,410)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(67,406)</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40" w:type="dxa"/>
            <w:vAlign w:val="bottom"/>
          </w:tcPr>
          <w:p>
            <w:pPr>
              <w:spacing w:after="0"/>
              <w:rPr>
                <w:sz w:val="19"/>
                <w:szCs w:val="19"/>
                <w:color w:val="auto"/>
              </w:rPr>
            </w:pPr>
          </w:p>
        </w:tc>
        <w:tc>
          <w:tcPr>
            <w:tcW w:w="5660" w:type="dxa"/>
            <w:vAlign w:val="bottom"/>
            <w:gridSpan w:val="3"/>
          </w:tcPr>
          <w:p>
            <w:pPr>
              <w:jc w:val="right"/>
              <w:ind w:right="620"/>
              <w:spacing w:after="0"/>
              <w:rPr>
                <w:sz w:val="20"/>
                <w:szCs w:val="20"/>
                <w:color w:val="auto"/>
              </w:rPr>
            </w:pPr>
            <w:r>
              <w:rPr>
                <w:rFonts w:ascii="Arial" w:cs="Arial" w:eastAsia="Arial" w:hAnsi="Arial"/>
                <w:sz w:val="18"/>
                <w:szCs w:val="18"/>
                <w:color w:val="auto"/>
              </w:rPr>
              <w:t>$ 118,716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110,860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4360" w:type="dxa"/>
            <w:vAlign w:val="bottom"/>
            <w:vMerge w:val="restart"/>
          </w:tcPr>
          <w:p>
            <w:pPr>
              <w:jc w:val="right"/>
              <w:ind w:right="2912"/>
              <w:spacing w:after="0"/>
              <w:rPr>
                <w:sz w:val="20"/>
                <w:szCs w:val="20"/>
                <w:color w:val="auto"/>
              </w:rPr>
            </w:pPr>
            <w:r>
              <w:rPr>
                <w:rFonts w:ascii="Arial" w:cs="Arial" w:eastAsia="Arial" w:hAnsi="Arial"/>
                <w:sz w:val="18"/>
                <w:szCs w:val="18"/>
                <w:color w:val="auto"/>
              </w:rPr>
              <w:t>8</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4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March 31,</w:t>
            </w:r>
          </w:p>
        </w:tc>
        <w:tc>
          <w:tcPr>
            <w:tcW w:w="580" w:type="dxa"/>
            <w:vAlign w:val="bottom"/>
          </w:tcPr>
          <w:p>
            <w:pPr>
              <w:spacing w:after="0"/>
              <w:rPr>
                <w:sz w:val="14"/>
                <w:szCs w:val="14"/>
                <w:color w:val="auto"/>
              </w:rPr>
            </w:pPr>
          </w:p>
        </w:tc>
        <w:tc>
          <w:tcPr>
            <w:tcW w:w="13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81"/>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22"/>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2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692,677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692,677</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2,559,798</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2,554,224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2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5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1,334,502</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1,325,677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660" w:type="dxa"/>
            <w:vAlign w:val="bottom"/>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39,564</w:t>
            </w:r>
          </w:p>
        </w:tc>
        <w:tc>
          <w:tcPr>
            <w:tcW w:w="5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23,973</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4,670,795</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4,640,805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66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3"/>
            <w:shd w:val="clear" w:color="auto" w:fill="CCEEFF"/>
          </w:tcPr>
          <w:p>
            <w:pPr>
              <w:jc w:val="right"/>
              <w:ind w:right="434"/>
              <w:spacing w:after="0"/>
              <w:rPr>
                <w:sz w:val="20"/>
                <w:szCs w:val="20"/>
                <w:color w:val="auto"/>
              </w:rPr>
            </w:pPr>
            <w:r>
              <w:rPr>
                <w:rFonts w:ascii="Arial" w:cs="Arial" w:eastAsia="Arial" w:hAnsi="Arial"/>
                <w:sz w:val="18"/>
                <w:szCs w:val="18"/>
                <w:color w:val="auto"/>
              </w:rPr>
              <w:t>(862,386)</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(789,137)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$ 3,808,409</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$ 3,851,668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Long-Term Debt</w:t>
            </w:r>
          </w:p>
        </w:tc>
        <w:tc>
          <w:tcPr>
            <w:tcW w:w="16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980" w:type="dxa"/>
            <w:vAlign w:val="bottom"/>
            <w:gridSpan w:val="2"/>
            <w:vMerge w:val="continue"/>
          </w:tcPr>
          <w:p>
            <w:pPr>
              <w:spacing w:after="0"/>
              <w:rPr>
                <w:sz w:val="24"/>
                <w:szCs w:val="24"/>
                <w:color w:val="auto"/>
              </w:rPr>
            </w:pPr>
          </w:p>
        </w:tc>
        <w:tc>
          <w:tcPr>
            <w:tcW w:w="1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80" w:type="dxa"/>
            <w:vAlign w:val="bottom"/>
            <w:gridSpan w:val="2"/>
          </w:tcPr>
          <w:p>
            <w:pPr>
              <w:ind w:left="460"/>
              <w:spacing w:after="0"/>
              <w:rPr>
                <w:sz w:val="20"/>
                <w:szCs w:val="20"/>
                <w:color w:val="auto"/>
              </w:rPr>
            </w:pPr>
            <w:r>
              <w:rPr>
                <w:rFonts w:ascii="Arial" w:cs="Arial" w:eastAsia="Arial" w:hAnsi="Arial"/>
                <w:sz w:val="18"/>
                <w:szCs w:val="18"/>
                <w:color w:val="auto"/>
              </w:rPr>
              <w:t>Long-term debt consisted of the following (amounts in thousands):</w:t>
            </w:r>
          </w:p>
        </w:tc>
        <w:tc>
          <w:tcPr>
            <w:tcW w:w="1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March 31,</w:t>
            </w:r>
          </w:p>
        </w:tc>
        <w:tc>
          <w:tcPr>
            <w:tcW w:w="360" w:type="dxa"/>
            <w:vAlign w:val="bottom"/>
          </w:tcPr>
          <w:p>
            <w:pPr>
              <w:spacing w:after="0"/>
              <w:rPr>
                <w:sz w:val="24"/>
                <w:szCs w:val="24"/>
                <w:color w:val="auto"/>
              </w:rPr>
            </w:pPr>
          </w:p>
        </w:tc>
        <w:tc>
          <w:tcPr>
            <w:tcW w:w="9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2010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946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w w:val="94"/>
              </w:rPr>
              <w:t xml:space="preserve">6 </w:t>
            </w:r>
            <w:r>
              <w:rPr>
                <w:rFonts w:ascii="Arial" w:cs="Arial" w:eastAsia="Arial" w:hAnsi="Arial"/>
                <w:sz w:val="11"/>
                <w:szCs w:val="11"/>
                <w:color w:val="auto"/>
                <w:w w:val="94"/>
              </w:rPr>
              <w:t>5</w:t>
            </w:r>
            <w:r>
              <w:rPr>
                <w:rFonts w:ascii="Arial" w:cs="Arial" w:eastAsia="Arial" w:hAnsi="Arial"/>
                <w:sz w:val="18"/>
                <w:szCs w:val="18"/>
                <w:color w:val="auto"/>
                <w:w w:val="94"/>
              </w:rPr>
              <w:t>/</w:t>
            </w:r>
            <w:r>
              <w:rPr>
                <w:rFonts w:ascii="Arial" w:cs="Arial" w:eastAsia="Arial" w:hAnsi="Arial"/>
                <w:sz w:val="13"/>
                <w:szCs w:val="13"/>
                <w:color w:val="auto"/>
                <w:w w:val="94"/>
              </w:rPr>
              <w:t>8</w:t>
            </w:r>
            <w:r>
              <w:rPr>
                <w:rFonts w:ascii="Arial" w:cs="Arial" w:eastAsia="Arial" w:hAnsi="Arial"/>
                <w:sz w:val="18"/>
                <w:szCs w:val="18"/>
                <w:color w:val="auto"/>
                <w:w w:val="94"/>
              </w:rPr>
              <w:t xml:space="preserve"> % First Mortgage Notes, due December 1, 2014, net of original issue discount of $7,862 at March 31, 2010 and $8,214 at</w:t>
            </w:r>
          </w:p>
        </w:tc>
        <w:tc>
          <w:tcPr>
            <w:tcW w:w="5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December 31, 2009</w:t>
            </w:r>
          </w:p>
        </w:tc>
        <w:tc>
          <w:tcPr>
            <w:tcW w:w="30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$1,626,368</w:t>
            </w:r>
          </w:p>
        </w:tc>
        <w:tc>
          <w:tcPr>
            <w:tcW w:w="8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$ 1,626,016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9460" w:type="dxa"/>
            <w:vAlign w:val="bottom"/>
            <w:gridSpan w:val="5"/>
          </w:tcPr>
          <w:p>
            <w:pPr>
              <w:spacing w:after="0"/>
              <w:rPr>
                <w:sz w:val="20"/>
                <w:szCs w:val="20"/>
                <w:color w:val="auto"/>
              </w:rPr>
            </w:pPr>
            <w:r>
              <w:rPr>
                <w:rFonts w:ascii="Arial" w:cs="Arial" w:eastAsia="Arial" w:hAnsi="Arial"/>
                <w:sz w:val="18"/>
                <w:szCs w:val="18"/>
                <w:color w:val="auto"/>
                <w:w w:val="94"/>
              </w:rPr>
              <w:t xml:space="preserve">7 </w:t>
            </w:r>
            <w:r>
              <w:rPr>
                <w:rFonts w:ascii="Arial" w:cs="Arial" w:eastAsia="Arial" w:hAnsi="Arial"/>
                <w:sz w:val="11"/>
                <w:szCs w:val="11"/>
                <w:color w:val="auto"/>
                <w:w w:val="94"/>
              </w:rPr>
              <w:t>7</w:t>
            </w:r>
            <w:r>
              <w:rPr>
                <w:rFonts w:ascii="Arial" w:cs="Arial" w:eastAsia="Arial" w:hAnsi="Arial"/>
                <w:sz w:val="18"/>
                <w:szCs w:val="18"/>
                <w:color w:val="auto"/>
                <w:w w:val="94"/>
              </w:rPr>
              <w:t>/</w:t>
            </w:r>
            <w:r>
              <w:rPr>
                <w:rFonts w:ascii="Arial" w:cs="Arial" w:eastAsia="Arial" w:hAnsi="Arial"/>
                <w:sz w:val="13"/>
                <w:szCs w:val="13"/>
                <w:color w:val="auto"/>
                <w:w w:val="94"/>
              </w:rPr>
              <w:t>8</w:t>
            </w:r>
            <w:r>
              <w:rPr>
                <w:rFonts w:ascii="Arial" w:cs="Arial" w:eastAsia="Arial" w:hAnsi="Arial"/>
                <w:sz w:val="18"/>
                <w:szCs w:val="18"/>
                <w:color w:val="auto"/>
                <w:w w:val="94"/>
              </w:rPr>
              <w:t xml:space="preserve"> % First Mortgage Notes, due November 1, 2017, net of original issue discount of $10,449 at March 31, 2010 and $10,529</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80" w:type="dxa"/>
            <w:vAlign w:val="bottom"/>
            <w:gridSpan w:val="2"/>
          </w:tcPr>
          <w:p>
            <w:pPr>
              <w:ind w:left="220"/>
              <w:spacing w:after="0"/>
              <w:rPr>
                <w:sz w:val="20"/>
                <w:szCs w:val="20"/>
                <w:color w:val="auto"/>
              </w:rPr>
            </w:pPr>
            <w:r>
              <w:rPr>
                <w:rFonts w:ascii="Arial" w:cs="Arial" w:eastAsia="Arial" w:hAnsi="Arial"/>
                <w:sz w:val="18"/>
                <w:szCs w:val="18"/>
                <w:color w:val="auto"/>
              </w:rPr>
              <w:t>at December 31, 2009</w:t>
            </w:r>
          </w:p>
        </w:tc>
        <w:tc>
          <w:tcPr>
            <w:tcW w:w="1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489,551</w:t>
            </w:r>
          </w:p>
        </w:tc>
        <w:tc>
          <w:tcPr>
            <w:tcW w:w="8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489,471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due July 15, 2013; interest at LIBOR plus 3.0%</w:t>
            </w:r>
          </w:p>
        </w:tc>
        <w:tc>
          <w:tcPr>
            <w:tcW w:w="1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252,717</w:t>
            </w:r>
          </w:p>
        </w:tc>
        <w:tc>
          <w:tcPr>
            <w:tcW w:w="8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252,717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460" w:type="dxa"/>
            <w:vAlign w:val="bottom"/>
            <w:gridSpan w:val="5"/>
          </w:tcPr>
          <w:p>
            <w:pPr>
              <w:spacing w:after="0"/>
              <w:rPr>
                <w:sz w:val="20"/>
                <w:szCs w:val="20"/>
                <w:color w:val="auto"/>
              </w:rPr>
            </w:pPr>
            <w:r>
              <w:rPr>
                <w:rFonts w:ascii="Arial" w:cs="Arial" w:eastAsia="Arial" w:hAnsi="Arial"/>
                <w:sz w:val="18"/>
                <w:szCs w:val="18"/>
                <w:color w:val="auto"/>
                <w:w w:val="96"/>
              </w:rPr>
              <w:t>Term Loan Facility; $40.2 million due September 30, 2012 with the remaining $40.2 million due August 15, 2013; interest at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80" w:type="dxa"/>
            <w:vAlign w:val="bottom"/>
            <w:gridSpan w:val="2"/>
          </w:tcPr>
          <w:p>
            <w:pPr>
              <w:ind w:left="220"/>
              <w:spacing w:after="0"/>
              <w:rPr>
                <w:sz w:val="20"/>
                <w:szCs w:val="20"/>
                <w:color w:val="auto"/>
              </w:rPr>
            </w:pPr>
            <w:r>
              <w:rPr>
                <w:rFonts w:ascii="Arial" w:cs="Arial" w:eastAsia="Arial" w:hAnsi="Arial"/>
                <w:sz w:val="18"/>
                <w:szCs w:val="18"/>
                <w:color w:val="auto"/>
              </w:rPr>
              <w:t>LIBOR plus 1.875%</w:t>
            </w:r>
          </w:p>
        </w:tc>
        <w:tc>
          <w:tcPr>
            <w:tcW w:w="1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80,446</w:t>
            </w:r>
          </w:p>
        </w:tc>
        <w:tc>
          <w:tcPr>
            <w:tcW w:w="8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80,446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1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37,800</w:t>
            </w:r>
          </w:p>
        </w:tc>
        <w:tc>
          <w:tcPr>
            <w:tcW w:w="8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38,150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color w:val="auto"/>
              </w:rPr>
              <w:t>Payable to Affiliate</w:t>
            </w:r>
          </w:p>
        </w:tc>
        <w:tc>
          <w:tcPr>
            <w:tcW w:w="1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65,770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65,770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30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2,552,652</w:t>
            </w:r>
          </w:p>
        </w:tc>
        <w:tc>
          <w:tcPr>
            <w:tcW w:w="8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2,552,570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1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(1,050)</w:t>
            </w:r>
          </w:p>
        </w:tc>
        <w:tc>
          <w:tcPr>
            <w:tcW w:w="1300" w:type="dxa"/>
            <w:vAlign w:val="bottom"/>
            <w:gridSpan w:val="5"/>
          </w:tcPr>
          <w:p>
            <w:pPr>
              <w:jc w:val="right"/>
              <w:ind w:right="6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spacing w:after="0"/>
              <w:rPr>
                <w:sz w:val="18"/>
                <w:szCs w:val="18"/>
                <w:color w:val="auto"/>
              </w:rPr>
            </w:pPr>
          </w:p>
        </w:tc>
        <w:tc>
          <w:tcPr>
            <w:tcW w:w="80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2,551,602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2,551,520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6 </w:t>
      </w:r>
      <w:r>
        <w:rPr>
          <w:rFonts w:ascii="Arial" w:cs="Arial" w:eastAsia="Arial" w:hAnsi="Arial"/>
          <w:sz w:val="11"/>
          <w:szCs w:val="11"/>
          <w:i w:val="1"/>
          <w:iCs w:val="1"/>
          <w:color w:val="auto"/>
        </w:rPr>
        <w:t>5</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First Mortgage Notes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On March 26, 2010, Wynn Las Vegas, LLC and Wynn Las Vegas Capital Corp. (the “issuers”), each a direct or indirect wholly owned subsidiary of Wynn Resorts, Limited, commenced an offer to exchange all outstanding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2014 (the “2014 Notes”) for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2020 (the “2020 Notes”) of the issuers, upon the terms and subject to the conditions set forth in an offering memorandum (the “offering memorandum”), and a related letter of transmittal (the “exchange offer”). The exchange offer was conditioned upon, among other things, the tender of at least $250 million aggregate principal amount of 2014 Notes. The 2020 Notes were offered only to qualified institutional buyers and outside the United States in accordance with Rule 144A and Regulation S, respectively, under the Securities Act of 1933, as amended (the “Securities Act”). As of April 23, 2010, the expiration date, approximately $382 million of the 2014 Notes were validly tendered for exchange to the 2020 Notes. This includes $30 million of the 2014 Notes that were purchased by Wynn Resorts in 2009. The exchange offer closed on April 28, 2010.</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The 2020 Notes rank pari passu in right of payment with borrowings under Wynn Las Vegas, LLC’s credit facilities, the 2014 Notes and the issuers’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2017 (the “2017 Notes”). The 2020 Notes are senior secured obligations of the issuers, will be guaranteed by certain of Wynn Las Vegas, LLC’s subsidiaries and are secured by a first priority lien on substantially all of the existing and future assets of the issuers and guarantors and, subject to approval from the Nevada Gaming Commission, a first priority lien on the equity interests of Wynn Las Vegas, LLC, all of which is the same collateral that secures borrowings under Wynn Las Vegas, LLC’s credit facilities, the 2014 Notes and the 2017 Notes.</w:t>
      </w:r>
    </w:p>
    <w:p>
      <w:pPr>
        <w:spacing w:after="0" w:line="11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As further described in the offering memorandum, noteholders who validly tendered 2014 Notes prior to the early delivery time received an early delivery payment on April 28, 2010 of 1% of the amount tendered in cash which totaled approximately $3.8 million. In accordance with accounting standards, this will be included as deferred financing costs and amortized over the life of the 2020 Notes.</w:t>
      </w:r>
    </w:p>
    <w:p>
      <w:pPr>
        <w:spacing w:after="0" w:line="14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During the three months ended March 31, 2009, Wynn Resorts purchased $39.3 million face amount of the Company’s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2014 through open market purchases at a discount. The purchase of the notes by Wynn Resorts has not been contributed to the Company and the notes have not been retired. Accordingly, $39.3 million of the First Mortgage Notes held by Wynn Resorts remain on the Company’s balance sheet as a payable to affiliate within Long-term Debt. If and when such notes are contributed to the Company by Wynn Resorts, the Company would then retire the notes and recognize a gain on the early extinguishment of debt equal to the gain recorded by Wynn Resorts of approximately $10.6 million.</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2010, management believes the Company was in compliance with all debt covenants.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net book value of the 2014 Notes and the 2017 Notes at March 31, 2010 and December 31, 2009, was approximately $2.18 billion. The estimated fair value of the First Mortgage Notes based upon most recent trades at March 31, 2010 and December 31, 2009, was approximately $2.2 billion and $2.1 billion, respectively. The net book value of the Company’s other debt instruments was $371 million and the approximate fair value of such debt was approximately $361 million as of March 31, 2010.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Interest Rate Swaps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These interest rate swaps essentially fix the interest rate at the percentages noted below; however, changes in the fair value of the interest rate swaps for each reporting period have been recorded as an increase/decrease in swap fair value in the accompanying Condensed Consolidated Statements of Operations, as the interest rate swaps do not qualify for hedge accounting.</w:t>
      </w:r>
    </w:p>
    <w:p>
      <w:pPr>
        <w:spacing w:after="0" w:line="14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Company measures the fair value of its interest rate swaps on a recurring basis pursuant to accounting standards for fair value measurements. These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either directly or indirectly observable; and Level 3, defined as unobservable inputs in which little or no market data exists, therefore requiring an entity to develop its own assumptions. The Company categorizes these interest rate swaps as Level 2.</w:t>
      </w:r>
    </w:p>
    <w:p>
      <w:pPr>
        <w:spacing w:after="0" w:line="13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Company currently has one interest rate swap agreement to hedge a portion of the underlying interest rate risk on borrowings under the Wynn Las Vegas Credit Facilities. Under this swap agreement, the Company pays a fixed interest rate of 2.485% on borrowings of $250 million incurred under the Wynn Las Vegas Credit Facilities in exchange for receipts on the same amount at a variable interest rate based on the applicable LIBOR at the time of payment. This interest rate swap fixes the interest rate on $250 million of borrowings at approximately 5.485%. This interest rate swap agreement matures in November 2012. As of March 31, 2010 and December 31, 2009, the fair value of this interest rate swap was a liability of $ 6.5 million and $4.2 million, respectively.</w:t>
      </w:r>
    </w:p>
    <w:p>
      <w:pPr>
        <w:spacing w:after="0" w:line="191" w:lineRule="exact"/>
        <w:rPr>
          <w:sz w:val="20"/>
          <w:szCs w:val="20"/>
          <w:color w:val="auto"/>
        </w:rPr>
      </w:pPr>
    </w:p>
    <w:p>
      <w:pPr>
        <w:ind w:left="240" w:right="8760" w:hanging="232"/>
        <w:spacing w:after="0" w:line="417" w:lineRule="auto"/>
        <w:tabs>
          <w:tab w:leader="none" w:pos="187"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net </w:t>
      </w:r>
      <w:r>
        <w:rPr>
          <w:rFonts w:ascii="Arial" w:cs="Arial" w:eastAsia="Arial" w:hAnsi="Arial"/>
          <w:sz w:val="15"/>
          <w:szCs w:val="15"/>
          <w:i w:val="1"/>
          <w:iCs w:val="1"/>
          <w:color w:val="auto"/>
        </w:rPr>
        <w:t>Amounts Due to Affiliates, net</w:t>
      </w:r>
    </w:p>
    <w:p>
      <w:pPr>
        <w:spacing w:after="0" w:line="1"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As of March 31, 2010, the Company’s current Due to affiliates was primarily comprised of construction payables of approximately $17.8 million, construction retention of approximately $3.4 million and other net amounts due to affiliates totaling $1.7 million (including corporate allocations discussed below). The long-term Due to affiliates is management fees of approximately $87.1 million (equal to 1.5% of net revenues and payable upon meeting certain leverage ratios as specified in the documents governing the Company’s Credit Facilities and the First Mortgage Notes indentures).</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As of December 31, 2009, the Company’s current Due to affiliates was primarily comprised of construction payables of approximately $21.4 million, construction retention of approximately $1.8 million and other net amounts due to affiliates totaling $1.7 million (including corporate allocations discussed below). The long-term Due to affiliates is management fees of $82.3 million (equal to 1.5% of net revenues and payable upon meeting certain leverage ratios as specified in the documents governing the Company’s Credit Facilities and the First Mortgage Notes indentures),</w:t>
      </w:r>
    </w:p>
    <w:p>
      <w:pPr>
        <w:spacing w:after="0" w:line="113"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The Company periodically settles amounts due to affiliates with cash receipts and payments, except for the management fee, which is payable upon meeting certain leverage ratios specified in the documents governing the First Mortgage Notes and the Credit Facilities.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condensed consolidated statements of operations include allocations from Wynn Resorts for legal, accounting, human resources,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Through September 30, 2008, the Company settled these corporate allocation charges with Wynn Resorts on a periodic basis as discussed in “Amounts Due to Affiliates, net” above. Beginning in the fourth quarter of 2008 through the third quarter 2009, the Company did not settle its corporate allocation and accordingly, such allocations were recorded as a contribution to equity from Wynn Resorts. In the fourth quarter 2009, the Company resumed settling its corporate allocations with Wynn Resorts. During the three months ended March 31, 2010 and 2009, approximately $6.8 million and $5.8 million, respectively, were charged to the Company for such corporate allocations.</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20"/>
          </w:cols>
          <w:pgMar w:left="24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 net</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and directors of Wynn Resorts, including household services, construction work and other personal services. The cost of these services is transferred to Wynn Resorts on a periodic basis. Mr. Wynn and these other officers and directors have amounts on deposit with Wynn Resorts to prepay any such items, which are replenished on an ongoing basis as needed. As of March 31, 2010, and December 31, 2009, Wynn Resorts owed Mr. Wynn and the other officers and directors approximately $402,139 and $789,095, respectively.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Mr. Wynn and Elaine P. Wynn, who is also a director of Wynn Resorts, each lease from year to year a villa suite in the Wynn Las Vegas resort. Pursuant to a lease agreement, as of July 1, 2008, the rent was $520,000 per year for a villa suite. In March 2009, this lease was amended to add an additional unit with no change in rent due to due to the significant deterioration in the Las Vegas rental market.</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March 17, 2010, Elaine P. Wynn and Wynn Las Vegas entered into an Agreement of Lease (the “EW Lease”) for the lease of a villa suite as Elaine P. Wynn’s personal residence. The EW Lease was approved by the Audit Committee of the Board of Directors of the Company. The term of the lease commenced as of March 1, 2010 and terminates December 31, 2010. Pursuant to the terms of the EW Lease, Elaine P. Wynn will pay annual rent equal to $350,000, which amount was determined by the Audit Committee with the assistance of a third-party appraisal. Certain services for, and maintenance of, the villa suite are included in the rental. The EW Lease superseded the terms of the prior agreement.</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March 18, 2010, Mr. Wynn and Wynn Las Vegas entered into an Amended and Restated Agreement of Lease (the “SW Lease”) for a villa to serve as Mr. Wynn’s personal residence. The SW Lease amends and restates a prior lease. The SW Lease was approved by the Audit Committee of the Board of Directors of the Company. The term of the SW lease commenced as of March 1, 2010 and runs concurrent with Mr. Wynn’s employment agreement with the Company; provided that either party may terminate on 90 days notice. Pursuant to the SW Lease, the rental value of the villa will be treated as imputed income to Mr. Wynn, and will be equal to the fair market value of the accommodations provided. Effective March 1, 2010, and for the first two years of the term of the SW Lease, the rental value will be $503,831 per year. The rental value for the villa will be re-determined every two years during the term of the lease by the Audit Committee, with the assistance of an independent third-party appraisal. Certain services for, and maintenance of, the villa is included in the rental.</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Charges and Other</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Property charges and other for the three months ended March 31, 2010 and 2009 were $1.3 million and $13.9 million, respectively. Property charges generally include costs related to the retirement of assets for remodels and asset abandonments. Property charges and other for the three months ended March 31, 2010, related to miscellaneous renovations and abandonments at Wynn Las Vegas and Encore.</w:t>
      </w:r>
    </w:p>
    <w:p>
      <w:pPr>
        <w:spacing w:after="0" w:line="14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Property charges and other for the three months ended March 31, 2009, include the write-off of $13.4 million of an aircraft purchase deposit. On February 19, 2009, the Company cancelled the agreement to purchase this aircraft. The deposit on the aircraft was refundable to the extent another buyer was found. Due to the uncertainty as to the recoverability of this deposit, the Company wrote off the deposit in the first quarter of 2009. In the second quarter of 2009 another buyer was found and we recovered $8.1 million of our deposit. The remaining property charges were related to miscellaneous renovations and abandonments at Wynn Las Vegas and Encore.</w:t>
      </w:r>
    </w:p>
    <w:p>
      <w:pPr>
        <w:spacing w:after="0" w:line="218" w:lineRule="exact"/>
        <w:rPr>
          <w:sz w:val="20"/>
          <w:szCs w:val="20"/>
          <w:color w:val="auto"/>
        </w:rPr>
      </w:pPr>
    </w:p>
    <w:p>
      <w:pPr>
        <w:ind w:right="8660" w:firstLine="8"/>
        <w:spacing w:after="0" w:line="347" w:lineRule="auto"/>
        <w:tabs>
          <w:tab w:leader="none" w:pos="263"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Litigation</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 does not have any material litigation as of March 31, 2010.</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 and Use Tax on Complimentary Meals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In March 2008, the Nevada Supreme Court ruled, in the matter captioned </w:t>
      </w:r>
      <w:r>
        <w:rPr>
          <w:rFonts w:ascii="Arial" w:cs="Arial" w:eastAsia="Arial" w:hAnsi="Arial"/>
          <w:sz w:val="18"/>
          <w:szCs w:val="18"/>
          <w:i w:val="1"/>
          <w:iCs w:val="1"/>
          <w:color w:val="auto"/>
        </w:rPr>
        <w:t>Sparks Nugget, Inc. vs. The State of Nevada Ex Rel. Department of Taxation</w:t>
      </w:r>
      <w:r>
        <w:rPr>
          <w:rFonts w:ascii="Arial" w:cs="Arial" w:eastAsia="Arial" w:hAnsi="Arial"/>
          <w:sz w:val="18"/>
          <w:szCs w:val="18"/>
          <w:color w:val="auto"/>
        </w:rPr>
        <w:t>, that food and non-alcoholic beverages purchased for use in providing complimentary meals to customers and to employees was exempt from sales and use tax. In July 2008, the Court denied the State’s motion for rehearing. Through April 2008, Wynn Las Vegas has paid use tax on these items and has filed for refunds for the periods from April 2005 to April 2008. The amount subject to these refunds is approximately $5.4 million. As of March 31, 2010, the Company had not recorded a receivable related to this matter.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Consolidating Financial Information of Guarantors and Issuers</w:t>
      </w:r>
    </w:p>
    <w:p>
      <w:pPr>
        <w:spacing w:after="0" w:line="96"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following consolidating information relates to the Issuers of the First Mortgage Notes and their guarantor subsidiaries (World Travel, LLC; Las Vegas Jet, LLC; Wynn Show Performers, LLC; Wynn Golf, LLC; Kevyn, LLC; and Wynn Sunrise, LLC) and non-guarantor subsidiary (Wynn Completion Guarantor, LLC) as of March 31, 2010 and December 31, 2009, and for the three months ended March 31, 2010 and 2009.</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The following consolidating information is presented in the form provided because: (i) the guarantor subsidiaries are wholly owned subsidiaries of Wynn Las Vegas, LLC (an issuer of the 6 </w:t>
      </w:r>
      <w:r>
        <w:rPr>
          <w:rFonts w:ascii="Arial" w:cs="Arial" w:eastAsia="Arial" w:hAnsi="Arial"/>
          <w:sz w:val="11"/>
          <w:szCs w:val="11"/>
          <w:color w:val="auto"/>
        </w:rPr>
        <w:t>5</w:t>
      </w:r>
      <w:r>
        <w:rPr>
          <w:rFonts w:ascii="Arial" w:cs="Arial" w:eastAsia="Arial" w:hAnsi="Arial"/>
          <w:sz w:val="18"/>
          <w:szCs w:val="18"/>
          <w:color w:val="auto"/>
        </w:rPr>
        <w:t xml:space="preserve"> /</w:t>
      </w:r>
      <w:r>
        <w:rPr>
          <w:rFonts w:ascii="Arial" w:cs="Arial" w:eastAsia="Arial" w:hAnsi="Arial"/>
          <w:sz w:val="13"/>
          <w:szCs w:val="13"/>
          <w:color w:val="auto"/>
        </w:rPr>
        <w:t>8</w:t>
      </w:r>
      <w:r>
        <w:rPr>
          <w:rFonts w:ascii="Arial" w:cs="Arial" w:eastAsia="Arial" w:hAnsi="Arial"/>
          <w:sz w:val="18"/>
          <w:szCs w:val="18"/>
          <w:color w:val="auto"/>
        </w:rPr>
        <w:t xml:space="preserve">% and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First Mortgage Notes); (ii) the guarantee is considered to be full and unconditional (that is, if the Issuers fail to make a scheduled payment, the guarantor subsidiaries are obligated to make the scheduled payment immediately and, if they do not, any holder of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and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may immediately bring suit directly against the guarantor subsidiaries for payment of all amounts due and payable); and (iii) the guarantee is joint and several.</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4"/>
              </w:rPr>
              <w:t>Guarantor</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7"/>
              </w:rPr>
              <w:t>Issuers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6"/>
              </w:rPr>
              <w:t>Subsidiary</w:t>
            </w:r>
          </w:p>
        </w:tc>
        <w:tc>
          <w:tcPr>
            <w:tcW w:w="10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ind w:left="196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46,261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118,716</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118,716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79,462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19,104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19,420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263,543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3,611,674</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196,735</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3,808,409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8,213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6,144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39,854</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55,091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(17,300)</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3,817</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17,300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3,961,075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207,252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4,185,632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24,193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55,973</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55,973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40,957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1,168</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11,928</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17,183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58,136</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58,183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(162,571)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193,380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45,799</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195,688</w:t>
            </w:r>
          </w:p>
        </w:tc>
        <w:tc>
          <w:tcPr>
            <w:tcW w:w="100" w:type="dxa"/>
            <w:vAlign w:val="bottom"/>
          </w:tcPr>
          <w:p>
            <w:pPr>
              <w:spacing w:after="0"/>
              <w:rPr>
                <w:sz w:val="19"/>
                <w:szCs w:val="19"/>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19"/>
                <w:szCs w:val="19"/>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233,606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2,514,852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36,750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2,551,602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87,113</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87,113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6,502</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2,654,266</w:t>
            </w:r>
          </w:p>
        </w:tc>
        <w:tc>
          <w:tcPr>
            <w:tcW w:w="10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232,438</w:t>
            </w:r>
          </w:p>
        </w:tc>
        <w:tc>
          <w:tcPr>
            <w:tcW w:w="10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20"/>
                <w:szCs w:val="20"/>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2,878,823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1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1,915,094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12,530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1,915,094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Retained earnings (deficit)</w:t>
            </w: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(608,285)</w:t>
            </w: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(37,716)</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29,830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(608,285)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1,306,809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(25,186)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1,306,809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3,961,075</w:t>
            </w:r>
          </w:p>
        </w:tc>
        <w:tc>
          <w:tcPr>
            <w:tcW w:w="6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207,252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17,300</w:t>
            </w:r>
          </w:p>
        </w:tc>
        <w:tc>
          <w:tcPr>
            <w:tcW w:w="6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4,185,632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4"/>
              </w:rPr>
              <w:t>Guarantor</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7"/>
              </w:rPr>
              <w:t>Issuers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6"/>
              </w:rPr>
              <w:t>Subsidiary</w:t>
            </w:r>
          </w:p>
        </w:tc>
        <w:tc>
          <w:tcPr>
            <w:tcW w:w="10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ind w:left="196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65,998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110,860</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110,860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80,861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24,864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25,187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282,583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3,653,786</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197,882</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3,851,668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8,731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6,144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42,025</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58,733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(16,450)</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3,761</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16,450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4,029,408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208,461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4,254,324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28,226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17,595</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36,342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1,179</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7,111</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16,153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101,340</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101,507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(163,895)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193,256</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42,872</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195,697</w:t>
            </w:r>
          </w:p>
        </w:tc>
        <w:tc>
          <w:tcPr>
            <w:tcW w:w="100" w:type="dxa"/>
            <w:vAlign w:val="bottom"/>
          </w:tcPr>
          <w:p>
            <w:pPr>
              <w:spacing w:after="0"/>
              <w:rPr>
                <w:sz w:val="19"/>
                <w:szCs w:val="19"/>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19"/>
                <w:szCs w:val="19"/>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230,688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2,514,420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37,100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2,551,520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Due to affiliates</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82,339</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82,339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2,643,855</w:t>
            </w:r>
          </w:p>
        </w:tc>
        <w:tc>
          <w:tcPr>
            <w:tcW w:w="10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232,797</w:t>
            </w:r>
          </w:p>
        </w:tc>
        <w:tc>
          <w:tcPr>
            <w:tcW w:w="10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20"/>
                <w:szCs w:val="20"/>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2,868,771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1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1,912,146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12,530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1,912,146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Retained earnings (deficit)</w:t>
            </w: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(526,593)</w:t>
            </w: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(36,866)</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28,980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(526,593)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1,385,553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(24,336)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1,385,553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4,029,408</w:t>
            </w:r>
          </w:p>
        </w:tc>
        <w:tc>
          <w:tcPr>
            <w:tcW w:w="6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208,461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16,450</w:t>
            </w:r>
          </w:p>
        </w:tc>
        <w:tc>
          <w:tcPr>
            <w:tcW w:w="6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4,254,324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7"/>
              </w:rPr>
              <w:t>Guarantor</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6"/>
              </w:rPr>
              <w:t>Nonguarantor</w:t>
            </w:r>
          </w:p>
        </w:tc>
        <w:tc>
          <w:tcPr>
            <w:tcW w:w="4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Issuers</w:t>
            </w:r>
          </w:p>
        </w:tc>
        <w:tc>
          <w:tcPr>
            <w:tcW w:w="2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26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Casino</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$139,510</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$139,510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77,558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95,943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95,943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51,683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(56)</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51,627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364,694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(56)</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364,675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(46,068)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318,626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(56)</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318,607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6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Casino</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76,827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76,827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30,561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57,986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57,986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35,887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60,269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(392)</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(56)</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59,821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6,640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4,774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77,779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1,147</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78,926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1,254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860"/>
              <w:spacing w:after="0"/>
              <w:rPr>
                <w:sz w:val="20"/>
                <w:szCs w:val="20"/>
                <w:color w:val="auto"/>
              </w:rPr>
            </w:pPr>
            <w:r>
              <w:rPr>
                <w:rFonts w:ascii="Arial" w:cs="Arial" w:eastAsia="Arial" w:hAnsi="Arial"/>
                <w:sz w:val="18"/>
                <w:szCs w:val="18"/>
                <w:color w:val="auto"/>
              </w:rPr>
              <w:t>Total operating costs and expenses</w:t>
            </w: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352,356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792</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(56)</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353,092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(33,730)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(755)</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(34,485)</w:t>
            </w:r>
          </w:p>
        </w:tc>
        <w:tc>
          <w:tcPr>
            <w:tcW w:w="0" w:type="dxa"/>
            <w:vAlign w:val="bottom"/>
          </w:tcPr>
          <w:p>
            <w:pPr>
              <w:spacing w:after="0"/>
              <w:rPr>
                <w:sz w:val="1"/>
                <w:szCs w:val="1"/>
                <w:color w:val="auto"/>
              </w:rPr>
            </w:pPr>
          </w:p>
        </w:tc>
      </w:tr>
      <w:tr>
        <w:trPr>
          <w:trHeight w:val="330"/>
        </w:trPr>
        <w:tc>
          <w:tcPr>
            <w:tcW w:w="56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6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 and other</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(44,916)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(45,076)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swap fair value</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(2,278)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(850)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850</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(47,962)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850</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(47,207)</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20" w:type="dxa"/>
            <w:vAlign w:val="bottom"/>
            <w:gridSpan w:val="2"/>
            <w:vMerge w:val="continue"/>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 (81,692)</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(850)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850</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 (81,692)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660" w:type="dxa"/>
            <w:vAlign w:val="bottom"/>
          </w:tcPr>
          <w:p>
            <w:pPr>
              <w:jc w:val="right"/>
              <w:ind w:right="393"/>
              <w:spacing w:after="0"/>
              <w:rPr>
                <w:sz w:val="20"/>
                <w:szCs w:val="20"/>
                <w:color w:val="auto"/>
              </w:rPr>
            </w:pPr>
            <w:r>
              <w:rPr>
                <w:rFonts w:ascii="Arial" w:cs="Arial" w:eastAsia="Arial" w:hAnsi="Arial"/>
                <w:sz w:val="18"/>
                <w:szCs w:val="18"/>
                <w:color w:val="auto"/>
                <w:w w:val="79"/>
              </w:rPr>
              <w:t>16</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4"/>
              </w:rPr>
              <w:t>Guarantor</w:t>
            </w:r>
          </w:p>
        </w:tc>
        <w:tc>
          <w:tcPr>
            <w:tcW w:w="22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Nonguarantor</w:t>
            </w:r>
          </w:p>
        </w:tc>
        <w:tc>
          <w:tcPr>
            <w:tcW w:w="4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Eliminating</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Issuers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40"/>
              <w:spacing w:after="0"/>
              <w:rPr>
                <w:sz w:val="20"/>
                <w:szCs w:val="20"/>
                <w:color w:val="auto"/>
              </w:rPr>
            </w:pPr>
            <w:r>
              <w:rPr>
                <w:rFonts w:ascii="Arial" w:cs="Arial" w:eastAsia="Arial" w:hAnsi="Arial"/>
                <w:sz w:val="14"/>
                <w:szCs w:val="14"/>
                <w:b w:val="1"/>
                <w:bCs w:val="1"/>
                <w:color w:val="auto"/>
              </w:rPr>
              <w:t>Entries</w:t>
            </w:r>
          </w:p>
        </w:tc>
        <w:tc>
          <w:tcPr>
            <w:tcW w:w="40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Casino</w:t>
            </w:r>
          </w:p>
        </w:tc>
        <w:tc>
          <w:tcPr>
            <w:tcW w:w="2200" w:type="dxa"/>
            <w:vAlign w:val="bottom"/>
            <w:gridSpan w:val="3"/>
          </w:tcPr>
          <w:p>
            <w:pPr>
              <w:jc w:val="right"/>
              <w:ind w:right="500"/>
              <w:spacing w:after="0"/>
              <w:rPr>
                <w:sz w:val="20"/>
                <w:szCs w:val="20"/>
                <w:color w:val="auto"/>
              </w:rPr>
            </w:pPr>
            <w:r>
              <w:rPr>
                <w:rFonts w:ascii="Arial" w:cs="Arial" w:eastAsia="Arial" w:hAnsi="Arial"/>
                <w:sz w:val="18"/>
                <w:szCs w:val="18"/>
                <w:color w:val="auto"/>
              </w:rPr>
              <w:t>$ 117,481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$ 117,481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85,089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96,909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96,909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46,102</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79"/>
              </w:rPr>
              <w:t>251</w:t>
            </w:r>
          </w:p>
        </w:tc>
        <w:tc>
          <w:tcPr>
            <w:tcW w:w="4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ind w:left="860"/>
              <w:spacing w:after="0"/>
              <w:rPr>
                <w:sz w:val="20"/>
                <w:szCs w:val="20"/>
                <w:color w:val="auto"/>
              </w:rPr>
            </w:pPr>
            <w:r>
              <w:rPr>
                <w:rFonts w:ascii="Arial" w:cs="Arial" w:eastAsia="Arial" w:hAnsi="Arial"/>
                <w:sz w:val="18"/>
                <w:szCs w:val="18"/>
                <w:color w:val="auto"/>
              </w:rPr>
              <w:t>Gross revenues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345,581</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251</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345,832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0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(54,310)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(54,310)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10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291,271</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79"/>
              </w:rPr>
              <w:t>251</w:t>
            </w:r>
          </w:p>
        </w:tc>
        <w:tc>
          <w:tcPr>
            <w:tcW w:w="4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291,522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9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Casino</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75,984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75,984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26,344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57,141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57,141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29,453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65,127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251</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64,662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4,354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4,354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10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76,260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1,184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77,444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13,940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vMerge w:val="restart"/>
          </w:tcPr>
          <w:p>
            <w:pPr>
              <w:ind w:left="860"/>
              <w:spacing w:after="0"/>
              <w:rPr>
                <w:sz w:val="20"/>
                <w:szCs w:val="20"/>
                <w:color w:val="auto"/>
              </w:rPr>
            </w:pPr>
            <w:r>
              <w:rPr>
                <w:rFonts w:ascii="Arial" w:cs="Arial" w:eastAsia="Arial" w:hAnsi="Arial"/>
                <w:sz w:val="18"/>
                <w:szCs w:val="18"/>
                <w:color w:val="auto"/>
              </w:rPr>
              <w:t>Total operating costs and expenses</w:t>
            </w:r>
          </w:p>
        </w:tc>
        <w:tc>
          <w:tcPr>
            <w:tcW w:w="10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335,837</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13,818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251</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349,906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(44,566)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(13,818)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(58,384)</w:t>
            </w:r>
          </w:p>
        </w:tc>
        <w:tc>
          <w:tcPr>
            <w:tcW w:w="0" w:type="dxa"/>
            <w:vAlign w:val="bottom"/>
          </w:tcPr>
          <w:p>
            <w:pPr>
              <w:spacing w:after="0"/>
              <w:rPr>
                <w:sz w:val="1"/>
                <w:szCs w:val="1"/>
                <w:color w:val="auto"/>
              </w:rPr>
            </w:pPr>
          </w:p>
        </w:tc>
      </w:tr>
      <w:tr>
        <w:trPr>
          <w:trHeight w:val="330"/>
        </w:trPr>
        <w:tc>
          <w:tcPr>
            <w:tcW w:w="49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2200" w:type="dxa"/>
            <w:vAlign w:val="bottom"/>
            <w:gridSpan w:val="3"/>
          </w:tcPr>
          <w:p>
            <w:pPr>
              <w:jc w:val="right"/>
              <w:ind w:right="440"/>
              <w:spacing w:after="0"/>
              <w:rPr>
                <w:sz w:val="20"/>
                <w:szCs w:val="20"/>
                <w:color w:val="auto"/>
              </w:rPr>
            </w:pPr>
            <w:r>
              <w:rPr>
                <w:rFonts w:ascii="Arial" w:cs="Arial" w:eastAsia="Arial" w:hAnsi="Arial"/>
                <w:sz w:val="18"/>
                <w:szCs w:val="18"/>
                <w:color w:val="auto"/>
              </w:rPr>
              <w:t>(36,548)</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(36,841)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swap fair value</w:t>
            </w:r>
          </w:p>
        </w:tc>
        <w:tc>
          <w:tcPr>
            <w:tcW w:w="10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02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(14,362)</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(251)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14,362</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(50,898)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14,362</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(37,080)</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0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20" w:type="dxa"/>
            <w:vAlign w:val="bottom"/>
            <w:gridSpan w:val="2"/>
            <w:vMerge w:val="continue"/>
          </w:tcPr>
          <w:p>
            <w:pPr>
              <w:spacing w:after="0"/>
              <w:rPr>
                <w:sz w:val="19"/>
                <w:szCs w:val="19"/>
                <w:color w:val="auto"/>
              </w:rPr>
            </w:pPr>
          </w:p>
        </w:tc>
        <w:tc>
          <w:tcPr>
            <w:tcW w:w="2200" w:type="dxa"/>
            <w:vAlign w:val="bottom"/>
            <w:gridSpan w:val="3"/>
          </w:tcPr>
          <w:p>
            <w:pPr>
              <w:jc w:val="right"/>
              <w:ind w:right="440"/>
              <w:spacing w:after="0"/>
              <w:rPr>
                <w:sz w:val="20"/>
                <w:szCs w:val="20"/>
                <w:color w:val="auto"/>
              </w:rPr>
            </w:pPr>
            <w:r>
              <w:rPr>
                <w:rFonts w:ascii="Arial" w:cs="Arial" w:eastAsia="Arial" w:hAnsi="Arial"/>
                <w:sz w:val="18"/>
                <w:szCs w:val="18"/>
                <w:color w:val="auto"/>
              </w:rPr>
              <w:t>$ (95,464)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(14,362)</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14,362</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 (95,464)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20" w:type="dxa"/>
            <w:vAlign w:val="bottom"/>
            <w:vMerge w:val="restart"/>
          </w:tcPr>
          <w:p>
            <w:pPr>
              <w:jc w:val="right"/>
              <w:ind w:right="52"/>
              <w:spacing w:after="0"/>
              <w:rPr>
                <w:sz w:val="20"/>
                <w:szCs w:val="20"/>
                <w:color w:val="auto"/>
              </w:rPr>
            </w:pPr>
            <w:r>
              <w:rPr>
                <w:rFonts w:ascii="Arial" w:cs="Arial" w:eastAsia="Arial" w:hAnsi="Arial"/>
                <w:sz w:val="18"/>
                <w:szCs w:val="18"/>
                <w:color w:val="auto"/>
              </w:rPr>
              <w:t>17</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ind w:left="60"/>
              <w:spacing w:after="0"/>
              <w:rPr>
                <w:sz w:val="20"/>
                <w:szCs w:val="20"/>
                <w:color w:val="auto"/>
              </w:rPr>
            </w:pPr>
            <w:r>
              <w:rPr>
                <w:rFonts w:ascii="Arial" w:cs="Arial" w:eastAsia="Arial" w:hAnsi="Arial"/>
                <w:sz w:val="14"/>
                <w:szCs w:val="14"/>
                <w:b w:val="1"/>
                <w:bCs w:val="1"/>
                <w:color w:val="auto"/>
              </w:rPr>
              <w:t>Non-</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7"/>
              </w:rPr>
              <w:t>Guarantor</w:t>
            </w:r>
          </w:p>
        </w:tc>
        <w:tc>
          <w:tcPr>
            <w:tcW w:w="28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7"/>
              </w:rPr>
              <w:t>guarantor</w:t>
            </w:r>
          </w:p>
        </w:tc>
        <w:tc>
          <w:tcPr>
            <w:tcW w:w="52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Issuers</w:t>
            </w:r>
          </w:p>
        </w:tc>
        <w:tc>
          <w:tcPr>
            <w:tcW w:w="28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2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4"/>
              </w:rPr>
              <w:t>Subsidiaries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28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Net income (loss)</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82"/>
              </w:rPr>
              <w:t>$ (81,692)</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(850)</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320"/>
              <w:spacing w:after="0"/>
              <w:rPr>
                <w:sz w:val="20"/>
                <w:szCs w:val="20"/>
                <w:color w:val="auto"/>
              </w:rPr>
            </w:pPr>
            <w:r>
              <w:rPr>
                <w:rFonts w:ascii="Arial" w:cs="Arial" w:eastAsia="Arial" w:hAnsi="Arial"/>
                <w:sz w:val="18"/>
                <w:szCs w:val="18"/>
                <w:color w:val="auto"/>
                <w:w w:val="79"/>
              </w:rPr>
              <w:t>850</w:t>
            </w:r>
          </w:p>
        </w:tc>
        <w:tc>
          <w:tcPr>
            <w:tcW w:w="34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 (81,692)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640" w:type="dxa"/>
            <w:vAlign w:val="bottom"/>
          </w:tcPr>
          <w:p>
            <w:pPr>
              <w:jc w:val="right"/>
              <w:spacing w:after="0"/>
              <w:rPr>
                <w:sz w:val="20"/>
                <w:szCs w:val="20"/>
                <w:color w:val="auto"/>
              </w:rPr>
            </w:pPr>
            <w:r>
              <w:rPr>
                <w:rFonts w:ascii="Arial" w:cs="Arial" w:eastAsia="Arial" w:hAnsi="Arial"/>
                <w:sz w:val="18"/>
                <w:szCs w:val="18"/>
                <w:color w:val="auto"/>
              </w:rPr>
              <w:t>77,779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1,147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78,926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640" w:type="dxa"/>
            <w:vAlign w:val="bottom"/>
          </w:tcPr>
          <w:p>
            <w:pPr>
              <w:jc w:val="right"/>
              <w:spacing w:after="0"/>
              <w:rPr>
                <w:sz w:val="20"/>
                <w:szCs w:val="20"/>
                <w:color w:val="auto"/>
              </w:rPr>
            </w:pPr>
            <w:r>
              <w:rPr>
                <w:rFonts w:ascii="Arial" w:cs="Arial" w:eastAsia="Arial" w:hAnsi="Arial"/>
                <w:sz w:val="18"/>
                <w:szCs w:val="18"/>
                <w:color w:val="auto"/>
              </w:rPr>
              <w:t>4,426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4,426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 net of</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distributions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(850)</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640" w:type="dxa"/>
            <w:vAlign w:val="bottom"/>
          </w:tcPr>
          <w:p>
            <w:pPr>
              <w:jc w:val="right"/>
              <w:spacing w:after="0"/>
              <w:rPr>
                <w:sz w:val="20"/>
                <w:szCs w:val="20"/>
                <w:color w:val="auto"/>
              </w:rPr>
            </w:pPr>
            <w:r>
              <w:rPr>
                <w:rFonts w:ascii="Arial" w:cs="Arial" w:eastAsia="Arial" w:hAnsi="Arial"/>
                <w:sz w:val="18"/>
                <w:szCs w:val="18"/>
                <w:color w:val="auto"/>
              </w:rPr>
              <w:t>6,640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640" w:type="dxa"/>
            <w:vAlign w:val="bottom"/>
          </w:tcPr>
          <w:p>
            <w:pPr>
              <w:jc w:val="right"/>
              <w:spacing w:after="0"/>
              <w:rPr>
                <w:sz w:val="20"/>
                <w:szCs w:val="20"/>
                <w:color w:val="auto"/>
              </w:rPr>
            </w:pPr>
            <w:r>
              <w:rPr>
                <w:rFonts w:ascii="Arial" w:cs="Arial" w:eastAsia="Arial" w:hAnsi="Arial"/>
                <w:sz w:val="18"/>
                <w:szCs w:val="18"/>
                <w:color w:val="auto"/>
              </w:rPr>
              <w:t>2,278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(14,496)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(14,496)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860"/>
              <w:spacing w:after="0"/>
              <w:rPr>
                <w:sz w:val="20"/>
                <w:szCs w:val="20"/>
                <w:color w:val="auto"/>
              </w:rPr>
            </w:pPr>
            <w:r>
              <w:rPr>
                <w:rFonts w:ascii="Arial" w:cs="Arial" w:eastAsia="Arial" w:hAnsi="Arial"/>
                <w:sz w:val="18"/>
                <w:szCs w:val="18"/>
                <w:color w:val="auto"/>
              </w:rPr>
              <w:t>Accounts payable, accrued expenses and other</w:t>
            </w:r>
          </w:p>
        </w:tc>
        <w:tc>
          <w:tcPr>
            <w:tcW w:w="640" w:type="dxa"/>
            <w:vAlign w:val="bottom"/>
          </w:tcPr>
          <w:p>
            <w:pPr>
              <w:jc w:val="right"/>
              <w:spacing w:after="0"/>
              <w:rPr>
                <w:sz w:val="20"/>
                <w:szCs w:val="20"/>
                <w:color w:val="auto"/>
              </w:rPr>
            </w:pPr>
            <w:r>
              <w:rPr>
                <w:rFonts w:ascii="Arial" w:cs="Arial" w:eastAsia="Arial" w:hAnsi="Arial"/>
                <w:sz w:val="18"/>
                <w:szCs w:val="18"/>
                <w:color w:val="auto"/>
              </w:rPr>
              <w:t>1,603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(133)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 net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00" w:type="dxa"/>
            <w:vAlign w:val="bottom"/>
          </w:tcPr>
          <w:p>
            <w:pPr>
              <w:ind w:left="1280"/>
              <w:spacing w:after="0"/>
              <w:rPr>
                <w:sz w:val="20"/>
                <w:szCs w:val="20"/>
                <w:color w:val="auto"/>
              </w:rPr>
            </w:pPr>
            <w:r>
              <w:rPr>
                <w:rFonts w:ascii="Arial" w:cs="Arial" w:eastAsia="Arial" w:hAnsi="Arial"/>
                <w:sz w:val="18"/>
                <w:szCs w:val="18"/>
                <w:color w:val="auto"/>
              </w:rPr>
              <w:t>Net cash provided by (used in)</w:t>
            </w:r>
          </w:p>
        </w:tc>
        <w:tc>
          <w:tcPr>
            <w:tcW w:w="6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1500"/>
              <w:spacing w:after="0"/>
              <w:rPr>
                <w:sz w:val="20"/>
                <w:szCs w:val="20"/>
                <w:color w:val="auto"/>
              </w:rPr>
            </w:pPr>
            <w:r>
              <w:rPr>
                <w:rFonts w:ascii="Arial" w:cs="Arial" w:eastAsia="Arial" w:hAnsi="Arial"/>
                <w:sz w:val="18"/>
                <w:szCs w:val="18"/>
                <w:color w:val="auto"/>
              </w:rPr>
              <w:t>operating activities</w:t>
            </w:r>
          </w:p>
        </w:tc>
        <w:tc>
          <w:tcPr>
            <w:tcW w:w="640" w:type="dxa"/>
            <w:vAlign w:val="bottom"/>
          </w:tcPr>
          <w:p>
            <w:pPr>
              <w:jc w:val="right"/>
              <w:spacing w:after="0"/>
              <w:rPr>
                <w:sz w:val="20"/>
                <w:szCs w:val="20"/>
                <w:color w:val="auto"/>
              </w:rPr>
            </w:pPr>
            <w:r>
              <w:rPr>
                <w:rFonts w:ascii="Arial" w:cs="Arial" w:eastAsia="Arial" w:hAnsi="Arial"/>
                <w:sz w:val="18"/>
                <w:szCs w:val="18"/>
                <w:color w:val="auto"/>
              </w:rPr>
              <w:t>11,541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(1,672)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9,869</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550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w w:val="97"/>
              </w:rPr>
              <w:t>Capital expenditures, net of construction payables and retentions</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(35,458)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(35,458)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other assets</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640" w:type="dxa"/>
            <w:vAlign w:val="bottom"/>
          </w:tcPr>
          <w:p>
            <w:pPr>
              <w:jc w:val="right"/>
              <w:spacing w:after="0"/>
              <w:rPr>
                <w:sz w:val="20"/>
                <w:szCs w:val="20"/>
                <w:color w:val="auto"/>
              </w:rPr>
            </w:pPr>
            <w:r>
              <w:rPr>
                <w:rFonts w:ascii="Arial" w:cs="Arial" w:eastAsia="Arial" w:hAnsi="Arial"/>
                <w:sz w:val="18"/>
                <w:szCs w:val="18"/>
                <w:color w:val="auto"/>
              </w:rPr>
              <w:t>4,562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1,911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6,473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w:t>
            </w:r>
          </w:p>
        </w:tc>
        <w:tc>
          <w:tcPr>
            <w:tcW w:w="6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investing activities</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(31,278)</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(29,367)</w:t>
            </w:r>
          </w:p>
        </w:tc>
        <w:tc>
          <w:tcPr>
            <w:tcW w:w="0" w:type="dxa"/>
            <w:vAlign w:val="bottom"/>
          </w:tcPr>
          <w:p>
            <w:pPr>
              <w:spacing w:after="0"/>
              <w:rPr>
                <w:sz w:val="1"/>
                <w:szCs w:val="1"/>
                <w:color w:val="auto"/>
              </w:rPr>
            </w:pPr>
          </w:p>
        </w:tc>
      </w:tr>
      <w:tr>
        <w:trPr>
          <w:trHeight w:val="290"/>
        </w:trPr>
        <w:tc>
          <w:tcPr>
            <w:tcW w:w="55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6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Capital contribution from the Parent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90"/>
        </w:trPr>
        <w:tc>
          <w:tcPr>
            <w:tcW w:w="55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6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cash and cash equivalents</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(19,737)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(19,848)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Balance, beginning of period</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65,998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480"/>
              <w:spacing w:after="0"/>
              <w:rPr>
                <w:sz w:val="20"/>
                <w:szCs w:val="20"/>
                <w:color w:val="auto"/>
              </w:rPr>
            </w:pPr>
            <w:r>
              <w:rPr>
                <w:rFonts w:ascii="Arial" w:cs="Arial" w:eastAsia="Arial" w:hAnsi="Arial"/>
                <w:sz w:val="15"/>
                <w:szCs w:val="15"/>
                <w:color w:val="auto"/>
                <w:w w:val="71"/>
              </w:rPr>
              <w:t>5</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$ 46,261</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480"/>
              <w:spacing w:after="0"/>
              <w:rPr>
                <w:sz w:val="20"/>
                <w:szCs w:val="20"/>
                <w:color w:val="auto"/>
              </w:rPr>
            </w:pPr>
            <w:r>
              <w:rPr>
                <w:rFonts w:ascii="Arial" w:cs="Arial" w:eastAsia="Arial" w:hAnsi="Arial"/>
                <w:sz w:val="15"/>
                <w:szCs w:val="15"/>
                <w:color w:val="auto"/>
                <w:w w:val="71"/>
              </w:rPr>
              <w:t>5</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$ 46,506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640" w:type="dxa"/>
            <w:vAlign w:val="bottom"/>
          </w:tcPr>
          <w:p>
            <w:pPr>
              <w:jc w:val="right"/>
              <w:ind w:right="273"/>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ind w:left="60"/>
              <w:spacing w:after="0"/>
              <w:rPr>
                <w:sz w:val="20"/>
                <w:szCs w:val="20"/>
                <w:color w:val="auto"/>
              </w:rPr>
            </w:pPr>
            <w:r>
              <w:rPr>
                <w:rFonts w:ascii="Arial" w:cs="Arial" w:eastAsia="Arial" w:hAnsi="Arial"/>
                <w:sz w:val="14"/>
                <w:szCs w:val="14"/>
                <w:b w:val="1"/>
                <w:bCs w:val="1"/>
                <w:color w:val="auto"/>
              </w:rPr>
              <w:t>Non-</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97"/>
              </w:rPr>
              <w:t>Guarantor</w:t>
            </w:r>
          </w:p>
        </w:tc>
        <w:tc>
          <w:tcPr>
            <w:tcW w:w="26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guarantor</w:t>
            </w:r>
          </w:p>
        </w:tc>
        <w:tc>
          <w:tcPr>
            <w:tcW w:w="46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9"/>
              </w:rPr>
              <w:t>Issuers</w:t>
            </w:r>
          </w:p>
        </w:tc>
        <w:tc>
          <w:tcPr>
            <w:tcW w:w="2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81"/>
              </w:rPr>
              <w:t>Subsidiaries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8"/>
              </w:rPr>
              <w:t>Entries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Net income (loss)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(95,464)</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(14,362)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14,362</w:t>
            </w:r>
          </w:p>
        </w:tc>
        <w:tc>
          <w:tcPr>
            <w:tcW w:w="3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(95,464)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w w:val="99"/>
              </w:rPr>
              <w:t>Adjustments to reconcile net income (loss) to net cash provided by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76,260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1,184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77,444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w w:val="97"/>
              </w:rPr>
              <w:t>Amortization and writeoff of deferred financing costs and other</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6,166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6,166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 net of</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distributions</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14,362</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619</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(14,362)</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13,350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11,176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860"/>
              <w:spacing w:after="0"/>
              <w:rPr>
                <w:sz w:val="20"/>
                <w:szCs w:val="20"/>
                <w:color w:val="auto"/>
              </w:rPr>
            </w:pPr>
            <w:r>
              <w:rPr>
                <w:rFonts w:ascii="Arial" w:cs="Arial" w:eastAsia="Arial" w:hAnsi="Arial"/>
                <w:sz w:val="18"/>
                <w:szCs w:val="18"/>
                <w:color w:val="auto"/>
              </w:rPr>
              <w:t>Accounts payable, accrued expenses and other</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(32,231)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(32,223)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(1,652)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vMerge w:val="restart"/>
          </w:tcPr>
          <w:p>
            <w:pPr>
              <w:ind w:left="1280"/>
              <w:spacing w:after="0"/>
              <w:rPr>
                <w:sz w:val="20"/>
                <w:szCs w:val="20"/>
                <w:color w:val="auto"/>
              </w:rPr>
            </w:pPr>
            <w:r>
              <w:rPr>
                <w:rFonts w:ascii="Arial" w:cs="Arial" w:eastAsia="Arial" w:hAnsi="Arial"/>
                <w:sz w:val="18"/>
                <w:szCs w:val="18"/>
                <w:color w:val="auto"/>
                <w:w w:val="99"/>
              </w:rPr>
              <w:t>Net cash provided by (used in) operating activities</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(3,754)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(996)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(4,745)</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5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w w:val="93"/>
              </w:rPr>
              <w:t>Capital expenditures, net of construction payables and retentions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(114,968)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(115,028)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other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(2,755)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(5,069)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1,406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(3,663)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(122,792)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1,346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(121,446)</w:t>
            </w:r>
          </w:p>
        </w:tc>
        <w:tc>
          <w:tcPr>
            <w:tcW w:w="0" w:type="dxa"/>
            <w:vAlign w:val="bottom"/>
          </w:tcPr>
          <w:p>
            <w:pPr>
              <w:spacing w:after="0"/>
              <w:rPr>
                <w:sz w:val="1"/>
                <w:szCs w:val="1"/>
                <w:color w:val="auto"/>
              </w:rPr>
            </w:pPr>
          </w:p>
        </w:tc>
      </w:tr>
      <w:tr>
        <w:trPr>
          <w:trHeight w:val="290"/>
        </w:trPr>
        <w:tc>
          <w:tcPr>
            <w:tcW w:w="53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(50,000)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(350)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(50,350)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contribution from the Parent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100,000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100,000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(350)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99,650</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5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Decrease in cash and cash equivalents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(26,546)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123,315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123,315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Balance, end of period</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96,769</w:t>
            </w:r>
          </w:p>
        </w:tc>
        <w:tc>
          <w:tcPr>
            <w:tcW w:w="320" w:type="dxa"/>
            <w:vAlign w:val="bottom"/>
          </w:tcPr>
          <w:p>
            <w:pPr>
              <w:spacing w:after="0"/>
              <w:rPr>
                <w:sz w:val="19"/>
                <w:szCs w:val="19"/>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96,774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020" w:type="dxa"/>
            <w:vAlign w:val="bottom"/>
            <w:gridSpan w:val="3"/>
          </w:tcPr>
          <w:p>
            <w:pPr>
              <w:jc w:val="right"/>
              <w:ind w:right="433"/>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condensed consolidated financial statements and the notes thereto included elsewhere in this Quarterly Report on Form 10-Q. Unless the context otherwise requires, all references herein to the “Company,” “we,” “us” or “our,” or similar terms, refer to Wynn Las Vegas, LLC, a Nevada limited liability company and its consolidated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39"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tourism trends given the current domestic and international economic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volatility and weakness in world-wide credit and financial markets globally and from governmental intervention in the financial markets;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further decreases in levels of travel, leisure and consumer spending;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 in occupancy rates and average daily room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conditions precedent to funding under the agreements governing the disbursement of the proceeds of borrowings under our credit facilities;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continued compliance with all provisions in our credit agreements;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competition in the casino/hotel and resort industries and action taken by our competitors in reaction to adverse economic conditions;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two properties for all of our cash flow;</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state law regarding water rights;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U.S. laws regarding healthcare;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applications for licenses and approvals under applicable jurisdictional laws and regulations (including gaming laws and regulations);</w:t>
      </w:r>
    </w:p>
    <w:p>
      <w:pPr>
        <w:spacing w:after="0" w:line="18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240" w:top="459" w:right="5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impact that an outbreak of an infectious disease, such as avian flu, or the impact of a natural disaster may have on the travel and leisure industry;</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consequences of the war in Iraq and other military conflicts in the Middle East and any future security alerts and/or terrorist attacks;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171"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We are a developer, owner and operator of destination casino resorts. We currently own and operate Wynn Las Vegas, a destination casino resort in Las Vegas, Nevada, which opened on April 28, 2005. On December 22, 2008, we expanded Wynn Las Vegas with the opening of Encore at Wynn Las Vegas (“Encore”).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Wynn Las Vegas is the preeminent destination casino resort on the Strip in Las Vegas. Wynn Las Vegas features:</w:t>
      </w:r>
    </w:p>
    <w:p>
      <w:pPr>
        <w:spacing w:after="0" w:line="90" w:lineRule="exact"/>
        <w:rPr>
          <w:sz w:val="20"/>
          <w:szCs w:val="20"/>
          <w:color w:val="auto"/>
        </w:rPr>
      </w:pPr>
    </w:p>
    <w:p>
      <w:pPr>
        <w:ind w:left="78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approximately 110,000 square foot casino offering 24-hour gaming and a full range of games, including private gaming salons, a poker room, and a race and sports book;</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22 food and beverage outlets featuring signature chefs;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by Alexander McQueen, Brioni, Cartier, Chanel, Dior, Graff, Louis Vuitton, Manolo Blahnik, Oscar de la Renta, Vertu and others;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and full service spa and salon;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showroom, two nightclubs and lounges.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opened Encore on December 22, 2008. Encore features:</w:t>
      </w:r>
    </w:p>
    <w:p>
      <w:pPr>
        <w:spacing w:after="0" w:line="90"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 approximately 76,000 square foot casino offering 24-hour gaming and a full range of games, including private gaming salons and a sports book;</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Luxury hotel accommodation in 2,034 all-suite rooms;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Twelve food and beverage outlets;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Approximately 27,000 square feet of high-end brand name retail shopping, including stores and boutiques by Hermes, Chanel and others;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Recreation and leisure facilities including swimming pools, private cabanas and a full service spa and salon;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showroom, nightclub and lounges.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Construction and Future Development</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 response to our evaluation of our property and the reactions of our guests, we have and expect to continue to remodel and make enhancements and refinements to our resort complex.</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Construction is currently underway to replace Encore’s porte-cochere on Las Vegas Boulevard with the Encore Beach Club that will feature pools, food and beverage, and nightlife offerings. The total project budget for the Encore Beach Club is approximately $68 million. The Beach Club is expected to open on schedule in the second quarter of 2010.</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Approximately 142 acres of land immediately adjacent to Wynn Las Vegas is currently improved with a golf course. While we may develop this property in the future; due to the current economic environment and certain restrictions in our credit facilities, we have no immediate plans to develop this property.</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Current Economic and Operating Environment</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Due to a number of factors affecting consumers, including a slowdown in global economies, contracting credit markets and reduced consumer spending, the outlook for the gaming, travel and entertainment industries continues to remain highly uncertain. This slow down was particularly significant in the fourth quarter of 2008 and has continued throughout the first quarter of 2010. Based on our experience over this past year and current market conditions, we believe that our operations will continue to experience lower than historical hotel occupancy rates, room rates, casino volumes and departmental profitability. Significant new supply in Las Vegas has and will continue to put additional pressure on occupancy and room rates during 2010.</w:t>
      </w:r>
    </w:p>
    <w:p>
      <w:pPr>
        <w:spacing w:after="0" w:line="1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a result of the current economic and market conditions, we have focused on efficiency initiatives that we began implementing at our resort complex and corporate offices in early 2009. We continually review the cost structure of our operating properties and corporate offices to identify further opportunities to reduce costs.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We believe that our operating results for the three months ended March 31, 2010, were adversely impacted by the weakened global economy and significant new supply that was added to the Las Vegas market in late 2009. Disruptions in the global financial and stock markets, reduced levels of consumer spending and additional supply have and may continue to adversely impact our financial results.</w:t>
      </w:r>
    </w:p>
    <w:p>
      <w:pPr>
        <w:spacing w:after="0" w:line="14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offer gaming, hotel accommodations, dining, entertainment, retail shopping, convention services and other amenities at Wynn Las Vegas and Encore. We currently rely solely upon the operations of this resort complex for our operating cash flow. Concentration of our cash flow in one resort complex exposes us to certain risks that competitors, whose operations are more diversified, may be better able to control. In addition to the concentration of operations in a single resort complex, many of our customers are high-end gaming customers who wager on credit, thus exposing us to credit risk. High-end gaming also increases the potential for variability in our results.</w:t>
      </w:r>
    </w:p>
    <w:p>
      <w:pPr>
        <w:spacing w:after="0" w:line="143"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 xml:space="preserve">We recorded a net loss for the quarter ended March 31, 2010 of $81.7 million compared to a net loss of $95.5 million recorded during the quarter ended March 31, 2009. This improvement was primarily a result of increased departmental profits, especially in the casino department, and a decrease in property charges and other, offset by increased interest expense associated with the $500 million 7 </w:t>
      </w:r>
      <w:r>
        <w:rPr>
          <w:rFonts w:ascii="Arial" w:cs="Arial" w:eastAsia="Arial" w:hAnsi="Arial"/>
          <w:sz w:val="11"/>
          <w:szCs w:val="11"/>
          <w:color w:val="auto"/>
        </w:rPr>
        <w:t>7</w:t>
      </w:r>
      <w:r>
        <w:rPr>
          <w:rFonts w:ascii="Arial" w:cs="Arial" w:eastAsia="Arial" w:hAnsi="Arial"/>
          <w:sz w:val="18"/>
          <w:szCs w:val="18"/>
          <w:color w:val="auto"/>
        </w:rPr>
        <w:t xml:space="preserve">/ </w:t>
      </w:r>
      <w:r>
        <w:rPr>
          <w:rFonts w:ascii="Arial" w:cs="Arial" w:eastAsia="Arial" w:hAnsi="Arial"/>
          <w:sz w:val="13"/>
          <w:szCs w:val="13"/>
          <w:color w:val="auto"/>
        </w:rPr>
        <w:t>8</w:t>
      </w:r>
      <w:r>
        <w:rPr>
          <w:rFonts w:ascii="Arial" w:cs="Arial" w:eastAsia="Arial" w:hAnsi="Arial"/>
          <w:sz w:val="18"/>
          <w:szCs w:val="18"/>
          <w:color w:val="auto"/>
        </w:rPr>
        <w:t>% notes issued in November 2009. See below for a more detailed discussion regarding our results.</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Certain key operating statistics specific to the gaming industry are included in our discussions of the Company’s operational performance for the periods in which a condensed consolidated statement of operations is presented. Below are definitions of the statistics discussed:</w:t>
      </w:r>
    </w:p>
    <w:p>
      <w:pPr>
        <w:spacing w:after="0" w:line="51"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and recorded as casino revenue.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and is recorded as casino revenue.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by total rooms occupied.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by total rooms available.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March 31, 2010 compared to the three months ended March 31, 2009.</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Net revenues for the three months ended March 31, 2010 are comprised of $139.5 million in casino revenues (43.8% of total net revenues) and $179.1 million of net non-casino revenues (56.2% of total net revenues). Net revenues for the three months ended March 31, 2009 were comprised of $117.5 million in casino revenues (40.3% of total net revenues) and $174 million of net non-casino revenues (59.7% of total net revenues).</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Casino revenues are comprised of the net win from our table games and slot machine operations. We experienced an increase in casino revenues of approximately $22 million (or 18.8%) to $139.5 million for the three months ended March 31, 2010, compared to $117.5 million for the three months ended March 31, 2009. During the three months ended March 31, 2010, we experienced a 7.1% increase in drop and an increase in the average table games win percentage compared to the prior year quarter. Our average table games win percentage (before discounts) of 23.2% was within the expected range of 21% to 24% for the three months ended March 31, 2010. For the three months ended March 31, 2009, our average table games win percentage (before discounts) was 17.7%. Slot handle decreased 26.6% during the three months ended March 31, 2010 as compared to 2009, and the slot win percentage was within the expected range of 4.5% to 5.5%. This decrease in slot play is due to high volumes of slot play experienced when Encore opened last year and new supply added to the Las Vegas market in late 2009.</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the three months ended March 31, 2010, room revenues were approximately $77.6 million, which represents a $7.5 million (or 8.8%) decrease over the $85.1 million generated in the three months ended March 31, 2009. We continued to experience a decrease in occupancy and room rates during the three months ended March 31, 2010, compared to the three months ended March 31, 2009. We believe this is due to the current economic conditions in which we operate in the U.S. and increased capacity in the Las Vegas market with the opening of a new large scale casino hotel in December 2009. See the table below for key operating measures related to our room revenue.</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8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89"/>
              </w:rPr>
              <w:t>March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2009</w:t>
            </w:r>
          </w:p>
        </w:tc>
        <w:tc>
          <w:tcPr>
            <w:tcW w:w="200" w:type="dxa"/>
            <w:vAlign w:val="bottom"/>
          </w:tcPr>
          <w:p>
            <w:pPr>
              <w:spacing w:after="0"/>
              <w:rPr>
                <w:sz w:val="12"/>
                <w:szCs w:val="12"/>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Occupancy</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89.4%</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89.5%</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Other non-casino revenues for the three months ended March 31, 2010 include: food and beverage revenues of approximately $95.9 million, retail revenues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of approximately $18.9 million, entertainment revenues of approximately $18.2 million, and other revenues from outlets such as the spa and salon,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$14.5 million. Other non-gaming revenues for the three months ended March 31, 2009 included food and beverage revenues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$96.9 million, retail revenues of approximately $19.6 million, entertainment revenues of approximately $12.8 million, and other revenues from outlets,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spa and salon, of approximately $14 million. Entertainment revenues increased over the prior year quarter primarily due to performances by Garth Brooks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Encore Theater which started in December 2009, as well as increased revenue from our Le Reve show.</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During the three months ended March 31, 2010, departmental expenses included casino expense of $76.8 million, room expense of $30.6 million, food and beverage expense of $58.0 million, and entertainment, retail and other expense of $35.9 million. Also included are general and administrative expenses of approximately $59.8 million and approximately $6.6 million charged as a provision for doubtful accounts receivable. During the three months ended March 31, 2009, departmental expenses included casino expenses of $76.0 million, room expense of $26.3 million, food and beverage expenses of $57.1 million, and entertainment, retail and other expenses of $29.5 million. Also included are general and administrative expenses of approximately $64.7 million and approximately $0.6 million charged as a provision for doubtful accounts receivable. The increase in room expenses was attributable to additional customer acquisition and marketing costs.</w:t>
      </w:r>
    </w:p>
    <w:p>
      <w:pPr>
        <w:spacing w:after="0" w:line="14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Entertainment, retail and other expense increased primarily as a result of performances by Garth Brooks in the Encore Theater at Wynn Las Vegas as noted above. General and administrative expenses decreased as a result of lower advertising expenses and our cost savings initiatives. Our provision for doubtful accounts receivable increased during the three months ended March 31, 2010, compared to the prior year’s quarter. This increase is primarily due to a reduction in the bad debt reserve taken in the prior year quarter as a result of strong collection trends as well as a higher casino revenue base for the three months ended March 31, 2010 compared to March 31, 2009.</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and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and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indentures. Management fees were $4.8 million for the quarter ended March 31, 2010, compared to $4.4 million for the quarter ended March 31, 2009.</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the three months ended March 31, 2010, we incurred $0.4 million of pre-opening costs. We incurred no preopening costs for the three months ended March 31, 2009. Pre-opening costs incurred during the three months ended March 31, 2010, were related the Encore Beach Club which is expected to open in the second quarter of 2010.</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Depreciation and amortization for the three months ended March 31, 2010 was $78.9 million compared to $77.4 million for the three months ended March 31, 2009. This increase was due to miscellaneous capital improvements made during 2009.</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Property charges and other for the three months ended March 31, 2010, were $1.3 million compared to approximately $13.9 million for the three months ended March 31, 2009. Property charges and other for the three months ended March 31, 2010 related to miscellaneous renovations and abandonments at Wynn Las Vegas and Encore.</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Property charges and other for the three months ended March 31, 2009, include the write-off of $13.4 million of aircraft purchase deposits. On February 19, 2009, we cancelled the agreement to purchase an aircraft. The deposit was refundable to the extent another buyer was found. Due to the uncertainty as to the recoverability of this deposit, we wrote off the deposit in the first quarter of 2009. In the second quarter of 2009 another buyer was found and we recovered $8.1 million of our deposit. The remaining property charges were related to miscellaneous renovations and abandonments at Wynn Las Vegas.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response to our evaluation of our resort complex and the reactions of our guests, we continue to make enhancements. The costs relating to assets retired as a result of these enhancement and remodel efforts will be expensed as property charges.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 xml:space="preserve">Interest expense was $45.1 million, net of capitalized interest of $0.2 million, for the three months ended March 31, 2010, compared to $36.8 million for the three months ended March 31, 2009. There was no interest capitalized during the three months ended March 31, 2009. Interest expense increased approximately $8.3 million primarily due to increased interest related to the $500 million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issued in October 2009, offset by lower average borrowings outstanding on the Wynn Las Vegas credit facilities.</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Changes in the fair value of our interest rate swaps are recorded as an increase (or decrease) in swap fair value in each period. We recorded an expense of approximately $2.3 million for the three months ended March 31, 2010, resulting from the decrease in the fair value of our interest rate swap from December 31, 2009 to March 31, 2010. We had no interest rate swaps during the prior year quarter.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Operations</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Net cash provided by operations for the three months ended March 31, 2010 was $9.9 million compared to $4.7 million used in operations for the three months ended March 31, 2009. Operating cash flows were positively impacted by an improvement in operating income and benefits from ordinary working capital changes.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At March 31, 2010, we had approximately $46.5 million of cash and cash equivalents available for use without restriction, including for operations, debt service and retirement, new development activities, enhancements to Wynn Las Vegas and Encore and general corporate purposes. We require a certain amount of cash on hand for operations. We anticipate such funds, together with any other cash needs during 2010 in excess of what we generate from operations or additional borrowings, will be provided with capital contributions from Wynn Resorts. As of March 31, 2010, we had approximately $185.3 million available to draw under our Wynn Las Vegas credit facilities. Except for scheduled quarterly payments on one note payable, we have no debt maturities until September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Capital expenditures were approximately $35.5 million for the three months ended March 31, 2010, and related primarily to the Encore Beach Club.</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of March 31, 2010, our Wynn Las Vegas Amended and Restated Credit Agreement (the “Credit Agreement”), consisted of a $457.9 million revolving credit facility (the “Wynn Las Vegas Revolver”) and an $80.4 million term loan facility (the “Wynn Las Vegas Term Loan”) (together the “Wynn Las Vegas Credit Facilities”). As of March 31, 2010, we had borrowed $252.7 million under the Wynn Las Vegas Revolver. We also had $19.9 million of outstanding letters of credit that reduce our availability under the Wynn Las Vegas Revolver. We have availability of approximately $185.3 million under the Wynn Las Vegas Revolver as of March 31, 2010.</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Wynn Las Vegas credit facilities are obligations of Wynn Las Vegas, LLC and are guaranteed by and secured by substantially all of the assets (except the corporate aircraft) of each of its subsidiaries (other than Wynn Completion Guarantor, LLC). The obligations of Wynn Las Vegas, LLC and the guarantors under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Wynn Las Vegas Credit Facilities rank pari passu in right of payment with their existing and future senior indebtedness, including indebtedness with respect to the First Mortgage Notes and senior in right of payment to all of their existing and future subordinated indebtedness.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On March 26, 2010, Wynn Las Vegas, LLC and Wynn Las Vegas Capital Corp. (the “issuers”), each a direct or indirect wholly owned subsidiary of Wynn Resorts, Limited, commenced an offer to exchange all outstanding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2014 (the “2014 Notes”) for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2020 (the “2020 Notes”) of the issuers, upon the terms and subject to the conditions set forth in an offering memorandum (the “offering memorandum”), and a related letter of transmittal (the “exchange offer”). The exchange offer was conditioned upon, among other things, the tender of at least $250 million aggregate principal amount of 2014 Notes. The 2020 Notes were offered only to qualified institutional buyers and outside the United States in accordance with Rule 144A and Regulation S, respectively, under the Securities Act of 1933, as amended (the “Securities Act”). As of April 23, 2010, the expiration date, approximately $382 million of the 2014 Notes were validly tendered for exchange to the 2020 Notes. This includes $30 million of the 2014 Notes that were purchased by Wynn Resorts in 2009. The exchange offer closed on April 28, 2010</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The 2020 Notes rank pari passu in right of payment with borrowings under Wynn Las Vegas, LLC’s credit facilities, the 2014 Notes and the issuers’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2017 (the “2017 Notes”). The 2020 Notes are senior secured obligations of the issuers, will be guaranteed by certain of Wynn Las Vegas, LLC’s subsidiaries and are secured by a first priority lien on substantially all of the existing and future assets of the issuers and guarantors and, subject to approval from the Nevada Gaming Commission, a first priority lien on the equity interests of Wynn Las Vegas, LLC, all of which is the same collateral that secures borrowings under Wynn Las Vegas, LLC’s credit facilities, the 2014 Notes and the 2017 Notes.</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further described in the offering memorandum, noteholders who validly tendered 2014 Notes prior to the early delivery time received an early delivery payment of 1% of the amount tendered in cash which totaled approximately $3.8 million. In accordance with accounting standards, this will be included as deferred financing costs and amortized over the life of the 2020 Notes.</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During the three months ended March 31, 2009, Wynn Resorts made a capital contribution to us in the amount of $100 million. The proceeds from this contribution were used to fund construction costs of Encore paid during the three months ended March 31, 2009.</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There have been no material changes during the quarter to our contractual obligations or off-balance sheet arrangements as disclosed in our Annual Report on Form 10-K for the year ended December 31, 2009.</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are restricted under the indentures governing the 2014 Notes and the 2017 Notes from making certain “restricted payments” as defined in the indentures. These restricted payments include the payments of dividends or distributions to any direct or indirect holders of equity interests of Wynn Las Vegas, LLC. These restricted payments may not be made until certain other financial and non-financial criteria have been satisfied. In addition, the Credit Facilities contain similar restrictions.</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Wynn Las Vegas, LLC will fund its operations and capital requirements from operating cash flow, availability under our credit facilities, and to the extent required and available from capital contributions from Wynn Resorts. We cannot be sure that Wynn Las Vegas, LLC will generate sufficient cash flow from operations or that future borrowings or contributions from Wynn Resorts that are available to us, if any, will be sufficient to enable us to service and repay Wynn Las Vegas, LLC’s indebtedness and to fund its other liquidity needs. We cannot be sure that we will be able to refinance any of our indebtedness on acceptable terms or at all.</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On a continuing basis, we, our subsidiaries, and/or Wynn Resorts will evaluate, depending on market conditions, purchasing, refinancing, exchanging, tendering for or retiring certain of our outstanding debt in privately negotiated transactions, open market transactions or by other direct or indirect means.</w:t>
      </w:r>
    </w:p>
    <w:p>
      <w:pPr>
        <w:spacing w:after="0" w:line="6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other development would require us to obtain additional financing.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2009. There have been no material changes to these policies for the three months ended March 31,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In June 2009, the Financial Accounting Standards Board (the “FASB”) issued new accounting standards regarding the consolidation of variable interest entities. These new accounting standards address the effects of elimination of the qualifying special-purpose entity concept from previous standards. These new accounting standards amend previous guidance in determining whether an enterprise has a controlling financial interest in a variable interest entity. This determination identifies the primary beneficiary of a variable interest entity as the enterprise that has both the power to direct the activities of a variable interest entity that most significantly impacts the entity’s economic performance and the ability to absorb losses or the right to receive benefits of the entity that could potentially be significant to the variable interest entity. We adopted the new accounting standards on January 1, 2010. The adoption of these new accounting standards did not have a material effect on our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Our primary exposure to market risk is interest rate risk associated with our debt facilities that bear interest based on floating rates. We attempt to manage interest rate risk by managing the mix of long-term fixed rate borrowings and variable rate borrowings, and in the past by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March 31, 2010, we have one interest rate swap agreement to hedge a portion of the underlying interest rate risk on borrowings under the Wynn Las Vegas Credit Agreement. Under this swap agreement, we pay a fixed interest rate of 2.485% on borrowings of $250 million incurred under the Wynn Las Vegas Credit Agreement in exchange for receipts on the same amount at a variable interest rate based on the applicable LIBOR at the time of payment. This interest rate swap fixes the interest rate on $250 million of borrowings under the Wynn Las Vegas Credit Agreement at approximately 5.485%. This interest rate swap agreement matures in November 2012. Changes in the fair value of this interest rate swap have and will continue to be recorded as an increase/ (decrease) in swap fair value in our Condensed Consolidated Statements of Operations as the swap does not qualify for hedge accounting.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As of March 31, 2010, our interest rate swap had an approximate liability fair value of $6.5 million and is included in long-term liabilities in the accompanying Condensed Consolidated Balance Sheets. The fair value approximates the amount we would have paid if this contract had settled at the valuation date.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As of March 31, 2010, approximately 95% of our long-term debt was based on fixed rates including the notional amount of our swap. Based on our borrowings as of March 31, 2010, an assumed 1% change in variable rates would cause our annual interest cost to change by $1.2 million.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80" w:firstLine="464"/>
        <w:spacing w:after="0" w:line="286" w:lineRule="auto"/>
        <w:tabs>
          <w:tab w:leader="none" w:pos="695"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are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27" w:lineRule="exact"/>
        <w:rPr>
          <w:rFonts w:ascii="Arial" w:cs="Arial" w:eastAsia="Arial" w:hAnsi="Arial"/>
          <w:sz w:val="16"/>
          <w:szCs w:val="16"/>
          <w:color w:val="auto"/>
        </w:rPr>
      </w:pPr>
    </w:p>
    <w:p>
      <w:pPr>
        <w:ind w:firstLine="464"/>
        <w:spacing w:after="0" w:line="259" w:lineRule="auto"/>
        <w:tabs>
          <w:tab w:leader="none" w:pos="70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have not been any changes in the Company’s internal control over financial reporting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IA. Risk Factors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 description of our risk factors can be found in Item IA of our Annual Report on Form 10-K for the year ended December 31, 2009. There were no material changes to those risk factors during the three months ended March 31,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Restrictions imposed by our debt instruments significantly restrict us, subject to certain exceptions for payment of allocable corporate overhead, from declaring or paying dividends or distributions. Specifically, we are restricted under the indentures governing the 6 </w:t>
      </w:r>
      <w:r>
        <w:rPr>
          <w:rFonts w:ascii="Arial" w:cs="Arial" w:eastAsia="Arial" w:hAnsi="Arial"/>
          <w:sz w:val="11"/>
          <w:szCs w:val="11"/>
          <w:color w:val="auto"/>
        </w:rPr>
        <w:t>5</w:t>
      </w:r>
      <w:r>
        <w:rPr>
          <w:rFonts w:ascii="Arial" w:cs="Arial" w:eastAsia="Arial" w:hAnsi="Arial"/>
          <w:sz w:val="18"/>
          <w:szCs w:val="18"/>
          <w:color w:val="auto"/>
        </w:rPr>
        <w:t xml:space="preserve"> /</w:t>
      </w:r>
      <w:r>
        <w:rPr>
          <w:rFonts w:ascii="Arial" w:cs="Arial" w:eastAsia="Arial" w:hAnsi="Arial"/>
          <w:sz w:val="13"/>
          <w:szCs w:val="13"/>
          <w:color w:val="auto"/>
        </w:rPr>
        <w:t>8</w:t>
      </w:r>
      <w:r>
        <w:rPr>
          <w:rFonts w:ascii="Arial" w:cs="Arial" w:eastAsia="Arial" w:hAnsi="Arial"/>
          <w:sz w:val="18"/>
          <w:szCs w:val="18"/>
          <w:color w:val="auto"/>
        </w:rPr>
        <w:t xml:space="preserve">% and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from making certain “restricted payments” as defined therein. These restricted payments include the payment of dividends or distributions to any direct or indirect holders of our membership interests. These restricted payments may not be made until certain other financial and non-financial criteria have been satisfied. In addition, our Credit Facilities contain similar restrictions.</w:t>
      </w:r>
    </w:p>
    <w:p>
      <w:pPr>
        <w:spacing w:after="0" w:line="1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80"/>
          </w:cols>
          <w:pgMar w:left="240" w:top="459" w:right="5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0" w:type="dxa"/>
            <w:vAlign w:val="bottom"/>
            <w:gridSpan w:val="3"/>
          </w:tcPr>
          <w:p>
            <w:pPr>
              <w:ind w:left="390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Exhibit No.</w:t>
            </w:r>
          </w:p>
        </w:tc>
        <w:tc>
          <w:tcPr>
            <w:tcW w:w="4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080" w:type="dxa"/>
            <w:vAlign w:val="bottom"/>
          </w:tcPr>
          <w:p>
            <w:pPr>
              <w:spacing w:after="0"/>
              <w:rPr>
                <w:sz w:val="24"/>
                <w:szCs w:val="24"/>
                <w:color w:val="auto"/>
              </w:rPr>
            </w:pPr>
          </w:p>
        </w:tc>
      </w:tr>
      <w:tr>
        <w:trPr>
          <w:trHeight w:val="316"/>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3.1</w:t>
            </w:r>
          </w:p>
        </w:tc>
        <w:tc>
          <w:tcPr>
            <w:tcW w:w="9800" w:type="dxa"/>
            <w:vAlign w:val="bottom"/>
            <w:gridSpan w:val="3"/>
          </w:tcPr>
          <w:p>
            <w:pPr>
              <w:ind w:left="440"/>
              <w:spacing w:after="0"/>
              <w:rPr>
                <w:sz w:val="20"/>
                <w:szCs w:val="20"/>
                <w:color w:val="auto"/>
              </w:rPr>
            </w:pPr>
            <w:r>
              <w:rPr>
                <w:rFonts w:ascii="Arial" w:cs="Arial" w:eastAsia="Arial" w:hAnsi="Arial"/>
                <w:sz w:val="18"/>
                <w:szCs w:val="18"/>
                <w:color w:val="auto"/>
              </w:rPr>
              <w:t>Second Amended and Restated Articles of Organization of Wynn Las Vegas, LLC. (1)</w:t>
            </w:r>
          </w:p>
        </w:tc>
      </w:tr>
      <w:tr>
        <w:trPr>
          <w:trHeight w:val="324"/>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3.2</w:t>
            </w:r>
          </w:p>
        </w:tc>
        <w:tc>
          <w:tcPr>
            <w:tcW w:w="9800" w:type="dxa"/>
            <w:vAlign w:val="bottom"/>
            <w:gridSpan w:val="3"/>
          </w:tcPr>
          <w:p>
            <w:pPr>
              <w:ind w:left="440"/>
              <w:spacing w:after="0"/>
              <w:rPr>
                <w:sz w:val="20"/>
                <w:szCs w:val="20"/>
                <w:color w:val="auto"/>
              </w:rPr>
            </w:pPr>
            <w:r>
              <w:rPr>
                <w:rFonts w:ascii="Arial" w:cs="Arial" w:eastAsia="Arial" w:hAnsi="Arial"/>
                <w:sz w:val="18"/>
                <w:szCs w:val="18"/>
                <w:color w:val="auto"/>
              </w:rPr>
              <w:t>Second Amended and Restated Operating Agreement of Wynn Las Vegas, LLC. (1)</w:t>
            </w:r>
          </w:p>
        </w:tc>
      </w:tr>
      <w:tr>
        <w:trPr>
          <w:trHeight w:val="324"/>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10.1</w:t>
            </w:r>
          </w:p>
        </w:tc>
        <w:tc>
          <w:tcPr>
            <w:tcW w:w="9800" w:type="dxa"/>
            <w:vAlign w:val="bottom"/>
            <w:gridSpan w:val="3"/>
          </w:tcPr>
          <w:p>
            <w:pPr>
              <w:ind w:left="440"/>
              <w:spacing w:after="0"/>
              <w:rPr>
                <w:sz w:val="20"/>
                <w:szCs w:val="20"/>
                <w:color w:val="auto"/>
              </w:rPr>
            </w:pPr>
            <w:r>
              <w:rPr>
                <w:rFonts w:ascii="Arial" w:cs="Arial" w:eastAsia="Arial" w:hAnsi="Arial"/>
                <w:sz w:val="18"/>
                <w:szCs w:val="18"/>
                <w:color w:val="auto"/>
              </w:rPr>
              <w:t>Agreement of Lease made as of March 17, 2010, by and between Wynn Las Vegas, LLC and Elaine P. Wynn. (2)</w:t>
            </w:r>
          </w:p>
        </w:tc>
      </w:tr>
      <w:tr>
        <w:trPr>
          <w:trHeight w:val="324"/>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10.2</w:t>
            </w:r>
          </w:p>
        </w:tc>
        <w:tc>
          <w:tcPr>
            <w:tcW w:w="9800" w:type="dxa"/>
            <w:vAlign w:val="bottom"/>
            <w:gridSpan w:val="3"/>
          </w:tcPr>
          <w:p>
            <w:pPr>
              <w:ind w:left="440"/>
              <w:spacing w:after="0"/>
              <w:rPr>
                <w:sz w:val="20"/>
                <w:szCs w:val="20"/>
                <w:color w:val="auto"/>
              </w:rPr>
            </w:pPr>
            <w:r>
              <w:rPr>
                <w:rFonts w:ascii="Arial" w:cs="Arial" w:eastAsia="Arial" w:hAnsi="Arial"/>
                <w:sz w:val="18"/>
                <w:szCs w:val="18"/>
                <w:color w:val="auto"/>
                <w:w w:val="87"/>
              </w:rPr>
              <w:t>Amended and Restated Agreement of Lease made as of March 18, 2010, by and between Wynn Las Vegas and Stephen A. Wynn. (2)</w:t>
            </w:r>
          </w:p>
        </w:tc>
      </w:tr>
      <w:tr>
        <w:trPr>
          <w:trHeight w:val="324"/>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*31.1</w:t>
            </w:r>
          </w:p>
        </w:tc>
        <w:tc>
          <w:tcPr>
            <w:tcW w:w="9800" w:type="dxa"/>
            <w:vAlign w:val="bottom"/>
            <w:gridSpan w:val="3"/>
          </w:tcPr>
          <w:p>
            <w:pPr>
              <w:ind w:left="440"/>
              <w:spacing w:after="0"/>
              <w:rPr>
                <w:sz w:val="20"/>
                <w:szCs w:val="20"/>
                <w:color w:val="auto"/>
              </w:rPr>
            </w:pPr>
            <w:r>
              <w:rPr>
                <w:rFonts w:ascii="Arial" w:cs="Arial" w:eastAsia="Arial" w:hAnsi="Arial"/>
                <w:sz w:val="18"/>
                <w:szCs w:val="18"/>
                <w:color w:val="auto"/>
              </w:rPr>
              <w:t>Certification of Chief Executive Officer of Periodic Report Pursuant to Rule 13a – 14(a) and Rule 15d – 14(a).</w:t>
            </w:r>
          </w:p>
        </w:tc>
      </w:tr>
      <w:tr>
        <w:trPr>
          <w:trHeight w:val="324"/>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*31.2</w:t>
            </w:r>
          </w:p>
        </w:tc>
        <w:tc>
          <w:tcPr>
            <w:tcW w:w="9800" w:type="dxa"/>
            <w:vAlign w:val="bottom"/>
            <w:gridSpan w:val="3"/>
          </w:tcPr>
          <w:p>
            <w:pPr>
              <w:ind w:left="440"/>
              <w:spacing w:after="0"/>
              <w:rPr>
                <w:sz w:val="20"/>
                <w:szCs w:val="20"/>
                <w:color w:val="auto"/>
              </w:rPr>
            </w:pPr>
            <w:r>
              <w:rPr>
                <w:rFonts w:ascii="Arial" w:cs="Arial" w:eastAsia="Arial" w:hAnsi="Arial"/>
                <w:sz w:val="18"/>
                <w:szCs w:val="18"/>
                <w:color w:val="auto"/>
              </w:rPr>
              <w:t>Certification of Chief Financial Officer of Periodic Report Pursuant to Rule 13a – 14(a) and Rule 15d – 14(a).</w:t>
            </w:r>
          </w:p>
        </w:tc>
      </w:tr>
      <w:tr>
        <w:trPr>
          <w:trHeight w:val="324"/>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*32.1</w:t>
            </w:r>
          </w:p>
        </w:tc>
        <w:tc>
          <w:tcPr>
            <w:tcW w:w="9800" w:type="dxa"/>
            <w:vAlign w:val="bottom"/>
            <w:gridSpan w:val="3"/>
          </w:tcPr>
          <w:p>
            <w:pPr>
              <w:ind w:left="440"/>
              <w:spacing w:after="0"/>
              <w:rPr>
                <w:sz w:val="20"/>
                <w:szCs w:val="20"/>
                <w:color w:val="auto"/>
              </w:rPr>
            </w:pPr>
            <w:r>
              <w:rPr>
                <w:rFonts w:ascii="Arial" w:cs="Arial" w:eastAsia="Arial" w:hAnsi="Arial"/>
                <w:sz w:val="18"/>
                <w:szCs w:val="18"/>
                <w:color w:val="auto"/>
              </w:rPr>
              <w:t>Certification of CEO and CFO Pursuant to 18 U.S.C. Section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08"/>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0" w:lineRule="exact"/>
        <w:rPr>
          <w:sz w:val="20"/>
          <w:szCs w:val="20"/>
          <w:color w:val="auto"/>
        </w:rPr>
      </w:pPr>
    </w:p>
    <w:p>
      <w:pPr>
        <w:ind w:left="4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filed by the Registrant on April 13, 2005 (File No. 333-124052) and incorporated herein by reference.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March 19, 2010 and incorporated herein by reference.</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WYNN LAS VEGAS</w:t>
      </w:r>
    </w:p>
    <w:p>
      <w:pPr>
        <w:spacing w:after="0" w:line="312" w:lineRule="exact"/>
        <w:rPr>
          <w:sz w:val="20"/>
          <w:szCs w:val="20"/>
          <w:color w:val="auto"/>
        </w:rPr>
      </w:pPr>
    </w:p>
    <w:p>
      <w:pPr>
        <w:spacing w:after="0"/>
        <w:tabs>
          <w:tab w:leader="none" w:pos="5560" w:val="left"/>
          <w:tab w:leader="none" w:pos="7700" w:val="left"/>
          <w:tab w:leader="none" w:pos="8060" w:val="left"/>
        </w:tabs>
        <w:rPr>
          <w:sz w:val="20"/>
          <w:szCs w:val="20"/>
          <w:color w:val="auto"/>
        </w:rPr>
      </w:pPr>
      <w:r>
        <w:rPr>
          <w:rFonts w:ascii="Arial" w:cs="Arial" w:eastAsia="Arial" w:hAnsi="Arial"/>
          <w:sz w:val="18"/>
          <w:szCs w:val="18"/>
          <w:color w:val="auto"/>
        </w:rPr>
        <w:t>Dated: May 7,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COTT</w:t>
      </w:r>
      <w:r>
        <w:rPr>
          <w:rFonts w:ascii="Arial" w:cs="Arial" w:eastAsia="Arial" w:hAnsi="Arial"/>
          <w:sz w:val="16"/>
          <w:szCs w:val="16"/>
          <w:color w:val="auto"/>
        </w:rPr>
        <w:t xml:space="preserve"> P</w:t>
      </w:r>
      <w:r>
        <w:rPr>
          <w:rFonts w:ascii="Arial" w:cs="Arial" w:eastAsia="Arial" w:hAnsi="Arial"/>
          <w:sz w:val="13"/>
          <w:szCs w:val="13"/>
          <w:color w:val="auto"/>
        </w:rPr>
        <w:t>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3"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Scott Peterson</w:t>
      </w:r>
    </w:p>
    <w:p>
      <w:pPr>
        <w:jc w:val="center"/>
        <w:ind w:left="5940"/>
        <w:spacing w:after="0" w:line="221" w:lineRule="auto"/>
        <w:rPr>
          <w:sz w:val="20"/>
          <w:szCs w:val="20"/>
          <w:color w:val="auto"/>
        </w:rPr>
      </w:pPr>
      <w:r>
        <w:rPr>
          <w:rFonts w:ascii="Arial" w:cs="Arial" w:eastAsia="Arial" w:hAnsi="Arial"/>
          <w:sz w:val="14"/>
          <w:szCs w:val="14"/>
          <w:b w:val="1"/>
          <w:bCs w:val="1"/>
          <w:color w:val="auto"/>
        </w:rPr>
        <w:t>Senior Vice President and Chief Financial Officer</w:t>
      </w:r>
    </w:p>
    <w:p>
      <w:pPr>
        <w:jc w:val="center"/>
        <w:ind w:left="5940"/>
        <w:spacing w:after="0"/>
        <w:rPr>
          <w:sz w:val="20"/>
          <w:szCs w:val="20"/>
          <w:color w:val="auto"/>
        </w:rPr>
      </w:pPr>
      <w:r>
        <w:rPr>
          <w:rFonts w:ascii="Arial" w:cs="Arial" w:eastAsia="Arial" w:hAnsi="Arial"/>
          <w:sz w:val="14"/>
          <w:szCs w:val="14"/>
          <w:b w:val="1"/>
          <w:bCs w:val="1"/>
          <w:color w:val="auto"/>
        </w:rPr>
        <w:t>(Principal Financial Officer)</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540"/>
          </w:cols>
          <w:pgMar w:left="240" w:top="459" w:right="111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and Rule 15d – 14(a)</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Andrew Pascal, certify that:</w:t>
      </w:r>
    </w:p>
    <w:p>
      <w:pPr>
        <w:spacing w:after="0" w:line="212"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7, 2010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Andrew Pascal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Andrew Pascal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and Rule 15d – 14(a)</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Scott Peterson, certify that:</w:t>
      </w:r>
    </w:p>
    <w:p>
      <w:pPr>
        <w:spacing w:after="0" w:line="212"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7, 2010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Scott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Scott Peterson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Las Vegas, LLC (the “Company”) for the quarter ended March 31, 2010 as filed with the Securities and Exchange Commission on the date hereof (the “Report”), Andrew Pascal, as President of the Company and Scott Peterson, as Chief Financial Officer of the Company, each hereby certifies, pursuant to 18 U.S.C. Section 1350, as adopted pursuant to Section 906 of the Sarbanes-Oxley Act of 2002, that, to the best of his knowledge:</w:t>
      </w:r>
    </w:p>
    <w:p>
      <w:pPr>
        <w:spacing w:after="0" w:line="62"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Andrew Pascal</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Andrew Pascal</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300" w:type="dxa"/>
            <w:vAlign w:val="bottom"/>
          </w:tcPr>
          <w:p>
            <w:pPr>
              <w:ind w:left="140"/>
              <w:spacing w:after="0"/>
              <w:rPr>
                <w:sz w:val="20"/>
                <w:szCs w:val="20"/>
                <w:color w:val="auto"/>
              </w:rPr>
            </w:pPr>
            <w:r>
              <w:rPr>
                <w:rFonts w:ascii="Arial" w:cs="Arial" w:eastAsia="Arial" w:hAnsi="Arial"/>
                <w:sz w:val="18"/>
                <w:szCs w:val="18"/>
                <w:color w:val="auto"/>
              </w:rPr>
              <w:t>President</w:t>
            </w:r>
          </w:p>
        </w:tc>
      </w:tr>
      <w:tr>
        <w:trPr>
          <w:trHeight w:val="216"/>
        </w:trPr>
        <w:tc>
          <w:tcPr>
            <w:tcW w:w="620" w:type="dxa"/>
            <w:vAlign w:val="bottom"/>
          </w:tcPr>
          <w:p>
            <w:pPr>
              <w:spacing w:after="0"/>
              <w:rPr>
                <w:sz w:val="18"/>
                <w:szCs w:val="18"/>
                <w:color w:val="auto"/>
              </w:rPr>
            </w:pPr>
          </w:p>
        </w:tc>
        <w:tc>
          <w:tcPr>
            <w:tcW w:w="430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4300" w:type="dxa"/>
            <w:vAlign w:val="bottom"/>
          </w:tcPr>
          <w:p>
            <w:pPr>
              <w:ind w:left="140"/>
              <w:spacing w:after="0"/>
              <w:rPr>
                <w:sz w:val="20"/>
                <w:szCs w:val="20"/>
                <w:color w:val="auto"/>
              </w:rPr>
            </w:pPr>
            <w:r>
              <w:rPr>
                <w:rFonts w:ascii="Arial" w:cs="Arial" w:eastAsia="Arial" w:hAnsi="Arial"/>
                <w:sz w:val="18"/>
                <w:szCs w:val="18"/>
                <w:color w:val="auto"/>
              </w:rPr>
              <w:t>May 7, 2010</w:t>
            </w:r>
          </w:p>
        </w:tc>
      </w:tr>
      <w:tr>
        <w:trPr>
          <w:trHeight w:val="433"/>
        </w:trPr>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Scott Peterson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300" w:type="dxa"/>
            <w:vAlign w:val="bottom"/>
          </w:tcPr>
          <w:p>
            <w:pPr>
              <w:ind w:left="140"/>
              <w:spacing w:after="0"/>
              <w:rPr>
                <w:sz w:val="20"/>
                <w:szCs w:val="20"/>
                <w:color w:val="auto"/>
              </w:rPr>
            </w:pPr>
            <w:r>
              <w:rPr>
                <w:rFonts w:ascii="Arial" w:cs="Arial" w:eastAsia="Arial" w:hAnsi="Arial"/>
                <w:sz w:val="18"/>
                <w:szCs w:val="18"/>
                <w:color w:val="auto"/>
              </w:rPr>
              <w:t>Scott Peterson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300" w:type="dxa"/>
            <w:vAlign w:val="bottom"/>
          </w:tcPr>
          <w:p>
            <w:pPr>
              <w:ind w:left="140"/>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620" w:type="dxa"/>
            <w:vAlign w:val="bottom"/>
          </w:tcPr>
          <w:p>
            <w:pPr>
              <w:spacing w:after="0"/>
              <w:rPr>
                <w:sz w:val="18"/>
                <w:szCs w:val="18"/>
                <w:color w:val="auto"/>
              </w:rPr>
            </w:pPr>
          </w:p>
        </w:tc>
        <w:tc>
          <w:tcPr>
            <w:tcW w:w="4300" w:type="dxa"/>
            <w:vAlign w:val="bottom"/>
          </w:tcPr>
          <w:p>
            <w:pPr>
              <w:ind w:left="140"/>
              <w:spacing w:after="0"/>
              <w:rPr>
                <w:sz w:val="20"/>
                <w:szCs w:val="20"/>
                <w:color w:val="auto"/>
              </w:rPr>
            </w:pPr>
            <w:r>
              <w:rPr>
                <w:rFonts w:ascii="Arial" w:cs="Arial" w:eastAsia="Arial" w:hAnsi="Arial"/>
                <w:sz w:val="18"/>
                <w:szCs w:val="18"/>
                <w:color w:val="auto"/>
              </w:rPr>
              <w:t>(Principal Financial and Accounting Officer)</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4300" w:type="dxa"/>
            <w:vAlign w:val="bottom"/>
          </w:tcPr>
          <w:p>
            <w:pPr>
              <w:ind w:left="140"/>
              <w:spacing w:after="0"/>
              <w:rPr>
                <w:sz w:val="20"/>
                <w:szCs w:val="20"/>
                <w:color w:val="auto"/>
              </w:rPr>
            </w:pPr>
            <w:r>
              <w:rPr>
                <w:rFonts w:ascii="Arial" w:cs="Arial" w:eastAsia="Arial" w:hAnsi="Arial"/>
                <w:sz w:val="18"/>
                <w:szCs w:val="18"/>
                <w:color w:val="auto"/>
              </w:rPr>
              <w:t>May 7, 2010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2"/>
    </w:lvl>
  </w:abstractNum>
  <w:abstractNum w:abstractNumId="3">
    <w:nsid w:val="216231B"/>
    <w:multiLevelType w:val="hybridMultilevel"/>
    <w:lvl w:ilvl="0">
      <w:lvlJc w:val="left"/>
      <w:lvlText w:val="%1."/>
      <w:numFmt w:val="decimal"/>
      <w:start w:val="8"/>
    </w:lvl>
  </w:abstractNum>
  <w:abstractNum w:abstractNumId="4">
    <w:nsid w:val="1F16E9E8"/>
    <w:multiLevelType w:val="hybridMultilevel"/>
    <w:lvl w:ilvl="0">
      <w:lvlJc w:val="left"/>
      <w:lvlText w:val="%1."/>
      <w:numFmt w:val="decimal"/>
      <w:start w:val="10"/>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2019-12-10T22:06:30Z</dcterms:created>
  <dcterms:modified xsi:type="dcterms:W3CDTF">2019-12-10T22:06:30Z</dcterms:modified>
</cp:coreProperties>
</file>