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SCHEDULE 14A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Proxy Statement Pursuant to Section 14(a) of the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165100</wp:posOffset>
            </wp:positionV>
            <wp:extent cx="699516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4"/>
        <w:spacing w:after="0" w:line="184" w:lineRule="exact"/>
        <w:tabs>
          <w:tab w:leader="none" w:pos="28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                  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☐</w:t>
      </w: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234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Confidential, For Use of the Commission Only (as permitted by Rule 14a-6(e)(2))</w:t>
      </w:r>
    </w:p>
    <w:p>
      <w:pPr>
        <w:spacing w:after="0" w:line="234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 240.14a-12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WYNN RESORTS, LIMITED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27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the appropriate box):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234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14a-6(a)(I) and 0-11.</w:t>
      </w:r>
    </w:p>
    <w:p>
      <w:pPr>
        <w:sectPr>
          <w:pgSz w:w="11900" w:h="16838" w:orient="portrait"/>
          <w:cols w:equalWidth="0" w:num="1">
            <w:col w:w="10023"/>
          </w:cols>
          <w:pgMar w:left="436" w:top="462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544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9189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9189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544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91897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9189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2025-03-19T15:18:26Z</dcterms:created>
  <dcterms:modified xsi:type="dcterms:W3CDTF">2025-03-19T15:18:26Z</dcterms:modified>
</cp:coreProperties>
</file>