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41" w:lineRule="exact"/>
        <w:rPr>
          <w:sz w:val="24"/>
          <w:szCs w:val="24"/>
          <w:color w:val="auto"/>
        </w:rPr>
      </w:pPr>
    </w:p>
    <w:p>
      <w:pPr>
        <w:ind w:left="3360"/>
        <w:spacing w:after="0"/>
        <w:rPr>
          <w:sz w:val="20"/>
          <w:szCs w:val="20"/>
          <w:color w:val="auto"/>
        </w:rPr>
      </w:pPr>
      <w:r>
        <w:rPr>
          <w:rFonts w:ascii="Arial" w:cs="Arial" w:eastAsia="Arial" w:hAnsi="Arial"/>
          <w:sz w:val="18"/>
          <w:szCs w:val="18"/>
          <w:b w:val="1"/>
          <w:bCs w:val="1"/>
          <w:color w:val="auto"/>
        </w:rPr>
        <w:t>Date of Report (Date of earliest event reported): April 23,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4160" w:type="dxa"/>
            <w:vAlign w:val="bottom"/>
          </w:tcPr>
          <w:p>
            <w:pPr>
              <w:jc w:val="center"/>
              <w:ind w:right="240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160" w:type="dxa"/>
            <w:vAlign w:val="bottom"/>
          </w:tcPr>
          <w:p>
            <w:pPr>
              <w:jc w:val="center"/>
              <w:ind w:right="238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60" w:type="dxa"/>
            <w:vAlign w:val="bottom"/>
          </w:tcPr>
          <w:p>
            <w:pPr>
              <w:jc w:val="center"/>
              <w:ind w:right="2402"/>
              <w:spacing w:after="0"/>
              <w:rPr>
                <w:sz w:val="20"/>
                <w:szCs w:val="20"/>
                <w:color w:val="auto"/>
              </w:rPr>
            </w:pPr>
            <w:r>
              <w:rPr>
                <w:rFonts w:ascii="Arial" w:cs="Arial" w:eastAsia="Arial" w:hAnsi="Arial"/>
                <w:sz w:val="14"/>
                <w:szCs w:val="14"/>
                <w:b w:val="1"/>
                <w:bCs w:val="1"/>
                <w:color w:val="auto"/>
                <w:w w:val="88"/>
              </w:rPr>
              <w:t>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160" w:type="dxa"/>
            <w:vAlign w:val="bottom"/>
          </w:tcPr>
          <w:p>
            <w:pPr>
              <w:jc w:val="center"/>
              <w:ind w:left="124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160" w:type="dxa"/>
            <w:vAlign w:val="bottom"/>
          </w:tcPr>
          <w:p>
            <w:pPr>
              <w:jc w:val="center"/>
              <w:ind w:left="124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160" w:type="dxa"/>
            <w:vAlign w:val="bottom"/>
          </w:tcPr>
          <w:p>
            <w:pPr>
              <w:jc w:val="center"/>
              <w:ind w:left="124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On April 23, 2012, Wynn Macau, Limited (“WML”), an indirect subsidiary of Wynn Resorts, Limited (the “Registrant”) with its ordinary shares listed on The Stock Exchange of Hong Kong Limited, filed its annual report in respect of the year ended December 31, 2012 (the “Annual Report”) with The Stock Exchange of Hong Kong Limited. The Registrant owns approximately 72.3% of WML’s ordinary shares. The Annual Report is furnished herewith as Exhibit</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60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w w:val="88"/>
              </w:rPr>
              <w:t>Annual Report of Wynn Macau, Limited in respect of the year ended December 31, 2012.</w:t>
            </w:r>
          </w:p>
        </w:tc>
      </w:tr>
      <w:tr>
        <w:trPr>
          <w:trHeight w:val="365"/>
        </w:trPr>
        <w:tc>
          <w:tcPr>
            <w:tcW w:w="720" w:type="dxa"/>
            <w:vAlign w:val="bottom"/>
          </w:tcPr>
          <w:p>
            <w:pPr>
              <w:spacing w:after="0"/>
              <w:rPr>
                <w:sz w:val="24"/>
                <w:szCs w:val="24"/>
                <w:color w:val="auto"/>
              </w:rPr>
            </w:pPr>
          </w:p>
        </w:tc>
        <w:tc>
          <w:tcPr>
            <w:tcW w:w="7060" w:type="dxa"/>
            <w:vAlign w:val="bottom"/>
            <w:gridSpan w:val="3"/>
          </w:tcPr>
          <w:p>
            <w:pPr>
              <w:jc w:val="right"/>
              <w:ind w:right="196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360"/>
          </w:cols>
          <w:pgMar w:left="240" w:top="27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7880" w:type="dxa"/>
            <w:vAlign w:val="bottom"/>
            <w:gridSpan w:val="2"/>
          </w:tcPr>
          <w:p>
            <w:pPr>
              <w:ind w:left="2280"/>
              <w:spacing w:after="0"/>
              <w:rPr>
                <w:sz w:val="20"/>
                <w:szCs w:val="20"/>
                <w:color w:val="auto"/>
              </w:rPr>
            </w:pPr>
            <w:r>
              <w:rPr>
                <w:rFonts w:ascii="Arial" w:cs="Arial" w:eastAsia="Arial" w:hAnsi="Arial"/>
                <w:sz w:val="18"/>
                <w:szCs w:val="18"/>
                <w:b w:val="1"/>
                <w:bCs w:val="1"/>
                <w:color w:val="auto"/>
              </w:rPr>
              <w:t>WYNN RESORTS, LIMITED</w:t>
            </w:r>
          </w:p>
        </w:tc>
      </w:tr>
      <w:tr>
        <w:trPr>
          <w:trHeight w:val="434"/>
        </w:trPr>
        <w:tc>
          <w:tcPr>
            <w:tcW w:w="3540" w:type="dxa"/>
            <w:vAlign w:val="bottom"/>
          </w:tcPr>
          <w:p>
            <w:pPr>
              <w:spacing w:after="0"/>
              <w:rPr>
                <w:sz w:val="20"/>
                <w:szCs w:val="20"/>
                <w:color w:val="auto"/>
              </w:rPr>
            </w:pPr>
            <w:r>
              <w:rPr>
                <w:rFonts w:ascii="Arial" w:cs="Arial" w:eastAsia="Arial" w:hAnsi="Arial"/>
                <w:sz w:val="18"/>
                <w:szCs w:val="18"/>
                <w:color w:val="auto"/>
              </w:rPr>
              <w:t>Date: April 23, 2013</w:t>
            </w:r>
          </w:p>
        </w:tc>
        <w:tc>
          <w:tcPr>
            <w:tcW w:w="2860" w:type="dxa"/>
            <w:vAlign w:val="bottom"/>
          </w:tcPr>
          <w:p>
            <w:pPr>
              <w:ind w:left="22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5"/>
        </w:trPr>
        <w:tc>
          <w:tcPr>
            <w:tcW w:w="3540" w:type="dxa"/>
            <w:vAlign w:val="bottom"/>
          </w:tcPr>
          <w:p>
            <w:pPr>
              <w:spacing w:after="0"/>
              <w:rPr>
                <w:sz w:val="18"/>
                <w:szCs w:val="18"/>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540" w:type="dxa"/>
            <w:vAlign w:val="bottom"/>
          </w:tcPr>
          <w:p>
            <w:pPr>
              <w:spacing w:after="0"/>
              <w:rPr>
                <w:sz w:val="19"/>
                <w:szCs w:val="19"/>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365"/>
        </w:trPr>
        <w:tc>
          <w:tcPr>
            <w:tcW w:w="3540" w:type="dxa"/>
            <w:vAlign w:val="bottom"/>
          </w:tcPr>
          <w:p>
            <w:pPr>
              <w:spacing w:after="0"/>
              <w:rPr>
                <w:sz w:val="24"/>
                <w:szCs w:val="24"/>
                <w:color w:val="auto"/>
              </w:rPr>
            </w:pPr>
          </w:p>
        </w:tc>
        <w:tc>
          <w:tcPr>
            <w:tcW w:w="2860" w:type="dxa"/>
            <w:vAlign w:val="bottom"/>
          </w:tcPr>
          <w:p>
            <w:pPr>
              <w:ind w:left="2080"/>
              <w:spacing w:after="0"/>
              <w:rPr>
                <w:sz w:val="20"/>
                <w:szCs w:val="20"/>
                <w:color w:val="auto"/>
              </w:rPr>
            </w:pPr>
            <w:r>
              <w:rPr>
                <w:rFonts w:ascii="Arial" w:cs="Arial" w:eastAsia="Arial" w:hAnsi="Arial"/>
                <w:sz w:val="18"/>
                <w:szCs w:val="18"/>
                <w:color w:val="auto"/>
              </w:rPr>
              <w:t>-3-</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0" w:type="dxa"/>
            <w:vAlign w:val="bottom"/>
          </w:tcPr>
          <w:p>
            <w:pPr>
              <w:jc w:val="center"/>
              <w:ind w:left="1392"/>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5600" w:type="dxa"/>
            <w:vAlign w:val="bottom"/>
          </w:tcPr>
          <w:p>
            <w:pPr>
              <w:spacing w:after="0"/>
              <w:rPr>
                <w:sz w:val="24"/>
                <w:szCs w:val="2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w w:val="88"/>
              </w:rPr>
              <w:t>Annual Report of Wynn Macau, Limited in respect of the year ended December 31, 2012.</w:t>
            </w:r>
          </w:p>
        </w:tc>
      </w:tr>
      <w:tr>
        <w:trPr>
          <w:trHeight w:val="365"/>
        </w:trPr>
        <w:tc>
          <w:tcPr>
            <w:tcW w:w="720" w:type="dxa"/>
            <w:vAlign w:val="bottom"/>
          </w:tcPr>
          <w:p>
            <w:pPr>
              <w:spacing w:after="0"/>
              <w:rPr>
                <w:sz w:val="24"/>
                <w:szCs w:val="24"/>
                <w:color w:val="auto"/>
              </w:rPr>
            </w:pPr>
          </w:p>
        </w:tc>
        <w:tc>
          <w:tcPr>
            <w:tcW w:w="7060" w:type="dxa"/>
            <w:vAlign w:val="bottom"/>
            <w:gridSpan w:val="3"/>
          </w:tcPr>
          <w:p>
            <w:pPr>
              <w:jc w:val="right"/>
              <w:ind w:right="1872"/>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169545</wp:posOffset>
            </wp:positionV>
            <wp:extent cx="5488305" cy="74523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88305" cy="745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FFFFFF"/>
        </w:rPr>
        <w:t>2012 Annual Report</w:t>
      </w:r>
    </w:p>
    <w:p>
      <w:pPr>
        <w:spacing w:after="0" w:line="187" w:lineRule="auto"/>
        <w:rPr>
          <w:sz w:val="20"/>
          <w:szCs w:val="20"/>
          <w:color w:val="auto"/>
        </w:rPr>
      </w:pPr>
      <w:r>
        <w:rPr>
          <w:rFonts w:ascii="Arial" w:cs="Arial" w:eastAsia="Arial" w:hAnsi="Arial"/>
          <w:sz w:val="9"/>
          <w:szCs w:val="9"/>
          <w:color w:val="FFFFFF"/>
        </w:rPr>
        <w:t>Wynn Macau, Limited</w:t>
      </w:r>
    </w:p>
    <w:p>
      <w:pPr>
        <w:spacing w:after="0"/>
        <w:rPr>
          <w:sz w:val="20"/>
          <w:szCs w:val="20"/>
          <w:color w:val="auto"/>
        </w:rPr>
      </w:pPr>
      <w:r>
        <w:rPr>
          <w:rFonts w:ascii="Arial" w:cs="Arial" w:eastAsia="Arial" w:hAnsi="Arial"/>
          <w:sz w:val="3"/>
          <w:szCs w:val="3"/>
          <w:color w:val="FFFFFF"/>
        </w:rPr>
        <w:t>Stock(incorporatedCode:1128inthe Cayman Islands with limited liability)</w:t>
      </w:r>
    </w:p>
    <w:p>
      <w:pPr>
        <w:spacing w:after="0" w:line="5"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FFFFFF"/>
        </w:rPr>
        <w:t>*</w:t>
      </w:r>
      <w:r>
        <w:rPr>
          <w:sz w:val="20"/>
          <w:szCs w:val="20"/>
          <w:color w:val="auto"/>
        </w:rPr>
        <w:tab/>
      </w:r>
      <w:r>
        <w:rPr>
          <w:rFonts w:ascii="Arial" w:cs="Arial" w:eastAsia="Arial" w:hAnsi="Arial"/>
          <w:sz w:val="14"/>
          <w:szCs w:val="14"/>
          <w:color w:val="FFFFFF"/>
        </w:rPr>
        <w:t>for identification purposes only</w:t>
      </w:r>
    </w:p>
    <w:p>
      <w:pPr>
        <w:sectPr>
          <w:pgSz w:w="11900" w:h="16838" w:orient="portrait"/>
          <w:cols w:equalWidth="0" w:num="1">
            <w:col w:w="11420"/>
          </w:cols>
          <w:pgMar w:left="240" w:top="125" w:right="239" w:bottom="1440" w:gutter="0" w:footer="0" w:header="0"/>
        </w:sectPr>
      </w:pPr>
    </w:p>
    <w:bookmarkStart w:id="5" w:name="page6"/>
    <w:bookmarkEnd w:id="5"/>
    <w:p>
      <w:pPr>
        <w:spacing w:after="0"/>
        <w:tabs>
          <w:tab w:leader="none" w:pos="44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20"/>
                <w:szCs w:val="20"/>
                <w:color w:val="auto"/>
              </w:rPr>
            </w:pPr>
            <w:r>
              <w:rPr>
                <w:rFonts w:ascii="Arial" w:cs="Arial" w:eastAsia="Arial" w:hAnsi="Arial"/>
                <w:sz w:val="14"/>
                <w:szCs w:val="14"/>
                <w:color w:val="FFFFFF"/>
              </w:rPr>
              <w:t>2</w:t>
            </w:r>
          </w:p>
        </w:tc>
        <w:tc>
          <w:tcPr>
            <w:tcW w:w="4120" w:type="dxa"/>
            <w:vAlign w:val="bottom"/>
          </w:tcPr>
          <w:p>
            <w:pPr>
              <w:ind w:left="300"/>
              <w:spacing w:after="0"/>
              <w:rPr>
                <w:sz w:val="20"/>
                <w:szCs w:val="20"/>
                <w:color w:val="auto"/>
              </w:rPr>
            </w:pPr>
            <w:r>
              <w:rPr>
                <w:rFonts w:ascii="Arial" w:cs="Arial" w:eastAsia="Arial" w:hAnsi="Arial"/>
                <w:sz w:val="14"/>
                <w:szCs w:val="14"/>
                <w:color w:val="FFFFFF"/>
              </w:rPr>
              <w:t>Corporate Information</w:t>
            </w:r>
          </w:p>
        </w:tc>
      </w:tr>
      <w:tr>
        <w:trPr>
          <w:trHeight w:val="54"/>
        </w:trPr>
        <w:tc>
          <w:tcPr>
            <w:tcW w:w="160" w:type="dxa"/>
            <w:vAlign w:val="bottom"/>
          </w:tcPr>
          <w:p>
            <w:pPr>
              <w:spacing w:after="0" w:line="54" w:lineRule="exact"/>
              <w:rPr>
                <w:sz w:val="20"/>
                <w:szCs w:val="20"/>
                <w:color w:val="auto"/>
              </w:rPr>
            </w:pPr>
            <w:r>
              <w:rPr>
                <w:rFonts w:ascii="Arial" w:cs="Arial" w:eastAsia="Arial" w:hAnsi="Arial"/>
                <w:sz w:val="6"/>
                <w:szCs w:val="6"/>
                <w:color w:val="FFFFFF"/>
              </w:rPr>
              <w:t>4</w:t>
            </w:r>
          </w:p>
        </w:tc>
        <w:tc>
          <w:tcPr>
            <w:tcW w:w="4120" w:type="dxa"/>
            <w:vAlign w:val="bottom"/>
          </w:tcPr>
          <w:p>
            <w:pPr>
              <w:ind w:left="300"/>
              <w:spacing w:after="0" w:line="54" w:lineRule="exact"/>
              <w:rPr>
                <w:sz w:val="20"/>
                <w:szCs w:val="20"/>
                <w:color w:val="auto"/>
              </w:rPr>
            </w:pPr>
            <w:r>
              <w:rPr>
                <w:rFonts w:ascii="Arial" w:cs="Arial" w:eastAsia="Arial" w:hAnsi="Arial"/>
                <w:sz w:val="6"/>
                <w:szCs w:val="6"/>
                <w:color w:val="FFFFFF"/>
              </w:rPr>
              <w:t>Highlights</w:t>
            </w:r>
          </w:p>
        </w:tc>
      </w:tr>
      <w:tr>
        <w:trPr>
          <w:trHeight w:val="54"/>
        </w:trPr>
        <w:tc>
          <w:tcPr>
            <w:tcW w:w="160" w:type="dxa"/>
            <w:vAlign w:val="bottom"/>
          </w:tcPr>
          <w:p>
            <w:pPr>
              <w:spacing w:after="0" w:line="54" w:lineRule="exact"/>
              <w:rPr>
                <w:sz w:val="20"/>
                <w:szCs w:val="20"/>
                <w:color w:val="auto"/>
              </w:rPr>
            </w:pPr>
            <w:r>
              <w:rPr>
                <w:rFonts w:ascii="Arial" w:cs="Arial" w:eastAsia="Arial" w:hAnsi="Arial"/>
                <w:sz w:val="6"/>
                <w:szCs w:val="6"/>
                <w:color w:val="FFFFFF"/>
              </w:rPr>
              <w:t>5</w:t>
            </w:r>
          </w:p>
        </w:tc>
        <w:tc>
          <w:tcPr>
            <w:tcW w:w="4120" w:type="dxa"/>
            <w:vAlign w:val="bottom"/>
          </w:tcPr>
          <w:p>
            <w:pPr>
              <w:ind w:left="300"/>
              <w:spacing w:after="0" w:line="54" w:lineRule="exact"/>
              <w:rPr>
                <w:sz w:val="20"/>
                <w:szCs w:val="20"/>
                <w:color w:val="auto"/>
              </w:rPr>
            </w:pPr>
            <w:r>
              <w:rPr>
                <w:rFonts w:ascii="Arial" w:cs="Arial" w:eastAsia="Arial" w:hAnsi="Arial"/>
                <w:sz w:val="6"/>
                <w:szCs w:val="6"/>
                <w:color w:val="FFFFFF"/>
              </w:rPr>
              <w:t>Management Discussion and Analysis</w:t>
            </w:r>
          </w:p>
        </w:tc>
      </w:tr>
      <w:tr>
        <w:trPr>
          <w:trHeight w:val="54"/>
        </w:trPr>
        <w:tc>
          <w:tcPr>
            <w:tcW w:w="160" w:type="dxa"/>
            <w:vAlign w:val="bottom"/>
          </w:tcPr>
          <w:p>
            <w:pPr>
              <w:spacing w:after="0" w:line="54" w:lineRule="exact"/>
              <w:rPr>
                <w:sz w:val="20"/>
                <w:szCs w:val="20"/>
                <w:color w:val="auto"/>
              </w:rPr>
            </w:pPr>
            <w:r>
              <w:rPr>
                <w:rFonts w:ascii="Arial" w:cs="Arial" w:eastAsia="Arial" w:hAnsi="Arial"/>
                <w:sz w:val="6"/>
                <w:szCs w:val="6"/>
                <w:color w:val="FFFFFF"/>
              </w:rPr>
              <w:t>26</w:t>
            </w:r>
          </w:p>
        </w:tc>
        <w:tc>
          <w:tcPr>
            <w:tcW w:w="4120" w:type="dxa"/>
            <w:vAlign w:val="bottom"/>
          </w:tcPr>
          <w:p>
            <w:pPr>
              <w:ind w:left="20"/>
              <w:spacing w:after="0" w:line="54" w:lineRule="exact"/>
              <w:rPr>
                <w:sz w:val="20"/>
                <w:szCs w:val="20"/>
                <w:color w:val="auto"/>
              </w:rPr>
            </w:pPr>
            <w:r>
              <w:rPr>
                <w:rFonts w:ascii="Arial" w:cs="Arial" w:eastAsia="Arial" w:hAnsi="Arial"/>
                <w:sz w:val="6"/>
                <w:szCs w:val="6"/>
                <w:color w:val="FFFFFF"/>
              </w:rPr>
              <w:t>Directors and Senior Management</w:t>
            </w:r>
          </w:p>
        </w:tc>
      </w:tr>
      <w:tr>
        <w:trPr>
          <w:trHeight w:val="41"/>
        </w:trPr>
        <w:tc>
          <w:tcPr>
            <w:tcW w:w="4280" w:type="dxa"/>
            <w:vAlign w:val="bottom"/>
            <w:gridSpan w:val="2"/>
          </w:tcPr>
          <w:p>
            <w:pPr>
              <w:spacing w:after="0"/>
              <w:rPr>
                <w:sz w:val="20"/>
                <w:szCs w:val="20"/>
                <w:color w:val="auto"/>
              </w:rPr>
            </w:pPr>
            <w:r>
              <w:rPr>
                <w:rFonts w:ascii="Arial" w:cs="Arial" w:eastAsia="Arial" w:hAnsi="Arial"/>
                <w:sz w:val="3"/>
                <w:szCs w:val="3"/>
                <w:color w:val="FFFFFF"/>
              </w:rPr>
              <w:t>Contents</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37</w:t>
            </w:r>
          </w:p>
        </w:tc>
        <w:tc>
          <w:tcPr>
            <w:tcW w:w="4120" w:type="dxa"/>
            <w:vAlign w:val="bottom"/>
          </w:tcPr>
          <w:p>
            <w:pPr>
              <w:ind w:left="20"/>
              <w:spacing w:after="0"/>
              <w:rPr>
                <w:sz w:val="20"/>
                <w:szCs w:val="20"/>
                <w:color w:val="auto"/>
              </w:rPr>
            </w:pPr>
            <w:r>
              <w:rPr>
                <w:rFonts w:ascii="Arial" w:cs="Arial" w:eastAsia="Arial" w:hAnsi="Arial"/>
                <w:sz w:val="3"/>
                <w:szCs w:val="3"/>
                <w:color w:val="FFFFFF"/>
              </w:rPr>
              <w:t>Report of the Directors</w:t>
            </w:r>
          </w:p>
        </w:tc>
      </w:tr>
      <w:tr>
        <w:trPr>
          <w:trHeight w:val="41"/>
        </w:trPr>
        <w:tc>
          <w:tcPr>
            <w:tcW w:w="160" w:type="dxa"/>
            <w:vAlign w:val="bottom"/>
          </w:tcPr>
          <w:p>
            <w:pPr>
              <w:spacing w:after="0"/>
              <w:rPr>
                <w:sz w:val="20"/>
                <w:szCs w:val="20"/>
                <w:color w:val="auto"/>
              </w:rPr>
            </w:pPr>
            <w:r>
              <w:rPr>
                <w:rFonts w:ascii="Arial" w:cs="Arial" w:eastAsia="Arial" w:hAnsi="Arial"/>
                <w:sz w:val="3"/>
                <w:szCs w:val="3"/>
                <w:color w:val="FFFFFF"/>
              </w:rPr>
              <w:t>59</w:t>
            </w:r>
          </w:p>
        </w:tc>
        <w:tc>
          <w:tcPr>
            <w:tcW w:w="4120" w:type="dxa"/>
            <w:vAlign w:val="bottom"/>
          </w:tcPr>
          <w:p>
            <w:pPr>
              <w:ind w:left="20"/>
              <w:spacing w:after="0"/>
              <w:rPr>
                <w:sz w:val="20"/>
                <w:szCs w:val="20"/>
                <w:color w:val="auto"/>
              </w:rPr>
            </w:pPr>
            <w:r>
              <w:rPr>
                <w:rFonts w:ascii="Arial" w:cs="Arial" w:eastAsia="Arial" w:hAnsi="Arial"/>
                <w:sz w:val="3"/>
                <w:szCs w:val="3"/>
                <w:color w:val="FFFFFF"/>
              </w:rPr>
              <w:t>Corporate Governance Report</w:t>
            </w:r>
          </w:p>
        </w:tc>
      </w:tr>
      <w:tr>
        <w:trPr>
          <w:trHeight w:val="41"/>
        </w:trPr>
        <w:tc>
          <w:tcPr>
            <w:tcW w:w="160" w:type="dxa"/>
            <w:vAlign w:val="bottom"/>
          </w:tcPr>
          <w:p>
            <w:pPr>
              <w:ind w:left="80"/>
              <w:spacing w:after="0"/>
              <w:rPr>
                <w:sz w:val="20"/>
                <w:szCs w:val="20"/>
                <w:color w:val="auto"/>
              </w:rPr>
            </w:pPr>
            <w:r>
              <w:rPr>
                <w:rFonts w:ascii="Arial" w:cs="Arial" w:eastAsia="Arial" w:hAnsi="Arial"/>
                <w:sz w:val="3"/>
                <w:szCs w:val="3"/>
                <w:color w:val="FFFFFF"/>
              </w:rPr>
              <w:t>4</w:t>
            </w:r>
          </w:p>
        </w:tc>
        <w:tc>
          <w:tcPr>
            <w:tcW w:w="4120" w:type="dxa"/>
            <w:vAlign w:val="bottom"/>
          </w:tcPr>
          <w:p>
            <w:pPr>
              <w:ind w:left="20"/>
              <w:spacing w:after="0"/>
              <w:rPr>
                <w:sz w:val="20"/>
                <w:szCs w:val="20"/>
                <w:color w:val="auto"/>
              </w:rPr>
            </w:pPr>
            <w:r>
              <w:rPr>
                <w:rFonts w:ascii="Arial" w:cs="Arial" w:eastAsia="Arial" w:hAnsi="Arial"/>
                <w:sz w:val="3"/>
                <w:szCs w:val="3"/>
                <w:color w:val="FFFFFF"/>
              </w:rPr>
              <w:t>Independent Auditors’ Report</w:t>
            </w:r>
          </w:p>
        </w:tc>
      </w:tr>
      <w:tr>
        <w:trPr>
          <w:trHeight w:val="173"/>
        </w:trPr>
        <w:tc>
          <w:tcPr>
            <w:tcW w:w="160" w:type="dxa"/>
            <w:vAlign w:val="bottom"/>
          </w:tcPr>
          <w:p>
            <w:pPr>
              <w:spacing w:after="0"/>
              <w:rPr>
                <w:sz w:val="20"/>
                <w:szCs w:val="20"/>
                <w:color w:val="auto"/>
              </w:rPr>
            </w:pPr>
            <w:r>
              <w:rPr>
                <w:rFonts w:ascii="Arial" w:cs="Arial" w:eastAsia="Arial" w:hAnsi="Arial"/>
                <w:sz w:val="14"/>
                <w:szCs w:val="14"/>
                <w:color w:val="FFFFFF"/>
                <w:w w:val="89"/>
              </w:rPr>
              <w:t>76</w:t>
            </w:r>
          </w:p>
        </w:tc>
        <w:tc>
          <w:tcPr>
            <w:tcW w:w="4120" w:type="dxa"/>
            <w:vAlign w:val="bottom"/>
          </w:tcPr>
          <w:p>
            <w:pPr>
              <w:ind w:left="20"/>
              <w:spacing w:after="0"/>
              <w:rPr>
                <w:sz w:val="20"/>
                <w:szCs w:val="20"/>
                <w:color w:val="auto"/>
              </w:rPr>
            </w:pPr>
            <w:r>
              <w:rPr>
                <w:rFonts w:ascii="Arial" w:cs="Arial" w:eastAsia="Arial" w:hAnsi="Arial"/>
                <w:sz w:val="14"/>
                <w:szCs w:val="14"/>
                <w:color w:val="FFFFFF"/>
                <w:w w:val="86"/>
              </w:rPr>
              <w:t>Financial Statements 170 Financial Summary 171 De? nitions 177 Glossary</w:t>
            </w:r>
          </w:p>
        </w:tc>
      </w:tr>
    </w:tbl>
    <w:p>
      <w:pPr>
        <w:sectPr>
          <w:pgSz w:w="11900" w:h="16838" w:orient="portrait"/>
          <w:cols w:equalWidth="0" w:num="1">
            <w:col w:w="10219"/>
          </w:cols>
          <w:pgMar w:left="2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color w:val="FFFFFF"/>
              </w:rPr>
              <w:t>2</w:t>
            </w:r>
          </w:p>
        </w:tc>
        <w:tc>
          <w:tcPr>
            <w:tcW w:w="1520" w:type="dxa"/>
            <w:vAlign w:val="bottom"/>
            <w:gridSpan w:val="3"/>
          </w:tcPr>
          <w:p>
            <w:pPr>
              <w:ind w:left="100"/>
              <w:spacing w:after="0"/>
              <w:rPr>
                <w:sz w:val="20"/>
                <w:szCs w:val="20"/>
                <w:color w:val="auto"/>
              </w:rPr>
            </w:pPr>
            <w:r>
              <w:rPr>
                <w:rFonts w:ascii="Arial" w:cs="Arial" w:eastAsia="Arial" w:hAnsi="Arial"/>
                <w:sz w:val="14"/>
                <w:szCs w:val="14"/>
                <w:color w:val="FFFFFF"/>
              </w:rPr>
              <w:t>Wynn Macau, Limited</w:t>
            </w:r>
          </w:p>
        </w:tc>
        <w:tc>
          <w:tcPr>
            <w:tcW w:w="4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80" w:type="dxa"/>
            <w:vAlign w:val="bottom"/>
            <w:gridSpan w:val="2"/>
          </w:tcPr>
          <w:p>
            <w:pPr>
              <w:spacing w:after="0" w:line="54" w:lineRule="exact"/>
              <w:rPr>
                <w:sz w:val="20"/>
                <w:szCs w:val="20"/>
                <w:color w:val="auto"/>
              </w:rPr>
            </w:pPr>
            <w:r>
              <w:rPr>
                <w:rFonts w:ascii="Arial" w:cs="Arial" w:eastAsia="Arial" w:hAnsi="Arial"/>
                <w:sz w:val="6"/>
                <w:szCs w:val="6"/>
                <w:color w:val="FFFFFF"/>
              </w:rPr>
              <w:t>Corporate Information</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BOARD OF DIRECTORS NOMINATION AND CORPORATE Executive Directors GOVERNANCE COMMITTEE</w:t>
            </w:r>
          </w:p>
        </w:tc>
        <w:tc>
          <w:tcPr>
            <w:tcW w:w="0" w:type="dxa"/>
            <w:vAlign w:val="bottom"/>
          </w:tcPr>
          <w:p>
            <w:pPr>
              <w:spacing w:after="0"/>
              <w:rPr>
                <w:sz w:val="1"/>
                <w:szCs w:val="1"/>
                <w:color w:val="auto"/>
              </w:rPr>
            </w:pPr>
          </w:p>
        </w:tc>
      </w:tr>
      <w:tr>
        <w:trPr>
          <w:trHeight w:val="41"/>
        </w:trPr>
        <w:tc>
          <w:tcPr>
            <w:tcW w:w="6420" w:type="dxa"/>
            <w:vAlign w:val="bottom"/>
            <w:gridSpan w:val="5"/>
          </w:tcPr>
          <w:p>
            <w:pPr>
              <w:ind w:left="240"/>
              <w:spacing w:after="0"/>
              <w:rPr>
                <w:sz w:val="20"/>
                <w:szCs w:val="20"/>
                <w:color w:val="auto"/>
              </w:rPr>
            </w:pPr>
            <w:r>
              <w:rPr>
                <w:rFonts w:ascii="Arial" w:cs="Arial" w:eastAsia="Arial" w:hAnsi="Arial"/>
                <w:sz w:val="3"/>
                <w:szCs w:val="3"/>
                <w:color w:val="FFFFFF"/>
              </w:rPr>
              <w:t>Jeffrey Kin-fung Lam, GBS, JP (Chairman)</w:t>
            </w:r>
          </w:p>
        </w:tc>
        <w:tc>
          <w:tcPr>
            <w:tcW w:w="0" w:type="dxa"/>
            <w:vAlign w:val="bottom"/>
          </w:tcPr>
          <w:p>
            <w:pPr>
              <w:spacing w:after="0"/>
              <w:rPr>
                <w:sz w:val="1"/>
                <w:szCs w:val="1"/>
                <w:color w:val="auto"/>
              </w:rPr>
            </w:pPr>
          </w:p>
        </w:tc>
      </w:tr>
      <w:tr>
        <w:trPr>
          <w:trHeight w:val="41"/>
        </w:trPr>
        <w:tc>
          <w:tcPr>
            <w:tcW w:w="6420" w:type="dxa"/>
            <w:vAlign w:val="bottom"/>
            <w:gridSpan w:val="5"/>
          </w:tcPr>
          <w:p>
            <w:pPr>
              <w:ind w:left="240"/>
              <w:spacing w:after="0"/>
              <w:rPr>
                <w:sz w:val="20"/>
                <w:szCs w:val="20"/>
                <w:color w:val="auto"/>
              </w:rPr>
            </w:pPr>
            <w:r>
              <w:rPr>
                <w:rFonts w:ascii="Arial" w:cs="Arial" w:eastAsia="Arial" w:hAnsi="Arial"/>
                <w:sz w:val="3"/>
                <w:szCs w:val="3"/>
                <w:color w:val="FFFFFF"/>
              </w:rPr>
              <w:t>Stephen A. Wynn (Chairman of the Board)</w:t>
            </w: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Mr. Nicholas Sallnow-Smith Ms. Linda Chen Dr. Allan Zeman, GBM, GBS, JP Mr. Ian Michael Coughlan</w:t>
            </w: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COMPANY SECRETARY</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Non-</w:t>
            </w:r>
          </w:p>
        </w:tc>
        <w:tc>
          <w:tcPr>
            <w:tcW w:w="1120" w:type="dxa"/>
            <w:vAlign w:val="bottom"/>
          </w:tcPr>
          <w:p>
            <w:pPr>
              <w:jc w:val="center"/>
              <w:ind w:left="350"/>
              <w:spacing w:after="0"/>
              <w:rPr>
                <w:sz w:val="20"/>
                <w:szCs w:val="20"/>
                <w:color w:val="auto"/>
              </w:rPr>
            </w:pPr>
            <w:r>
              <w:rPr>
                <w:rFonts w:ascii="Arial" w:cs="Arial" w:eastAsia="Arial" w:hAnsi="Arial"/>
                <w:sz w:val="3"/>
                <w:szCs w:val="3"/>
                <w:color w:val="FFFFFF"/>
              </w:rPr>
              <w:t>Directors</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Ms. KwokExecutiveYChing, FCIS, FCS Mr. Matthew O. Maddox</w:t>
            </w: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(resigned on 28 February 2013) (appointed on 28 March 2013)</w:t>
            </w: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Ms. Ho Wing Tsz Wendy, FCIS, FCS Mr. Marc D. Schorr</w:t>
            </w: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(appointed on 28 February 2013) (retired on 28 March 2013)</w:t>
            </w:r>
          </w:p>
        </w:tc>
        <w:tc>
          <w:tcPr>
            <w:tcW w:w="0" w:type="dxa"/>
            <w:vAlign w:val="bottom"/>
          </w:tcPr>
          <w:p>
            <w:pPr>
              <w:spacing w:after="0"/>
              <w:rPr>
                <w:sz w:val="1"/>
                <w:szCs w:val="1"/>
                <w:color w:val="auto"/>
              </w:rPr>
            </w:pPr>
          </w:p>
        </w:tc>
      </w:tr>
      <w:tr>
        <w:trPr>
          <w:trHeight w:val="41"/>
        </w:trPr>
        <w:tc>
          <w:tcPr>
            <w:tcW w:w="1880" w:type="dxa"/>
            <w:vAlign w:val="bottom"/>
            <w:gridSpan w:val="4"/>
          </w:tcPr>
          <w:p>
            <w:pPr>
              <w:spacing w:after="0"/>
              <w:rPr>
                <w:sz w:val="20"/>
                <w:szCs w:val="20"/>
                <w:color w:val="auto"/>
              </w:rPr>
            </w:pPr>
            <w:r>
              <w:rPr>
                <w:rFonts w:ascii="Arial" w:cs="Arial" w:eastAsia="Arial" w:hAnsi="Arial"/>
                <w:sz w:val="3"/>
                <w:szCs w:val="3"/>
                <w:color w:val="FFFFFF"/>
              </w:rPr>
              <w:t>Dr. Allan Zeman, GBM, GBS, JP</w:t>
            </w: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AUTHORIZED REPRESENTATIVES</w:t>
            </w:r>
          </w:p>
        </w:tc>
        <w:tc>
          <w:tcPr>
            <w:tcW w:w="0" w:type="dxa"/>
            <w:vAlign w:val="bottom"/>
          </w:tcPr>
          <w:p>
            <w:pPr>
              <w:spacing w:after="0"/>
              <w:rPr>
                <w:sz w:val="1"/>
                <w:szCs w:val="1"/>
                <w:color w:val="auto"/>
              </w:rPr>
            </w:pPr>
          </w:p>
        </w:tc>
      </w:tr>
      <w:tr>
        <w:trPr>
          <w:trHeight w:val="41"/>
        </w:trPr>
        <w:tc>
          <w:tcPr>
            <w:tcW w:w="1880" w:type="dxa"/>
            <w:vAlign w:val="bottom"/>
            <w:gridSpan w:val="4"/>
          </w:tcPr>
          <w:p>
            <w:pPr>
              <w:spacing w:after="0"/>
              <w:rPr>
                <w:sz w:val="20"/>
                <w:szCs w:val="20"/>
                <w:color w:val="auto"/>
              </w:rPr>
            </w:pPr>
            <w:r>
              <w:rPr>
                <w:rFonts w:ascii="Arial" w:cs="Arial" w:eastAsia="Arial" w:hAnsi="Arial"/>
                <w:sz w:val="3"/>
                <w:szCs w:val="3"/>
                <w:color w:val="FFFFFF"/>
              </w:rPr>
              <w:t>(Vice-chairman of the Board)</w:t>
            </w: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80" w:type="dxa"/>
            <w:vAlign w:val="bottom"/>
            <w:gridSpan w:val="4"/>
          </w:tcPr>
          <w:p>
            <w:pPr>
              <w:spacing w:after="0"/>
              <w:rPr>
                <w:sz w:val="20"/>
                <w:szCs w:val="20"/>
                <w:color w:val="auto"/>
              </w:rPr>
            </w:pPr>
            <w:r>
              <w:rPr>
                <w:rFonts w:ascii="Arial" w:cs="Arial" w:eastAsia="Arial" w:hAnsi="Arial"/>
                <w:sz w:val="3"/>
                <w:szCs w:val="3"/>
                <w:color w:val="FFFFFF"/>
              </w:rPr>
              <w:t>Dr. Allan Zeman, GBM, GBS, JP</w:t>
            </w: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Indepen ent Non-Executive Directors Ms. Kwok Yu Ching, FCIS, FCS</w:t>
            </w: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1520" w:type="dxa"/>
            <w:vAlign w:val="bottom"/>
            <w:gridSpan w:val="3"/>
          </w:tcPr>
          <w:p>
            <w:pPr>
              <w:jc w:val="center"/>
              <w:spacing w:after="0"/>
              <w:rPr>
                <w:sz w:val="20"/>
                <w:szCs w:val="20"/>
                <w:color w:val="auto"/>
              </w:rPr>
            </w:pPr>
            <w:r>
              <w:rPr>
                <w:rFonts w:ascii="Arial" w:cs="Arial" w:eastAsia="Arial" w:hAnsi="Arial"/>
                <w:sz w:val="3"/>
                <w:szCs w:val="3"/>
                <w:color w:val="FFFFFF"/>
              </w:rPr>
              <w:t>on 28 February 2013)</w:t>
            </w: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(resigned.Jeffrey Kin-fung</w:t>
            </w:r>
          </w:p>
        </w:tc>
        <w:tc>
          <w:tcPr>
            <w:tcW w:w="4940" w:type="dxa"/>
            <w:vAlign w:val="bottom"/>
            <w:gridSpan w:val="3"/>
          </w:tcPr>
          <w:p>
            <w:pPr>
              <w:spacing w:after="0"/>
              <w:rPr>
                <w:sz w:val="20"/>
                <w:szCs w:val="20"/>
                <w:color w:val="auto"/>
              </w:rPr>
            </w:pPr>
            <w:r>
              <w:rPr>
                <w:rFonts w:ascii="Arial" w:cs="Arial" w:eastAsia="Arial" w:hAnsi="Arial"/>
                <w:sz w:val="3"/>
                <w:szCs w:val="3"/>
                <w:color w:val="FFFFFF"/>
              </w:rPr>
              <w:t>GBS, JP</w:t>
            </w: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Ms. Ho Wing Tsz WendyLam,FCIS, FCS Mr. Bruce Rockowitz</w:t>
            </w:r>
          </w:p>
        </w:tc>
        <w:tc>
          <w:tcPr>
            <w:tcW w:w="0" w:type="dxa"/>
            <w:vAlign w:val="bottom"/>
          </w:tcPr>
          <w:p>
            <w:pPr>
              <w:spacing w:after="0"/>
              <w:rPr>
                <w:sz w:val="1"/>
                <w:szCs w:val="1"/>
                <w:color w:val="auto"/>
              </w:rPr>
            </w:pPr>
          </w:p>
        </w:tc>
      </w:tr>
      <w:tr>
        <w:trPr>
          <w:trHeight w:val="41"/>
        </w:trPr>
        <w:tc>
          <w:tcPr>
            <w:tcW w:w="1880" w:type="dxa"/>
            <w:vAlign w:val="bottom"/>
            <w:gridSpan w:val="4"/>
          </w:tcPr>
          <w:p>
            <w:pPr>
              <w:spacing w:after="0"/>
              <w:rPr>
                <w:sz w:val="20"/>
                <w:szCs w:val="20"/>
                <w:color w:val="auto"/>
              </w:rPr>
            </w:pPr>
            <w:r>
              <w:rPr>
                <w:rFonts w:ascii="Arial" w:cs="Arial" w:eastAsia="Arial" w:hAnsi="Arial"/>
                <w:sz w:val="3"/>
                <w:szCs w:val="3"/>
                <w:color w:val="FFFFFF"/>
              </w:rPr>
              <w:t>(appointed on 28 February 2013)</w:t>
            </w: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80" w:type="dxa"/>
            <w:vAlign w:val="bottom"/>
            <w:gridSpan w:val="3"/>
          </w:tcPr>
          <w:p>
            <w:pPr>
              <w:ind w:left="160"/>
              <w:spacing w:after="0"/>
              <w:rPr>
                <w:sz w:val="20"/>
                <w:szCs w:val="20"/>
                <w:color w:val="auto"/>
              </w:rPr>
            </w:pPr>
            <w:r>
              <w:rPr>
                <w:rFonts w:ascii="Arial" w:cs="Arial" w:eastAsia="Arial" w:hAnsi="Arial"/>
                <w:sz w:val="3"/>
                <w:szCs w:val="3"/>
                <w:color w:val="FFFFFF"/>
              </w:rPr>
              <w:t>. Nicholas Sallnow-Smith</w:t>
            </w:r>
          </w:p>
        </w:tc>
        <w:tc>
          <w:tcPr>
            <w:tcW w:w="300" w:type="dxa"/>
            <w:vAlign w:val="bottom"/>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(Mrs. Seng Sze Ka Mee, Natalia as alternate)</w:t>
            </w: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1120" w:type="dxa"/>
            <w:vAlign w:val="bottom"/>
          </w:tcPr>
          <w:p>
            <w:pPr>
              <w:ind w:left="100"/>
              <w:spacing w:after="0"/>
              <w:rPr>
                <w:sz w:val="20"/>
                <w:szCs w:val="20"/>
                <w:color w:val="auto"/>
              </w:rPr>
            </w:pPr>
            <w:r>
              <w:rPr>
                <w:rFonts w:ascii="Arial" w:cs="Arial" w:eastAsia="Arial" w:hAnsi="Arial"/>
                <w:sz w:val="3"/>
                <w:szCs w:val="3"/>
                <w:color w:val="FFFFFF"/>
              </w:rPr>
              <w:t>COMMITTEE</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AUDITORS</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Mr. Nicholas Sallnow-Smith (Chairman)</w:t>
            </w: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Ernst &amp; Young Mr. Bruce Rockowitz</w:t>
            </w:r>
          </w:p>
        </w:tc>
        <w:tc>
          <w:tcPr>
            <w:tcW w:w="0" w:type="dxa"/>
            <w:vAlign w:val="bottom"/>
          </w:tcPr>
          <w:p>
            <w:pPr>
              <w:spacing w:after="0"/>
              <w:rPr>
                <w:sz w:val="1"/>
                <w:szCs w:val="1"/>
                <w:color w:val="auto"/>
              </w:rPr>
            </w:pPr>
          </w:p>
        </w:tc>
      </w:tr>
      <w:tr>
        <w:trPr>
          <w:trHeight w:val="41"/>
        </w:trPr>
        <w:tc>
          <w:tcPr>
            <w:tcW w:w="1580" w:type="dxa"/>
            <w:vAlign w:val="bottom"/>
            <w:gridSpan w:val="3"/>
          </w:tcPr>
          <w:p>
            <w:pPr>
              <w:spacing w:after="0"/>
              <w:rPr>
                <w:sz w:val="20"/>
                <w:szCs w:val="20"/>
                <w:color w:val="auto"/>
              </w:rPr>
            </w:pPr>
            <w:r>
              <w:rPr>
                <w:rFonts w:ascii="Arial" w:cs="Arial" w:eastAsia="Arial" w:hAnsi="Arial"/>
                <w:sz w:val="3"/>
                <w:szCs w:val="3"/>
                <w:color w:val="FFFFFF"/>
              </w:rPr>
              <w:t>Certi? ed Public Accountants</w:t>
            </w:r>
          </w:p>
        </w:tc>
        <w:tc>
          <w:tcPr>
            <w:tcW w:w="300" w:type="dxa"/>
            <w:vAlign w:val="bottom"/>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80" w:type="dxa"/>
            <w:vAlign w:val="bottom"/>
            <w:gridSpan w:val="4"/>
          </w:tcPr>
          <w:p>
            <w:pPr>
              <w:spacing w:after="0"/>
              <w:rPr>
                <w:sz w:val="20"/>
                <w:szCs w:val="20"/>
                <w:color w:val="auto"/>
              </w:rPr>
            </w:pPr>
            <w:r>
              <w:rPr>
                <w:rFonts w:ascii="Arial" w:cs="Arial" w:eastAsia="Arial" w:hAnsi="Arial"/>
                <w:sz w:val="3"/>
                <w:szCs w:val="3"/>
                <w:color w:val="FFFFFF"/>
              </w:rPr>
              <w:t>Dr. Allan Zeman, GBM, GBS, JP</w:t>
            </w:r>
          </w:p>
        </w:tc>
        <w:tc>
          <w:tcPr>
            <w:tcW w:w="454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TION COMMITTEE</w:t>
            </w: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LEGAL ADVISORS</w:t>
            </w: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420" w:type="dxa"/>
            <w:vAlign w:val="bottom"/>
            <w:gridSpan w:val="5"/>
          </w:tcPr>
          <w:p>
            <w:pPr>
              <w:spacing w:after="0"/>
              <w:rPr>
                <w:sz w:val="20"/>
                <w:szCs w:val="20"/>
                <w:color w:val="auto"/>
              </w:rPr>
            </w:pPr>
            <w:r>
              <w:rPr>
                <w:rFonts w:ascii="Arial" w:cs="Arial" w:eastAsia="Arial" w:hAnsi="Arial"/>
                <w:sz w:val="3"/>
                <w:szCs w:val="3"/>
                <w:color w:val="FFFFFF"/>
              </w:rPr>
              <w:t>As to Hong Kong andREMUNERA..laws:</w:t>
            </w:r>
          </w:p>
        </w:tc>
        <w:tc>
          <w:tcPr>
            <w:tcW w:w="0" w:type="dxa"/>
            <w:vAlign w:val="bottom"/>
          </w:tcPr>
          <w:p>
            <w:pPr>
              <w:spacing w:after="0"/>
              <w:rPr>
                <w:sz w:val="1"/>
                <w:szCs w:val="1"/>
                <w:color w:val="auto"/>
              </w:rPr>
            </w:pPr>
          </w:p>
        </w:tc>
      </w:tr>
      <w:tr>
        <w:trPr>
          <w:trHeight w:val="1"/>
        </w:trPr>
        <w:tc>
          <w:tcPr>
            <w:tcW w:w="1580" w:type="dxa"/>
            <w:vAlign w:val="bottom"/>
            <w:gridSpan w:val="3"/>
          </w:tcPr>
          <w:p>
            <w:pPr>
              <w:spacing w:after="0" w:line="2" w:lineRule="exact"/>
              <w:rPr>
                <w:sz w:val="20"/>
                <w:szCs w:val="20"/>
                <w:color w:val="auto"/>
              </w:rPr>
            </w:pPr>
            <w:r>
              <w:rPr>
                <w:rFonts w:ascii="Arial" w:cs="Arial" w:eastAsia="Arial" w:hAnsi="Arial"/>
                <w:sz w:val="1"/>
                <w:szCs w:val="1"/>
                <w:color w:val="FFFFFF"/>
              </w:rPr>
              <w:t>Mr. Nicholas Sallnow-Smith</w:t>
            </w:r>
          </w:p>
        </w:tc>
        <w:tc>
          <w:tcPr>
            <w:tcW w:w="4840" w:type="dxa"/>
            <w:vAlign w:val="bottom"/>
            <w:gridSpan w:val="2"/>
          </w:tcPr>
          <w:p>
            <w:pPr>
              <w:ind w:left="20"/>
              <w:spacing w:after="0" w:line="2" w:lineRule="exact"/>
              <w:rPr>
                <w:sz w:val="20"/>
                <w:szCs w:val="20"/>
                <w:color w:val="auto"/>
              </w:rPr>
            </w:pPr>
            <w:r>
              <w:rPr>
                <w:rFonts w:ascii="Arial" w:cs="Arial" w:eastAsia="Arial" w:hAnsi="Arial"/>
                <w:sz w:val="1"/>
                <w:szCs w:val="1"/>
                <w:color w:val="FFFFFF"/>
              </w:rPr>
              <w:t>(Chairman)</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Mr.Skadden,MatthewArps,O.Slate,MaddoxMeagher &amp; Flom Mr. Jeffrey Kin-fung Lam, GBS, JP</w:t>
      </w:r>
    </w:p>
    <w:p>
      <w:pPr>
        <w:ind w:left="600"/>
        <w:spacing w:after="0" w:line="191" w:lineRule="auto"/>
        <w:rPr>
          <w:sz w:val="20"/>
          <w:szCs w:val="20"/>
          <w:color w:val="auto"/>
        </w:rPr>
      </w:pPr>
      <w:r>
        <w:rPr>
          <w:rFonts w:ascii="Arial" w:cs="Arial" w:eastAsia="Arial" w:hAnsi="Arial"/>
          <w:sz w:val="7"/>
          <w:szCs w:val="7"/>
          <w:color w:val="FFFFFF"/>
        </w:rPr>
        <w:t>Correia</w:t>
      </w:r>
      <w:r>
        <w:rPr>
          <w:rFonts w:ascii="Arial" w:cs="Arial" w:eastAsia="Arial" w:hAnsi="Arial"/>
          <w:sz w:val="9"/>
          <w:szCs w:val="9"/>
          <w:color w:val="FFFFFF"/>
          <w:vertAlign w:val="subscript"/>
        </w:rPr>
        <w:t>Islands</w:t>
      </w:r>
      <w:r>
        <w:rPr>
          <w:rFonts w:ascii="Arial" w:cs="Arial" w:eastAsia="Arial" w:hAnsi="Arial"/>
          <w:sz w:val="7"/>
          <w:szCs w:val="7"/>
          <w:color w:val="FFFFFF"/>
        </w:rPr>
        <w:t>da Silva</w:t>
      </w:r>
    </w:p>
    <w:p>
      <w:pPr>
        <w:spacing w:after="0" w:line="209" w:lineRule="auto"/>
        <w:tabs>
          <w:tab w:leader="none" w:pos="1220" w:val="left"/>
        </w:tabs>
        <w:rPr>
          <w:sz w:val="20"/>
          <w:szCs w:val="20"/>
          <w:color w:val="auto"/>
        </w:rPr>
      </w:pPr>
      <w:r>
        <w:rPr>
          <w:rFonts w:ascii="Arial" w:cs="Arial" w:eastAsia="Arial" w:hAnsi="Arial"/>
          <w:sz w:val="11"/>
          <w:szCs w:val="11"/>
          <w:color w:val="FFFFFF"/>
        </w:rPr>
        <w:t>MaplestoCaymanandCalder</w:t>
      </w:r>
      <w:r>
        <w:rPr>
          <w:sz w:val="20"/>
          <w:szCs w:val="20"/>
          <w:color w:val="auto"/>
        </w:rPr>
        <w:tab/>
      </w:r>
      <w:r>
        <w:rPr>
          <w:rFonts w:ascii="Arial" w:cs="Arial" w:eastAsia="Arial" w:hAnsi="Arial"/>
          <w:sz w:val="12"/>
          <w:szCs w:val="12"/>
          <w:color w:val="FFFFFF"/>
        </w:rPr>
        <w:t>law:</w:t>
      </w:r>
    </w:p>
    <w:p>
      <w:pPr>
        <w:sectPr>
          <w:pgSz w:w="11900" w:h="16838" w:orient="portrait"/>
          <w:cols w:equalWidth="0" w:num="1">
            <w:col w:w="10219"/>
          </w:cols>
          <w:pgMar w:left="2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3</w:t>
      </w:r>
    </w:p>
    <w:p>
      <w:pPr>
        <w:spacing w:after="0"/>
        <w:rPr>
          <w:sz w:val="20"/>
          <w:szCs w:val="20"/>
          <w:color w:val="auto"/>
        </w:rPr>
      </w:pPr>
      <w:r>
        <w:rPr>
          <w:rFonts w:ascii="Arial" w:cs="Arial" w:eastAsia="Arial" w:hAnsi="Arial"/>
          <w:sz w:val="3"/>
          <w:szCs w:val="3"/>
          <w:color w:val="FFFFFF"/>
        </w:rPr>
        <w:t>Corporate Information</w:t>
      </w:r>
    </w:p>
    <w:p>
      <w:pPr>
        <w:spacing w:after="0" w:line="194" w:lineRule="auto"/>
        <w:rPr>
          <w:sz w:val="20"/>
          <w:szCs w:val="20"/>
          <w:color w:val="auto"/>
        </w:rPr>
      </w:pPr>
      <w:r>
        <w:rPr>
          <w:rFonts w:ascii="Arial" w:cs="Arial" w:eastAsia="Arial" w:hAnsi="Arial"/>
          <w:sz w:val="5"/>
          <w:szCs w:val="5"/>
          <w:color w:val="FFFFFF"/>
        </w:rPr>
        <w:t>REGISTERED OFFICE HONG KONG SHARE REGISTRAR</w:t>
      </w:r>
    </w:p>
    <w:p>
      <w:pPr>
        <w:ind w:right="3379"/>
        <w:spacing w:after="0" w:line="187" w:lineRule="auto"/>
        <w:rPr>
          <w:sz w:val="20"/>
          <w:szCs w:val="20"/>
          <w:color w:val="auto"/>
        </w:rPr>
      </w:pPr>
      <w:r>
        <w:rPr>
          <w:rFonts w:ascii="Arial" w:cs="Arial" w:eastAsia="Arial" w:hAnsi="Arial"/>
          <w:sz w:val="9"/>
          <w:szCs w:val="9"/>
          <w:color w:val="FFFFFF"/>
        </w:rPr>
        <w:t>P.O. Box 309 Computershare Hong Kong Investor Ugland House Services Limited Grand Cayman KY1-1104 STOCK CODE Cayman Islands 1128</w:t>
      </w:r>
    </w:p>
    <w:p>
      <w:pPr>
        <w:spacing w:after="0" w:line="188" w:lineRule="auto"/>
        <w:rPr>
          <w:sz w:val="20"/>
          <w:szCs w:val="20"/>
          <w:color w:val="auto"/>
        </w:rPr>
      </w:pPr>
      <w:r>
        <w:rPr>
          <w:rFonts w:ascii="Arial" w:cs="Arial" w:eastAsia="Arial" w:hAnsi="Arial"/>
          <w:sz w:val="9"/>
          <w:szCs w:val="9"/>
          <w:color w:val="FFFFFF"/>
        </w:rPr>
        <w:t>HEADQUARTERS IN MACAU COMPANY WEBSITE</w:t>
      </w:r>
    </w:p>
    <w:p>
      <w:pPr>
        <w:spacing w:after="0"/>
        <w:rPr>
          <w:sz w:val="20"/>
          <w:szCs w:val="20"/>
          <w:color w:val="auto"/>
        </w:rPr>
      </w:pPr>
      <w:r>
        <w:rPr>
          <w:rFonts w:ascii="Arial" w:cs="Arial" w:eastAsia="Arial" w:hAnsi="Arial"/>
          <w:sz w:val="3"/>
          <w:szCs w:val="3"/>
          <w:color w:val="FFFFFF"/>
        </w:rPr>
        <w:t>PRINCIPALRuaCidadedePLACESintra OFwww.wynnmacaulimited.comBUSINESSINHONGKONGNAPE, Macau SAR</w:t>
      </w:r>
    </w:p>
    <w:p>
      <w:pPr>
        <w:spacing w:after="0" w:line="194" w:lineRule="auto"/>
        <w:rPr>
          <w:sz w:val="20"/>
          <w:szCs w:val="20"/>
          <w:color w:val="auto"/>
        </w:rPr>
      </w:pPr>
      <w:r>
        <w:rPr>
          <w:rFonts w:ascii="Arial" w:cs="Arial" w:eastAsia="Arial" w:hAnsi="Arial"/>
          <w:sz w:val="5"/>
          <w:szCs w:val="5"/>
          <w:color w:val="FFFFFF"/>
        </w:rPr>
        <w:t>Level 28, Three Paci? c Place</w:t>
      </w:r>
    </w:p>
    <w:p>
      <w:pPr>
        <w:spacing w:after="0" w:line="197" w:lineRule="auto"/>
        <w:tabs>
          <w:tab w:leader="none" w:pos="440" w:val="left"/>
        </w:tabs>
        <w:rPr>
          <w:sz w:val="20"/>
          <w:szCs w:val="20"/>
          <w:color w:val="auto"/>
        </w:rPr>
      </w:pPr>
      <w:r>
        <w:rPr>
          <w:rFonts w:ascii="Arial" w:cs="Arial" w:eastAsia="Arial" w:hAnsi="Arial"/>
          <w:sz w:val="10"/>
          <w:szCs w:val="10"/>
          <w:color w:val="FFFFFF"/>
        </w:rPr>
        <w:t>1</w:t>
      </w:r>
      <w:r>
        <w:rPr>
          <w:sz w:val="20"/>
          <w:szCs w:val="20"/>
          <w:color w:val="auto"/>
        </w:rPr>
        <w:tab/>
      </w:r>
      <w:r>
        <w:rPr>
          <w:rFonts w:ascii="Arial" w:cs="Arial" w:eastAsia="Arial" w:hAnsi="Arial"/>
          <w:sz w:val="10"/>
          <w:szCs w:val="10"/>
          <w:color w:val="FFFFFF"/>
        </w:rPr>
        <w:t>Queen’s Road East Hong Kong</w:t>
      </w:r>
    </w:p>
    <w:p>
      <w:pPr>
        <w:spacing w:after="0"/>
        <w:rPr>
          <w:sz w:val="20"/>
          <w:szCs w:val="20"/>
          <w:color w:val="auto"/>
        </w:rPr>
      </w:pPr>
      <w:r>
        <w:rPr>
          <w:rFonts w:ascii="Arial" w:cs="Arial" w:eastAsia="Arial" w:hAnsi="Arial"/>
          <w:sz w:val="14"/>
          <w:szCs w:val="14"/>
          <w:color w:val="FFFFFF"/>
        </w:rPr>
        <w:t>ApplebyPRINCIPALTrustSHARE(Cayman)REGISTRARLimited AND TRANSFER OFFICE</w:t>
      </w:r>
    </w:p>
    <w:p>
      <w:pPr>
        <w:sectPr>
          <w:pgSz w:w="11900" w:h="16838" w:orient="portrait"/>
          <w:cols w:equalWidth="0" w:num="1">
            <w:col w:w="10219"/>
          </w:cols>
          <w:pgMar w:left="2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FFFFFF"/>
        </w:rPr>
        <w:t>Highlights4Wynn Macau, Limited</w:t>
      </w:r>
    </w:p>
    <w:p>
      <w:pPr>
        <w:spacing w:after="0" w:line="211" w:lineRule="auto"/>
        <w:rPr>
          <w:sz w:val="20"/>
          <w:szCs w:val="20"/>
          <w:color w:val="auto"/>
        </w:rPr>
      </w:pPr>
      <w:r>
        <w:rPr>
          <w:rFonts w:ascii="Arial" w:cs="Arial" w:eastAsia="Arial" w:hAnsi="Arial"/>
          <w:sz w:val="4"/>
          <w:szCs w:val="4"/>
          <w:color w:val="FFFFFF"/>
          <w:vertAlign w:val="superscript"/>
        </w:rPr>
        <w:t>For</w:t>
      </w:r>
    </w:p>
    <w:p>
      <w:pPr>
        <w:ind w:left="80"/>
        <w:spacing w:after="0"/>
        <w:rPr>
          <w:sz w:val="20"/>
          <w:szCs w:val="20"/>
          <w:color w:val="auto"/>
        </w:rPr>
      </w:pPr>
      <w:r>
        <w:rPr>
          <w:rFonts w:ascii="Arial" w:cs="Arial" w:eastAsia="Arial" w:hAnsi="Arial"/>
          <w:sz w:val="3"/>
          <w:szCs w:val="3"/>
          <w:color w:val="FFFFFF"/>
        </w:rPr>
        <w:t>INANCIALtheyearendedHIGHLIGHTS</w:t>
      </w:r>
    </w:p>
    <w:p>
      <w:pPr>
        <w:spacing w:after="0" w:line="194" w:lineRule="auto"/>
        <w:rPr>
          <w:sz w:val="20"/>
          <w:szCs w:val="20"/>
          <w:color w:val="auto"/>
        </w:rPr>
      </w:pPr>
      <w:r>
        <w:rPr>
          <w:rFonts w:ascii="Arial" w:cs="Arial" w:eastAsia="Arial" w:hAnsi="Arial"/>
          <w:sz w:val="5"/>
          <w:szCs w:val="5"/>
          <w:color w:val="FFFFFF"/>
        </w:rPr>
        <w:t>31 December</w:t>
      </w:r>
    </w:p>
    <w:p>
      <w:pPr>
        <w:spacing w:after="0" w:line="188" w:lineRule="auto"/>
        <w:rPr>
          <w:sz w:val="20"/>
          <w:szCs w:val="20"/>
          <w:color w:val="auto"/>
        </w:rPr>
      </w:pPr>
      <w:r>
        <w:rPr>
          <w:rFonts w:ascii="Arial" w:cs="Arial" w:eastAsia="Arial" w:hAnsi="Arial"/>
          <w:sz w:val="9"/>
          <w:szCs w:val="9"/>
          <w:color w:val="FFFFFF"/>
        </w:rPr>
        <w:t>2012 2011</w:t>
      </w:r>
    </w:p>
    <w:p>
      <w:pPr>
        <w:spacing w:after="0" w:line="187" w:lineRule="auto"/>
        <w:rPr>
          <w:sz w:val="20"/>
          <w:szCs w:val="20"/>
          <w:color w:val="auto"/>
        </w:rPr>
      </w:pPr>
      <w:r>
        <w:rPr>
          <w:rFonts w:ascii="Arial" w:cs="Arial" w:eastAsia="Arial" w:hAnsi="Arial"/>
          <w:sz w:val="9"/>
          <w:szCs w:val="9"/>
          <w:color w:val="FFFFFF"/>
        </w:rPr>
        <w:t>(inHKthousands,$HK$</w:t>
      </w:r>
    </w:p>
    <w:p>
      <w:pPr>
        <w:spacing w:after="0"/>
        <w:rPr>
          <w:sz w:val="20"/>
          <w:szCs w:val="20"/>
          <w:color w:val="auto"/>
        </w:rPr>
      </w:pPr>
      <w:r>
        <w:rPr>
          <w:rFonts w:ascii="Arial" w:cs="Arial" w:eastAsia="Arial" w:hAnsi="Arial"/>
          <w:sz w:val="3"/>
          <w:szCs w:val="3"/>
          <w:color w:val="FFFFFF"/>
        </w:rPr>
        <w:t>orexceptotherwisepersharestated)amounts</w:t>
      </w:r>
    </w:p>
    <w:p>
      <w:pPr>
        <w:spacing w:after="0" w:line="181" w:lineRule="auto"/>
        <w:rPr>
          <w:sz w:val="20"/>
          <w:szCs w:val="20"/>
          <w:color w:val="auto"/>
        </w:rPr>
      </w:pPr>
      <w:r>
        <w:rPr>
          <w:rFonts w:ascii="Arial" w:cs="Arial" w:eastAsia="Arial" w:hAnsi="Arial"/>
          <w:sz w:val="10"/>
          <w:szCs w:val="10"/>
          <w:color w:val="FFFFFF"/>
        </w:rPr>
        <w:t>Casino revenues 26,706,712 27,755,965</w:t>
      </w:r>
    </w:p>
    <w:p>
      <w:pPr>
        <w:spacing w:after="0" w:line="188" w:lineRule="auto"/>
        <w:rPr>
          <w:sz w:val="20"/>
          <w:szCs w:val="20"/>
          <w:color w:val="auto"/>
        </w:rPr>
      </w:pPr>
      <w:r>
        <w:rPr>
          <w:rFonts w:ascii="Arial" w:cs="Arial" w:eastAsia="Arial" w:hAnsi="Arial"/>
          <w:sz w:val="9"/>
          <w:szCs w:val="9"/>
          <w:color w:val="FFFFFF"/>
        </w:rPr>
        <w:t>EBITDAOtherrevenues7,737,7931,745,5127,951,2861,742,127</w:t>
      </w:r>
    </w:p>
    <w:p>
      <w:pPr>
        <w:spacing w:after="0" w:line="188" w:lineRule="auto"/>
        <w:rPr>
          <w:sz w:val="20"/>
          <w:szCs w:val="20"/>
          <w:color w:val="auto"/>
        </w:rPr>
      </w:pPr>
      <w:r>
        <w:rPr>
          <w:rFonts w:ascii="Arial" w:cs="Arial" w:eastAsia="Arial" w:hAnsi="Arial"/>
          <w:sz w:val="7"/>
          <w:szCs w:val="7"/>
          <w:color w:val="FFFFFF"/>
        </w:rPr>
        <w:t>EarningsPro?tattributableperShareto—ownersbasic 6,439,693anddiluted</w:t>
      </w:r>
      <w:r>
        <w:rPr>
          <w:rFonts w:ascii="Arial" w:cs="Arial" w:eastAsia="Arial" w:hAnsi="Arial"/>
          <w:sz w:val="9"/>
          <w:szCs w:val="9"/>
          <w:color w:val="FFFFFF"/>
          <w:vertAlign w:val="subscript"/>
        </w:rPr>
        <w:t>5,921,013</w:t>
      </w:r>
      <w:r>
        <w:rPr>
          <w:rFonts w:ascii="Arial" w:cs="Arial" w:eastAsia="Arial" w:hAnsi="Arial"/>
          <w:sz w:val="7"/>
          <w:szCs w:val="7"/>
          <w:color w:val="FFFFFF"/>
        </w:rPr>
        <w:t>(HK$).24 1.14</w:t>
      </w:r>
    </w:p>
    <w:p>
      <w:pPr>
        <w:spacing w:after="0" w:line="188" w:lineRule="auto"/>
        <w:rPr>
          <w:sz w:val="20"/>
          <w:szCs w:val="20"/>
          <w:color w:val="auto"/>
        </w:rPr>
      </w:pPr>
      <w:r>
        <w:rPr>
          <w:rFonts w:ascii="Arial" w:cs="Arial" w:eastAsia="Arial" w:hAnsi="Arial"/>
          <w:sz w:val="9"/>
          <w:szCs w:val="9"/>
          <w:color w:val="FFFFFF"/>
        </w:rPr>
        <w:t>AnnualKEYSHAREHOLDERgeneralmeeting MayDATES2013FOR 2013</w:t>
      </w:r>
    </w:p>
    <w:p>
      <w:pPr>
        <w:spacing w:after="0"/>
        <w:rPr>
          <w:sz w:val="20"/>
          <w:szCs w:val="20"/>
          <w:color w:val="auto"/>
        </w:rPr>
      </w:pPr>
      <w:r>
        <w:rPr>
          <w:rFonts w:ascii="Arial" w:cs="Arial" w:eastAsia="Arial" w:hAnsi="Arial"/>
          <w:sz w:val="3"/>
          <w:szCs w:val="3"/>
          <w:color w:val="FFFFFF"/>
        </w:rPr>
        <w:t>sixReleasemonthsof announcementending30Juneof2013interim results in respect of the August 2013</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Release of interim report in respect of the six months ending 30 June 2013 September 2013</w:t>
      </w:r>
    </w:p>
    <w:p>
      <w:pPr>
        <w:sectPr>
          <w:pgSz w:w="11900" w:h="16838" w:orient="portrait"/>
          <w:cols w:equalWidth="0" w:num="1">
            <w:col w:w="10219"/>
          </w:cols>
          <w:pgMar w:left="2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5</w:t>
      </w:r>
    </w:p>
    <w:p>
      <w:pPr>
        <w:spacing w:after="0"/>
        <w:rPr>
          <w:sz w:val="20"/>
          <w:szCs w:val="20"/>
          <w:color w:val="auto"/>
        </w:rPr>
      </w:pPr>
      <w:r>
        <w:rPr>
          <w:rFonts w:ascii="Arial" w:cs="Arial" w:eastAsia="Arial" w:hAnsi="Arial"/>
          <w:sz w:val="3"/>
          <w:szCs w:val="3"/>
          <w:color w:val="FFFFFF"/>
        </w:rPr>
        <w:t>Management Discussion and Analysis</w:t>
      </w:r>
    </w:p>
    <w:p>
      <w:pPr>
        <w:spacing w:after="0" w:line="194" w:lineRule="auto"/>
        <w:rPr>
          <w:sz w:val="20"/>
          <w:szCs w:val="20"/>
          <w:color w:val="auto"/>
        </w:rPr>
      </w:pPr>
      <w:r>
        <w:rPr>
          <w:rFonts w:ascii="Arial" w:cs="Arial" w:eastAsia="Arial" w:hAnsi="Arial"/>
          <w:sz w:val="5"/>
          <w:szCs w:val="5"/>
          <w:color w:val="FFFFFF"/>
        </w:rPr>
        <w:t>OVERVIEW</w:t>
      </w:r>
    </w:p>
    <w:p>
      <w:pPr>
        <w:ind w:right="180"/>
        <w:spacing w:after="0"/>
        <w:rPr>
          <w:sz w:val="20"/>
          <w:szCs w:val="20"/>
          <w:color w:val="auto"/>
        </w:rPr>
      </w:pPr>
      <w:r>
        <w:rPr>
          <w:rFonts w:ascii="Arial" w:cs="Arial" w:eastAsia="Arial" w:hAnsi="Arial"/>
          <w:sz w:val="6"/>
          <w:szCs w:val="6"/>
          <w:color w:val="FFFFFF"/>
        </w:rPr>
        <w:t xml:space="preserve">Wynn Macau opened to the public on 6 September 2006 at the center of casino activities on the </w:t>
      </w:r>
      <w:r>
        <w:rPr>
          <w:rFonts w:ascii="Arial" w:cs="Arial" w:eastAsia="Arial" w:hAnsi="Arial"/>
          <w:sz w:val="7"/>
          <w:szCs w:val="7"/>
          <w:color w:val="FFFFFF"/>
          <w:vertAlign w:val="superscript"/>
        </w:rPr>
        <w:t>urban</w:t>
      </w:r>
      <w:r>
        <w:rPr>
          <w:rFonts w:ascii="Arial" w:cs="Arial" w:eastAsia="Arial" w:hAnsi="Arial"/>
          <w:sz w:val="6"/>
          <w:szCs w:val="6"/>
          <w:color w:val="FFFFFF"/>
        </w:rPr>
        <w:t xml:space="preserve"> Macau peninsula. In December 2007 and November 2009, Wynn Macau completed expansions, adding more gaming space and additional food and beverage and retail amenities. Encore at Wynn Macau, further expansion of Wynn Macau that added a fully integrated resort hotel, opened in April 2010.</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Our Macau resort complex features:</w:t>
      </w:r>
    </w:p>
    <w:p>
      <w:pPr>
        <w:spacing w:after="0" w:line="6" w:lineRule="exact"/>
        <w:rPr>
          <w:sz w:val="20"/>
          <w:szCs w:val="20"/>
          <w:color w:val="auto"/>
        </w:rPr>
      </w:pPr>
    </w:p>
    <w:p>
      <w:pPr>
        <w:ind w:left="80" w:right="2280"/>
        <w:spacing w:after="0" w:line="211" w:lineRule="auto"/>
        <w:rPr>
          <w:sz w:val="20"/>
          <w:szCs w:val="20"/>
          <w:color w:val="auto"/>
        </w:rPr>
      </w:pPr>
      <w:r>
        <w:rPr>
          <w:rFonts w:ascii="Arial" w:cs="Arial" w:eastAsia="Arial" w:hAnsi="Arial"/>
          <w:sz w:val="8"/>
          <w:szCs w:val="8"/>
          <w:color w:val="FFFFFF"/>
        </w:rPr>
        <w:t>Approximately 275,000 square feet of casino space, offering 24-hour gaming and a full range of games, including private gaming salons, sky casinos and a poker pit; Two luxury hotel towers with a total of 1,008 spacious rooms and suites;</w:t>
      </w:r>
    </w:p>
    <w:p>
      <w:pPr>
        <w:spacing w:after="0" w:line="212" w:lineRule="auto"/>
        <w:rPr>
          <w:sz w:val="20"/>
          <w:szCs w:val="20"/>
          <w:color w:val="auto"/>
        </w:rPr>
      </w:pPr>
      <w:r>
        <w:rPr>
          <w:rFonts w:ascii="Arial" w:cs="Arial" w:eastAsia="Arial" w:hAnsi="Arial"/>
          <w:sz w:val="4"/>
          <w:szCs w:val="4"/>
          <w:color w:val="FFFFFF"/>
          <w:vertAlign w:val="superscript"/>
        </w:rPr>
        <w:t>•</w:t>
      </w:r>
      <w:r>
        <w:rPr>
          <w:rFonts w:ascii="Arial" w:cs="Arial" w:eastAsia="Arial" w:hAnsi="Arial"/>
          <w:sz w:val="2"/>
          <w:szCs w:val="2"/>
          <w:color w:val="FFFFFF"/>
        </w:rPr>
        <w:t xml:space="preserve"> Casual and fi ne dining in eight restaurants;</w:t>
      </w:r>
    </w:p>
    <w:p>
      <w:pPr>
        <w:ind w:firstLine="81"/>
        <w:spacing w:after="0"/>
        <w:rPr>
          <w:sz w:val="20"/>
          <w:szCs w:val="20"/>
          <w:color w:val="auto"/>
        </w:rPr>
      </w:pPr>
      <w:r>
        <w:rPr>
          <w:rFonts w:ascii="Arial" w:cs="Arial" w:eastAsia="Arial" w:hAnsi="Arial"/>
          <w:sz w:val="6"/>
          <w:szCs w:val="6"/>
          <w:color w:val="FFFFFF"/>
        </w:rPr>
        <w:t xml:space="preserve">Approximately 55,000 square feet of high-end, brand-name retail shopping, including stores and boutiques such as </w:t>
      </w:r>
      <w:r>
        <w:rPr>
          <w:rFonts w:ascii="Arial" w:cs="Arial" w:eastAsia="Arial" w:hAnsi="Arial"/>
          <w:sz w:val="7"/>
          <w:szCs w:val="7"/>
          <w:color w:val="FFFFFF"/>
          <w:vertAlign w:val="subscript"/>
        </w:rPr>
        <w:t>Bvlgari,</w:t>
      </w:r>
      <w:r>
        <w:rPr>
          <w:rFonts w:ascii="Arial" w:cs="Arial" w:eastAsia="Arial" w:hAnsi="Arial"/>
          <w:sz w:val="6"/>
          <w:szCs w:val="6"/>
          <w:color w:val="FFFFFF"/>
        </w:rPr>
        <w:t xml:space="preserve"> Cartier, Chanel, Dior, Dunhill, Ermenegildo Zegna, Ferrari, Giorgio Armani, Graff, Gucci, Hermes, Hugo Boss, Jaeger LeCoultre, Louis Vuitton, Miu Miu, Piaget, Prada, Roger Dubuis, Rolex, Tiffany, Tudor Vacheron Constantin, Van Cleef &amp; Arpels, Versace, Vertu, and others;</w:t>
      </w:r>
    </w:p>
    <w:p>
      <w:pPr>
        <w:spacing w:after="0" w:line="214" w:lineRule="auto"/>
        <w:rPr>
          <w:sz w:val="20"/>
          <w:szCs w:val="20"/>
          <w:color w:val="auto"/>
        </w:rPr>
      </w:pPr>
      <w:r>
        <w:rPr>
          <w:rFonts w:ascii="Arial" w:cs="Arial" w:eastAsia="Arial" w:hAnsi="Arial"/>
          <w:sz w:val="4"/>
          <w:szCs w:val="4"/>
          <w:color w:val="FFFFFF"/>
          <w:vertAlign w:val="superscript"/>
        </w:rPr>
        <w:t>•</w:t>
      </w:r>
    </w:p>
    <w:p>
      <w:pPr>
        <w:ind w:left="80"/>
        <w:spacing w:after="0" w:line="188" w:lineRule="auto"/>
        <w:rPr>
          <w:sz w:val="20"/>
          <w:szCs w:val="20"/>
          <w:color w:val="auto"/>
        </w:rPr>
      </w:pPr>
      <w:r>
        <w:rPr>
          <w:rFonts w:ascii="Arial" w:cs="Arial" w:eastAsia="Arial" w:hAnsi="Arial"/>
          <w:sz w:val="9"/>
          <w:szCs w:val="9"/>
          <w:color w:val="FFFFFF"/>
        </w:rPr>
        <w:t>LoungesRecreationandandmeetingleisurefacilities.facilities, including two health clubs and spas, a salon, a pool; and</w:t>
      </w:r>
    </w:p>
    <w:p>
      <w:pPr>
        <w:spacing w:after="0"/>
        <w:rPr>
          <w:sz w:val="20"/>
          <w:szCs w:val="20"/>
          <w:color w:val="auto"/>
        </w:rPr>
      </w:pPr>
      <w:r>
        <w:rPr>
          <w:rFonts w:ascii="Arial" w:cs="Arial" w:eastAsia="Arial" w:hAnsi="Arial"/>
          <w:sz w:val="3"/>
          <w:szCs w:val="3"/>
          <w:color w:val="FFFFFF"/>
        </w:rPr>
        <w:t>AsTheatfollowing31Decembertable presents the number of casino games available at our Macau Operations:</w:t>
      </w:r>
    </w:p>
    <w:p>
      <w:pPr>
        <w:spacing w:after="0" w:line="194" w:lineRule="auto"/>
        <w:rPr>
          <w:sz w:val="20"/>
          <w:szCs w:val="20"/>
          <w:color w:val="auto"/>
        </w:rPr>
      </w:pPr>
      <w:r>
        <w:rPr>
          <w:rFonts w:ascii="Arial" w:cs="Arial" w:eastAsia="Arial" w:hAnsi="Arial"/>
          <w:sz w:val="5"/>
          <w:szCs w:val="5"/>
          <w:color w:val="FFFFFF"/>
        </w:rPr>
        <w:t>2012 2011</w:t>
      </w:r>
    </w:p>
    <w:p>
      <w:pPr>
        <w:spacing w:after="0" w:line="188" w:lineRule="auto"/>
        <w:rPr>
          <w:sz w:val="20"/>
          <w:szCs w:val="20"/>
          <w:color w:val="auto"/>
        </w:rPr>
      </w:pPr>
      <w:r>
        <w:rPr>
          <w:rFonts w:ascii="Arial" w:cs="Arial" w:eastAsia="Arial" w:hAnsi="Arial"/>
          <w:sz w:val="9"/>
          <w:szCs w:val="9"/>
          <w:color w:val="FFFFFF"/>
        </w:rPr>
        <w:t>VIP table games 289 295</w:t>
      </w:r>
    </w:p>
    <w:p>
      <w:pPr>
        <w:spacing w:after="0"/>
        <w:rPr>
          <w:sz w:val="20"/>
          <w:szCs w:val="20"/>
          <w:color w:val="auto"/>
        </w:rPr>
      </w:pPr>
      <w:r>
        <w:rPr>
          <w:rFonts w:ascii="Arial" w:cs="Arial" w:eastAsia="Arial" w:hAnsi="Arial"/>
          <w:sz w:val="3"/>
          <w:szCs w:val="3"/>
          <w:color w:val="FFFFFF"/>
        </w:rPr>
        <w:t>SlotMassmachinesmarkettable988 games930 205 195</w:t>
      </w:r>
    </w:p>
    <w:p>
      <w:pPr>
        <w:spacing w:after="0" w:line="194" w:lineRule="auto"/>
        <w:rPr>
          <w:sz w:val="20"/>
          <w:szCs w:val="20"/>
          <w:color w:val="auto"/>
        </w:rPr>
      </w:pPr>
      <w:r>
        <w:rPr>
          <w:rFonts w:ascii="Arial" w:cs="Arial" w:eastAsia="Arial" w:hAnsi="Arial"/>
          <w:sz w:val="5"/>
          <w:szCs w:val="5"/>
          <w:color w:val="FFFFFF"/>
        </w:rPr>
        <w:t>Poker tables 10 11</w:t>
      </w:r>
    </w:p>
    <w:p>
      <w:pPr>
        <w:spacing w:after="0"/>
        <w:rPr>
          <w:sz w:val="20"/>
          <w:szCs w:val="20"/>
          <w:color w:val="auto"/>
        </w:rPr>
      </w:pPr>
      <w:r>
        <w:rPr>
          <w:rFonts w:ascii="Arial" w:cs="Arial" w:eastAsia="Arial" w:hAnsi="Arial"/>
          <w:sz w:val="14"/>
          <w:szCs w:val="14"/>
          <w:color w:val="FFFFFF"/>
        </w:rPr>
        <w:t>In response to on-going evaluation of our operations and feedback from our guests, we have been, and will continue to make enhancements and re? nements to our resort complex.</w:t>
      </w:r>
    </w:p>
    <w:p>
      <w:pPr>
        <w:sectPr>
          <w:pgSz w:w="11900" w:h="16838" w:orient="portrait"/>
          <w:cols w:equalWidth="0" w:num="1">
            <w:col w:w="11300"/>
          </w:cols>
          <w:pgMar w:left="240" w:top="1440" w:right="35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20"/>
                <w:szCs w:val="20"/>
                <w:color w:val="auto"/>
              </w:rPr>
            </w:pPr>
            <w:r>
              <w:rPr>
                <w:rFonts w:ascii="Arial" w:cs="Arial" w:eastAsia="Arial" w:hAnsi="Arial"/>
                <w:sz w:val="14"/>
                <w:szCs w:val="14"/>
                <w:color w:val="FFFFFF"/>
              </w:rPr>
              <w:t>6</w:t>
            </w:r>
          </w:p>
        </w:tc>
        <w:tc>
          <w:tcPr>
            <w:tcW w:w="1700" w:type="dxa"/>
            <w:vAlign w:val="bottom"/>
          </w:tcPr>
          <w:p>
            <w:pPr>
              <w:ind w:left="60"/>
              <w:spacing w:after="0"/>
              <w:rPr>
                <w:sz w:val="20"/>
                <w:szCs w:val="20"/>
                <w:color w:val="auto"/>
              </w:rPr>
            </w:pPr>
            <w:r>
              <w:rPr>
                <w:rFonts w:ascii="Arial" w:cs="Arial" w:eastAsia="Arial" w:hAnsi="Arial"/>
                <w:sz w:val="14"/>
                <w:szCs w:val="14"/>
                <w:color w:val="FFFFFF"/>
              </w:rPr>
              <w:t>Wynn Macau, Limited</w:t>
            </w:r>
          </w:p>
        </w:tc>
        <w:tc>
          <w:tcPr>
            <w:tcW w:w="2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100" w:type="dxa"/>
            <w:vAlign w:val="bottom"/>
            <w:gridSpan w:val="2"/>
          </w:tcPr>
          <w:p>
            <w:pPr>
              <w:spacing w:after="0" w:line="54" w:lineRule="exact"/>
              <w:rPr>
                <w:sz w:val="20"/>
                <w:szCs w:val="20"/>
                <w:color w:val="auto"/>
              </w:rPr>
            </w:pPr>
            <w:r>
              <w:rPr>
                <w:rFonts w:ascii="Arial" w:cs="Arial" w:eastAsia="Arial" w:hAnsi="Arial"/>
                <w:sz w:val="6"/>
                <w:szCs w:val="6"/>
                <w:color w:val="FFFFFF"/>
              </w:rPr>
              <w:t>Management Discussion and Analysis</w:t>
            </w:r>
          </w:p>
        </w:tc>
        <w:tc>
          <w:tcPr>
            <w:tcW w:w="20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100" w:type="dxa"/>
            <w:vAlign w:val="bottom"/>
            <w:gridSpan w:val="2"/>
          </w:tcPr>
          <w:p>
            <w:pPr>
              <w:spacing w:after="0"/>
              <w:rPr>
                <w:sz w:val="20"/>
                <w:szCs w:val="20"/>
                <w:color w:val="auto"/>
              </w:rPr>
            </w:pPr>
            <w:r>
              <w:rPr>
                <w:rFonts w:ascii="Arial" w:cs="Arial" w:eastAsia="Arial" w:hAnsi="Arial"/>
                <w:sz w:val="3"/>
                <w:szCs w:val="3"/>
                <w:color w:val="FFFFFF"/>
              </w:rPr>
              <w:t>Cotai Development</w:t>
            </w:r>
          </w:p>
        </w:tc>
        <w:tc>
          <w:tcPr>
            <w:tcW w:w="2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In September 2011, the Group formally accepted the terms and conditions of a draft land concession contract from the Macau Government for approximately 51 acres of land in the Cotai area of Macau (the</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“Cotai</w:t>
            </w:r>
          </w:p>
        </w:tc>
        <w:tc>
          <w:tcPr>
            <w:tcW w:w="11000" w:type="dxa"/>
            <w:vAlign w:val="bottom"/>
            <w:gridSpan w:val="7"/>
          </w:tcPr>
          <w:p>
            <w:pPr>
              <w:ind w:left="380"/>
              <w:spacing w:after="0"/>
              <w:rPr>
                <w:sz w:val="20"/>
                <w:szCs w:val="20"/>
                <w:color w:val="auto"/>
              </w:rPr>
            </w:pPr>
            <w:r>
              <w:rPr>
                <w:rFonts w:ascii="Arial" w:cs="Arial" w:eastAsia="Arial" w:hAnsi="Arial"/>
                <w:sz w:val="3"/>
                <w:szCs w:val="3"/>
                <w:color w:val="FFFFFF"/>
              </w:rPr>
              <w:t>. On 2 May 2012, the land concession contract was gazetted by the government of Macau evidencing the fi nal step in the granting of the land concession for the Cotai Land. The Group is</w:t>
            </w:r>
          </w:p>
        </w:tc>
        <w:tc>
          <w:tcPr>
            <w:tcW w:w="0" w:type="dxa"/>
            <w:vAlign w:val="bottom"/>
          </w:tcPr>
          <w:p>
            <w:pPr>
              <w:spacing w:after="0"/>
              <w:rPr>
                <w:sz w:val="1"/>
                <w:szCs w:val="1"/>
                <w:color w:val="auto"/>
              </w:rPr>
            </w:pPr>
          </w:p>
        </w:tc>
      </w:tr>
      <w:tr>
        <w:trPr>
          <w:trHeight w:val="41"/>
        </w:trPr>
        <w:tc>
          <w:tcPr>
            <w:tcW w:w="4900" w:type="dxa"/>
            <w:vAlign w:val="bottom"/>
            <w:gridSpan w:val="4"/>
          </w:tcPr>
          <w:p>
            <w:pPr>
              <w:spacing w:after="0"/>
              <w:rPr>
                <w:sz w:val="20"/>
                <w:szCs w:val="20"/>
                <w:color w:val="auto"/>
              </w:rPr>
            </w:pPr>
            <w:r>
              <w:rPr>
                <w:rFonts w:ascii="Arial" w:cs="Arial" w:eastAsia="Arial" w:hAnsi="Arial"/>
                <w:sz w:val="3"/>
                <w:szCs w:val="3"/>
                <w:color w:val="FFFFFF"/>
              </w:rPr>
              <w:t>constructingLand”) full scale integrated resort containing a casino, luxury hotel, convention,</w:t>
            </w:r>
          </w:p>
        </w:tc>
        <w:tc>
          <w:tcPr>
            <w:tcW w:w="2820" w:type="dxa"/>
            <w:vAlign w:val="bottom"/>
          </w:tcPr>
          <w:p>
            <w:pPr>
              <w:ind w:left="200"/>
              <w:spacing w:after="0"/>
              <w:rPr>
                <w:sz w:val="20"/>
                <w:szCs w:val="20"/>
                <w:color w:val="auto"/>
              </w:rPr>
            </w:pPr>
            <w:r>
              <w:rPr>
                <w:rFonts w:ascii="Arial" w:cs="Arial" w:eastAsia="Arial" w:hAnsi="Arial"/>
                <w:sz w:val="3"/>
                <w:szCs w:val="3"/>
                <w:color w:val="FFFFFF"/>
              </w:rPr>
              <w:t>entertainment and food and beverage offerings</w:t>
            </w:r>
          </w:p>
        </w:tc>
        <w:tc>
          <w:tcPr>
            <w:tcW w:w="3680" w:type="dxa"/>
            <w:vAlign w:val="bottom"/>
            <w:gridSpan w:val="3"/>
          </w:tcPr>
          <w:p>
            <w:pPr>
              <w:ind w:left="100"/>
              <w:spacing w:after="0"/>
              <w:rPr>
                <w:sz w:val="20"/>
                <w:szCs w:val="20"/>
                <w:color w:val="auto"/>
              </w:rPr>
            </w:pPr>
            <w:r>
              <w:rPr>
                <w:rFonts w:ascii="Arial" w:cs="Arial" w:eastAsia="Arial" w:hAnsi="Arial"/>
                <w:sz w:val="3"/>
                <w:szCs w:val="3"/>
                <w:color w:val="FFFFFF"/>
              </w:rPr>
              <w:t>the Cotai Land. The Group estimates the project budget to be in</w:t>
            </w: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the range of approximately HK$27.2 billion to HK$31.0 billion. The Group expects to setretail,guaranteed maximum price for the project construction costs in the fi rst half of 2013. The Group expects to open the</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resort</w:t>
            </w:r>
          </w:p>
        </w:tc>
        <w:tc>
          <w:tcPr>
            <w:tcW w:w="3720" w:type="dxa"/>
            <w:vAlign w:val="bottom"/>
            <w:gridSpan w:val="2"/>
          </w:tcPr>
          <w:p>
            <w:pPr>
              <w:ind w:left="80"/>
              <w:spacing w:after="0"/>
              <w:rPr>
                <w:sz w:val="20"/>
                <w:szCs w:val="20"/>
                <w:color w:val="auto"/>
              </w:rPr>
            </w:pPr>
            <w:r>
              <w:rPr>
                <w:rFonts w:ascii="Arial" w:cs="Arial" w:eastAsia="Arial" w:hAnsi="Arial"/>
                <w:sz w:val="3"/>
                <w:szCs w:val="3"/>
                <w:color w:val="FFFFFF"/>
              </w:rPr>
              <w:t>Cotai during the ? rst half of 2016.</w:t>
            </w:r>
          </w:p>
        </w:tc>
        <w:tc>
          <w:tcPr>
            <w:tcW w:w="7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20" w:type="dxa"/>
            <w:vAlign w:val="bottom"/>
          </w:tcPr>
          <w:p>
            <w:pPr>
              <w:spacing w:after="0"/>
              <w:rPr>
                <w:sz w:val="3"/>
                <w:szCs w:val="3"/>
                <w:color w:val="auto"/>
              </w:rPr>
            </w:pPr>
          </w:p>
        </w:tc>
        <w:tc>
          <w:tcPr>
            <w:tcW w:w="90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interest as</w:t>
            </w:r>
          </w:p>
        </w:tc>
        <w:tc>
          <w:tcPr>
            <w:tcW w:w="0" w:type="dxa"/>
            <w:vAlign w:val="bottom"/>
          </w:tcPr>
          <w:p>
            <w:pPr>
              <w:spacing w:after="0"/>
              <w:rPr>
                <w:sz w:val="1"/>
                <w:szCs w:val="1"/>
                <w:color w:val="auto"/>
              </w:rPr>
            </w:pPr>
          </w:p>
        </w:tc>
      </w:tr>
      <w:tr>
        <w:trPr>
          <w:trHeight w:val="41"/>
        </w:trPr>
        <w:tc>
          <w:tcPr>
            <w:tcW w:w="2100" w:type="dxa"/>
            <w:vAlign w:val="bottom"/>
            <w:gridSpan w:val="2"/>
          </w:tcPr>
          <w:p>
            <w:pPr>
              <w:spacing w:after="0"/>
              <w:rPr>
                <w:sz w:val="20"/>
                <w:szCs w:val="20"/>
                <w:color w:val="auto"/>
              </w:rPr>
            </w:pPr>
            <w:r>
              <w:rPr>
                <w:rFonts w:ascii="Arial" w:cs="Arial" w:eastAsia="Arial" w:hAnsi="Arial"/>
                <w:sz w:val="3"/>
                <w:szCs w:val="3"/>
                <w:color w:val="FFFFFF"/>
              </w:rPr>
              <w:t>The initial term of the land</w:t>
            </w:r>
          </w:p>
        </w:tc>
        <w:tc>
          <w:tcPr>
            <w:tcW w:w="8400" w:type="dxa"/>
            <w:vAlign w:val="bottom"/>
            <w:gridSpan w:val="5"/>
          </w:tcPr>
          <w:p>
            <w:pPr>
              <w:ind w:left="20"/>
              <w:spacing w:after="0"/>
              <w:rPr>
                <w:sz w:val="20"/>
                <w:szCs w:val="20"/>
                <w:color w:val="auto"/>
              </w:rPr>
            </w:pPr>
            <w:r>
              <w:rPr>
                <w:rFonts w:ascii="Arial" w:cs="Arial" w:eastAsia="Arial" w:hAnsi="Arial"/>
                <w:sz w:val="3"/>
                <w:szCs w:val="3"/>
                <w:color w:val="FFFFFF"/>
              </w:rPr>
              <w:t>contract is 25 years from 2 May 2012, and it may be renewed with government approval for successive periods. The total land premium payable,</w:t>
            </w:r>
          </w:p>
        </w:tc>
        <w:tc>
          <w:tcPr>
            <w:tcW w:w="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required by the land concessionconcessiontract, is MOP1,547.4 million (approximately HK$1,502.4 million). An initial payment of MOP500 million (approximately HK$485.4 million) was paidincludingDecember 2011.</w:t>
            </w:r>
          </w:p>
        </w:tc>
        <w:tc>
          <w:tcPr>
            <w:tcW w:w="0" w:type="dxa"/>
            <w:vAlign w:val="bottom"/>
          </w:tcPr>
          <w:p>
            <w:pPr>
              <w:spacing w:after="0"/>
              <w:rPr>
                <w:sz w:val="1"/>
                <w:szCs w:val="1"/>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The Group will make eight additional semi-annual payments of</w:t>
            </w:r>
          </w:p>
        </w:tc>
        <w:tc>
          <w:tcPr>
            <w:tcW w:w="7280" w:type="dxa"/>
            <w:vAlign w:val="bottom"/>
            <w:gridSpan w:val="5"/>
          </w:tcPr>
          <w:p>
            <w:pPr>
              <w:ind w:left="160"/>
              <w:spacing w:after="0"/>
              <w:rPr>
                <w:sz w:val="20"/>
                <w:szCs w:val="20"/>
                <w:color w:val="auto"/>
              </w:rPr>
            </w:pPr>
            <w:r>
              <w:rPr>
                <w:rFonts w:ascii="Arial" w:cs="Arial" w:eastAsia="Arial" w:hAnsi="Arial"/>
                <w:sz w:val="3"/>
                <w:szCs w:val="3"/>
                <w:color w:val="FFFFFF"/>
              </w:rPr>
              <w:t>MOP130.9 million (approximately HK$127.1 million) each (including required interest at 5%). The fi rst payment was made in</w:t>
            </w:r>
          </w:p>
        </w:tc>
        <w:tc>
          <w:tcPr>
            <w:tcW w:w="0" w:type="dxa"/>
            <w:vAlign w:val="bottom"/>
          </w:tcPr>
          <w:p>
            <w:pPr>
              <w:spacing w:after="0"/>
              <w:rPr>
                <w:sz w:val="1"/>
                <w:szCs w:val="1"/>
                <w:color w:val="auto"/>
              </w:rPr>
            </w:pPr>
          </w:p>
        </w:tc>
      </w:tr>
      <w:tr>
        <w:trPr>
          <w:trHeight w:val="41"/>
        </w:trPr>
        <w:tc>
          <w:tcPr>
            <w:tcW w:w="8080" w:type="dxa"/>
            <w:vAlign w:val="bottom"/>
            <w:gridSpan w:val="6"/>
          </w:tcPr>
          <w:p>
            <w:pPr>
              <w:spacing w:after="0"/>
              <w:rPr>
                <w:sz w:val="20"/>
                <w:szCs w:val="20"/>
                <w:color w:val="auto"/>
              </w:rPr>
            </w:pPr>
            <w:r>
              <w:rPr>
                <w:rFonts w:ascii="Arial" w:cs="Arial" w:eastAsia="Arial" w:hAnsi="Arial"/>
                <w:sz w:val="3"/>
                <w:szCs w:val="3"/>
                <w:color w:val="FFFFFF"/>
              </w:rPr>
              <w:t>November 2012. The land concession contract also requires thatapproximatelyWRM,asgaming concessionaire operate and manage gaming operations on the</w:t>
            </w:r>
          </w:p>
        </w:tc>
        <w:tc>
          <w:tcPr>
            <w:tcW w:w="2420" w:type="dxa"/>
            <w:vAlign w:val="bottom"/>
          </w:tcPr>
          <w:p>
            <w:pPr>
              <w:ind w:left="180"/>
              <w:spacing w:after="0"/>
              <w:rPr>
                <w:sz w:val="20"/>
                <w:szCs w:val="20"/>
                <w:color w:val="auto"/>
              </w:rPr>
            </w:pPr>
            <w:r>
              <w:rPr>
                <w:rFonts w:ascii="Arial" w:cs="Arial" w:eastAsia="Arial" w:hAnsi="Arial"/>
                <w:sz w:val="3"/>
                <w:szCs w:val="3"/>
                <w:color w:val="FFFFFF"/>
              </w:rPr>
              <w:t>Land.</w:t>
            </w: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As of 31 December 2012, with respect to the Cotai Land, the Group has recorded an obligation and related asset with HK$216.5 million included asCotaicurrent liability and HK$590.6 million included as a long-</w:t>
            </w: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term liability. The Group will also be required to make annual lease payments of MOP6.2 million (approximately HK$6.0 million) during the development period and annual payments of approximately MOP8.6</w:t>
            </w:r>
          </w:p>
        </w:tc>
        <w:tc>
          <w:tcPr>
            <w:tcW w:w="0" w:type="dxa"/>
            <w:vAlign w:val="bottom"/>
          </w:tcPr>
          <w:p>
            <w:pPr>
              <w:spacing w:after="0"/>
              <w:rPr>
                <w:sz w:val="1"/>
                <w:szCs w:val="1"/>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million (approximately HK$8.4 million) once development is completed.</w:t>
            </w:r>
          </w:p>
        </w:tc>
        <w:tc>
          <w:tcPr>
            <w:tcW w:w="7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00" w:type="dxa"/>
            <w:vAlign w:val="bottom"/>
            <w:gridSpan w:val="2"/>
          </w:tcPr>
          <w:p>
            <w:pPr>
              <w:spacing w:after="0"/>
              <w:rPr>
                <w:sz w:val="20"/>
                <w:szCs w:val="20"/>
                <w:color w:val="auto"/>
              </w:rPr>
            </w:pPr>
            <w:r>
              <w:rPr>
                <w:rFonts w:ascii="Arial" w:cs="Arial" w:eastAsia="Arial" w:hAnsi="Arial"/>
                <w:sz w:val="3"/>
                <w:szCs w:val="3"/>
                <w:color w:val="FFFFFF"/>
              </w:rPr>
              <w:t>Cotai Land Contract</w:t>
            </w:r>
          </w:p>
        </w:tc>
        <w:tc>
          <w:tcPr>
            <w:tcW w:w="20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20" w:type="dxa"/>
            <w:vAlign w:val="bottom"/>
          </w:tcPr>
          <w:p>
            <w:pPr>
              <w:spacing w:after="0"/>
              <w:rPr>
                <w:sz w:val="3"/>
                <w:szCs w:val="3"/>
                <w:color w:val="auto"/>
              </w:rPr>
            </w:pPr>
          </w:p>
        </w:tc>
        <w:tc>
          <w:tcPr>
            <w:tcW w:w="900" w:type="dxa"/>
            <w:vAlign w:val="bottom"/>
            <w:vMerge w:val="restart"/>
          </w:tcPr>
          <w:p>
            <w:pPr>
              <w:ind w:left="240"/>
              <w:spacing w:after="0"/>
              <w:rPr>
                <w:sz w:val="20"/>
                <w:szCs w:val="20"/>
                <w:color w:val="auto"/>
              </w:rPr>
            </w:pPr>
            <w:r>
              <w:rPr>
                <w:rFonts w:ascii="Arial" w:cs="Arial" w:eastAsia="Arial" w:hAnsi="Arial"/>
                <w:sz w:val="3"/>
                <w:szCs w:val="3"/>
                <w:color w:val="FFFFFF"/>
              </w:rPr>
              <w:t>future</w:t>
            </w:r>
          </w:p>
        </w:tc>
        <w:tc>
          <w:tcPr>
            <w:tcW w:w="0" w:type="dxa"/>
            <w:vAlign w:val="bottom"/>
          </w:tcPr>
          <w:p>
            <w:pPr>
              <w:spacing w:after="0"/>
              <w:rPr>
                <w:sz w:val="1"/>
                <w:szCs w:val="1"/>
                <w:color w:val="auto"/>
              </w:rPr>
            </w:pPr>
          </w:p>
        </w:tc>
      </w:tr>
      <w:tr>
        <w:trPr>
          <w:trHeight w:val="0"/>
        </w:trPr>
        <w:tc>
          <w:tcPr>
            <w:tcW w:w="10500" w:type="dxa"/>
            <w:vAlign w:val="bottom"/>
            <w:gridSpan w:val="7"/>
          </w:tcPr>
          <w:p>
            <w:pPr>
              <w:spacing w:after="0" w:line="80" w:lineRule="exact"/>
              <w:rPr>
                <w:sz w:val="20"/>
                <w:szCs w:val="20"/>
                <w:color w:val="auto"/>
              </w:rPr>
            </w:pPr>
            <w:r>
              <w:rPr>
                <w:rFonts w:ascii="Arial" w:cs="Arial" w:eastAsia="Arial" w:hAnsi="Arial"/>
                <w:sz w:val="9"/>
                <w:szCs w:val="9"/>
                <w:color w:val="FFFFFF"/>
              </w:rPr>
              <w:t>On 10 May 2012, the Group made a US$50 million (approximately HK$389 million) payment to an unrelated third party in consideration of that party’s relinquishment of certain rights in and to</w:t>
            </w: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340"/>
        <w:spacing w:after="0" w:line="187" w:lineRule="auto"/>
        <w:rPr>
          <w:sz w:val="20"/>
          <w:szCs w:val="20"/>
          <w:color w:val="auto"/>
        </w:rPr>
      </w:pPr>
      <w:r>
        <w:rPr>
          <w:rFonts w:ascii="Arial" w:cs="Arial" w:eastAsia="Arial" w:hAnsi="Arial"/>
          <w:sz w:val="9"/>
          <w:szCs w:val="9"/>
          <w:color w:val="FFFFFF"/>
        </w:rPr>
        <w:t>development on the Cotai Land. The Group had previously disclosed the requirement to make this payment. The Group accrued this US$50 million (approximately HK$389 million) obligation asanycurrent liability included in other accrued liabilities as of 31 December 2011, when the Group accepted the draft land concession from the Macau Government.</w:t>
      </w:r>
    </w:p>
    <w:p>
      <w:pPr>
        <w:sectPr>
          <w:pgSz w:w="11900" w:h="16838" w:orient="portrait"/>
          <w:cols w:equalWidth="0" w:num="1">
            <w:col w:w="11400"/>
          </w:cols>
          <w:pgMar w:left="240" w:top="1440" w:right="2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spacing w:after="0"/>
              <w:rPr>
                <w:sz w:val="20"/>
                <w:szCs w:val="20"/>
                <w:color w:val="auto"/>
              </w:rPr>
            </w:pPr>
            <w:r>
              <w:rPr>
                <w:rFonts w:ascii="Arial" w:cs="Arial" w:eastAsia="Arial" w:hAnsi="Arial"/>
                <w:sz w:val="14"/>
                <w:szCs w:val="14"/>
                <w:color w:val="FFFFFF"/>
              </w:rPr>
              <w:t>Annual Report 2012 7</w:t>
            </w:r>
          </w:p>
        </w:tc>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400" w:type="dxa"/>
            <w:vAlign w:val="bottom"/>
            <w:gridSpan w:val="3"/>
          </w:tcPr>
          <w:p>
            <w:pPr>
              <w:ind w:left="180"/>
              <w:spacing w:after="0"/>
              <w:rPr>
                <w:sz w:val="20"/>
                <w:szCs w:val="20"/>
                <w:color w:val="auto"/>
              </w:rPr>
            </w:pPr>
            <w:r>
              <w:rPr>
                <w:rFonts w:ascii="Arial" w:cs="Arial" w:eastAsia="Arial" w:hAnsi="Arial"/>
                <w:sz w:val="3"/>
                <w:szCs w:val="3"/>
                <w:color w:val="FFFFFF"/>
              </w:rPr>
              <w:t>nagement Discussion and Analysis</w:t>
            </w:r>
          </w:p>
        </w:tc>
        <w:tc>
          <w:tcPr>
            <w:tcW w:w="1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3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420" w:type="dxa"/>
            <w:vAlign w:val="bottom"/>
            <w:gridSpan w:val="7"/>
          </w:tcPr>
          <w:p>
            <w:pPr>
              <w:spacing w:after="0" w:line="81" w:lineRule="exact"/>
              <w:rPr>
                <w:sz w:val="20"/>
                <w:szCs w:val="20"/>
                <w:color w:val="auto"/>
              </w:rPr>
            </w:pPr>
            <w:r>
              <w:rPr>
                <w:rFonts w:ascii="Arial" w:cs="Arial" w:eastAsia="Arial" w:hAnsi="Arial"/>
                <w:sz w:val="9"/>
                <w:szCs w:val="9"/>
                <w:color w:val="FFFFFF"/>
              </w:rPr>
              <w:t>Macau, which was a territory under Portuguese administration for approximately 450 years, was transferred from Portuguese to Chinese political control in December 1999. Macau is governed as a special</w:t>
            </w:r>
          </w:p>
        </w:tc>
        <w:tc>
          <w:tcPr>
            <w:tcW w:w="0" w:type="dxa"/>
            <w:vAlign w:val="bottom"/>
          </w:tcPr>
          <w:p>
            <w:pPr>
              <w:spacing w:after="0"/>
              <w:rPr>
                <w:sz w:val="1"/>
                <w:szCs w:val="1"/>
                <w:color w:val="auto"/>
              </w:rPr>
            </w:pPr>
          </w:p>
        </w:tc>
      </w:tr>
      <w:tr>
        <w:trPr>
          <w:trHeight w:val="41"/>
        </w:trPr>
        <w:tc>
          <w:tcPr>
            <w:tcW w:w="4640" w:type="dxa"/>
            <w:vAlign w:val="bottom"/>
            <w:gridSpan w:val="5"/>
          </w:tcPr>
          <w:p>
            <w:pPr>
              <w:spacing w:after="0"/>
              <w:rPr>
                <w:sz w:val="20"/>
                <w:szCs w:val="20"/>
                <w:color w:val="auto"/>
              </w:rPr>
            </w:pPr>
            <w:r>
              <w:rPr>
                <w:rFonts w:ascii="Arial" w:cs="Arial" w:eastAsia="Arial" w:hAnsi="Arial"/>
                <w:sz w:val="3"/>
                <w:szCs w:val="3"/>
                <w:color w:val="FFFFFF"/>
              </w:rPr>
              <w:t>administrative region of China and is located approximately 37 miles southwest of,</w:t>
            </w:r>
          </w:p>
        </w:tc>
        <w:tc>
          <w:tcPr>
            <w:tcW w:w="6780" w:type="dxa"/>
            <w:vAlign w:val="bottom"/>
            <w:gridSpan w:val="2"/>
          </w:tcPr>
          <w:p>
            <w:pPr>
              <w:ind w:left="120"/>
              <w:spacing w:after="0"/>
              <w:rPr>
                <w:sz w:val="20"/>
                <w:szCs w:val="20"/>
                <w:color w:val="auto"/>
              </w:rPr>
            </w:pPr>
            <w:r>
              <w:rPr>
                <w:rFonts w:ascii="Arial" w:cs="Arial" w:eastAsia="Arial" w:hAnsi="Arial"/>
                <w:sz w:val="3"/>
                <w:szCs w:val="3"/>
                <w:color w:val="FFFFFF"/>
              </w:rPr>
              <w:t>approximately one hour away via ferry from, Hong Kong. Macau, which has been a casino destination for more than 40</w:t>
            </w:r>
          </w:p>
        </w:tc>
        <w:tc>
          <w:tcPr>
            <w:tcW w:w="0" w:type="dxa"/>
            <w:vAlign w:val="bottom"/>
          </w:tcPr>
          <w:p>
            <w:pPr>
              <w:spacing w:after="0"/>
              <w:rPr>
                <w:sz w:val="1"/>
                <w:szCs w:val="1"/>
                <w:color w:val="auto"/>
              </w:rPr>
            </w:pPr>
          </w:p>
        </w:tc>
      </w:tr>
      <w:tr>
        <w:trPr>
          <w:trHeight w:val="41"/>
        </w:trPr>
        <w:tc>
          <w:tcPr>
            <w:tcW w:w="1620" w:type="dxa"/>
            <w:vAlign w:val="bottom"/>
            <w:gridSpan w:val="2"/>
          </w:tcPr>
          <w:p>
            <w:pPr>
              <w:spacing w:after="0"/>
              <w:rPr>
                <w:sz w:val="20"/>
                <w:szCs w:val="20"/>
                <w:color w:val="auto"/>
              </w:rPr>
            </w:pPr>
            <w:r>
              <w:rPr>
                <w:rFonts w:ascii="Arial" w:cs="Arial" w:eastAsia="Arial" w:hAnsi="Arial"/>
                <w:sz w:val="3"/>
                <w:szCs w:val="3"/>
                <w:color w:val="FFFFFF"/>
              </w:rPr>
              <w:t>years, consists principally of</w:t>
            </w:r>
          </w:p>
        </w:tc>
        <w:tc>
          <w:tcPr>
            <w:tcW w:w="780" w:type="dxa"/>
            <w:vAlign w:val="bottom"/>
          </w:tcPr>
          <w:p>
            <w:pPr>
              <w:ind w:left="60"/>
              <w:spacing w:after="0"/>
              <w:rPr>
                <w:sz w:val="20"/>
                <w:szCs w:val="20"/>
                <w:color w:val="auto"/>
              </w:rPr>
            </w:pPr>
            <w:r>
              <w:rPr>
                <w:rFonts w:ascii="Arial" w:cs="Arial" w:eastAsia="Arial" w:hAnsi="Arial"/>
                <w:sz w:val="3"/>
                <w:szCs w:val="3"/>
                <w:color w:val="FFFFFF"/>
              </w:rPr>
              <w:t>peninsula</w:t>
            </w:r>
          </w:p>
        </w:tc>
        <w:tc>
          <w:tcPr>
            <w:tcW w:w="9020" w:type="dxa"/>
            <w:vAlign w:val="bottom"/>
            <w:gridSpan w:val="4"/>
          </w:tcPr>
          <w:p>
            <w:pPr>
              <w:spacing w:after="0"/>
              <w:rPr>
                <w:sz w:val="20"/>
                <w:szCs w:val="20"/>
                <w:color w:val="auto"/>
              </w:rPr>
            </w:pPr>
            <w:r>
              <w:rPr>
                <w:rFonts w:ascii="Arial" w:cs="Arial" w:eastAsia="Arial" w:hAnsi="Arial"/>
                <w:sz w:val="3"/>
                <w:szCs w:val="3"/>
                <w:color w:val="FFFFFF"/>
              </w:rPr>
              <w:t>mainland China, and two neighboring islands, Taipa and Coloane. We believe that Macau is located in one of the world’s largest concentrations of potential customers.</w:t>
            </w:r>
          </w:p>
        </w:tc>
        <w:tc>
          <w:tcPr>
            <w:tcW w:w="0" w:type="dxa"/>
            <w:vAlign w:val="bottom"/>
          </w:tcPr>
          <w:p>
            <w:pPr>
              <w:spacing w:after="0"/>
              <w:rPr>
                <w:sz w:val="1"/>
                <w:szCs w:val="1"/>
                <w:color w:val="auto"/>
              </w:rPr>
            </w:pPr>
          </w:p>
        </w:tc>
      </w:tr>
      <w:tr>
        <w:trPr>
          <w:trHeight w:val="41"/>
        </w:trPr>
        <w:tc>
          <w:tcPr>
            <w:tcW w:w="2400" w:type="dxa"/>
            <w:vAlign w:val="bottom"/>
            <w:gridSpan w:val="3"/>
          </w:tcPr>
          <w:p>
            <w:pPr>
              <w:spacing w:after="0"/>
              <w:rPr>
                <w:sz w:val="20"/>
                <w:szCs w:val="20"/>
                <w:color w:val="auto"/>
              </w:rPr>
            </w:pPr>
            <w:r>
              <w:rPr>
                <w:rFonts w:ascii="Arial" w:cs="Arial" w:eastAsia="Arial" w:hAnsi="Arial"/>
                <w:sz w:val="3"/>
                <w:szCs w:val="3"/>
                <w:color w:val="FFFFFF"/>
              </w:rPr>
              <w:t>According to Macau Statistical Information,</w:t>
            </w:r>
          </w:p>
        </w:tc>
        <w:tc>
          <w:tcPr>
            <w:tcW w:w="9020" w:type="dxa"/>
            <w:vAlign w:val="bottom"/>
            <w:gridSpan w:val="4"/>
          </w:tcPr>
          <w:p>
            <w:pPr>
              <w:ind w:left="460"/>
              <w:spacing w:after="0"/>
              <w:rPr>
                <w:sz w:val="20"/>
                <w:szCs w:val="20"/>
                <w:color w:val="auto"/>
              </w:rPr>
            </w:pPr>
            <w:r>
              <w:rPr>
                <w:rFonts w:ascii="Arial" w:cs="Arial" w:eastAsia="Arial" w:hAnsi="Arial"/>
                <w:sz w:val="3"/>
                <w:szCs w:val="3"/>
                <w:color w:val="FFFFFF"/>
              </w:rPr>
              <w:t>in Macau generated approximately HK$295.3 billion in gaming revenue during the year ended 31 December 2012, an increase of approximately 13.5% over</w:t>
            </w:r>
          </w:p>
        </w:tc>
        <w:tc>
          <w:tcPr>
            <w:tcW w:w="0" w:type="dxa"/>
            <w:vAlign w:val="bottom"/>
          </w:tcPr>
          <w:p>
            <w:pPr>
              <w:spacing w:after="0"/>
              <w:rPr>
                <w:sz w:val="1"/>
                <w:szCs w:val="1"/>
                <w:color w:val="auto"/>
              </w:rPr>
            </w:pPr>
          </w:p>
        </w:tc>
      </w:tr>
      <w:tr>
        <w:trPr>
          <w:trHeight w:val="41"/>
        </w:trPr>
        <w:tc>
          <w:tcPr>
            <w:tcW w:w="7500" w:type="dxa"/>
            <w:vAlign w:val="bottom"/>
            <w:gridSpan w:val="6"/>
          </w:tcPr>
          <w:p>
            <w:pPr>
              <w:spacing w:after="0"/>
              <w:rPr>
                <w:sz w:val="20"/>
                <w:szCs w:val="20"/>
                <w:color w:val="auto"/>
              </w:rPr>
            </w:pPr>
            <w:r>
              <w:rPr>
                <w:rFonts w:ascii="Arial" w:cs="Arial" w:eastAsia="Arial" w:hAnsi="Arial"/>
                <w:sz w:val="3"/>
                <w:szCs w:val="3"/>
                <w:color w:val="FFFFFF"/>
              </w:rPr>
              <w:t>the approximate HK$260.1 billion generated casinostheyear ended 31 December 2011, making Macau the largest gaming market in the world.</w:t>
            </w:r>
          </w:p>
        </w:tc>
        <w:tc>
          <w:tcPr>
            <w:tcW w:w="3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00" w:type="dxa"/>
            <w:vAlign w:val="bottom"/>
            <w:gridSpan w:val="6"/>
          </w:tcPr>
          <w:p>
            <w:pPr>
              <w:spacing w:after="0"/>
              <w:rPr>
                <w:sz w:val="20"/>
                <w:szCs w:val="20"/>
                <w:color w:val="auto"/>
              </w:rPr>
            </w:pPr>
            <w:r>
              <w:rPr>
                <w:rFonts w:ascii="Arial" w:cs="Arial" w:eastAsia="Arial" w:hAnsi="Arial"/>
                <w:sz w:val="3"/>
                <w:szCs w:val="3"/>
                <w:color w:val="FFFFFF"/>
              </w:rPr>
              <w:t>FACTORS AFFECTING OUR RESULTS OF OPERATIONS AND FINANCIAL CONDITION</w:t>
            </w:r>
          </w:p>
        </w:tc>
        <w:tc>
          <w:tcPr>
            <w:tcW w:w="3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 w:type="dxa"/>
            <w:vAlign w:val="bottom"/>
          </w:tcPr>
          <w:p>
            <w:pPr>
              <w:ind w:left="80"/>
              <w:spacing w:after="0"/>
              <w:rPr>
                <w:sz w:val="20"/>
                <w:szCs w:val="20"/>
                <w:color w:val="auto"/>
              </w:rPr>
            </w:pPr>
            <w:r>
              <w:rPr>
                <w:rFonts w:ascii="Arial" w:cs="Arial" w:eastAsia="Arial" w:hAnsi="Arial"/>
                <w:sz w:val="3"/>
                <w:szCs w:val="3"/>
                <w:color w:val="FFFFFF"/>
              </w:rPr>
              <w:t>ourism</w:t>
            </w:r>
          </w:p>
        </w:tc>
        <w:tc>
          <w:tcPr>
            <w:tcW w:w="3200" w:type="dxa"/>
            <w:vAlign w:val="bottom"/>
            <w:gridSpan w:val="3"/>
            <w:vMerge w:val="restart"/>
          </w:tcPr>
          <w:p>
            <w:pPr>
              <w:ind w:left="460"/>
              <w:spacing w:after="0" w:line="81" w:lineRule="exact"/>
              <w:rPr>
                <w:sz w:val="20"/>
                <w:szCs w:val="20"/>
                <w:color w:val="auto"/>
              </w:rPr>
            </w:pPr>
            <w:r>
              <w:rPr>
                <w:rFonts w:ascii="Arial" w:cs="Arial" w:eastAsia="Arial" w:hAnsi="Arial"/>
                <w:sz w:val="9"/>
                <w:szCs w:val="9"/>
                <w:color w:val="FFFFFF"/>
              </w:rPr>
              <w:t>and overall gaming activities in Macau are key</w:t>
            </w:r>
          </w:p>
        </w:tc>
        <w:tc>
          <w:tcPr>
            <w:tcW w:w="7480" w:type="dxa"/>
            <w:vAlign w:val="bottom"/>
            <w:gridSpan w:val="3"/>
            <w:vMerge w:val="restart"/>
          </w:tcPr>
          <w:p>
            <w:pPr>
              <w:ind w:left="220"/>
              <w:spacing w:after="0" w:line="81" w:lineRule="exact"/>
              <w:rPr>
                <w:sz w:val="20"/>
                <w:szCs w:val="20"/>
                <w:color w:val="auto"/>
              </w:rPr>
            </w:pPr>
            <w:r>
              <w:rPr>
                <w:rFonts w:ascii="Arial" w:cs="Arial" w:eastAsia="Arial" w:hAnsi="Arial"/>
                <w:sz w:val="9"/>
                <w:szCs w:val="9"/>
                <w:color w:val="FFFFFF"/>
              </w:rPr>
              <w:t>of our business. Both the Macau gaming market and visitation to Macau have grown signi? cantly in the last few years except that</w:t>
            </w:r>
          </w:p>
        </w:tc>
        <w:tc>
          <w:tcPr>
            <w:tcW w:w="0" w:type="dxa"/>
            <w:vAlign w:val="bottom"/>
          </w:tcPr>
          <w:p>
            <w:pPr>
              <w:spacing w:after="0"/>
              <w:rPr>
                <w:sz w:val="1"/>
                <w:szCs w:val="1"/>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The levels of</w:t>
            </w:r>
          </w:p>
        </w:tc>
        <w:tc>
          <w:tcPr>
            <w:tcW w:w="3200" w:type="dxa"/>
            <w:vAlign w:val="bottom"/>
            <w:gridSpan w:val="3"/>
            <w:vMerge w:val="continue"/>
          </w:tcPr>
          <w:p>
            <w:pPr>
              <w:spacing w:after="0"/>
              <w:rPr>
                <w:sz w:val="3"/>
                <w:szCs w:val="3"/>
                <w:color w:val="auto"/>
              </w:rPr>
            </w:pPr>
          </w:p>
        </w:tc>
        <w:tc>
          <w:tcPr>
            <w:tcW w:w="74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tourist</w:t>
            </w:r>
          </w:p>
        </w:tc>
        <w:tc>
          <w:tcPr>
            <w:tcW w:w="10680" w:type="dxa"/>
            <w:vAlign w:val="bottom"/>
            <w:gridSpan w:val="6"/>
          </w:tcPr>
          <w:p>
            <w:pPr>
              <w:spacing w:after="0"/>
              <w:rPr>
                <w:sz w:val="20"/>
                <w:szCs w:val="20"/>
                <w:color w:val="auto"/>
              </w:rPr>
            </w:pPr>
            <w:r>
              <w:rPr>
                <w:rFonts w:ascii="Arial" w:cs="Arial" w:eastAsia="Arial" w:hAnsi="Arial"/>
                <w:sz w:val="3"/>
                <w:szCs w:val="3"/>
                <w:color w:val="FFFFFF"/>
              </w:rPr>
              <w:t>tourismMacau remained stable in 2012 as compared to 2011.driversWhave bene? ted from the rise in visitation to Macau over the past several years.</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Macau’arrivalsgaming market is primarily dependent on tourists. Tourist arrivals of 28.0 million in 2012 were fl at compared to 2011. The Macau market has experienced tremendous growth in capacity since the</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open   of Wynn Macau. As at 31 December 2012, there were 26,069 hotel rooms and 5,485 table games in Macau, compared to 12,978 hotel rooms and 2,762 table games as at 31 December 2006.</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Gaming customers traveling to Macau typically come from nearby destinations in Asia including mainland China, Hong Kong, Taiwan, South Korea and Singapore. According to the Macau Statistics and Census</w:t>
            </w:r>
          </w:p>
        </w:tc>
        <w:tc>
          <w:tcPr>
            <w:tcW w:w="0" w:type="dxa"/>
            <w:vAlign w:val="bottom"/>
          </w:tcPr>
          <w:p>
            <w:pPr>
              <w:spacing w:after="0"/>
              <w:rPr>
                <w:sz w:val="1"/>
                <w:szCs w:val="1"/>
                <w:color w:val="auto"/>
              </w:rPr>
            </w:pPr>
          </w:p>
        </w:tc>
      </w:tr>
      <w:tr>
        <w:trPr>
          <w:trHeight w:val="41"/>
        </w:trPr>
        <w:tc>
          <w:tcPr>
            <w:tcW w:w="2400" w:type="dxa"/>
            <w:vAlign w:val="bottom"/>
            <w:gridSpan w:val="3"/>
          </w:tcPr>
          <w:p>
            <w:pPr>
              <w:spacing w:after="0"/>
              <w:rPr>
                <w:sz w:val="20"/>
                <w:szCs w:val="20"/>
                <w:color w:val="auto"/>
              </w:rPr>
            </w:pPr>
            <w:r>
              <w:rPr>
                <w:rFonts w:ascii="Arial" w:cs="Arial" w:eastAsia="Arial" w:hAnsi="Arial"/>
                <w:sz w:val="3"/>
                <w:szCs w:val="3"/>
                <w:color w:val="FFFFFF"/>
              </w:rPr>
              <w:t>Service Monthly Bulletin of Statistics,</w:t>
            </w:r>
          </w:p>
        </w:tc>
        <w:tc>
          <w:tcPr>
            <w:tcW w:w="5100" w:type="dxa"/>
            <w:vAlign w:val="bottom"/>
            <w:gridSpan w:val="3"/>
          </w:tcPr>
          <w:p>
            <w:pPr>
              <w:ind w:left="540"/>
              <w:spacing w:after="0"/>
              <w:rPr>
                <w:sz w:val="20"/>
                <w:szCs w:val="20"/>
                <w:color w:val="auto"/>
              </w:rPr>
            </w:pPr>
            <w:r>
              <w:rPr>
                <w:rFonts w:ascii="Arial" w:cs="Arial" w:eastAsia="Arial" w:hAnsi="Arial"/>
                <w:sz w:val="3"/>
                <w:szCs w:val="3"/>
                <w:color w:val="FFFFFF"/>
              </w:rPr>
              <w:t>89% of visitors to Macau for the year ended 31 December 2012 were from</w:t>
            </w:r>
          </w:p>
        </w:tc>
        <w:tc>
          <w:tcPr>
            <w:tcW w:w="3920" w:type="dxa"/>
            <w:vAlign w:val="bottom"/>
          </w:tcPr>
          <w:p>
            <w:pPr>
              <w:ind w:left="40"/>
              <w:spacing w:after="0"/>
              <w:rPr>
                <w:sz w:val="20"/>
                <w:szCs w:val="20"/>
                <w:color w:val="auto"/>
              </w:rPr>
            </w:pPr>
            <w:r>
              <w:rPr>
                <w:rFonts w:ascii="Arial" w:cs="Arial" w:eastAsia="Arial" w:hAnsi="Arial"/>
                <w:sz w:val="3"/>
                <w:szCs w:val="3"/>
                <w:color w:val="FFFFFF"/>
              </w:rPr>
              <w:t>China, Hong Kong and Taiwan.</w:t>
            </w:r>
          </w:p>
        </w:tc>
        <w:tc>
          <w:tcPr>
            <w:tcW w:w="0" w:type="dxa"/>
            <w:vAlign w:val="bottom"/>
          </w:tcPr>
          <w:p>
            <w:pPr>
              <w:spacing w:after="0"/>
              <w:rPr>
                <w:sz w:val="1"/>
                <w:szCs w:val="1"/>
                <w:color w:val="auto"/>
              </w:rPr>
            </w:pPr>
          </w:p>
        </w:tc>
      </w:tr>
      <w:tr>
        <w:trPr>
          <w:trHeight w:val="41"/>
        </w:trPr>
        <w:tc>
          <w:tcPr>
            <w:tcW w:w="11420" w:type="dxa"/>
            <w:vAlign w:val="bottom"/>
            <w:gridSpan w:val="7"/>
          </w:tcPr>
          <w:p>
            <w:pPr>
              <w:spacing w:after="0"/>
              <w:rPr>
                <w:sz w:val="20"/>
                <w:szCs w:val="20"/>
                <w:color w:val="auto"/>
              </w:rPr>
            </w:pPr>
            <w:r>
              <w:rPr>
                <w:rFonts w:ascii="Arial" w:cs="Arial" w:eastAsia="Arial" w:hAnsi="Arial"/>
                <w:sz w:val="3"/>
                <w:szCs w:val="3"/>
                <w:color w:val="FFFFFF"/>
              </w:rPr>
              <w:t>Tourism levels in Macau are affected byapproximatelynumberof factors, all of which are beyond our control. Key factors affecting tourism levelsmainlandMacau may include, among others:</w:t>
            </w:r>
          </w:p>
        </w:tc>
        <w:tc>
          <w:tcPr>
            <w:tcW w:w="0" w:type="dxa"/>
            <w:vAlign w:val="bottom"/>
          </w:tcPr>
          <w:p>
            <w:pPr>
              <w:spacing w:after="0"/>
              <w:rPr>
                <w:sz w:val="1"/>
                <w:szCs w:val="1"/>
                <w:color w:val="auto"/>
              </w:rPr>
            </w:pPr>
          </w:p>
        </w:tc>
      </w:tr>
      <w:tr>
        <w:trPr>
          <w:trHeight w:val="0"/>
        </w:trPr>
        <w:tc>
          <w:tcPr>
            <w:tcW w:w="1620" w:type="dxa"/>
            <w:vAlign w:val="bottom"/>
            <w:gridSpan w:val="2"/>
          </w:tcPr>
          <w:p>
            <w:pPr>
              <w:ind w:left="80"/>
              <w:spacing w:after="0" w:line="80" w:lineRule="exact"/>
              <w:rPr>
                <w:sz w:val="20"/>
                <w:szCs w:val="20"/>
                <w:color w:val="auto"/>
              </w:rPr>
            </w:pPr>
            <w:r>
              <w:rPr>
                <w:rFonts w:ascii="Arial" w:cs="Arial" w:eastAsia="Arial" w:hAnsi="Arial"/>
                <w:sz w:val="9"/>
                <w:szCs w:val="9"/>
                <w:color w:val="FFFFFF"/>
              </w:rPr>
              <w:t>Prevailing economic</w:t>
            </w:r>
          </w:p>
        </w:tc>
        <w:tc>
          <w:tcPr>
            <w:tcW w:w="2320" w:type="dxa"/>
            <w:vAlign w:val="bottom"/>
            <w:gridSpan w:val="2"/>
          </w:tcPr>
          <w:p>
            <w:pPr>
              <w:ind w:left="220"/>
              <w:spacing w:after="0" w:line="80" w:lineRule="exact"/>
              <w:rPr>
                <w:sz w:val="20"/>
                <w:szCs w:val="20"/>
                <w:color w:val="auto"/>
              </w:rPr>
            </w:pPr>
            <w:r>
              <w:rPr>
                <w:rFonts w:ascii="Arial" w:cs="Arial" w:eastAsia="Arial" w:hAnsi="Arial"/>
                <w:sz w:val="9"/>
                <w:szCs w:val="9"/>
                <w:color w:val="FFFFFF"/>
              </w:rPr>
              <w:t>in mainland China and Asia;</w:t>
            </w:r>
          </w:p>
        </w:tc>
        <w:tc>
          <w:tcPr>
            <w:tcW w:w="7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 Various countries’ policiesconditionscurrency restrictions and the issuance of travel visas that may be in place from time to time could affect travel to Macau;</w:t>
      </w:r>
    </w:p>
    <w:p>
      <w:pPr>
        <w:sectPr>
          <w:pgSz w:w="11900" w:h="16838" w:orient="portrait"/>
          <w:cols w:equalWidth="0" w:num="1">
            <w:col w:w="11420"/>
          </w:cols>
          <w:pgMar w:left="240" w:top="1440" w:right="2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20"/>
                <w:szCs w:val="20"/>
                <w:color w:val="auto"/>
              </w:rPr>
            </w:pPr>
            <w:r>
              <w:rPr>
                <w:rFonts w:ascii="Arial" w:cs="Arial" w:eastAsia="Arial" w:hAnsi="Arial"/>
                <w:sz w:val="14"/>
                <w:szCs w:val="14"/>
                <w:color w:val="FFFFFF"/>
                <w:w w:val="76"/>
              </w:rPr>
              <w:t>8</w:t>
            </w:r>
          </w:p>
        </w:tc>
        <w:tc>
          <w:tcPr>
            <w:tcW w:w="5040" w:type="dxa"/>
            <w:vAlign w:val="bottom"/>
          </w:tcPr>
          <w:p>
            <w:pPr>
              <w:ind w:left="380"/>
              <w:spacing w:after="0"/>
              <w:rPr>
                <w:sz w:val="20"/>
                <w:szCs w:val="20"/>
                <w:color w:val="auto"/>
              </w:rPr>
            </w:pPr>
            <w:r>
              <w:rPr>
                <w:rFonts w:ascii="Arial" w:cs="Arial" w:eastAsia="Arial" w:hAnsi="Arial"/>
                <w:sz w:val="14"/>
                <w:szCs w:val="14"/>
                <w:color w:val="FFFFFF"/>
              </w:rPr>
              <w:t>Wynn Macau, Limited</w:t>
            </w:r>
          </w:p>
        </w:tc>
        <w:tc>
          <w:tcPr>
            <w:tcW w:w="6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120" w:type="dxa"/>
            <w:vAlign w:val="bottom"/>
            <w:gridSpan w:val="2"/>
          </w:tcPr>
          <w:p>
            <w:pPr>
              <w:spacing w:after="0" w:line="54" w:lineRule="exact"/>
              <w:rPr>
                <w:sz w:val="20"/>
                <w:szCs w:val="20"/>
                <w:color w:val="auto"/>
              </w:rPr>
            </w:pPr>
            <w:r>
              <w:rPr>
                <w:rFonts w:ascii="Arial" w:cs="Arial" w:eastAsia="Arial" w:hAnsi="Arial"/>
                <w:sz w:val="6"/>
                <w:szCs w:val="6"/>
                <w:color w:val="FFFFFF"/>
              </w:rPr>
              <w:t>Management Discussion and Analysis</w:t>
            </w:r>
          </w:p>
        </w:tc>
        <w:tc>
          <w:tcPr>
            <w:tcW w:w="6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5040" w:type="dxa"/>
            <w:vAlign w:val="bottom"/>
          </w:tcPr>
          <w:p>
            <w:pPr>
              <w:spacing w:after="0"/>
              <w:rPr>
                <w:sz w:val="20"/>
                <w:szCs w:val="20"/>
                <w:color w:val="auto"/>
              </w:rPr>
            </w:pPr>
            <w:r>
              <w:rPr>
                <w:rFonts w:ascii="Arial" w:cs="Arial" w:eastAsia="Arial" w:hAnsi="Arial"/>
                <w:sz w:val="3"/>
                <w:szCs w:val="3"/>
                <w:color w:val="FFFFFF"/>
              </w:rPr>
              <w:t>Competition from other destinations which offer gaming and leisure activities;</w:t>
            </w:r>
          </w:p>
        </w:tc>
        <w:tc>
          <w:tcPr>
            <w:tcW w:w="6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vMerge w:val="restart"/>
          </w:tcPr>
          <w:p>
            <w:pPr>
              <w:spacing w:after="0" w:line="81" w:lineRule="exact"/>
              <w:rPr>
                <w:sz w:val="20"/>
                <w:szCs w:val="20"/>
                <w:color w:val="auto"/>
              </w:rPr>
            </w:pPr>
            <w:r>
              <w:rPr>
                <w:rFonts w:ascii="Arial" w:cs="Arial" w:eastAsia="Arial" w:hAnsi="Arial"/>
                <w:sz w:val="9"/>
                <w:szCs w:val="9"/>
                <w:color w:val="FFFFFF"/>
              </w:rPr>
              <w:t>•</w:t>
            </w:r>
          </w:p>
        </w:tc>
        <w:tc>
          <w:tcPr>
            <w:tcW w:w="5040" w:type="dxa"/>
            <w:vAlign w:val="bottom"/>
          </w:tcPr>
          <w:p>
            <w:pPr>
              <w:spacing w:after="0"/>
              <w:rPr>
                <w:sz w:val="20"/>
                <w:szCs w:val="20"/>
                <w:color w:val="auto"/>
              </w:rPr>
            </w:pPr>
            <w:r>
              <w:rPr>
                <w:rFonts w:ascii="Arial" w:cs="Arial" w:eastAsia="Arial" w:hAnsi="Arial"/>
                <w:sz w:val="3"/>
                <w:szCs w:val="3"/>
                <w:color w:val="FFFFFF"/>
              </w:rPr>
              <w:t>Occurrence of natural disasters and disruption of travel; and</w:t>
            </w:r>
          </w:p>
        </w:tc>
        <w:tc>
          <w:tcPr>
            <w:tcW w:w="6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 w:type="dxa"/>
            <w:vAlign w:val="bottom"/>
            <w:vMerge w:val="continue"/>
          </w:tcPr>
          <w:p>
            <w:pPr>
              <w:spacing w:after="0"/>
              <w:rPr>
                <w:sz w:val="3"/>
                <w:szCs w:val="3"/>
                <w:color w:val="auto"/>
              </w:rPr>
            </w:pPr>
          </w:p>
        </w:tc>
        <w:tc>
          <w:tcPr>
            <w:tcW w:w="5040" w:type="dxa"/>
            <w:vAlign w:val="bottom"/>
          </w:tcPr>
          <w:p>
            <w:pPr>
              <w:spacing w:after="0"/>
              <w:rPr>
                <w:sz w:val="20"/>
                <w:szCs w:val="20"/>
                <w:color w:val="auto"/>
              </w:rPr>
            </w:pPr>
            <w:r>
              <w:rPr>
                <w:rFonts w:ascii="Arial" w:cs="Arial" w:eastAsia="Arial" w:hAnsi="Arial"/>
                <w:sz w:val="3"/>
                <w:szCs w:val="3"/>
                <w:color w:val="FFFFFF"/>
              </w:rPr>
              <w:t>Possible outbreaks of infectious disease.</w:t>
            </w:r>
          </w:p>
        </w:tc>
        <w:tc>
          <w:tcPr>
            <w:tcW w:w="6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20" w:type="dxa"/>
            <w:vAlign w:val="bottom"/>
            <w:gridSpan w:val="2"/>
          </w:tcPr>
          <w:p>
            <w:pPr>
              <w:spacing w:after="0"/>
              <w:rPr>
                <w:sz w:val="20"/>
                <w:szCs w:val="20"/>
                <w:color w:val="auto"/>
              </w:rPr>
            </w:pPr>
            <w:r>
              <w:rPr>
                <w:rFonts w:ascii="Arial" w:cs="Arial" w:eastAsia="Arial" w:hAnsi="Arial"/>
                <w:sz w:val="3"/>
                <w:szCs w:val="3"/>
                <w:color w:val="FFFFFF"/>
              </w:rPr>
              <w:t>Economic and Operating Environment</w:t>
            </w:r>
          </w:p>
        </w:tc>
        <w:tc>
          <w:tcPr>
            <w:tcW w:w="6240" w:type="dxa"/>
            <w:vAlign w:val="bottom"/>
            <w:vMerge w:val="restart"/>
          </w:tcPr>
          <w:p>
            <w:pPr>
              <w:ind w:left="60"/>
              <w:spacing w:after="0" w:line="81" w:lineRule="exact"/>
              <w:rPr>
                <w:sz w:val="20"/>
                <w:szCs w:val="20"/>
                <w:color w:val="auto"/>
              </w:rPr>
            </w:pPr>
            <w:r>
              <w:rPr>
                <w:rFonts w:ascii="Arial" w:cs="Arial" w:eastAsia="Arial" w:hAnsi="Arial"/>
                <w:sz w:val="9"/>
                <w:szCs w:val="9"/>
                <w:color w:val="FFFFFF"/>
              </w:rPr>
              <w:t>signi? cant impact on our business. A number of factors, including a slowdown   the global economy, contracting</w:t>
            </w:r>
          </w:p>
        </w:tc>
        <w:tc>
          <w:tcPr>
            <w:tcW w:w="0" w:type="dxa"/>
            <w:vAlign w:val="bottom"/>
          </w:tcPr>
          <w:p>
            <w:pPr>
              <w:spacing w:after="0"/>
              <w:rPr>
                <w:sz w:val="1"/>
                <w:szCs w:val="1"/>
                <w:color w:val="auto"/>
              </w:rPr>
            </w:pPr>
          </w:p>
        </w:tc>
      </w:tr>
      <w:tr>
        <w:trPr>
          <w:trHeight w:val="41"/>
        </w:trPr>
        <w:tc>
          <w:tcPr>
            <w:tcW w:w="5120" w:type="dxa"/>
            <w:vAlign w:val="bottom"/>
            <w:gridSpan w:val="2"/>
          </w:tcPr>
          <w:p>
            <w:pPr>
              <w:spacing w:after="0"/>
              <w:rPr>
                <w:sz w:val="20"/>
                <w:szCs w:val="20"/>
                <w:color w:val="auto"/>
              </w:rPr>
            </w:pPr>
            <w:r>
              <w:rPr>
                <w:rFonts w:ascii="Arial" w:cs="Arial" w:eastAsia="Arial" w:hAnsi="Arial"/>
                <w:sz w:val="3"/>
                <w:szCs w:val="3"/>
                <w:color w:val="FFFFFF"/>
              </w:rPr>
              <w:t>Our operating environment remained stable in 2012. However, economic conditions can have</w:t>
            </w:r>
          </w:p>
        </w:tc>
        <w:tc>
          <w:tcPr>
            <w:tcW w:w="6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credit markets, reduced consumer spending, various countries’ policies that affect travel to Macau and any outbreak of infectious diseases can negatively impact the gaming industry in Macau and our business.</w:t>
            </w:r>
          </w:p>
        </w:tc>
        <w:tc>
          <w:tcPr>
            <w:tcW w:w="0" w:type="dxa"/>
            <w:vAlign w:val="bottom"/>
          </w:tcPr>
          <w:p>
            <w:pPr>
              <w:spacing w:after="0"/>
              <w:rPr>
                <w:sz w:val="1"/>
                <w:szCs w:val="1"/>
                <w:color w:val="auto"/>
              </w:rPr>
            </w:pPr>
          </w:p>
        </w:tc>
      </w:tr>
      <w:tr>
        <w:trPr>
          <w:trHeight w:val="41"/>
        </w:trPr>
        <w:tc>
          <w:tcPr>
            <w:tcW w:w="5120" w:type="dxa"/>
            <w:vAlign w:val="bottom"/>
            <w:gridSpan w:val="2"/>
          </w:tcPr>
          <w:p>
            <w:pPr>
              <w:spacing w:after="0"/>
              <w:rPr>
                <w:sz w:val="20"/>
                <w:szCs w:val="20"/>
                <w:color w:val="auto"/>
              </w:rPr>
            </w:pPr>
            <w:r>
              <w:rPr>
                <w:rFonts w:ascii="Arial" w:cs="Arial" w:eastAsia="Arial" w:hAnsi="Arial"/>
                <w:sz w:val="3"/>
                <w:szCs w:val="3"/>
                <w:color w:val="FFFFFF"/>
              </w:rPr>
              <w:t>Competition</w:t>
            </w:r>
          </w:p>
        </w:tc>
        <w:tc>
          <w:tcPr>
            <w:tcW w:w="6240" w:type="dxa"/>
            <w:vAlign w:val="bottom"/>
            <w:vMerge w:val="restart"/>
          </w:tcPr>
          <w:p>
            <w:pPr>
              <w:ind w:left="220"/>
              <w:spacing w:after="0"/>
              <w:rPr>
                <w:sz w:val="20"/>
                <w:szCs w:val="20"/>
                <w:color w:val="auto"/>
              </w:rPr>
            </w:pPr>
            <w:r>
              <w:rPr>
                <w:rFonts w:ascii="Arial" w:cs="Arial" w:eastAsia="Arial" w:hAnsi="Arial"/>
                <w:sz w:val="3"/>
                <w:szCs w:val="3"/>
                <w:color w:val="FFFFFF"/>
              </w:rPr>
              <w:t>in the number of casino properties in Macau. Currently, there are six gaming operators in Macau, including</w:t>
            </w:r>
          </w:p>
        </w:tc>
        <w:tc>
          <w:tcPr>
            <w:tcW w:w="0" w:type="dxa"/>
            <w:vAlign w:val="bottom"/>
          </w:tcPr>
          <w:p>
            <w:pPr>
              <w:spacing w:after="0"/>
              <w:rPr>
                <w:sz w:val="1"/>
                <w:szCs w:val="1"/>
                <w:color w:val="auto"/>
              </w:rPr>
            </w:pPr>
          </w:p>
        </w:tc>
      </w:tr>
      <w:tr>
        <w:trPr>
          <w:trHeight w:val="0"/>
        </w:trPr>
        <w:tc>
          <w:tcPr>
            <w:tcW w:w="5120" w:type="dxa"/>
            <w:vAlign w:val="bottom"/>
            <w:gridSpan w:val="2"/>
          </w:tcPr>
          <w:p>
            <w:pPr>
              <w:spacing w:after="0" w:line="80" w:lineRule="exact"/>
              <w:rPr>
                <w:sz w:val="20"/>
                <w:szCs w:val="20"/>
                <w:color w:val="auto"/>
              </w:rPr>
            </w:pPr>
            <w:r>
              <w:rPr>
                <w:rFonts w:ascii="Arial" w:cs="Arial" w:eastAsia="Arial" w:hAnsi="Arial"/>
                <w:sz w:val="9"/>
                <w:szCs w:val="9"/>
                <w:color w:val="FFFFFF"/>
              </w:rPr>
              <w:t>Since the liberalization of M cau’s gaming industry in 2002, there has been a signifi cant</w:t>
            </w:r>
          </w:p>
        </w:tc>
        <w:tc>
          <w:tcPr>
            <w:tcW w:w="6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WRM. The three concessionaires are WRM, SJM, and Galaxy which opened Galaxy Macau,increasemajor resort in the Cotai area,</w:t>
      </w:r>
      <w:r>
        <w:rPr>
          <w:rFonts w:ascii="Arial" w:cs="Arial" w:eastAsia="Arial" w:hAnsi="Arial"/>
          <w:sz w:val="1"/>
          <w:szCs w:val="1"/>
          <w:color w:val="FFFFFF"/>
          <w:vertAlign w:val="subscript"/>
        </w:rPr>
        <w:t>casinos</w:t>
      </w:r>
      <w:r>
        <w:rPr>
          <w:rFonts w:ascii="Arial" w:cs="Arial" w:eastAsia="Arial" w:hAnsi="Arial"/>
          <w:sz w:val="1"/>
          <w:szCs w:val="1"/>
          <w:color w:val="FFFFFF"/>
        </w:rPr>
        <w:t>2011. The three subconcessionaires are Melco Crown, MGM Macau, and Venetian</w:t>
      </w:r>
    </w:p>
    <w:p>
      <w:pPr>
        <w:jc w:val="both"/>
        <w:ind w:left="560" w:right="20" w:hanging="543"/>
        <w:spacing w:after="0" w:line="187" w:lineRule="auto"/>
        <w:rPr>
          <w:sz w:val="20"/>
          <w:szCs w:val="20"/>
          <w:color w:val="auto"/>
        </w:rPr>
      </w:pPr>
      <w:r>
        <w:rPr>
          <w:rFonts w:ascii="Arial" w:cs="Arial" w:eastAsia="Arial" w:hAnsi="Arial"/>
          <w:sz w:val="27"/>
          <w:szCs w:val="27"/>
          <w:color w:val="FFFFFF"/>
          <w:vertAlign w:val="subscript"/>
        </w:rPr>
        <w:t>operating</w:t>
      </w:r>
      <w:r>
        <w:rPr>
          <w:rFonts w:ascii="Arial" w:cs="Arial" w:eastAsia="Arial" w:hAnsi="Arial"/>
          <w:sz w:val="14"/>
          <w:szCs w:val="14"/>
          <w:color w:val="FFFFFF"/>
        </w:rPr>
        <w:t>Macuwhich opened Sands Cotai Central in 2012 in the Cotai area. As at 31 December 2012, there were approximately 35</w:t>
      </w:r>
      <w:r>
        <w:rPr>
          <w:sz w:val="20"/>
          <w:szCs w:val="20"/>
          <w:color w:val="auto"/>
        </w:rPr>
        <w:t xml:space="preserve"> </w:t>
      </w:r>
      <w:r>
        <w:rPr>
          <w:rFonts w:ascii="Arial" w:cs="Arial" w:eastAsia="Arial" w:hAnsi="Arial"/>
          <w:sz w:val="9"/>
          <w:szCs w:val="9"/>
          <w:color w:val="FFFFFF"/>
        </w:rPr>
        <w:t>in Macau, including 20 operated by SJM. Each of the current six operators has casinos and expansion plans announced or underway.</w:t>
      </w:r>
    </w:p>
    <w:p>
      <w:pPr>
        <w:ind w:right="220"/>
        <w:spacing w:after="0"/>
        <w:rPr>
          <w:sz w:val="20"/>
          <w:szCs w:val="20"/>
          <w:color w:val="auto"/>
        </w:rPr>
      </w:pPr>
      <w:r>
        <w:rPr>
          <w:rFonts w:ascii="Arial" w:cs="Arial" w:eastAsia="Arial" w:hAnsi="Arial"/>
          <w:sz w:val="6"/>
          <w:szCs w:val="6"/>
          <w:color w:val="FFFFFF"/>
        </w:rPr>
        <w:t>Wynn Macau faces competition from casinos located in other areas of Asia, such as Resorts World Sentosa and Marina Bay Sands, respectively, in Singapore and Genting Highlands Resort located outside of Kuala Lumpur, Malaysia. Wynn Macau also faces competition from casinos</w:t>
      </w:r>
      <w:r>
        <w:rPr>
          <w:rFonts w:ascii="Arial" w:cs="Arial" w:eastAsia="Arial" w:hAnsi="Arial"/>
          <w:sz w:val="7"/>
          <w:szCs w:val="7"/>
          <w:color w:val="FFFFFF"/>
          <w:vertAlign w:val="subscript"/>
        </w:rPr>
        <w:t>including</w:t>
      </w:r>
      <w:r>
        <w:rPr>
          <w:rFonts w:ascii="Arial" w:cs="Arial" w:eastAsia="Arial" w:hAnsi="Arial"/>
          <w:sz w:val="6"/>
          <w:szCs w:val="6"/>
          <w:color w:val="FFFFFF"/>
        </w:rPr>
        <w:t>the Philippines where several major casino resorts are scheduled to open over the next few years. Wynn Macau encounters</w:t>
      </w:r>
    </w:p>
    <w:p>
      <w:pPr>
        <w:spacing w:after="0" w:line="1" w:lineRule="exact"/>
        <w:rPr>
          <w:sz w:val="20"/>
          <w:szCs w:val="20"/>
          <w:color w:val="auto"/>
        </w:rPr>
      </w:pPr>
    </w:p>
    <w:p>
      <w:pPr>
        <w:ind w:right="80"/>
        <w:spacing w:after="0" w:line="187" w:lineRule="auto"/>
        <w:rPr>
          <w:sz w:val="20"/>
          <w:szCs w:val="20"/>
          <w:color w:val="auto"/>
        </w:rPr>
      </w:pPr>
      <w:r>
        <w:rPr>
          <w:rFonts w:ascii="Arial" w:cs="Arial" w:eastAsia="Arial" w:hAnsi="Arial"/>
          <w:sz w:val="7"/>
          <w:szCs w:val="7"/>
          <w:color w:val="FFFFFF"/>
        </w:rPr>
        <w:t xml:space="preserve">competition from other major gaming centers located around the world, Australia and Las Vegas, cruise ships in Asia that offer gaming, and other casinos throughout Asia. Further, if current efforts to </w:t>
      </w:r>
      <w:r>
        <w:rPr>
          <w:rFonts w:ascii="Arial" w:cs="Arial" w:eastAsia="Arial" w:hAnsi="Arial"/>
          <w:sz w:val="9"/>
          <w:szCs w:val="9"/>
          <w:color w:val="FFFFFF"/>
          <w:vertAlign w:val="subscript"/>
        </w:rPr>
        <w:t>Gaming</w:t>
      </w:r>
      <w:r>
        <w:rPr>
          <w:rFonts w:ascii="Arial" w:cs="Arial" w:eastAsia="Arial" w:hAnsi="Arial"/>
          <w:sz w:val="7"/>
          <w:szCs w:val="7"/>
          <w:color w:val="FFFFFF"/>
        </w:rPr>
        <w:t>legalze gaming in other Asian countries are successful, Wynn Macau will face additional regional competition.</w:t>
      </w:r>
    </w:p>
    <w:p>
      <w:pPr>
        <w:ind w:left="480"/>
        <w:spacing w:after="0"/>
        <w:rPr>
          <w:sz w:val="20"/>
          <w:szCs w:val="20"/>
          <w:color w:val="auto"/>
        </w:rPr>
      </w:pPr>
      <w:r>
        <w:rPr>
          <w:rFonts w:ascii="Arial" w:cs="Arial" w:eastAsia="Arial" w:hAnsi="Arial"/>
          <w:sz w:val="3"/>
          <w:szCs w:val="3"/>
          <w:color w:val="FFFFFF"/>
        </w:rPr>
        <w:t>Promoters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A signi? cant amount of our casino play is brought to us by gaming promoters. Gaming promoters have historically played a critical role in the Macau gaming market and are important to our casino business.</w:t>
      </w:r>
    </w:p>
    <w:p>
      <w:pPr>
        <w:sectPr>
          <w:pgSz w:w="11900" w:h="16838" w:orient="portrait"/>
          <w:cols w:equalWidth="0" w:num="1">
            <w:col w:w="11400"/>
          </w:cols>
          <w:pgMar w:left="240" w:top="1440" w:right="2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20"/>
                <w:szCs w:val="20"/>
                <w:color w:val="auto"/>
              </w:rPr>
            </w:pPr>
            <w:r>
              <w:rPr>
                <w:rFonts w:ascii="Arial" w:cs="Arial" w:eastAsia="Arial" w:hAnsi="Arial"/>
                <w:sz w:val="14"/>
                <w:szCs w:val="14"/>
                <w:color w:val="FFFFFF"/>
              </w:rPr>
              <w:t>Annual Report 2012 9</w:t>
            </w:r>
          </w:p>
        </w:tc>
        <w:tc>
          <w:tcPr>
            <w:tcW w:w="4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6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5160" w:type="dxa"/>
            <w:vAlign w:val="bottom"/>
            <w:gridSpan w:val="3"/>
            <w:vMerge w:val="restart"/>
          </w:tcPr>
          <w:p>
            <w:pPr>
              <w:ind w:left="140"/>
              <w:spacing w:after="0" w:line="81" w:lineRule="exact"/>
              <w:rPr>
                <w:sz w:val="20"/>
                <w:szCs w:val="20"/>
                <w:color w:val="auto"/>
              </w:rPr>
            </w:pPr>
            <w:r>
              <w:rPr>
                <w:rFonts w:ascii="Arial" w:cs="Arial" w:eastAsia="Arial" w:hAnsi="Arial"/>
                <w:sz w:val="9"/>
                <w:szCs w:val="9"/>
                <w:color w:val="FFFFFF"/>
              </w:rPr>
              <w:t>entertainment arrangements. In addition, gaming promoters often grant credit to their</w:t>
            </w:r>
          </w:p>
        </w:tc>
        <w:tc>
          <w:tcPr>
            <w:tcW w:w="0" w:type="dxa"/>
            <w:vAlign w:val="bottom"/>
          </w:tcPr>
          <w:p>
            <w:pPr>
              <w:spacing w:after="0"/>
              <w:rPr>
                <w:sz w:val="1"/>
                <w:szCs w:val="1"/>
                <w:color w:val="auto"/>
              </w:rPr>
            </w:pPr>
          </w:p>
        </w:tc>
      </w:tr>
      <w:tr>
        <w:trPr>
          <w:trHeight w:val="41"/>
        </w:trPr>
        <w:tc>
          <w:tcPr>
            <w:tcW w:w="6260" w:type="dxa"/>
            <w:vAlign w:val="bottom"/>
            <w:gridSpan w:val="2"/>
          </w:tcPr>
          <w:p>
            <w:pPr>
              <w:spacing w:after="0"/>
              <w:rPr>
                <w:sz w:val="20"/>
                <w:szCs w:val="20"/>
                <w:color w:val="auto"/>
              </w:rPr>
            </w:pPr>
            <w:r>
              <w:rPr>
                <w:rFonts w:ascii="Arial" w:cs="Arial" w:eastAsia="Arial" w:hAnsi="Arial"/>
                <w:sz w:val="3"/>
                <w:szCs w:val="3"/>
                <w:color w:val="FFFFFF"/>
              </w:rPr>
              <w:t>Gaming promoters introduce premium VIP players to Wynn Macau and often assist those clients with their travel</w:t>
            </w:r>
          </w:p>
        </w:tc>
        <w:tc>
          <w:tcPr>
            <w:tcW w:w="51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players. In exchange for their services, Wynn Macau generally pays the gaming promoters  commission which is andpercentage of the gross gaming win generated by each gaming promoter. Approximately 80%</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of these commissions are netted against casino revenues, because such commissions approximate the amount of the commission returned to the VIP players by the gaming promoters, and approximately 20% of</w:t>
            </w: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these commissions are included</w:t>
            </w:r>
          </w:p>
        </w:tc>
        <w:tc>
          <w:tcPr>
            <w:tcW w:w="9660" w:type="dxa"/>
            <w:vAlign w:val="bottom"/>
            <w:gridSpan w:val="4"/>
          </w:tcPr>
          <w:p>
            <w:pPr>
              <w:ind w:left="140"/>
              <w:spacing w:after="0"/>
              <w:rPr>
                <w:sz w:val="20"/>
                <w:szCs w:val="20"/>
                <w:color w:val="auto"/>
              </w:rPr>
            </w:pPr>
            <w:r>
              <w:rPr>
                <w:rFonts w:ascii="Arial" w:cs="Arial" w:eastAsia="Arial" w:hAnsi="Arial"/>
                <w:sz w:val="3"/>
                <w:szCs w:val="3"/>
                <w:color w:val="FFFFFF"/>
              </w:rPr>
              <w:t>other operating  xpenses, which approximate the amount of the commission ultimately retained by the gaming promoters as compensation. The total amount of commissions</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paid to promoters and netted against casino revenues was HK$7.5 billion and HK$8.1 billion for the years ended 31 December 2012 and 2011, respectively. Commissions decreased 6.5% for the year ended</w:t>
            </w:r>
          </w:p>
        </w:tc>
        <w:tc>
          <w:tcPr>
            <w:tcW w:w="0" w:type="dxa"/>
            <w:vAlign w:val="bottom"/>
          </w:tcPr>
          <w:p>
            <w:pPr>
              <w:spacing w:after="0"/>
              <w:rPr>
                <w:sz w:val="1"/>
                <w:szCs w:val="1"/>
                <w:color w:val="auto"/>
              </w:rPr>
            </w:pPr>
          </w:p>
        </w:tc>
      </w:tr>
      <w:tr>
        <w:trPr>
          <w:trHeight w:val="41"/>
        </w:trPr>
        <w:tc>
          <w:tcPr>
            <w:tcW w:w="8940" w:type="dxa"/>
            <w:vAlign w:val="bottom"/>
            <w:gridSpan w:val="3"/>
          </w:tcPr>
          <w:p>
            <w:pPr>
              <w:spacing w:after="0"/>
              <w:rPr>
                <w:sz w:val="20"/>
                <w:szCs w:val="20"/>
                <w:color w:val="auto"/>
              </w:rPr>
            </w:pPr>
            <w:r>
              <w:rPr>
                <w:rFonts w:ascii="Arial" w:cs="Arial" w:eastAsia="Arial" w:hAnsi="Arial"/>
                <w:sz w:val="3"/>
                <w:szCs w:val="3"/>
                <w:color w:val="FFFFFF"/>
              </w:rPr>
              <w:t>31 December 2012 compared to the year ended 31 December 2011, due to decreased volumes of play generated by gaming promoters and a lower win percentage.</w:t>
            </w:r>
          </w:p>
        </w:tc>
        <w:tc>
          <w:tcPr>
            <w:tcW w:w="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We typically advance commissions to gaming promoters at the beginning of each month to facilitate their working capital requirements. These advances are provided to a gaming promoter and are offset by the</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commissions earned by such gaming promoter during the applicable month. The aggregate amounts of exposure to our gaming promoters, which is the difference between commissions advanced to each</w:t>
            </w: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individual gaming promoter,</w:t>
            </w:r>
          </w:p>
        </w:tc>
        <w:tc>
          <w:tcPr>
            <w:tcW w:w="7920" w:type="dxa"/>
            <w:vAlign w:val="bottom"/>
            <w:gridSpan w:val="3"/>
          </w:tcPr>
          <w:p>
            <w:pPr>
              <w:ind w:left="60"/>
              <w:spacing w:after="0"/>
              <w:rPr>
                <w:sz w:val="20"/>
                <w:szCs w:val="20"/>
                <w:color w:val="auto"/>
              </w:rPr>
            </w:pPr>
            <w:r>
              <w:rPr>
                <w:rFonts w:ascii="Arial" w:cs="Arial" w:eastAsia="Arial" w:hAnsi="Arial"/>
                <w:sz w:val="3"/>
                <w:szCs w:val="3"/>
                <w:color w:val="FFFFFF"/>
              </w:rPr>
              <w:t>the commissions payable to each such gaming promoter, were HK$646.5 million and HK$367.1 million as at 31 December 2012 and 2011,</w:t>
            </w:r>
          </w:p>
        </w:tc>
        <w:tc>
          <w:tcPr>
            <w:tcW w:w="1740" w:type="dxa"/>
            <w:vAlign w:val="bottom"/>
          </w:tcPr>
          <w:p>
            <w:pPr>
              <w:ind w:left="340"/>
              <w:spacing w:after="0"/>
              <w:rPr>
                <w:sz w:val="20"/>
                <w:szCs w:val="20"/>
                <w:color w:val="auto"/>
              </w:rPr>
            </w:pPr>
            <w:r>
              <w:rPr>
                <w:rFonts w:ascii="Arial" w:cs="Arial" w:eastAsia="Arial" w:hAnsi="Arial"/>
                <w:sz w:val="3"/>
                <w:szCs w:val="3"/>
                <w:color w:val="FFFFFF"/>
              </w:rPr>
              <w:t>. At the end of each</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month, any commissions outstanding are cleared no later than the fi fth day of the succeeding month and prior to the advancement of any further funds to a gaming promoter.respectivelyWbelieve we have developed</w:t>
            </w:r>
          </w:p>
        </w:tc>
        <w:tc>
          <w:tcPr>
            <w:tcW w:w="0" w:type="dxa"/>
            <w:vAlign w:val="bottom"/>
          </w:tcPr>
          <w:p>
            <w:pPr>
              <w:spacing w:after="0"/>
              <w:rPr>
                <w:sz w:val="1"/>
                <w:szCs w:val="1"/>
                <w:color w:val="auto"/>
              </w:rPr>
            </w:pPr>
          </w:p>
        </w:tc>
      </w:tr>
      <w:tr>
        <w:trPr>
          <w:trHeight w:val="41"/>
        </w:trPr>
        <w:tc>
          <w:tcPr>
            <w:tcW w:w="8940" w:type="dxa"/>
            <w:vAlign w:val="bottom"/>
            <w:gridSpan w:val="3"/>
          </w:tcPr>
          <w:p>
            <w:pPr>
              <w:spacing w:after="0"/>
              <w:rPr>
                <w:sz w:val="20"/>
                <w:szCs w:val="20"/>
                <w:color w:val="auto"/>
              </w:rPr>
            </w:pPr>
            <w:r>
              <w:rPr>
                <w:rFonts w:ascii="Arial" w:cs="Arial" w:eastAsia="Arial" w:hAnsi="Arial"/>
                <w:sz w:val="3"/>
                <w:szCs w:val="3"/>
                <w:color w:val="FFFFFF"/>
              </w:rPr>
              <w:t>strong relationships with our gaming promoters. Our commission percentages have remained stable throughout our operating history.</w:t>
            </w:r>
          </w:p>
        </w:tc>
        <w:tc>
          <w:tcPr>
            <w:tcW w:w="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In addition to commissions, gaming promoters each receive a monthly complimentary allowance based on a percentage of the turnover their clients generate. The allowance is available for room, food and</w:t>
            </w:r>
          </w:p>
        </w:tc>
        <w:tc>
          <w:tcPr>
            <w:tcW w:w="0" w:type="dxa"/>
            <w:vAlign w:val="bottom"/>
          </w:tcPr>
          <w:p>
            <w:pPr>
              <w:spacing w:after="0"/>
              <w:rPr>
                <w:sz w:val="1"/>
                <w:szCs w:val="1"/>
                <w:color w:val="auto"/>
              </w:rPr>
            </w:pPr>
          </w:p>
        </w:tc>
      </w:tr>
      <w:tr>
        <w:trPr>
          <w:trHeight w:val="41"/>
        </w:trPr>
        <w:tc>
          <w:tcPr>
            <w:tcW w:w="6260" w:type="dxa"/>
            <w:vAlign w:val="bottom"/>
            <w:gridSpan w:val="2"/>
          </w:tcPr>
          <w:p>
            <w:pPr>
              <w:spacing w:after="0"/>
              <w:rPr>
                <w:sz w:val="20"/>
                <w:szCs w:val="20"/>
                <w:color w:val="auto"/>
              </w:rPr>
            </w:pPr>
            <w:r>
              <w:rPr>
                <w:rFonts w:ascii="Arial" w:cs="Arial" w:eastAsia="Arial" w:hAnsi="Arial"/>
                <w:sz w:val="3"/>
                <w:szCs w:val="3"/>
                <w:color w:val="FFFFFF"/>
              </w:rPr>
              <w:t>beverage and other products and services for discretionary use with the gaming promoter’s clients.</w:t>
            </w:r>
          </w:p>
        </w:tc>
        <w:tc>
          <w:tcPr>
            <w:tcW w:w="2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ind w:left="540"/>
              <w:spacing w:after="0"/>
              <w:rPr>
                <w:sz w:val="20"/>
                <w:szCs w:val="20"/>
                <w:color w:val="auto"/>
              </w:rPr>
            </w:pPr>
            <w:r>
              <w:rPr>
                <w:rFonts w:ascii="Arial" w:cs="Arial" w:eastAsia="Arial" w:hAnsi="Arial"/>
                <w:sz w:val="3"/>
                <w:szCs w:val="3"/>
                <w:color w:val="FFFFFF"/>
              </w:rPr>
              <w:t>Credit Play</w:t>
            </w:r>
          </w:p>
        </w:tc>
        <w:tc>
          <w:tcPr>
            <w:tcW w:w="4500" w:type="dxa"/>
            <w:vAlign w:val="bottom"/>
          </w:tcPr>
          <w:p>
            <w:pPr>
              <w:spacing w:after="0"/>
              <w:rPr>
                <w:sz w:val="3"/>
                <w:szCs w:val="3"/>
                <w:color w:val="auto"/>
              </w:rPr>
            </w:pPr>
          </w:p>
        </w:tc>
        <w:tc>
          <w:tcPr>
            <w:tcW w:w="2680" w:type="dxa"/>
            <w:vAlign w:val="bottom"/>
          </w:tcPr>
          <w:p>
            <w:pPr>
              <w:spacing w:after="0"/>
              <w:rPr>
                <w:sz w:val="3"/>
                <w:szCs w:val="3"/>
                <w:color w:val="auto"/>
              </w:rPr>
            </w:pPr>
          </w:p>
        </w:tc>
        <w:tc>
          <w:tcPr>
            <w:tcW w:w="2480" w:type="dxa"/>
            <w:vAlign w:val="bottom"/>
            <w:gridSpan w:val="2"/>
            <w:vMerge w:val="restart"/>
          </w:tcPr>
          <w:p>
            <w:pPr>
              <w:ind w:left="40"/>
              <w:spacing w:after="0" w:line="81" w:lineRule="exact"/>
              <w:rPr>
                <w:sz w:val="20"/>
                <w:szCs w:val="20"/>
                <w:color w:val="auto"/>
              </w:rPr>
            </w:pPr>
            <w:r>
              <w:rPr>
                <w:rFonts w:ascii="Arial" w:cs="Arial" w:eastAsia="Arial" w:hAnsi="Arial"/>
                <w:sz w:val="9"/>
                <w:szCs w:val="9"/>
                <w:color w:val="FFFFFF"/>
              </w:rPr>
              <w:t>follow a series of credit procedures and</w:t>
            </w:r>
          </w:p>
        </w:tc>
        <w:tc>
          <w:tcPr>
            <w:tcW w:w="0" w:type="dxa"/>
            <w:vAlign w:val="bottom"/>
          </w:tcPr>
          <w:p>
            <w:pPr>
              <w:spacing w:after="0"/>
              <w:rPr>
                <w:sz w:val="1"/>
                <w:szCs w:val="1"/>
                <w:color w:val="auto"/>
              </w:rPr>
            </w:pPr>
          </w:p>
        </w:tc>
      </w:tr>
      <w:tr>
        <w:trPr>
          <w:trHeight w:val="41"/>
        </w:trPr>
        <w:tc>
          <w:tcPr>
            <w:tcW w:w="8940" w:type="dxa"/>
            <w:vAlign w:val="bottom"/>
            <w:gridSpan w:val="3"/>
          </w:tcPr>
          <w:p>
            <w:pPr>
              <w:spacing w:after="0"/>
              <w:rPr>
                <w:sz w:val="20"/>
                <w:szCs w:val="20"/>
                <w:color w:val="auto"/>
              </w:rPr>
            </w:pPr>
            <w:r>
              <w:rPr>
                <w:rFonts w:ascii="Arial" w:cs="Arial" w:eastAsia="Arial" w:hAnsi="Arial"/>
                <w:sz w:val="3"/>
                <w:szCs w:val="3"/>
                <w:color w:val="FFFFFF"/>
              </w:rPr>
              <w:t>PremiumWselectively extend credit to our VIP players contingent upon our marketing team’ knowledge of the players, their fi nancial background and payment history. W</w:t>
            </w:r>
          </w:p>
        </w:tc>
        <w:tc>
          <w:tcPr>
            <w:tcW w:w="2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ind w:left="120"/>
              <w:spacing w:after="0"/>
              <w:rPr>
                <w:sz w:val="20"/>
                <w:szCs w:val="20"/>
                <w:color w:val="auto"/>
              </w:rPr>
            </w:pPr>
            <w:r>
              <w:rPr>
                <w:rFonts w:ascii="Arial" w:cs="Arial" w:eastAsia="Arial" w:hAnsi="Arial"/>
                <w:sz w:val="3"/>
                <w:szCs w:val="3"/>
                <w:color w:val="FFFFFF"/>
              </w:rPr>
              <w:t>quire from each credit recipient various signed documents that are intended to ensure among other things that, if permitted by applicable law, the debt can be legally enforced in the jurisdiction where the player</w:t>
            </w:r>
          </w:p>
        </w:tc>
        <w:tc>
          <w:tcPr>
            <w:tcW w:w="0" w:type="dxa"/>
            <w:vAlign w:val="bottom"/>
          </w:tcPr>
          <w:p>
            <w:pPr>
              <w:spacing w:after="0"/>
              <w:rPr>
                <w:sz w:val="1"/>
                <w:szCs w:val="1"/>
                <w:color w:val="auto"/>
              </w:rPr>
            </w:pPr>
          </w:p>
        </w:tc>
      </w:tr>
      <w:tr>
        <w:trPr>
          <w:trHeight w:val="41"/>
        </w:trPr>
        <w:tc>
          <w:tcPr>
            <w:tcW w:w="8940" w:type="dxa"/>
            <w:vAlign w:val="bottom"/>
            <w:gridSpan w:val="3"/>
          </w:tcPr>
          <w:p>
            <w:pPr>
              <w:spacing w:after="0"/>
              <w:rPr>
                <w:sz w:val="20"/>
                <w:szCs w:val="20"/>
                <w:color w:val="auto"/>
              </w:rPr>
            </w:pPr>
            <w:r>
              <w:rPr>
                <w:rFonts w:ascii="Arial" w:cs="Arial" w:eastAsia="Arial" w:hAnsi="Arial"/>
                <w:sz w:val="3"/>
                <w:szCs w:val="3"/>
                <w:color w:val="FFFFFF"/>
              </w:rPr>
              <w:t>resides. In the event the player does not reside in a jurisdiction where gaming debts are legally enforceable, we can attempt to assert jurisdiction over assets the</w:t>
            </w:r>
          </w:p>
        </w:tc>
        <w:tc>
          <w:tcPr>
            <w:tcW w:w="2480" w:type="dxa"/>
            <w:vAlign w:val="bottom"/>
            <w:gridSpan w:val="2"/>
          </w:tcPr>
          <w:p>
            <w:pPr>
              <w:ind w:left="60"/>
              <w:spacing w:after="0"/>
              <w:rPr>
                <w:sz w:val="20"/>
                <w:szCs w:val="20"/>
                <w:color w:val="auto"/>
              </w:rPr>
            </w:pPr>
            <w:r>
              <w:rPr>
                <w:rFonts w:ascii="Arial" w:cs="Arial" w:eastAsia="Arial" w:hAnsi="Arial"/>
                <w:sz w:val="3"/>
                <w:szCs w:val="3"/>
                <w:color w:val="FFFFFF"/>
              </w:rPr>
              <w:t>maintains in jurisdictions where gaming</w:t>
            </w:r>
          </w:p>
        </w:tc>
        <w:tc>
          <w:tcPr>
            <w:tcW w:w="0" w:type="dxa"/>
            <w:vAlign w:val="bottom"/>
          </w:tcPr>
          <w:p>
            <w:pPr>
              <w:spacing w:after="0"/>
              <w:rPr>
                <w:sz w:val="1"/>
                <w:szCs w:val="1"/>
                <w:color w:val="auto"/>
              </w:rPr>
            </w:pPr>
          </w:p>
        </w:tc>
      </w:tr>
      <w:tr>
        <w:trPr>
          <w:trHeight w:val="213"/>
        </w:trPr>
        <w:tc>
          <w:tcPr>
            <w:tcW w:w="9680" w:type="dxa"/>
            <w:vAlign w:val="bottom"/>
            <w:gridSpan w:val="4"/>
          </w:tcPr>
          <w:p>
            <w:pPr>
              <w:spacing w:after="0"/>
              <w:rPr>
                <w:sz w:val="20"/>
                <w:szCs w:val="20"/>
                <w:color w:val="auto"/>
              </w:rPr>
            </w:pPr>
            <w:r>
              <w:rPr>
                <w:rFonts w:ascii="Arial" w:cs="Arial" w:eastAsia="Arial" w:hAnsi="Arial"/>
                <w:sz w:val="14"/>
                <w:szCs w:val="14"/>
                <w:color w:val="FFFFFF"/>
                <w:w w:val="90"/>
              </w:rPr>
              <w:t>debts are recognized. In addition, we typically require a check in the amount of the applicable credit line from credit players, collateralizing the credit we grant toplayerplayer.</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2"/>
          </w:tcPr>
          <w:p>
            <w:pPr>
              <w:spacing w:after="0"/>
              <w:rPr>
                <w:sz w:val="20"/>
                <w:szCs w:val="20"/>
                <w:color w:val="auto"/>
              </w:rPr>
            </w:pPr>
            <w:r>
              <w:rPr>
                <w:rFonts w:ascii="Arial" w:cs="Arial" w:eastAsia="Arial" w:hAnsi="Arial"/>
                <w:sz w:val="14"/>
                <w:szCs w:val="14"/>
                <w:color w:val="FFFFFF"/>
              </w:rPr>
              <w:t>10 Wynn Macau, Limited</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Number and Mix of Table Games and Slot Machines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mix of VIP table games, mass table games and slot machines in operation at our resort changes from time to time as a result of marketing and operating strategies in response to changing market demand and</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industry competition. The shift in the mix of our games will affect casino pro? tability.</w:t>
            </w:r>
          </w:p>
        </w:tc>
      </w:tr>
      <w:tr>
        <w:trPr>
          <w:trHeight w:val="41"/>
        </w:trPr>
        <w:tc>
          <w:tcPr>
            <w:tcW w:w="11400" w:type="dxa"/>
            <w:vAlign w:val="bottom"/>
            <w:gridSpan w:val="2"/>
          </w:tcPr>
          <w:p>
            <w:pPr>
              <w:ind w:left="100"/>
              <w:spacing w:after="0"/>
              <w:rPr>
                <w:sz w:val="20"/>
                <w:szCs w:val="20"/>
                <w:color w:val="auto"/>
              </w:rPr>
            </w:pPr>
            <w:r>
              <w:rPr>
                <w:rFonts w:ascii="Arial" w:cs="Arial" w:eastAsia="Arial" w:hAnsi="Arial"/>
                <w:sz w:val="3"/>
                <w:szCs w:val="3"/>
                <w:color w:val="FFFFFF"/>
              </w:rPr>
              <w:t>DJUSTED EBITDA</w:t>
            </w:r>
          </w:p>
        </w:tc>
      </w:tr>
      <w:tr>
        <w:trPr>
          <w:trHeight w:val="41"/>
        </w:trPr>
        <w:tc>
          <w:tcPr>
            <w:tcW w:w="740" w:type="dxa"/>
            <w:vAlign w:val="bottom"/>
          </w:tcPr>
          <w:p>
            <w:pPr>
              <w:spacing w:after="0"/>
              <w:rPr>
                <w:sz w:val="3"/>
                <w:szCs w:val="3"/>
                <w:color w:val="auto"/>
              </w:rPr>
            </w:pPr>
          </w:p>
        </w:tc>
        <w:tc>
          <w:tcPr>
            <w:tcW w:w="10660" w:type="dxa"/>
            <w:vAlign w:val="bottom"/>
          </w:tcPr>
          <w:p>
            <w:pPr>
              <w:ind w:left="440"/>
              <w:spacing w:after="0"/>
              <w:rPr>
                <w:sz w:val="20"/>
                <w:szCs w:val="20"/>
                <w:color w:val="auto"/>
              </w:rPr>
            </w:pPr>
            <w:r>
              <w:rPr>
                <w:rFonts w:ascii="Arial" w:cs="Arial" w:eastAsia="Arial" w:hAnsi="Arial"/>
                <w:sz w:val="3"/>
                <w:szCs w:val="3"/>
                <w:color w:val="FFFFFF"/>
              </w:rPr>
              <w:t>earnings before ? nance costs, taxes, depreciation, amortization, pre-opening costs, property charges and other, share-based payments, and other non-operating income and expenses.</w:t>
            </w:r>
          </w:p>
        </w:tc>
      </w:tr>
      <w:tr>
        <w:trPr>
          <w:trHeight w:val="41"/>
        </w:trPr>
        <w:tc>
          <w:tcPr>
            <w:tcW w:w="740" w:type="dxa"/>
            <w:vAlign w:val="bottom"/>
          </w:tcPr>
          <w:p>
            <w:pPr>
              <w:spacing w:after="0"/>
              <w:rPr>
                <w:sz w:val="3"/>
                <w:szCs w:val="3"/>
                <w:color w:val="auto"/>
              </w:rPr>
            </w:pPr>
          </w:p>
        </w:tc>
        <w:tc>
          <w:tcPr>
            <w:tcW w:w="10660" w:type="dxa"/>
            <w:vAlign w:val="bottom"/>
          </w:tcPr>
          <w:p>
            <w:pPr>
              <w:ind w:left="320"/>
              <w:spacing w:after="0"/>
              <w:rPr>
                <w:sz w:val="20"/>
                <w:szCs w:val="20"/>
                <w:color w:val="auto"/>
              </w:rPr>
            </w:pPr>
            <w:r>
              <w:rPr>
                <w:rFonts w:ascii="Arial" w:cs="Arial" w:eastAsia="Arial" w:hAnsi="Arial"/>
                <w:sz w:val="3"/>
                <w:szCs w:val="3"/>
                <w:color w:val="FFFFFF"/>
              </w:rPr>
              <w:t>is presented exclusively as a supplemental disclosure because our Directors believe that  is widely used to measure the performance, and as a basis for valuation, of gaming companies. Our</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Adjusted EBITDA presented herein also differs from the Adjusted EBITDA presented by Wynn Resorts, Limited for its Macau segment in its ? lings with the SEC, primarily due to the inclusion of royalty fees,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adjustments for IFRS differences with U.S. GAAP, corporate support and other support services in arriving at operating pro? .</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following table sets forth a quantitative reconciliation of Adjusted EBITDA to its most directly comparable IFRS measurement, operating pro? t, for the years ended 31 December 2012 and 2011.</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For the year ended</w:t>
            </w: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31 December</w:t>
            </w:r>
          </w:p>
        </w:tc>
        <w:tc>
          <w:tcPr>
            <w:tcW w:w="10660" w:type="dxa"/>
            <w:vAlign w:val="bottom"/>
          </w:tcPr>
          <w:p>
            <w:pPr>
              <w:spacing w:after="0"/>
              <w:rPr>
                <w:sz w:val="3"/>
                <w:szCs w:val="3"/>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2012 2011</w:t>
            </w:r>
          </w:p>
        </w:tc>
        <w:tc>
          <w:tcPr>
            <w:tcW w:w="10660" w:type="dxa"/>
            <w:vAlign w:val="bottom"/>
          </w:tcPr>
          <w:p>
            <w:pPr>
              <w:spacing w:after="0"/>
              <w:rPr>
                <w:sz w:val="3"/>
                <w:szCs w:val="3"/>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HK$ HK$</w:t>
            </w:r>
          </w:p>
        </w:tc>
        <w:tc>
          <w:tcPr>
            <w:tcW w:w="1066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(in thousands)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Operating pro?t 6,697,507 5,982,291</w:t>
            </w:r>
          </w:p>
        </w:tc>
      </w:tr>
      <w:tr>
        <w:trPr>
          <w:trHeight w:val="0"/>
        </w:trPr>
        <w:tc>
          <w:tcPr>
            <w:tcW w:w="740" w:type="dxa"/>
            <w:vAlign w:val="bottom"/>
          </w:tcPr>
          <w:p>
            <w:pPr>
              <w:spacing w:after="0"/>
              <w:rPr>
                <w:sz w:val="20"/>
                <w:szCs w:val="20"/>
                <w:color w:val="auto"/>
              </w:rPr>
            </w:pPr>
            <w:r>
              <w:rPr>
                <w:rFonts w:ascii="Arial" w:cs="Arial" w:eastAsia="Arial" w:hAnsi="Arial"/>
                <w:sz w:val="14"/>
                <w:szCs w:val="14"/>
                <w:color w:val="FFFFFF"/>
              </w:rPr>
              <w:t>Add</w:t>
            </w:r>
          </w:p>
        </w:tc>
        <w:tc>
          <w:tcPr>
            <w:tcW w:w="10660" w:type="dxa"/>
            <w:vAlign w:val="bottom"/>
          </w:tcPr>
          <w:p>
            <w:pPr>
              <w:spacing w:after="0"/>
              <w:rPr>
                <w:sz w:val="20"/>
                <w:szCs w:val="20"/>
                <w:color w:val="auto"/>
              </w:rPr>
            </w:pPr>
            <w:r>
              <w:rPr>
                <w:rFonts w:ascii="Arial" w:cs="Arial" w:eastAsia="Arial" w:hAnsi="Arial"/>
                <w:sz w:val="14"/>
                <w:szCs w:val="14"/>
                <w:color w:val="FFFFFF"/>
              </w:rPr>
              <w:t>and amortization 918,929 1,016,421</w:t>
            </w:r>
          </w:p>
        </w:tc>
      </w:tr>
    </w:tbl>
    <w:p>
      <w:pPr>
        <w:spacing w:after="0" w:line="25" w:lineRule="auto"/>
        <w:rPr>
          <w:sz w:val="20"/>
          <w:szCs w:val="20"/>
          <w:color w:val="auto"/>
        </w:rPr>
      </w:pPr>
      <w:r>
        <w:rPr>
          <w:rFonts w:ascii="Arial" w:cs="Arial" w:eastAsia="Arial" w:hAnsi="Arial"/>
          <w:sz w:val="1"/>
          <w:szCs w:val="1"/>
          <w:color w:val="FFFFFF"/>
        </w:rPr>
        <w:t>Depreciation</w:t>
      </w:r>
    </w:p>
    <w:p>
      <w:pPr>
        <w:spacing w:after="0" w:line="187" w:lineRule="auto"/>
        <w:rPr>
          <w:sz w:val="20"/>
          <w:szCs w:val="20"/>
          <w:color w:val="auto"/>
        </w:rPr>
      </w:pPr>
      <w:r>
        <w:rPr>
          <w:rFonts w:ascii="Arial" w:cs="Arial" w:eastAsia="Arial" w:hAnsi="Arial"/>
          <w:sz w:val="9"/>
          <w:szCs w:val="9"/>
          <w:color w:val="FFFFFF"/>
        </w:rPr>
        <w:t>Property-opening costs 3,610 —</w:t>
      </w:r>
    </w:p>
    <w:p>
      <w:pPr>
        <w:spacing w:after="0"/>
        <w:rPr>
          <w:sz w:val="20"/>
          <w:szCs w:val="20"/>
          <w:color w:val="auto"/>
        </w:rPr>
      </w:pPr>
      <w:r>
        <w:rPr>
          <w:rFonts w:ascii="Arial" w:cs="Arial" w:eastAsia="Arial" w:hAnsi="Arial"/>
          <w:sz w:val="14"/>
          <w:szCs w:val="14"/>
          <w:color w:val="FFFFFF"/>
        </w:rPr>
        <w:t>Share-basedchargespaymentsandother20,56749,07149,196865,853</w:t>
      </w:r>
    </w:p>
    <w:p>
      <w:pPr>
        <w:sectPr>
          <w:pgSz w:w="11900" w:h="16838" w:orient="portrait"/>
          <w:cols w:equalWidth="0" w:num="1">
            <w:col w:w="11400"/>
          </w:cols>
          <w:pgMar w:left="240" w:top="1440" w:right="25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11</w:t>
      </w:r>
    </w:p>
    <w:p>
      <w:pPr>
        <w:spacing w:after="0" w:line="187" w:lineRule="auto"/>
        <w:rPr>
          <w:sz w:val="20"/>
          <w:szCs w:val="20"/>
          <w:color w:val="auto"/>
        </w:rPr>
      </w:pPr>
      <w:r>
        <w:rPr>
          <w:rFonts w:ascii="Arial" w:cs="Arial" w:eastAsia="Arial" w:hAnsi="Arial"/>
          <w:sz w:val="9"/>
          <w:szCs w:val="9"/>
          <w:color w:val="FFFFFF"/>
        </w:rPr>
        <w:t>Management Discussion and Analysis</w:t>
      </w:r>
    </w:p>
    <w:p>
      <w:pPr>
        <w:spacing w:after="0" w:line="188" w:lineRule="auto"/>
        <w:rPr>
          <w:sz w:val="20"/>
          <w:szCs w:val="20"/>
          <w:color w:val="auto"/>
        </w:rPr>
      </w:pPr>
      <w:r>
        <w:rPr>
          <w:rFonts w:ascii="Arial" w:cs="Arial" w:eastAsia="Arial" w:hAnsi="Arial"/>
          <w:sz w:val="9"/>
          <w:szCs w:val="9"/>
          <w:color w:val="FFFFFF"/>
        </w:rPr>
        <w:t>SummaryREVIEW OFBreakdownHISTORICALTable OPERATING RESULTS</w:t>
      </w:r>
    </w:p>
    <w:p>
      <w:pPr>
        <w:spacing w:after="0"/>
        <w:rPr>
          <w:sz w:val="20"/>
          <w:szCs w:val="20"/>
          <w:color w:val="auto"/>
        </w:rPr>
      </w:pPr>
      <w:r>
        <w:rPr>
          <w:rFonts w:ascii="Arial" w:cs="Arial" w:eastAsia="Arial" w:hAnsi="Arial"/>
          <w:sz w:val="3"/>
          <w:szCs w:val="3"/>
          <w:color w:val="FFFFFF"/>
        </w:rPr>
        <w:t>ForThe thefollowingyearendedtable presents certain selected statement of comprehensive income line items and certain other data.</w:t>
      </w:r>
    </w:p>
    <w:p>
      <w:pPr>
        <w:spacing w:after="0" w:line="194" w:lineRule="auto"/>
        <w:rPr>
          <w:sz w:val="20"/>
          <w:szCs w:val="20"/>
          <w:color w:val="auto"/>
        </w:rPr>
      </w:pPr>
      <w:r>
        <w:rPr>
          <w:rFonts w:ascii="Arial" w:cs="Arial" w:eastAsia="Arial" w:hAnsi="Arial"/>
          <w:sz w:val="5"/>
          <w:szCs w:val="5"/>
          <w:color w:val="FFFFFF"/>
        </w:rPr>
        <w:t>31 December</w:t>
      </w:r>
    </w:p>
    <w:p>
      <w:pPr>
        <w:spacing w:after="0" w:line="181" w:lineRule="auto"/>
        <w:rPr>
          <w:sz w:val="20"/>
          <w:szCs w:val="20"/>
          <w:color w:val="auto"/>
        </w:rPr>
      </w:pPr>
      <w:r>
        <w:rPr>
          <w:rFonts w:ascii="Arial" w:cs="Arial" w:eastAsia="Arial" w:hAnsi="Arial"/>
          <w:sz w:val="14"/>
          <w:szCs w:val="14"/>
          <w:color w:val="FFFFFF"/>
        </w:rPr>
        <w:t>2012HK$ HK2011$</w:t>
      </w:r>
    </w:p>
    <w:p>
      <w:pPr>
        <w:spacing w:after="0" w:line="188" w:lineRule="auto"/>
        <w:rPr>
          <w:sz w:val="20"/>
          <w:szCs w:val="20"/>
          <w:color w:val="auto"/>
        </w:rPr>
      </w:pPr>
      <w:r>
        <w:rPr>
          <w:rFonts w:ascii="Arial" w:cs="Arial" w:eastAsia="Arial" w:hAnsi="Arial"/>
          <w:sz w:val="9"/>
          <w:szCs w:val="9"/>
          <w:color w:val="FFFFFF"/>
        </w:rPr>
        <w:t>except(inthousands,foraverages,</w:t>
      </w:r>
    </w:p>
    <w:p>
      <w:pPr>
        <w:spacing w:after="0" w:line="188" w:lineRule="auto"/>
        <w:rPr>
          <w:sz w:val="20"/>
          <w:szCs w:val="20"/>
          <w:color w:val="auto"/>
        </w:rPr>
      </w:pPr>
      <w:r>
        <w:rPr>
          <w:rFonts w:ascii="Arial" w:cs="Arial" w:eastAsia="Arial" w:hAnsi="Arial"/>
          <w:sz w:val="9"/>
          <w:szCs w:val="9"/>
          <w:color w:val="FFFFFF"/>
        </w:rPr>
        <w:t>ofdailytableswinand?guresslot andmachines)number</w:t>
      </w:r>
    </w:p>
    <w:p>
      <w:pPr>
        <w:spacing w:after="0" w:line="188" w:lineRule="auto"/>
        <w:rPr>
          <w:sz w:val="20"/>
          <w:szCs w:val="20"/>
          <w:color w:val="auto"/>
        </w:rPr>
      </w:pPr>
      <w:r>
        <w:rPr>
          <w:rFonts w:ascii="Arial" w:cs="Arial" w:eastAsia="Arial" w:hAnsi="Arial"/>
          <w:sz w:val="9"/>
          <w:szCs w:val="9"/>
          <w:color w:val="FFFFFF"/>
        </w:rPr>
        <w:t>Rooms(2)Totalcasino143,061revenues(1)140,46426,706,712 27,755,965</w:t>
      </w:r>
    </w:p>
    <w:p>
      <w:pPr>
        <w:spacing w:after="0" w:line="188" w:lineRule="auto"/>
        <w:rPr>
          <w:sz w:val="20"/>
          <w:szCs w:val="20"/>
          <w:color w:val="auto"/>
        </w:rPr>
      </w:pPr>
      <w:r>
        <w:rPr>
          <w:rFonts w:ascii="Arial" w:cs="Arial" w:eastAsia="Arial" w:hAnsi="Arial"/>
          <w:sz w:val="9"/>
          <w:szCs w:val="9"/>
          <w:color w:val="FFFFFF"/>
        </w:rPr>
        <w:t>RetailFoodandandbeverage(2)other(2)1,417,342185,1091,413,506188,157</w:t>
      </w:r>
    </w:p>
    <w:p>
      <w:pPr>
        <w:spacing w:after="0" w:line="188" w:lineRule="auto"/>
        <w:rPr>
          <w:sz w:val="20"/>
          <w:szCs w:val="20"/>
          <w:color w:val="auto"/>
        </w:rPr>
      </w:pPr>
      <w:r>
        <w:rPr>
          <w:rFonts w:ascii="Arial" w:cs="Arial" w:eastAsia="Arial" w:hAnsi="Arial"/>
          <w:sz w:val="9"/>
          <w:szCs w:val="9"/>
          <w:color w:val="FFFFFF"/>
          <w:vertAlign w:val="superscript"/>
        </w:rPr>
        <w:t>VIP</w:t>
      </w:r>
      <w:r>
        <w:rPr>
          <w:rFonts w:ascii="Arial" w:cs="Arial" w:eastAsia="Arial" w:hAnsi="Arial"/>
          <w:sz w:val="7"/>
          <w:szCs w:val="7"/>
          <w:color w:val="FFFFFF"/>
        </w:rPr>
        <w:t>Totaltableoperatinggamesrevenuesturnover28,452,224925,181,55229,498,092958,373,801</w:t>
      </w:r>
    </w:p>
    <w:p>
      <w:pPr>
        <w:spacing w:after="0" w:line="187" w:lineRule="auto"/>
        <w:rPr>
          <w:sz w:val="20"/>
          <w:szCs w:val="20"/>
          <w:color w:val="auto"/>
        </w:rPr>
      </w:pPr>
      <w:r>
        <w:rPr>
          <w:rFonts w:ascii="Arial" w:cs="Arial" w:eastAsia="Arial" w:hAnsi="Arial"/>
          <w:sz w:val="9"/>
          <w:szCs w:val="9"/>
          <w:color w:val="FFFFFF"/>
          <w:vertAlign w:val="subscript"/>
        </w:rPr>
        <w:t>Mass</w:t>
      </w:r>
      <w:r>
        <w:rPr>
          <w:rFonts w:ascii="Arial" w:cs="Arial" w:eastAsia="Arial" w:hAnsi="Arial"/>
          <w:sz w:val="7"/>
          <w:szCs w:val="7"/>
          <w:color w:val="FFFFFF"/>
        </w:rPr>
        <w:t>gross</w:t>
      </w:r>
      <w:r>
        <w:rPr>
          <w:rFonts w:ascii="Arial" w:cs="Arial" w:eastAsia="Arial" w:hAnsi="Arial"/>
          <w:sz w:val="9"/>
          <w:szCs w:val="9"/>
          <w:color w:val="FFFFFF"/>
          <w:vertAlign w:val="subscript"/>
        </w:rPr>
        <w:t>market</w:t>
      </w:r>
      <w:r>
        <w:rPr>
          <w:rFonts w:ascii="Arial" w:cs="Arial" w:eastAsia="Arial" w:hAnsi="Arial"/>
          <w:sz w:val="7"/>
          <w:szCs w:val="7"/>
          <w:color w:val="FFFFFF"/>
        </w:rPr>
        <w:t>tabletablegamesgameswin(1)drop26,294,33121,448,09228,055,55821,559,019</w:t>
      </w:r>
    </w:p>
    <w:p>
      <w:pPr>
        <w:spacing w:after="0" w:line="213" w:lineRule="auto"/>
        <w:rPr>
          <w:sz w:val="20"/>
          <w:szCs w:val="20"/>
          <w:color w:val="auto"/>
        </w:rPr>
      </w:pPr>
      <w:r>
        <w:rPr>
          <w:rFonts w:ascii="Arial" w:cs="Arial" w:eastAsia="Arial" w:hAnsi="Arial"/>
          <w:sz w:val="4"/>
          <w:szCs w:val="4"/>
          <w:color w:val="FFFFFF"/>
          <w:vertAlign w:val="subscript"/>
        </w:rPr>
        <w:t>Slot machine</w:t>
      </w:r>
      <w:r>
        <w:rPr>
          <w:rFonts w:ascii="Arial" w:cs="Arial" w:eastAsia="Arial" w:hAnsi="Arial"/>
          <w:sz w:val="2"/>
          <w:szCs w:val="2"/>
          <w:color w:val="FFFFFF"/>
        </w:rPr>
        <w:t xml:space="preserve"> grosshandletable36,445,817gameswin(1)42,044,2636,539,887 6,132,171</w:t>
      </w:r>
    </w:p>
    <w:p>
      <w:pPr>
        <w:spacing w:after="0" w:line="181" w:lineRule="auto"/>
        <w:rPr>
          <w:sz w:val="20"/>
          <w:szCs w:val="20"/>
          <w:color w:val="auto"/>
        </w:rPr>
      </w:pPr>
      <w:r>
        <w:rPr>
          <w:rFonts w:ascii="Arial" w:cs="Arial" w:eastAsia="Arial" w:hAnsi="Arial"/>
          <w:sz w:val="9"/>
          <w:szCs w:val="9"/>
          <w:color w:val="FFFFFF"/>
        </w:rPr>
        <w:t xml:space="preserve">Average numberwin(1)ofgaming1,916,505tables(3)2,157,439489 </w:t>
      </w:r>
      <w:r>
        <w:rPr>
          <w:rFonts w:ascii="Arial" w:cs="Arial" w:eastAsia="Arial" w:hAnsi="Arial"/>
          <w:sz w:val="14"/>
          <w:szCs w:val="14"/>
          <w:color w:val="FFFFFF"/>
          <w:vertAlign w:val="superscript"/>
        </w:rPr>
        <w:t>481</w:t>
      </w:r>
    </w:p>
    <w:p>
      <w:pPr>
        <w:spacing w:after="0" w:line="212" w:lineRule="auto"/>
        <w:rPr>
          <w:sz w:val="20"/>
          <w:szCs w:val="20"/>
          <w:color w:val="auto"/>
        </w:rPr>
      </w:pPr>
      <w:r>
        <w:rPr>
          <w:rFonts w:ascii="Arial" w:cs="Arial" w:eastAsia="Arial" w:hAnsi="Arial"/>
          <w:sz w:val="4"/>
          <w:szCs w:val="4"/>
          <w:color w:val="FFFFFF"/>
          <w:vertAlign w:val="subscript"/>
        </w:rPr>
        <w:t>Average</w:t>
      </w:r>
      <w:r>
        <w:rPr>
          <w:rFonts w:ascii="Arial" w:cs="Arial" w:eastAsia="Arial" w:hAnsi="Arial"/>
          <w:sz w:val="2"/>
          <w:szCs w:val="2"/>
          <w:color w:val="FFFFFF"/>
        </w:rPr>
        <w:t>Dailygrossnumberwinperof slots(3)gaming 941table(4)999 183,51  194,862</w:t>
      </w:r>
    </w:p>
    <w:p>
      <w:pPr>
        <w:ind w:left="480"/>
        <w:spacing w:after="0"/>
        <w:rPr>
          <w:sz w:val="20"/>
          <w:szCs w:val="20"/>
          <w:color w:val="auto"/>
        </w:rPr>
      </w:pPr>
      <w:r>
        <w:rPr>
          <w:rFonts w:ascii="Arial" w:cs="Arial" w:eastAsia="Arial" w:hAnsi="Arial"/>
          <w:sz w:val="14"/>
          <w:szCs w:val="14"/>
          <w:color w:val="FFFFFF"/>
        </w:rPr>
        <w:t>daily win per slot(4) 5,567 5,916</w:t>
      </w:r>
    </w:p>
    <w:p>
      <w:pPr>
        <w:sectPr>
          <w:pgSz w:w="11900" w:h="16838" w:orient="portrait"/>
          <w:cols w:equalWidth="0" w:num="1">
            <w:col w:w="10219"/>
          </w:cols>
          <w:pgMar w:left="240" w:top="1440" w:right="1440"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3"/>
          </w:tcPr>
          <w:p>
            <w:pPr>
              <w:spacing w:after="0"/>
              <w:rPr>
                <w:sz w:val="20"/>
                <w:szCs w:val="20"/>
                <w:color w:val="auto"/>
              </w:rPr>
            </w:pPr>
            <w:r>
              <w:rPr>
                <w:rFonts w:ascii="Arial" w:cs="Arial" w:eastAsia="Arial" w:hAnsi="Arial"/>
                <w:sz w:val="14"/>
                <w:szCs w:val="14"/>
                <w:color w:val="FFFFFF"/>
              </w:rPr>
              <w:t>12 Wynn Macau, Limited</w:t>
            </w:r>
          </w:p>
        </w:tc>
      </w:tr>
      <w:tr>
        <w:trPr>
          <w:trHeight w:val="41"/>
        </w:trPr>
        <w:tc>
          <w:tcPr>
            <w:tcW w:w="11060" w:type="dxa"/>
            <w:vAlign w:val="bottom"/>
            <w:gridSpan w:val="3"/>
          </w:tcPr>
          <w:p>
            <w:pPr>
              <w:spacing w:after="0"/>
              <w:rPr>
                <w:sz w:val="20"/>
                <w:szCs w:val="20"/>
                <w:color w:val="auto"/>
              </w:rPr>
            </w:pPr>
            <w:r>
              <w:rPr>
                <w:rFonts w:ascii="Arial" w:cs="Arial" w:eastAsia="Arial" w:hAnsi="Arial"/>
                <w:sz w:val="3"/>
                <w:szCs w:val="3"/>
                <w:color w:val="FFFFFF"/>
              </w:rPr>
              <w:t>Management Discussion and Analysis</w:t>
            </w: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Notes:</w:t>
            </w:r>
          </w:p>
        </w:tc>
        <w:tc>
          <w:tcPr>
            <w:tcW w:w="340" w:type="dxa"/>
            <w:vAlign w:val="bottom"/>
          </w:tcPr>
          <w:p>
            <w:pPr>
              <w:spacing w:after="0"/>
              <w:rPr>
                <w:sz w:val="3"/>
                <w:szCs w:val="3"/>
                <w:color w:val="auto"/>
              </w:rPr>
            </w:pPr>
          </w:p>
        </w:tc>
        <w:tc>
          <w:tcPr>
            <w:tcW w:w="10320" w:type="dxa"/>
            <w:vAlign w:val="bottom"/>
          </w:tcPr>
          <w:p>
            <w:pPr>
              <w:spacing w:after="0"/>
              <w:rPr>
                <w:sz w:val="3"/>
                <w:szCs w:val="3"/>
                <w:color w:val="auto"/>
              </w:rPr>
            </w:pPr>
          </w:p>
        </w:tc>
      </w:tr>
      <w:tr>
        <w:trPr>
          <w:trHeight w:val="41"/>
        </w:trPr>
        <w:tc>
          <w:tcPr>
            <w:tcW w:w="11060" w:type="dxa"/>
            <w:vAlign w:val="bottom"/>
            <w:gridSpan w:val="3"/>
          </w:tcPr>
          <w:p>
            <w:pPr>
              <w:spacing w:after="0"/>
              <w:rPr>
                <w:sz w:val="20"/>
                <w:szCs w:val="20"/>
                <w:color w:val="auto"/>
              </w:rPr>
            </w:pPr>
            <w:r>
              <w:rPr>
                <w:rFonts w:ascii="Arial" w:cs="Arial" w:eastAsia="Arial" w:hAnsi="Arial"/>
                <w:sz w:val="3"/>
                <w:szCs w:val="3"/>
                <w:color w:val="FFFFFF"/>
              </w:rPr>
              <w:t>(1) Total casino revenues do not equal the sum of “VIP gross table games win,” “mass market gross table games win” and “slot machine win” because casino revenues are reported net of the relevant</w:t>
            </w:r>
          </w:p>
        </w:tc>
      </w:tr>
      <w:tr>
        <w:trPr>
          <w:trHeight w:val="41"/>
        </w:trPr>
        <w:tc>
          <w:tcPr>
            <w:tcW w:w="11060" w:type="dxa"/>
            <w:vAlign w:val="bottom"/>
            <w:gridSpan w:val="3"/>
          </w:tcPr>
          <w:p>
            <w:pPr>
              <w:spacing w:after="0"/>
              <w:rPr>
                <w:sz w:val="20"/>
                <w:szCs w:val="20"/>
                <w:color w:val="auto"/>
              </w:rPr>
            </w:pPr>
            <w:r>
              <w:rPr>
                <w:rFonts w:ascii="Arial" w:cs="Arial" w:eastAsia="Arial" w:hAnsi="Arial"/>
                <w:sz w:val="3"/>
                <w:szCs w:val="3"/>
                <w:color w:val="FFFFFF"/>
              </w:rPr>
              <w:t>commissions and discounts. The following table presents a reconciliation of the sum of “VIP gross table games win,” “mass market gross table games win” and “slot machine win” to total casino revenues.</w:t>
            </w:r>
          </w:p>
        </w:tc>
      </w:tr>
      <w:tr>
        <w:trPr>
          <w:trHeight w:val="41"/>
        </w:trPr>
        <w:tc>
          <w:tcPr>
            <w:tcW w:w="11060" w:type="dxa"/>
            <w:vAlign w:val="bottom"/>
            <w:gridSpan w:val="3"/>
          </w:tcPr>
          <w:p>
            <w:pPr>
              <w:spacing w:after="0"/>
              <w:rPr>
                <w:sz w:val="20"/>
                <w:szCs w:val="20"/>
                <w:color w:val="auto"/>
              </w:rPr>
            </w:pPr>
            <w:r>
              <w:rPr>
                <w:rFonts w:ascii="Arial" w:cs="Arial" w:eastAsia="Arial" w:hAnsi="Arial"/>
                <w:sz w:val="3"/>
                <w:szCs w:val="3"/>
                <w:color w:val="FFFFFF"/>
              </w:rPr>
              <w:t>For the year ended</w:t>
            </w:r>
          </w:p>
        </w:tc>
      </w:tr>
      <w:tr>
        <w:trPr>
          <w:trHeight w:val="41"/>
        </w:trPr>
        <w:tc>
          <w:tcPr>
            <w:tcW w:w="740" w:type="dxa"/>
            <w:vAlign w:val="bottom"/>
            <w:gridSpan w:val="2"/>
          </w:tcPr>
          <w:p>
            <w:pPr>
              <w:spacing w:after="0"/>
              <w:rPr>
                <w:sz w:val="20"/>
                <w:szCs w:val="20"/>
                <w:color w:val="auto"/>
              </w:rPr>
            </w:pPr>
            <w:r>
              <w:rPr>
                <w:rFonts w:ascii="Arial" w:cs="Arial" w:eastAsia="Arial" w:hAnsi="Arial"/>
                <w:sz w:val="3"/>
                <w:szCs w:val="3"/>
                <w:color w:val="FFFFFF"/>
              </w:rPr>
              <w:t>31 December</w:t>
            </w:r>
          </w:p>
        </w:tc>
        <w:tc>
          <w:tcPr>
            <w:tcW w:w="10320" w:type="dxa"/>
            <w:vAlign w:val="bottom"/>
          </w:tcPr>
          <w:p>
            <w:pPr>
              <w:spacing w:after="0"/>
              <w:rPr>
                <w:sz w:val="3"/>
                <w:szCs w:val="3"/>
                <w:color w:val="auto"/>
              </w:rPr>
            </w:pPr>
          </w:p>
        </w:tc>
      </w:tr>
      <w:tr>
        <w:trPr>
          <w:trHeight w:val="41"/>
        </w:trPr>
        <w:tc>
          <w:tcPr>
            <w:tcW w:w="740" w:type="dxa"/>
            <w:vAlign w:val="bottom"/>
            <w:gridSpan w:val="2"/>
          </w:tcPr>
          <w:p>
            <w:pPr>
              <w:spacing w:after="0"/>
              <w:rPr>
                <w:sz w:val="20"/>
                <w:szCs w:val="20"/>
                <w:color w:val="auto"/>
              </w:rPr>
            </w:pPr>
            <w:r>
              <w:rPr>
                <w:rFonts w:ascii="Arial" w:cs="Arial" w:eastAsia="Arial" w:hAnsi="Arial"/>
                <w:sz w:val="3"/>
                <w:szCs w:val="3"/>
                <w:color w:val="FFFFFF"/>
              </w:rPr>
              <w:t>2012 2011</w:t>
            </w:r>
          </w:p>
        </w:tc>
        <w:tc>
          <w:tcPr>
            <w:tcW w:w="10320" w:type="dxa"/>
            <w:vAlign w:val="bottom"/>
          </w:tcPr>
          <w:p>
            <w:pPr>
              <w:spacing w:after="0"/>
              <w:rPr>
                <w:sz w:val="3"/>
                <w:szCs w:val="3"/>
                <w:color w:val="auto"/>
              </w:rPr>
            </w:pPr>
          </w:p>
        </w:tc>
      </w:tr>
      <w:tr>
        <w:trPr>
          <w:trHeight w:val="41"/>
        </w:trPr>
        <w:tc>
          <w:tcPr>
            <w:tcW w:w="740" w:type="dxa"/>
            <w:vAlign w:val="bottom"/>
            <w:gridSpan w:val="2"/>
          </w:tcPr>
          <w:p>
            <w:pPr>
              <w:spacing w:after="0"/>
              <w:rPr>
                <w:sz w:val="20"/>
                <w:szCs w:val="20"/>
                <w:color w:val="auto"/>
              </w:rPr>
            </w:pPr>
            <w:r>
              <w:rPr>
                <w:rFonts w:ascii="Arial" w:cs="Arial" w:eastAsia="Arial" w:hAnsi="Arial"/>
                <w:sz w:val="3"/>
                <w:szCs w:val="3"/>
                <w:color w:val="FFFFFF"/>
              </w:rPr>
              <w:t>HK$ HK$</w:t>
            </w:r>
          </w:p>
        </w:tc>
        <w:tc>
          <w:tcPr>
            <w:tcW w:w="10320" w:type="dxa"/>
            <w:vAlign w:val="bottom"/>
          </w:tcPr>
          <w:p>
            <w:pPr>
              <w:spacing w:after="0"/>
              <w:rPr>
                <w:sz w:val="3"/>
                <w:szCs w:val="3"/>
                <w:color w:val="auto"/>
              </w:rPr>
            </w:pPr>
          </w:p>
        </w:tc>
      </w:tr>
      <w:tr>
        <w:trPr>
          <w:trHeight w:val="41"/>
        </w:trPr>
        <w:tc>
          <w:tcPr>
            <w:tcW w:w="11060" w:type="dxa"/>
            <w:vAlign w:val="bottom"/>
            <w:gridSpan w:val="3"/>
          </w:tcPr>
          <w:p>
            <w:pPr>
              <w:spacing w:after="0"/>
              <w:rPr>
                <w:sz w:val="20"/>
                <w:szCs w:val="20"/>
                <w:color w:val="auto"/>
              </w:rPr>
            </w:pPr>
            <w:r>
              <w:rPr>
                <w:rFonts w:ascii="Arial" w:cs="Arial" w:eastAsia="Arial" w:hAnsi="Arial"/>
                <w:sz w:val="3"/>
                <w:szCs w:val="3"/>
                <w:color w:val="FFFFFF"/>
              </w:rPr>
              <w:t>(in thousands)</w:t>
            </w:r>
          </w:p>
        </w:tc>
      </w:tr>
      <w:tr>
        <w:trPr>
          <w:trHeight w:val="41"/>
        </w:trPr>
        <w:tc>
          <w:tcPr>
            <w:tcW w:w="11060" w:type="dxa"/>
            <w:vAlign w:val="bottom"/>
            <w:gridSpan w:val="3"/>
          </w:tcPr>
          <w:p>
            <w:pPr>
              <w:spacing w:after="0"/>
              <w:rPr>
                <w:sz w:val="20"/>
                <w:szCs w:val="20"/>
                <w:color w:val="auto"/>
              </w:rPr>
            </w:pPr>
            <w:r>
              <w:rPr>
                <w:rFonts w:ascii="Arial" w:cs="Arial" w:eastAsia="Arial" w:hAnsi="Arial"/>
                <w:sz w:val="3"/>
                <w:szCs w:val="3"/>
                <w:color w:val="FFFFFF"/>
              </w:rPr>
              <w:t>VIP gross table games win 26,294,331 28,055,558</w:t>
            </w:r>
          </w:p>
        </w:tc>
      </w:tr>
      <w:tr>
        <w:trPr>
          <w:trHeight w:val="41"/>
        </w:trPr>
        <w:tc>
          <w:tcPr>
            <w:tcW w:w="11060" w:type="dxa"/>
            <w:vAlign w:val="bottom"/>
            <w:gridSpan w:val="3"/>
          </w:tcPr>
          <w:p>
            <w:pPr>
              <w:spacing w:after="0"/>
              <w:rPr>
                <w:sz w:val="20"/>
                <w:szCs w:val="20"/>
                <w:color w:val="auto"/>
              </w:rPr>
            </w:pPr>
            <w:r>
              <w:rPr>
                <w:rFonts w:ascii="Arial" w:cs="Arial" w:eastAsia="Arial" w:hAnsi="Arial"/>
                <w:sz w:val="3"/>
                <w:szCs w:val="3"/>
                <w:color w:val="FFFFFF"/>
              </w:rPr>
              <w:t>Mass market gross table games win 6,539,887 6,132,171</w:t>
            </w:r>
          </w:p>
        </w:tc>
      </w:tr>
      <w:tr>
        <w:trPr>
          <w:trHeight w:val="41"/>
        </w:trPr>
        <w:tc>
          <w:tcPr>
            <w:tcW w:w="740" w:type="dxa"/>
            <w:vAlign w:val="bottom"/>
            <w:gridSpan w:val="2"/>
          </w:tcPr>
          <w:p>
            <w:pPr>
              <w:spacing w:after="0"/>
              <w:rPr>
                <w:sz w:val="20"/>
                <w:szCs w:val="20"/>
                <w:color w:val="auto"/>
              </w:rPr>
            </w:pPr>
            <w:r>
              <w:rPr>
                <w:rFonts w:ascii="Arial" w:cs="Arial" w:eastAsia="Arial" w:hAnsi="Arial"/>
                <w:sz w:val="3"/>
                <w:szCs w:val="3"/>
                <w:color w:val="FFFFFF"/>
              </w:rPr>
              <w:t>Slot machi</w:t>
            </w:r>
          </w:p>
        </w:tc>
        <w:tc>
          <w:tcPr>
            <w:tcW w:w="10320" w:type="dxa"/>
            <w:vAlign w:val="bottom"/>
          </w:tcPr>
          <w:p>
            <w:pPr>
              <w:ind w:left="20"/>
              <w:spacing w:after="0"/>
              <w:rPr>
                <w:sz w:val="20"/>
                <w:szCs w:val="20"/>
                <w:color w:val="auto"/>
              </w:rPr>
            </w:pPr>
            <w:r>
              <w:rPr>
                <w:rFonts w:ascii="Arial" w:cs="Arial" w:eastAsia="Arial" w:hAnsi="Arial"/>
                <w:sz w:val="3"/>
                <w:szCs w:val="3"/>
                <w:color w:val="FFFFFF"/>
              </w:rPr>
              <w:t>win 1,916,505 2,157,439</w:t>
            </w:r>
          </w:p>
        </w:tc>
      </w:tr>
      <w:tr>
        <w:trPr>
          <w:trHeight w:val="41"/>
        </w:trPr>
        <w:tc>
          <w:tcPr>
            <w:tcW w:w="11060" w:type="dxa"/>
            <w:vAlign w:val="bottom"/>
            <w:gridSpan w:val="3"/>
          </w:tcPr>
          <w:p>
            <w:pPr>
              <w:spacing w:after="0"/>
              <w:rPr>
                <w:sz w:val="20"/>
                <w:szCs w:val="20"/>
                <w:color w:val="auto"/>
              </w:rPr>
            </w:pPr>
            <w:r>
              <w:rPr>
                <w:rFonts w:ascii="Arial" w:cs="Arial" w:eastAsia="Arial" w:hAnsi="Arial"/>
                <w:sz w:val="3"/>
                <w:szCs w:val="3"/>
                <w:color w:val="FFFFFF"/>
              </w:rPr>
              <w:t>Poker revenues 151,395 125,260</w:t>
            </w:r>
          </w:p>
        </w:tc>
      </w:tr>
      <w:tr>
        <w:trPr>
          <w:trHeight w:val="41"/>
        </w:trPr>
        <w:tc>
          <w:tcPr>
            <w:tcW w:w="11060" w:type="dxa"/>
            <w:vAlign w:val="bottom"/>
            <w:gridSpan w:val="3"/>
          </w:tcPr>
          <w:p>
            <w:pPr>
              <w:spacing w:after="0"/>
              <w:rPr>
                <w:sz w:val="20"/>
                <w:szCs w:val="20"/>
                <w:color w:val="auto"/>
              </w:rPr>
            </w:pPr>
            <w:r>
              <w:rPr>
                <w:rFonts w:ascii="Arial" w:cs="Arial" w:eastAsia="Arial" w:hAnsi="Arial"/>
                <w:sz w:val="3"/>
                <w:szCs w:val="3"/>
                <w:color w:val="FFFFFF"/>
              </w:rPr>
              <w:t>Commissions and discounts (8,195,406) (8,714,463)</w:t>
            </w:r>
          </w:p>
        </w:tc>
      </w:tr>
      <w:tr>
        <w:trPr>
          <w:trHeight w:val="41"/>
        </w:trPr>
        <w:tc>
          <w:tcPr>
            <w:tcW w:w="11060" w:type="dxa"/>
            <w:vAlign w:val="bottom"/>
            <w:gridSpan w:val="3"/>
          </w:tcPr>
          <w:p>
            <w:pPr>
              <w:spacing w:after="0"/>
              <w:rPr>
                <w:sz w:val="20"/>
                <w:szCs w:val="20"/>
                <w:color w:val="auto"/>
              </w:rPr>
            </w:pPr>
            <w:r>
              <w:rPr>
                <w:rFonts w:ascii="Arial" w:cs="Arial" w:eastAsia="Arial" w:hAnsi="Arial"/>
                <w:sz w:val="3"/>
                <w:szCs w:val="3"/>
                <w:color w:val="FFFFFF"/>
              </w:rPr>
              <w:t>Total casino revenues 26,706,712 27,755,965</w:t>
            </w: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(2)</w:t>
            </w:r>
          </w:p>
        </w:tc>
        <w:tc>
          <w:tcPr>
            <w:tcW w:w="10660" w:type="dxa"/>
            <w:vAlign w:val="bottom"/>
            <w:gridSpan w:val="2"/>
          </w:tcPr>
          <w:p>
            <w:pPr>
              <w:ind w:left="60"/>
              <w:spacing w:after="0"/>
              <w:rPr>
                <w:sz w:val="20"/>
                <w:szCs w:val="20"/>
                <w:color w:val="auto"/>
              </w:rPr>
            </w:pPr>
            <w:r>
              <w:rPr>
                <w:rFonts w:ascii="Arial" w:cs="Arial" w:eastAsia="Arial" w:hAnsi="Arial"/>
                <w:sz w:val="3"/>
                <w:szCs w:val="3"/>
                <w:color w:val="FFFFFF"/>
              </w:rPr>
              <w:t>Promotional allowances are excluded from revenues in the accompanying consolidated statement of</w:t>
            </w:r>
          </w:p>
        </w:tc>
      </w:tr>
      <w:tr>
        <w:trPr>
          <w:trHeight w:val="54"/>
        </w:trPr>
        <w:tc>
          <w:tcPr>
            <w:tcW w:w="11060" w:type="dxa"/>
            <w:vAlign w:val="bottom"/>
            <w:gridSpan w:val="3"/>
          </w:tcPr>
          <w:p>
            <w:pPr>
              <w:spacing w:after="0" w:line="54" w:lineRule="exact"/>
              <w:rPr>
                <w:sz w:val="20"/>
                <w:szCs w:val="20"/>
                <w:color w:val="auto"/>
              </w:rPr>
            </w:pPr>
            <w:r>
              <w:rPr>
                <w:rFonts w:ascii="Arial" w:cs="Arial" w:eastAsia="Arial" w:hAnsi="Arial"/>
                <w:sz w:val="6"/>
                <w:szCs w:val="6"/>
                <w:color w:val="FFFFFF"/>
              </w:rPr>
              <w:t>comprehensive income prepared in accordance with IFRS. Management also evaluates non-casino revenues on</w:t>
            </w:r>
          </w:p>
        </w:tc>
      </w:tr>
      <w:tr>
        <w:trPr>
          <w:trHeight w:val="41"/>
        </w:trPr>
        <w:tc>
          <w:tcPr>
            <w:tcW w:w="11060" w:type="dxa"/>
            <w:vAlign w:val="bottom"/>
            <w:gridSpan w:val="3"/>
          </w:tcPr>
          <w:p>
            <w:pPr>
              <w:spacing w:after="0"/>
              <w:rPr>
                <w:sz w:val="20"/>
                <w:szCs w:val="20"/>
                <w:color w:val="auto"/>
              </w:rPr>
            </w:pPr>
            <w:r>
              <w:rPr>
                <w:rFonts w:ascii="Arial" w:cs="Arial" w:eastAsia="Arial" w:hAnsi="Arial"/>
                <w:sz w:val="3"/>
                <w:szCs w:val="3"/>
                <w:color w:val="FFFFFF"/>
              </w:rPr>
              <w:t>an adjusted basis.</w:t>
            </w:r>
          </w:p>
        </w:tc>
      </w:tr>
      <w:tr>
        <w:trPr>
          <w:trHeight w:val="0"/>
        </w:trPr>
        <w:tc>
          <w:tcPr>
            <w:tcW w:w="400" w:type="dxa"/>
            <w:vAlign w:val="bottom"/>
          </w:tcPr>
          <w:p>
            <w:pPr>
              <w:spacing w:after="0" w:line="80" w:lineRule="exact"/>
              <w:rPr>
                <w:sz w:val="20"/>
                <w:szCs w:val="20"/>
                <w:color w:val="auto"/>
              </w:rPr>
            </w:pPr>
            <w:r>
              <w:rPr>
                <w:rFonts w:ascii="Arial" w:cs="Arial" w:eastAsia="Arial" w:hAnsi="Arial"/>
                <w:sz w:val="9"/>
                <w:szCs w:val="9"/>
                <w:color w:val="FFFFFF"/>
              </w:rPr>
              <w:t>The</w:t>
            </w:r>
          </w:p>
        </w:tc>
        <w:tc>
          <w:tcPr>
            <w:tcW w:w="340" w:type="dxa"/>
            <w:vAlign w:val="bottom"/>
          </w:tcPr>
          <w:p>
            <w:pPr>
              <w:spacing w:after="0" w:line="20" w:lineRule="exact"/>
              <w:rPr>
                <w:sz w:val="1"/>
                <w:szCs w:val="1"/>
                <w:color w:val="auto"/>
              </w:rPr>
            </w:pPr>
          </w:p>
        </w:tc>
        <w:tc>
          <w:tcPr>
            <w:tcW w:w="10320" w:type="dxa"/>
            <w:vAlign w:val="bottom"/>
          </w:tcPr>
          <w:p>
            <w:pPr>
              <w:ind w:left="80"/>
              <w:spacing w:after="0" w:line="80" w:lineRule="exact"/>
              <w:rPr>
                <w:sz w:val="20"/>
                <w:szCs w:val="20"/>
                <w:color w:val="auto"/>
              </w:rPr>
            </w:pPr>
            <w:r>
              <w:rPr>
                <w:rFonts w:ascii="Arial" w:cs="Arial" w:eastAsia="Arial" w:hAnsi="Arial"/>
                <w:sz w:val="9"/>
                <w:szCs w:val="9"/>
                <w:color w:val="FFFFFF"/>
              </w:rPr>
              <w:t>table presents a reconciliation of net non-casino revenues as reported in our consolidated</w:t>
            </w:r>
          </w:p>
        </w:tc>
      </w:tr>
    </w:tbl>
    <w:p>
      <w:pPr>
        <w:ind w:left="260"/>
        <w:spacing w:after="0"/>
        <w:rPr>
          <w:sz w:val="20"/>
          <w:szCs w:val="20"/>
          <w:color w:val="auto"/>
        </w:rPr>
      </w:pPr>
      <w:r>
        <w:rPr>
          <w:rFonts w:ascii="Arial" w:cs="Arial" w:eastAsia="Arial" w:hAnsi="Arial"/>
          <w:sz w:val="3"/>
          <w:szCs w:val="3"/>
          <w:color w:val="FFFFFF"/>
        </w:rPr>
        <w:t>following</w:t>
      </w:r>
    </w:p>
    <w:p>
      <w:pPr>
        <w:ind w:right="5320"/>
        <w:spacing w:after="0" w:line="209" w:lineRule="auto"/>
        <w:rPr>
          <w:sz w:val="20"/>
          <w:szCs w:val="20"/>
          <w:color w:val="auto"/>
        </w:rPr>
      </w:pPr>
      <w:r>
        <w:rPr>
          <w:rFonts w:ascii="Arial" w:cs="Arial" w:eastAsia="Arial" w:hAnsi="Arial"/>
          <w:sz w:val="9"/>
          <w:szCs w:val="9"/>
          <w:color w:val="FFFFFF"/>
        </w:rPr>
        <w:t>statement</w:t>
      </w:r>
      <w:r>
        <w:rPr>
          <w:rFonts w:ascii="Arial" w:cs="Arial" w:eastAsia="Arial" w:hAnsi="Arial"/>
          <w:sz w:val="15"/>
          <w:szCs w:val="15"/>
          <w:color w:val="FFFFFF"/>
          <w:vertAlign w:val="superscript"/>
        </w:rPr>
        <w:t>non</w:t>
      </w:r>
      <w:r>
        <w:rPr>
          <w:rFonts w:ascii="Arial" w:cs="Arial" w:eastAsia="Arial" w:hAnsi="Arial"/>
          <w:sz w:val="9"/>
          <w:szCs w:val="9"/>
          <w:color w:val="FFFFFF"/>
        </w:rPr>
        <w:t xml:space="preserve"> comprehensive income to gross non-casino revenues calculated on the adjusted basis. The adjusted -casino revenues as presented below are used for management reporting purposes and are not representative of revenues as determined under IAS 18.</w:t>
      </w:r>
    </w:p>
    <w:p>
      <w:pPr>
        <w:sectPr>
          <w:pgSz w:w="11900" w:h="16838" w:orient="portrait"/>
          <w:cols w:equalWidth="0" w:num="1">
            <w:col w:w="11060"/>
          </w:cols>
          <w:pgMar w:left="240" w:top="1440" w:right="5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13</w:t>
      </w:r>
    </w:p>
    <w:p>
      <w:pPr>
        <w:spacing w:after="0"/>
        <w:rPr>
          <w:sz w:val="20"/>
          <w:szCs w:val="20"/>
          <w:color w:val="auto"/>
        </w:rPr>
      </w:pPr>
      <w:r>
        <w:rPr>
          <w:rFonts w:ascii="Arial" w:cs="Arial" w:eastAsia="Arial" w:hAnsi="Arial"/>
          <w:sz w:val="3"/>
          <w:szCs w:val="3"/>
          <w:color w:val="FFFFFF"/>
        </w:rPr>
        <w:t>ForManagementtheyearendedDiscussion and Analysis</w:t>
      </w:r>
    </w:p>
    <w:p>
      <w:pPr>
        <w:spacing w:after="0" w:line="194" w:lineRule="auto"/>
        <w:rPr>
          <w:sz w:val="20"/>
          <w:szCs w:val="20"/>
          <w:color w:val="auto"/>
        </w:rPr>
      </w:pPr>
      <w:r>
        <w:rPr>
          <w:rFonts w:ascii="Arial" w:cs="Arial" w:eastAsia="Arial" w:hAnsi="Arial"/>
          <w:sz w:val="5"/>
          <w:szCs w:val="5"/>
          <w:color w:val="FFFFFF"/>
        </w:rPr>
        <w:t>31 December</w:t>
      </w:r>
    </w:p>
    <w:p>
      <w:pPr>
        <w:spacing w:after="0" w:line="188" w:lineRule="auto"/>
        <w:rPr>
          <w:sz w:val="20"/>
          <w:szCs w:val="20"/>
          <w:color w:val="auto"/>
        </w:rPr>
      </w:pPr>
      <w:r>
        <w:rPr>
          <w:rFonts w:ascii="Arial" w:cs="Arial" w:eastAsia="Arial" w:hAnsi="Arial"/>
          <w:sz w:val="9"/>
          <w:szCs w:val="9"/>
          <w:color w:val="FFFFFF"/>
        </w:rPr>
        <w:t>2012 2011</w:t>
      </w:r>
    </w:p>
    <w:p>
      <w:pPr>
        <w:spacing w:after="0" w:line="187" w:lineRule="auto"/>
        <w:rPr>
          <w:sz w:val="20"/>
          <w:szCs w:val="20"/>
          <w:color w:val="auto"/>
        </w:rPr>
      </w:pPr>
      <w:r>
        <w:rPr>
          <w:rFonts w:ascii="Arial" w:cs="Arial" w:eastAsia="Arial" w:hAnsi="Arial"/>
          <w:sz w:val="9"/>
          <w:szCs w:val="9"/>
          <w:color w:val="FFFFFF"/>
        </w:rPr>
        <w:t>(inHKthousands)$HK$</w:t>
      </w:r>
    </w:p>
    <w:p>
      <w:pPr>
        <w:spacing w:after="0"/>
        <w:rPr>
          <w:sz w:val="20"/>
          <w:szCs w:val="20"/>
          <w:color w:val="auto"/>
        </w:rPr>
      </w:pPr>
      <w:r>
        <w:rPr>
          <w:rFonts w:ascii="Arial" w:cs="Arial" w:eastAsia="Arial" w:hAnsi="Arial"/>
          <w:sz w:val="3"/>
          <w:szCs w:val="3"/>
          <w:color w:val="FFFFFF"/>
        </w:rPr>
        <w:t>Room revenues 143,061 140,464</w:t>
      </w:r>
    </w:p>
    <w:p>
      <w:pPr>
        <w:spacing w:after="0" w:line="181" w:lineRule="auto"/>
        <w:rPr>
          <w:sz w:val="20"/>
          <w:szCs w:val="20"/>
          <w:color w:val="auto"/>
        </w:rPr>
      </w:pPr>
      <w:r>
        <w:rPr>
          <w:rFonts w:ascii="Arial" w:cs="Arial" w:eastAsia="Arial" w:hAnsi="Arial"/>
          <w:sz w:val="10"/>
          <w:szCs w:val="10"/>
          <w:color w:val="FFFFFF"/>
        </w:rPr>
        <w:t>AdjustedPromotionalroomallowancesrevenues 769,782912,843 778,438918,902</w:t>
      </w:r>
    </w:p>
    <w:p>
      <w:pPr>
        <w:spacing w:after="0"/>
        <w:rPr>
          <w:sz w:val="20"/>
          <w:szCs w:val="20"/>
          <w:color w:val="auto"/>
        </w:rPr>
      </w:pPr>
      <w:r>
        <w:rPr>
          <w:rFonts w:ascii="Arial" w:cs="Arial" w:eastAsia="Arial" w:hAnsi="Arial"/>
          <w:sz w:val="3"/>
          <w:szCs w:val="3"/>
          <w:color w:val="FFFFFF"/>
        </w:rPr>
        <w:t>PromotionalFoodandbeverageallowancesrevenues571,096185,109536,053188,157</w:t>
      </w:r>
    </w:p>
    <w:p>
      <w:pPr>
        <w:spacing w:after="0" w:line="181" w:lineRule="auto"/>
        <w:rPr>
          <w:sz w:val="20"/>
          <w:szCs w:val="20"/>
          <w:color w:val="auto"/>
        </w:rPr>
      </w:pPr>
      <w:r>
        <w:rPr>
          <w:rFonts w:ascii="Arial" w:cs="Arial" w:eastAsia="Arial" w:hAnsi="Arial"/>
          <w:sz w:val="10"/>
          <w:szCs w:val="10"/>
          <w:color w:val="FFFFFF"/>
        </w:rPr>
        <w:t>Adjusted food and beverage revenues 756,205 724,210</w:t>
      </w:r>
    </w:p>
    <w:p>
      <w:pPr>
        <w:spacing w:after="0" w:line="213" w:lineRule="auto"/>
        <w:rPr>
          <w:sz w:val="20"/>
          <w:szCs w:val="20"/>
          <w:color w:val="auto"/>
        </w:rPr>
      </w:pPr>
      <w:r>
        <w:rPr>
          <w:rFonts w:ascii="Arial" w:cs="Arial" w:eastAsia="Arial" w:hAnsi="Arial"/>
          <w:sz w:val="2"/>
          <w:szCs w:val="2"/>
          <w:color w:val="FFFFFF"/>
        </w:rPr>
        <w:t>PromotionalRetailand</w:t>
      </w:r>
      <w:r>
        <w:rPr>
          <w:rFonts w:ascii="Arial" w:cs="Arial" w:eastAsia="Arial" w:hAnsi="Arial"/>
          <w:sz w:val="4"/>
          <w:szCs w:val="4"/>
          <w:color w:val="FFFFFF"/>
          <w:vertAlign w:val="superscript"/>
        </w:rPr>
        <w:t>retail</w:t>
      </w:r>
      <w:r>
        <w:rPr>
          <w:rFonts w:ascii="Arial" w:cs="Arial" w:eastAsia="Arial" w:hAnsi="Arial"/>
          <w:sz w:val="2"/>
          <w:szCs w:val="2"/>
          <w:color w:val="FFFFFF"/>
        </w:rPr>
        <w:t>otherlowancesrevenues51,8101,417,34237,4861,413,506</w:t>
      </w:r>
    </w:p>
    <w:p>
      <w:pPr>
        <w:spacing w:after="0"/>
        <w:tabs>
          <w:tab w:leader="none" w:pos="820" w:val="left"/>
        </w:tabs>
        <w:rPr>
          <w:sz w:val="20"/>
          <w:szCs w:val="20"/>
          <w:color w:val="auto"/>
        </w:rPr>
      </w:pPr>
      <w:r>
        <w:rPr>
          <w:rFonts w:ascii="Arial" w:cs="Arial" w:eastAsia="Arial" w:hAnsi="Arial"/>
          <w:sz w:val="3"/>
          <w:szCs w:val="3"/>
          <w:color w:val="FFFFFF"/>
        </w:rPr>
        <w:t>Adjusted</w:t>
      </w:r>
      <w:r>
        <w:rPr>
          <w:sz w:val="20"/>
          <w:szCs w:val="20"/>
          <w:color w:val="auto"/>
        </w:rPr>
        <w:tab/>
      </w:r>
      <w:r>
        <w:rPr>
          <w:rFonts w:ascii="Arial" w:cs="Arial" w:eastAsia="Arial" w:hAnsi="Arial"/>
          <w:sz w:val="3"/>
          <w:szCs w:val="3"/>
          <w:color w:val="FFFFFF"/>
        </w:rPr>
        <w:t>and other revenues 1,469,152 1,450,992</w:t>
      </w:r>
    </w:p>
    <w:p>
      <w:pPr>
        <w:spacing w:after="0" w:line="6" w:lineRule="exact"/>
        <w:rPr>
          <w:sz w:val="20"/>
          <w:szCs w:val="20"/>
          <w:color w:val="auto"/>
        </w:rPr>
      </w:pPr>
    </w:p>
    <w:p>
      <w:pPr>
        <w:ind w:left="200" w:right="180" w:hanging="190"/>
        <w:spacing w:after="0"/>
        <w:rPr>
          <w:sz w:val="20"/>
          <w:szCs w:val="20"/>
          <w:color w:val="auto"/>
        </w:rPr>
      </w:pPr>
      <w:r>
        <w:rPr>
          <w:rFonts w:ascii="Arial" w:cs="Arial" w:eastAsia="Arial" w:hAnsi="Arial"/>
          <w:sz w:val="7"/>
          <w:szCs w:val="7"/>
          <w:color w:val="FFFFFF"/>
          <w:vertAlign w:val="superscript"/>
        </w:rPr>
        <w:t>(4)</w:t>
      </w:r>
      <w:r>
        <w:rPr>
          <w:rFonts w:ascii="Arial" w:cs="Arial" w:eastAsia="Arial" w:hAnsi="Arial"/>
          <w:sz w:val="6"/>
          <w:szCs w:val="6"/>
          <w:color w:val="FFFFFF"/>
        </w:rPr>
        <w:t>3) For purposes of this table, we calculate average number of gaming tables and average number of slots as the average number of gaming tables and slot machines in service on each day in the year. Daily gross win per gaming table and daily win per slot are presented in this table on the basis of the average number of gaming tables and average number of slots, respectively</w:t>
      </w:r>
      <w:r>
        <w:rPr>
          <w:rFonts w:ascii="Arial" w:cs="Arial" w:eastAsia="Arial" w:hAnsi="Arial"/>
          <w:sz w:val="7"/>
          <w:szCs w:val="7"/>
          <w:color w:val="FFFFFF"/>
          <w:vertAlign w:val="subscript"/>
        </w:rPr>
        <w:t>statements,</w:t>
      </w:r>
      <w:r>
        <w:rPr>
          <w:rFonts w:ascii="Arial" w:cs="Arial" w:eastAsia="Arial" w:hAnsi="Arial"/>
          <w:sz w:val="6"/>
          <w:szCs w:val="6"/>
          <w:color w:val="FFFFFF"/>
        </w:rPr>
        <w:t>overthe number of days</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7"/>
          <w:szCs w:val="7"/>
          <w:color w:val="FFFFFF"/>
        </w:rPr>
        <w:t>Wynn Macau and Encore were open in the applicable year. In addition, the total table games win ? gures used herein do not correspond to casino revenues ? gures in our ? nancial because ? gures in our ? nancial statements are calculated net of commissions and discounts and the total table games win herein is calculated before commissions and discounts.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Discussion of Results of Operations</w:t>
      </w:r>
    </w:p>
    <w:p>
      <w:pPr>
        <w:spacing w:after="0" w:line="6" w:lineRule="exact"/>
        <w:rPr>
          <w:sz w:val="20"/>
          <w:szCs w:val="20"/>
          <w:color w:val="auto"/>
        </w:rPr>
      </w:pPr>
    </w:p>
    <w:p>
      <w:pPr>
        <w:ind w:left="580" w:right="4660" w:hanging="573"/>
        <w:spacing w:after="0" w:line="187" w:lineRule="auto"/>
        <w:rPr>
          <w:sz w:val="20"/>
          <w:szCs w:val="20"/>
          <w:color w:val="auto"/>
        </w:rPr>
      </w:pPr>
      <w:r>
        <w:rPr>
          <w:rFonts w:ascii="Arial" w:cs="Arial" w:eastAsia="Arial" w:hAnsi="Arial"/>
          <w:sz w:val="9"/>
          <w:szCs w:val="9"/>
          <w:color w:val="FFFFFF"/>
          <w:vertAlign w:val="subscript"/>
        </w:rPr>
        <w:t>Operating</w:t>
      </w:r>
      <w:r>
        <w:rPr>
          <w:rFonts w:ascii="Arial" w:cs="Arial" w:eastAsia="Arial" w:hAnsi="Arial"/>
          <w:sz w:val="7"/>
          <w:szCs w:val="7"/>
          <w:color w:val="FFFFFF"/>
        </w:rPr>
        <w:t>Financalresults for the year ended 31 December 2012 compared to ? nancial results for the year ended 31 December 2011 Revenues</w:t>
      </w:r>
    </w:p>
    <w:p>
      <w:pPr>
        <w:spacing w:after="0" w:line="190" w:lineRule="auto"/>
        <w:rPr>
          <w:sz w:val="20"/>
          <w:szCs w:val="20"/>
          <w:color w:val="auto"/>
        </w:rPr>
      </w:pPr>
      <w:r>
        <w:rPr>
          <w:rFonts w:ascii="Arial" w:cs="Arial" w:eastAsia="Arial" w:hAnsi="Arial"/>
          <w:sz w:val="11"/>
          <w:szCs w:val="11"/>
          <w:color w:val="FFFFFF"/>
        </w:rPr>
        <w:t>Total operating revenues decreased by 3.5% from HK$29.5 billion in 2011 to HK$28.5 billion in 2012. This decrease was primarily due to lower overall gaming volumes and a lower win percentage in our VIP casino during 2012 compared to 2011.</w:t>
      </w:r>
    </w:p>
    <w:p>
      <w:pPr>
        <w:sectPr>
          <w:pgSz w:w="11900" w:h="16838" w:orient="portrait"/>
          <w:cols w:equalWidth="0" w:num="1">
            <w:col w:w="11300"/>
          </w:cols>
          <w:pgMar w:left="240" w:top="1440" w:right="3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spacing w:after="0"/>
              <w:rPr>
                <w:sz w:val="20"/>
                <w:szCs w:val="20"/>
                <w:color w:val="auto"/>
              </w:rPr>
            </w:pPr>
            <w:r>
              <w:rPr>
                <w:rFonts w:ascii="Arial" w:cs="Arial" w:eastAsia="Arial" w:hAnsi="Arial"/>
                <w:sz w:val="14"/>
                <w:szCs w:val="14"/>
                <w:color w:val="FFFFFF"/>
                <w:w w:val="98"/>
              </w:rPr>
              <w:t>14 Wynn Macau, Limited</w:t>
            </w:r>
          </w:p>
        </w:tc>
        <w:tc>
          <w:tcPr>
            <w:tcW w:w="19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60" w:type="dxa"/>
            <w:vAlign w:val="bottom"/>
            <w:gridSpan w:val="3"/>
          </w:tcPr>
          <w:p>
            <w:pPr>
              <w:spacing w:after="0"/>
              <w:rPr>
                <w:sz w:val="20"/>
                <w:szCs w:val="20"/>
                <w:color w:val="auto"/>
              </w:rPr>
            </w:pPr>
            <w:r>
              <w:rPr>
                <w:rFonts w:ascii="Arial" w:cs="Arial" w:eastAsia="Arial" w:hAnsi="Arial"/>
                <w:sz w:val="3"/>
                <w:szCs w:val="3"/>
                <w:color w:val="FFFFFF"/>
              </w:rPr>
              <w:t>Management Discussion and Analysis</w:t>
            </w:r>
          </w:p>
        </w:tc>
        <w:tc>
          <w:tcPr>
            <w:tcW w:w="7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tcPr>
          <w:p>
            <w:pPr>
              <w:ind w:left="420"/>
              <w:spacing w:after="0"/>
              <w:rPr>
                <w:sz w:val="20"/>
                <w:szCs w:val="20"/>
                <w:color w:val="auto"/>
              </w:rPr>
            </w:pPr>
            <w:r>
              <w:rPr>
                <w:rFonts w:ascii="Arial" w:cs="Arial" w:eastAsia="Arial" w:hAnsi="Arial"/>
                <w:sz w:val="3"/>
                <w:szCs w:val="3"/>
                <w:color w:val="FFFFFF"/>
              </w:rPr>
              <w:t>Revenues</w:t>
            </w:r>
          </w:p>
        </w:tc>
        <w:tc>
          <w:tcPr>
            <w:tcW w:w="4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Casino revenues decreased by 3.8%, from HK$27.8 billion (94.1% of total operating revenues) in 2011 to HK$26.7 billion (93.9% of total operating revenues) in 2012. The components and reasons are as</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follows:</w:t>
            </w:r>
          </w:p>
        </w:tc>
        <w:tc>
          <w:tcPr>
            <w:tcW w:w="4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880" w:type="dxa"/>
            <w:vAlign w:val="bottom"/>
            <w:vMerge w:val="restart"/>
          </w:tcPr>
          <w:p>
            <w:pPr>
              <w:ind w:left="300"/>
              <w:spacing w:after="0" w:line="81" w:lineRule="exact"/>
              <w:rPr>
                <w:sz w:val="20"/>
                <w:szCs w:val="20"/>
                <w:color w:val="auto"/>
              </w:rPr>
            </w:pPr>
            <w:r>
              <w:rPr>
                <w:rFonts w:ascii="Arial" w:cs="Arial" w:eastAsia="Arial" w:hAnsi="Arial"/>
                <w:sz w:val="9"/>
                <w:szCs w:val="9"/>
                <w:color w:val="FFFFFF"/>
              </w:rPr>
              <w:t>by 6.3%, from HK$28.1 billion in 2011 to HK$26.3 billion in 2012. VIP table games turnover decreased by 3.5%, from HK$958.4 billion in</w:t>
            </w:r>
          </w:p>
        </w:tc>
        <w:tc>
          <w:tcPr>
            <w:tcW w:w="0" w:type="dxa"/>
            <w:vAlign w:val="bottom"/>
          </w:tcPr>
          <w:p>
            <w:pPr>
              <w:spacing w:after="0"/>
              <w:rPr>
                <w:sz w:val="1"/>
                <w:szCs w:val="1"/>
                <w:color w:val="auto"/>
              </w:rPr>
            </w:pPr>
          </w:p>
        </w:tc>
      </w:tr>
      <w:tr>
        <w:trPr>
          <w:trHeight w:val="41"/>
        </w:trPr>
        <w:tc>
          <w:tcPr>
            <w:tcW w:w="3460" w:type="dxa"/>
            <w:vAlign w:val="bottom"/>
            <w:gridSpan w:val="3"/>
          </w:tcPr>
          <w:p>
            <w:pPr>
              <w:spacing w:after="0"/>
              <w:rPr>
                <w:sz w:val="20"/>
                <w:szCs w:val="20"/>
                <w:color w:val="auto"/>
              </w:rPr>
            </w:pPr>
            <w:r>
              <w:rPr>
                <w:rFonts w:ascii="Arial" w:cs="Arial" w:eastAsia="Arial" w:hAnsi="Arial"/>
                <w:sz w:val="3"/>
                <w:szCs w:val="3"/>
                <w:color w:val="FFFFFF"/>
              </w:rPr>
              <w:t>VIP casino gaming operations. VIP gross table games win</w:t>
            </w:r>
          </w:p>
        </w:tc>
        <w:tc>
          <w:tcPr>
            <w:tcW w:w="7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2011 to HK$925.2 billion in</w:t>
            </w:r>
          </w:p>
        </w:tc>
        <w:tc>
          <w:tcPr>
            <w:tcW w:w="9800" w:type="dxa"/>
            <w:vAlign w:val="bottom"/>
            <w:gridSpan w:val="2"/>
          </w:tcPr>
          <w:p>
            <w:pPr>
              <w:ind w:left="300"/>
              <w:spacing w:after="0"/>
              <w:rPr>
                <w:sz w:val="20"/>
                <w:szCs w:val="20"/>
                <w:color w:val="auto"/>
              </w:rPr>
            </w:pPr>
            <w:r>
              <w:rPr>
                <w:rFonts w:ascii="Arial" w:cs="Arial" w:eastAsia="Arial" w:hAnsi="Arial"/>
                <w:sz w:val="3"/>
                <w:szCs w:val="3"/>
                <w:color w:val="FFFFFF"/>
              </w:rPr>
              <w:t>. VIP gross table games windecreasedpercentage of turnover (calculated before discounts and commissions) decreased from 2.93% in 2011 to 2.84% in 2012 (win percentages are</w:t>
            </w:r>
          </w:p>
        </w:tc>
        <w:tc>
          <w:tcPr>
            <w:tcW w:w="0" w:type="dxa"/>
            <w:vAlign w:val="bottom"/>
          </w:tcPr>
          <w:p>
            <w:pPr>
              <w:spacing w:after="0"/>
              <w:rPr>
                <w:sz w:val="1"/>
                <w:szCs w:val="1"/>
                <w:color w:val="auto"/>
              </w:rPr>
            </w:pPr>
          </w:p>
        </w:tc>
      </w:tr>
      <w:tr>
        <w:trPr>
          <w:trHeight w:val="41"/>
        </w:trPr>
        <w:tc>
          <w:tcPr>
            <w:tcW w:w="3460" w:type="dxa"/>
            <w:vAlign w:val="bottom"/>
            <w:gridSpan w:val="3"/>
          </w:tcPr>
          <w:p>
            <w:pPr>
              <w:spacing w:after="0"/>
              <w:rPr>
                <w:sz w:val="20"/>
                <w:szCs w:val="20"/>
                <w:color w:val="auto"/>
              </w:rPr>
            </w:pPr>
            <w:r>
              <w:rPr>
                <w:rFonts w:ascii="Arial" w:cs="Arial" w:eastAsia="Arial" w:hAnsi="Arial"/>
                <w:sz w:val="3"/>
                <w:szCs w:val="3"/>
                <w:color w:val="FFFFFF"/>
              </w:rPr>
              <w:t>within the expected range of 2012.7% to 3.0%).</w:t>
            </w:r>
          </w:p>
        </w:tc>
        <w:tc>
          <w:tcPr>
            <w:tcW w:w="7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Mass market casino</w:t>
            </w:r>
          </w:p>
        </w:tc>
        <w:tc>
          <w:tcPr>
            <w:tcW w:w="400" w:type="dxa"/>
            <w:vAlign w:val="bottom"/>
          </w:tcPr>
          <w:p>
            <w:pPr>
              <w:spacing w:after="0"/>
              <w:rPr>
                <w:sz w:val="3"/>
                <w:szCs w:val="3"/>
                <w:color w:val="auto"/>
              </w:rPr>
            </w:pPr>
          </w:p>
        </w:tc>
        <w:tc>
          <w:tcPr>
            <w:tcW w:w="9800" w:type="dxa"/>
            <w:vAlign w:val="bottom"/>
            <w:gridSpan w:val="2"/>
          </w:tcPr>
          <w:p>
            <w:pPr>
              <w:ind w:left="20"/>
              <w:spacing w:after="0"/>
              <w:rPr>
                <w:sz w:val="20"/>
                <w:szCs w:val="20"/>
                <w:color w:val="auto"/>
              </w:rPr>
            </w:pPr>
            <w:r>
              <w:rPr>
                <w:rFonts w:ascii="Arial" w:cs="Arial" w:eastAsia="Arial" w:hAnsi="Arial"/>
                <w:sz w:val="3"/>
                <w:szCs w:val="3"/>
                <w:color w:val="FFFFFF"/>
              </w:rPr>
              <w:t>operations. Mass market gross table games win increased by 6.6%, from HK$6.1 billion in 2011 to HK$6.5 billion in 2012. Mass market table games drop remained essentially fl at</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from HK$21.6 billiongaming2011 to HK$21.4 billion in 2012. The mass market gross table games win percentage (calculated before discounts) was 28.4% in 2011 compared to 30.5% in 2012, which was higher</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than the expected win percentage range of 28.0% to 30.0%. We have increased our expected mass market range to 28.0% to 30.0% based on our experience since the opening of Encore.</w:t>
            </w:r>
          </w:p>
        </w:tc>
        <w:tc>
          <w:tcPr>
            <w:tcW w:w="0" w:type="dxa"/>
            <w:vAlign w:val="bottom"/>
          </w:tcPr>
          <w:p>
            <w:pPr>
              <w:spacing w:after="0"/>
              <w:rPr>
                <w:sz w:val="1"/>
                <w:szCs w:val="1"/>
                <w:color w:val="auto"/>
              </w:rPr>
            </w:pPr>
          </w:p>
        </w:tc>
      </w:tr>
      <w:tr>
        <w:trPr>
          <w:trHeight w:val="0"/>
        </w:trPr>
        <w:tc>
          <w:tcPr>
            <w:tcW w:w="1140" w:type="dxa"/>
            <w:vAlign w:val="bottom"/>
          </w:tcPr>
          <w:p>
            <w:pPr>
              <w:spacing w:after="0" w:line="80" w:lineRule="exact"/>
              <w:rPr>
                <w:sz w:val="20"/>
                <w:szCs w:val="20"/>
                <w:color w:val="auto"/>
              </w:rPr>
            </w:pPr>
            <w:r>
              <w:rPr>
                <w:rFonts w:ascii="Arial" w:cs="Arial" w:eastAsia="Arial" w:hAnsi="Arial"/>
                <w:sz w:val="9"/>
                <w:szCs w:val="9"/>
                <w:color w:val="FFFFFF"/>
              </w:rPr>
              <w:t>Slot machine</w:t>
            </w:r>
          </w:p>
        </w:tc>
        <w:tc>
          <w:tcPr>
            <w:tcW w:w="10200" w:type="dxa"/>
            <w:vAlign w:val="bottom"/>
            <w:gridSpan w:val="3"/>
          </w:tcPr>
          <w:p>
            <w:pPr>
              <w:ind w:left="40"/>
              <w:spacing w:after="0" w:line="80" w:lineRule="exact"/>
              <w:rPr>
                <w:sz w:val="20"/>
                <w:szCs w:val="20"/>
                <w:color w:val="auto"/>
              </w:rPr>
            </w:pPr>
            <w:r>
              <w:rPr>
                <w:rFonts w:ascii="Arial" w:cs="Arial" w:eastAsia="Arial" w:hAnsi="Arial"/>
                <w:sz w:val="9"/>
                <w:szCs w:val="9"/>
                <w:color w:val="FFFFFF"/>
              </w:rPr>
              <w:t>operations. Slot machine win decreased by 11.2% from HK$2.2 billion in 201  to HK$1.9 billion in 2012. Slot machine handle decreased by 13.3%, from HK$42.0 billion in 2011 to</w:t>
            </w:r>
          </w:p>
        </w:tc>
        <w:tc>
          <w:tcPr>
            <w:tcW w:w="0" w:type="dxa"/>
            <w:vAlign w:val="bottom"/>
          </w:tcPr>
          <w:p>
            <w:pPr>
              <w:spacing w:after="0" w:line="20" w:lineRule="exact"/>
              <w:rPr>
                <w:sz w:val="1"/>
                <w:szCs w:val="1"/>
                <w:color w:val="auto"/>
              </w:rPr>
            </w:pPr>
          </w:p>
        </w:tc>
      </w:tr>
    </w:tbl>
    <w:p>
      <w:pPr>
        <w:ind w:right="340"/>
        <w:spacing w:after="0" w:line="391" w:lineRule="auto"/>
        <w:rPr>
          <w:sz w:val="20"/>
          <w:szCs w:val="20"/>
          <w:color w:val="auto"/>
        </w:rPr>
      </w:pPr>
      <w:r>
        <w:rPr>
          <w:rFonts w:ascii="Arial" w:cs="Arial" w:eastAsia="Arial" w:hAnsi="Arial"/>
          <w:sz w:val="14"/>
          <w:szCs w:val="14"/>
          <w:color w:val="FFFFFF"/>
        </w:rPr>
        <w:t>HK$36.4 billiongaming2012. Slot machine win per unit per day decreased by 5.9% from HK$5,916 in 2011 to HK$5,567 in 2012. Slot machine win, slot machine handle and slot machine win per unit per day decreased primarily due to increased competition in the premium slot segment.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FFFFFF"/>
        </w:rPr>
        <w:t>Net</w:t>
      </w:r>
    </w:p>
    <w:p>
      <w:pPr>
        <w:ind w:firstLine="229"/>
        <w:spacing w:after="0" w:line="187" w:lineRule="auto"/>
        <w:rPr>
          <w:sz w:val="20"/>
          <w:szCs w:val="20"/>
          <w:color w:val="auto"/>
        </w:rPr>
      </w:pPr>
      <w:r>
        <w:rPr>
          <w:rFonts w:ascii="Arial" w:cs="Arial" w:eastAsia="Arial" w:hAnsi="Arial"/>
          <w:sz w:val="7"/>
          <w:szCs w:val="7"/>
          <w:color w:val="FFFFFF"/>
        </w:rPr>
        <w:t>non-casino revenues, which include room, food and beverage and retail revenues, remained essentially ? at from HK$1,742.1 million (5.9% of total operating revenues) in 2011 to HK$1,745.5 million (6.1% of total ope</w:t>
      </w:r>
      <w:r>
        <w:rPr>
          <w:rFonts w:ascii="Arial" w:cs="Arial" w:eastAsia="Arial" w:hAnsi="Arial"/>
          <w:sz w:val="9"/>
          <w:szCs w:val="9"/>
          <w:color w:val="FFFFFF"/>
          <w:vertAlign w:val="superscript"/>
        </w:rPr>
        <w:t>Our</w:t>
      </w:r>
      <w:r>
        <w:rPr>
          <w:rFonts w:ascii="Arial" w:cs="Arial" w:eastAsia="Arial" w:hAnsi="Arial"/>
          <w:sz w:val="7"/>
          <w:szCs w:val="7"/>
          <w:color w:val="FFFFFF"/>
        </w:rPr>
        <w:t>ating revenues) in 2012.</w:t>
      </w:r>
    </w:p>
    <w:p>
      <w:pPr>
        <w:spacing w:after="0"/>
        <w:tabs>
          <w:tab w:leader="none" w:pos="680" w:val="left"/>
        </w:tabs>
        <w:rPr>
          <w:sz w:val="20"/>
          <w:szCs w:val="20"/>
          <w:color w:val="auto"/>
        </w:rPr>
      </w:pPr>
      <w:r>
        <w:rPr>
          <w:rFonts w:ascii="Arial" w:cs="Arial" w:eastAsia="Arial" w:hAnsi="Arial"/>
          <w:sz w:val="12"/>
          <w:szCs w:val="12"/>
          <w:color w:val="FFFFFF"/>
        </w:rPr>
        <w:t>Rooms.</w:t>
      </w:r>
      <w:r>
        <w:rPr>
          <w:sz w:val="20"/>
          <w:szCs w:val="20"/>
          <w:color w:val="auto"/>
        </w:rPr>
        <w:tab/>
      </w:r>
      <w:r>
        <w:rPr>
          <w:rFonts w:ascii="Arial" w:cs="Arial" w:eastAsia="Arial" w:hAnsi="Arial"/>
          <w:sz w:val="12"/>
          <w:szCs w:val="12"/>
          <w:color w:val="FFFFFF"/>
        </w:rPr>
        <w:t>room revenues, which exclude promotional allowances in our consolidated statement of comprehensive income, increased by 1.8% from HK$140.5 million in 2011 to HK$143.1 million in 2012.</w:t>
      </w:r>
    </w:p>
    <w:p>
      <w:pPr>
        <w:sectPr>
          <w:pgSz w:w="11900" w:h="16838" w:orient="portrait"/>
          <w:cols w:equalWidth="0" w:num="1">
            <w:col w:w="11380"/>
          </w:cols>
          <w:pgMar w:left="240" w:top="1440" w:right="27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color w:val="FFFFFF"/>
              </w:rPr>
              <w:t>Annual Report 2012 15</w:t>
            </w:r>
          </w:p>
        </w:tc>
        <w:tc>
          <w:tcPr>
            <w:tcW w:w="4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720" w:type="dxa"/>
            <w:vAlign w:val="bottom"/>
            <w:gridSpan w:val="2"/>
          </w:tcPr>
          <w:p>
            <w:pPr>
              <w:ind w:left="740"/>
              <w:spacing w:after="0"/>
              <w:rPr>
                <w:sz w:val="20"/>
                <w:szCs w:val="20"/>
                <w:color w:val="auto"/>
              </w:rPr>
            </w:pPr>
            <w:r>
              <w:rPr>
                <w:rFonts w:ascii="Arial" w:cs="Arial" w:eastAsia="Arial" w:hAnsi="Arial"/>
                <w:sz w:val="3"/>
                <w:szCs w:val="3"/>
                <w:color w:val="FFFFFF"/>
              </w:rPr>
              <w:t>Discussion and Analysis</w:t>
            </w:r>
          </w:p>
        </w:tc>
        <w:tc>
          <w:tcPr>
            <w:tcW w:w="4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Management also evaluates room revenues on an adjusted basis which include promotional allowances. Adjusted room revenues including promotional allowances remained essentially fl at from HK$918.9</w:t>
            </w:r>
          </w:p>
        </w:tc>
        <w:tc>
          <w:tcPr>
            <w:tcW w:w="0" w:type="dxa"/>
            <w:vAlign w:val="bottom"/>
          </w:tcPr>
          <w:p>
            <w:pPr>
              <w:spacing w:after="0"/>
              <w:rPr>
                <w:sz w:val="1"/>
                <w:szCs w:val="1"/>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million   2011 to HK$912.8 million in 2012.</w:t>
            </w:r>
          </w:p>
        </w:tc>
        <w:tc>
          <w:tcPr>
            <w:tcW w:w="4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20" w:type="dxa"/>
            <w:vAlign w:val="bottom"/>
            <w:gridSpan w:val="3"/>
          </w:tcPr>
          <w:p>
            <w:pPr>
              <w:spacing w:after="0"/>
              <w:rPr>
                <w:sz w:val="20"/>
                <w:szCs w:val="20"/>
                <w:color w:val="auto"/>
              </w:rPr>
            </w:pPr>
            <w:r>
              <w:rPr>
                <w:rFonts w:ascii="Arial" w:cs="Arial" w:eastAsia="Arial" w:hAnsi="Arial"/>
                <w:sz w:val="3"/>
                <w:szCs w:val="3"/>
                <w:color w:val="FFFFFF"/>
              </w:rPr>
              <w:t>The following table presents additional information about our adjusted room revenues (which include promotional allowances):</w:t>
            </w: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Adjusted room revenues information</w:t>
            </w:r>
          </w:p>
        </w:tc>
        <w:tc>
          <w:tcPr>
            <w:tcW w:w="4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For the year ended</w:t>
            </w:r>
          </w:p>
        </w:tc>
        <w:tc>
          <w:tcPr>
            <w:tcW w:w="424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31 December</w:t>
            </w:r>
          </w:p>
        </w:tc>
        <w:tc>
          <w:tcPr>
            <w:tcW w:w="424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2012 2011</w:t>
            </w:r>
          </w:p>
        </w:tc>
        <w:tc>
          <w:tcPr>
            <w:tcW w:w="424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Adjusted Average Daily Rate (includes promotional allowances</w:t>
            </w:r>
          </w:p>
        </w:tc>
        <w:tc>
          <w:tcPr>
            <w:tcW w:w="4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of HK$2,071 in 2012 and HK$2,084 in 2011) HK$2,447 HK$2,450</w:t>
            </w:r>
          </w:p>
        </w:tc>
        <w:tc>
          <w:tcPr>
            <w:tcW w:w="4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Occupancy 93.0% 91.8%</w:t>
            </w:r>
          </w:p>
        </w:tc>
        <w:tc>
          <w:tcPr>
            <w:tcW w:w="424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Adjusted REVPAR (includes promotional allowances</w:t>
            </w:r>
          </w:p>
        </w:tc>
        <w:tc>
          <w:tcPr>
            <w:tcW w:w="4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of HK$1,925 in 2012 and HK$1,913 in 2011) HK$2,275 HK$2,249</w:t>
            </w:r>
          </w:p>
        </w:tc>
        <w:tc>
          <w:tcPr>
            <w:tcW w:w="4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Food and beverage. Food and beverage revenues, which exclude promotional allowances in our consolidated statement of comprehensive income, totaled HK$185.1 million in 2012, a 1.6% decrease from 2011</w:t>
            </w:r>
          </w:p>
        </w:tc>
        <w:tc>
          <w:tcPr>
            <w:tcW w:w="0" w:type="dxa"/>
            <w:vAlign w:val="bottom"/>
          </w:tcPr>
          <w:p>
            <w:pPr>
              <w:spacing w:after="0"/>
              <w:rPr>
                <w:sz w:val="1"/>
                <w:szCs w:val="1"/>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revenues of HK$188.2 million. The decrease refl ects lower business volumes.</w:t>
            </w:r>
          </w:p>
        </w:tc>
        <w:tc>
          <w:tcPr>
            <w:tcW w:w="4100" w:type="dxa"/>
            <w:vAlign w:val="bottom"/>
            <w:vMerge w:val="restart"/>
          </w:tcPr>
          <w:p>
            <w:pPr>
              <w:ind w:left="320"/>
              <w:spacing w:after="0" w:line="81" w:lineRule="exact"/>
              <w:rPr>
                <w:sz w:val="20"/>
                <w:szCs w:val="20"/>
                <w:color w:val="auto"/>
              </w:rPr>
            </w:pPr>
            <w:r>
              <w:rPr>
                <w:rFonts w:ascii="Arial" w:cs="Arial" w:eastAsia="Arial" w:hAnsi="Arial"/>
                <w:sz w:val="9"/>
                <w:szCs w:val="9"/>
                <w:color w:val="FFFFFF"/>
              </w:rPr>
              <w:t>. Food and beverage revenues in 2012 adjusted to include these</w:t>
            </w:r>
          </w:p>
        </w:tc>
        <w:tc>
          <w:tcPr>
            <w:tcW w:w="1580" w:type="dxa"/>
            <w:vAlign w:val="bottom"/>
            <w:vMerge w:val="restart"/>
          </w:tcPr>
          <w:p>
            <w:pPr>
              <w:ind w:left="360"/>
              <w:spacing w:after="0" w:line="81" w:lineRule="exact"/>
              <w:rPr>
                <w:sz w:val="20"/>
                <w:szCs w:val="20"/>
                <w:color w:val="auto"/>
              </w:rPr>
            </w:pPr>
            <w:r>
              <w:rPr>
                <w:rFonts w:ascii="Arial" w:cs="Arial" w:eastAsia="Arial" w:hAnsi="Arial"/>
                <w:sz w:val="9"/>
                <w:szCs w:val="9"/>
                <w:color w:val="FFFFFF"/>
              </w:rPr>
              <w:t>allowances were</w:t>
            </w: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Management also</w:t>
            </w:r>
          </w:p>
        </w:tc>
        <w:tc>
          <w:tcPr>
            <w:tcW w:w="4240" w:type="dxa"/>
            <w:vAlign w:val="bottom"/>
          </w:tcPr>
          <w:p>
            <w:pPr>
              <w:ind w:left="60"/>
              <w:spacing w:after="0"/>
              <w:rPr>
                <w:sz w:val="20"/>
                <w:szCs w:val="20"/>
                <w:color w:val="auto"/>
              </w:rPr>
            </w:pPr>
            <w:r>
              <w:rPr>
                <w:rFonts w:ascii="Arial" w:cs="Arial" w:eastAsia="Arial" w:hAnsi="Arial"/>
                <w:sz w:val="3"/>
                <w:szCs w:val="3"/>
                <w:color w:val="FFFFFF"/>
              </w:rPr>
              <w:t>food and beverage revenues on an adjusted basis including promotional</w:t>
            </w:r>
          </w:p>
        </w:tc>
        <w:tc>
          <w:tcPr>
            <w:tcW w:w="410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HK$756.2 million,evaluates4.4%increase from 2011 adjusted revenues of HK$724.2 million. The increase allowancesisdueto higher portion of our food and beverage services being providedpromotionalcomplimentary basis in 2012</w:t>
            </w:r>
          </w:p>
        </w:tc>
        <w:tc>
          <w:tcPr>
            <w:tcW w:w="0" w:type="dxa"/>
            <w:vAlign w:val="bottom"/>
          </w:tcPr>
          <w:p>
            <w:pPr>
              <w:spacing w:after="0"/>
              <w:rPr>
                <w:sz w:val="1"/>
                <w:szCs w:val="1"/>
                <w:color w:val="auto"/>
              </w:rPr>
            </w:pPr>
          </w:p>
        </w:tc>
      </w:tr>
      <w:tr>
        <w:trPr>
          <w:trHeight w:val="0"/>
        </w:trPr>
        <w:tc>
          <w:tcPr>
            <w:tcW w:w="1480" w:type="dxa"/>
            <w:vAlign w:val="bottom"/>
          </w:tcPr>
          <w:p>
            <w:pPr>
              <w:spacing w:after="0" w:line="80" w:lineRule="exact"/>
              <w:rPr>
                <w:sz w:val="20"/>
                <w:szCs w:val="20"/>
                <w:color w:val="auto"/>
              </w:rPr>
            </w:pPr>
            <w:r>
              <w:rPr>
                <w:rFonts w:ascii="Arial" w:cs="Arial" w:eastAsia="Arial" w:hAnsi="Arial"/>
                <w:sz w:val="9"/>
                <w:szCs w:val="9"/>
                <w:color w:val="FFFFFF"/>
              </w:rPr>
              <w:t>compared to 2011 to meet</w:t>
            </w:r>
          </w:p>
        </w:tc>
        <w:tc>
          <w:tcPr>
            <w:tcW w:w="4240" w:type="dxa"/>
            <w:vAlign w:val="bottom"/>
          </w:tcPr>
          <w:p>
            <w:pPr>
              <w:ind w:left="420"/>
              <w:spacing w:after="0" w:line="80" w:lineRule="exact"/>
              <w:rPr>
                <w:sz w:val="20"/>
                <w:szCs w:val="20"/>
                <w:color w:val="auto"/>
              </w:rPr>
            </w:pPr>
            <w:r>
              <w:rPr>
                <w:rFonts w:ascii="Arial" w:cs="Arial" w:eastAsia="Arial" w:hAnsi="Arial"/>
                <w:sz w:val="9"/>
                <w:szCs w:val="9"/>
                <w:color w:val="FFFFFF"/>
              </w:rPr>
              <w:t>from our VIP clients and high limit mass market customers.</w:t>
            </w:r>
          </w:p>
        </w:tc>
        <w:tc>
          <w:tcPr>
            <w:tcW w:w="4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60"/>
        <w:spacing w:after="0"/>
        <w:rPr>
          <w:sz w:val="20"/>
          <w:szCs w:val="20"/>
          <w:color w:val="auto"/>
        </w:rPr>
      </w:pPr>
      <w:r>
        <w:rPr>
          <w:rFonts w:ascii="Arial" w:cs="Arial" w:eastAsia="Arial" w:hAnsi="Arial"/>
          <w:sz w:val="10"/>
          <w:szCs w:val="10"/>
          <w:color w:val="FFFFFF"/>
        </w:rPr>
        <w:t>Retail and other. Our retaildemandother revenues, which exclude promotional allowances in our consolidated statement of comprehensive income, remained essentially ? at from HK$1,413.5 million in 2011 to HK$1,417.3 million in 2012.</w:t>
      </w:r>
    </w:p>
    <w:p>
      <w:pPr>
        <w:sectPr>
          <w:pgSz w:w="11900" w:h="16838" w:orient="portrait"/>
          <w:cols w:equalWidth="0" w:num="1">
            <w:col w:w="11400"/>
          </w:cols>
          <w:pgMar w:left="240" w:top="1440" w:right="2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20"/>
                <w:szCs w:val="20"/>
                <w:color w:val="auto"/>
              </w:rPr>
            </w:pPr>
            <w:r>
              <w:rPr>
                <w:rFonts w:ascii="Arial" w:cs="Arial" w:eastAsia="Arial" w:hAnsi="Arial"/>
                <w:sz w:val="14"/>
                <w:szCs w:val="14"/>
                <w:color w:val="FFFFFF"/>
              </w:rPr>
              <w:t>16 Wynn Macau, Limited</w:t>
            </w:r>
          </w:p>
        </w:tc>
        <w:tc>
          <w:tcPr>
            <w:tcW w:w="2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80" w:type="dxa"/>
            <w:vAlign w:val="bottom"/>
          </w:tcPr>
          <w:p>
            <w:pPr>
              <w:ind w:left="740"/>
              <w:spacing w:after="0"/>
              <w:rPr>
                <w:sz w:val="20"/>
                <w:szCs w:val="20"/>
                <w:color w:val="auto"/>
              </w:rPr>
            </w:pPr>
            <w:r>
              <w:rPr>
                <w:rFonts w:ascii="Arial" w:cs="Arial" w:eastAsia="Arial" w:hAnsi="Arial"/>
                <w:sz w:val="3"/>
                <w:szCs w:val="3"/>
                <w:color w:val="FFFFFF"/>
              </w:rPr>
              <w:t>Discussion and Analysis</w:t>
            </w:r>
          </w:p>
        </w:tc>
        <w:tc>
          <w:tcPr>
            <w:tcW w:w="2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Management also evaluates retail and other revenues on an adjusted basis which includes promotional allowances. Adjusted retail and other revenues including promotional allowances increased by 1.3% from</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HK$1,451.0 million in 2011 to HK$1,469.2 million in 2012. The increase is due to a higher amount of complimentary goods and services provided to VIP clients and high limit mass market customers.</w:t>
            </w: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Operating Costs and Expenses</w:t>
            </w:r>
          </w:p>
        </w:tc>
        <w:tc>
          <w:tcPr>
            <w:tcW w:w="6420" w:type="dxa"/>
            <w:vAlign w:val="bottom"/>
            <w:gridSpan w:val="3"/>
            <w:vMerge w:val="restart"/>
          </w:tcPr>
          <w:p>
            <w:pPr>
              <w:ind w:left="20"/>
              <w:spacing w:after="0" w:line="81" w:lineRule="exact"/>
              <w:rPr>
                <w:sz w:val="20"/>
                <w:szCs w:val="20"/>
                <w:color w:val="auto"/>
              </w:rPr>
            </w:pPr>
            <w:r>
              <w:rPr>
                <w:rFonts w:ascii="Arial" w:cs="Arial" w:eastAsia="Arial" w:hAnsi="Arial"/>
                <w:sz w:val="9"/>
                <w:szCs w:val="9"/>
                <w:color w:val="FFFFFF"/>
              </w:rPr>
              <w:t>taxes and premiums decreased by 4.2%, from HK$14.4 billion in 2011 to HK$13.8 billion in 2012. This decrease</w:t>
            </w:r>
          </w:p>
        </w:tc>
        <w:tc>
          <w:tcPr>
            <w:tcW w:w="292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due to decreased gross gaming win in 2012 compared</w:t>
            </w:r>
          </w:p>
        </w:tc>
        <w:tc>
          <w:tcPr>
            <w:tcW w:w="0" w:type="dxa"/>
            <w:vAlign w:val="bottom"/>
          </w:tcPr>
          <w:p>
            <w:pPr>
              <w:spacing w:after="0"/>
              <w:rPr>
                <w:sz w:val="1"/>
                <w:szCs w:val="1"/>
                <w:color w:val="auto"/>
              </w:rPr>
            </w:pPr>
          </w:p>
        </w:tc>
      </w:tr>
      <w:tr>
        <w:trPr>
          <w:trHeight w:val="41"/>
        </w:trPr>
        <w:tc>
          <w:tcPr>
            <w:tcW w:w="2080" w:type="dxa"/>
            <w:vAlign w:val="bottom"/>
          </w:tcPr>
          <w:p>
            <w:pPr>
              <w:spacing w:after="0"/>
              <w:rPr>
                <w:sz w:val="20"/>
                <w:szCs w:val="20"/>
                <w:color w:val="auto"/>
              </w:rPr>
            </w:pPr>
            <w:r>
              <w:rPr>
                <w:rFonts w:ascii="Arial" w:cs="Arial" w:eastAsia="Arial" w:hAnsi="Arial"/>
                <w:sz w:val="3"/>
                <w:szCs w:val="3"/>
                <w:color w:val="FFFFFF"/>
              </w:rPr>
              <w:t>Gaming taxes and premiums.</w:t>
            </w:r>
          </w:p>
        </w:tc>
        <w:tc>
          <w:tcPr>
            <w:tcW w:w="6420" w:type="dxa"/>
            <w:vAlign w:val="bottom"/>
            <w:gridSpan w:val="3"/>
            <w:vMerge w:val="continue"/>
          </w:tcPr>
          <w:p>
            <w:pPr>
              <w:spacing w:after="0"/>
              <w:rPr>
                <w:sz w:val="3"/>
                <w:szCs w:val="3"/>
                <w:color w:val="auto"/>
              </w:rPr>
            </w:pPr>
          </w:p>
        </w:tc>
        <w:tc>
          <w:tcPr>
            <w:tcW w:w="2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line="41" w:lineRule="exact"/>
              <w:rPr>
                <w:sz w:val="20"/>
                <w:szCs w:val="20"/>
                <w:color w:val="auto"/>
              </w:rPr>
            </w:pPr>
            <w:r>
              <w:rPr>
                <w:rFonts w:ascii="Arial" w:cs="Arial" w:eastAsia="Arial" w:hAnsi="Arial"/>
                <w:sz w:val="2"/>
                <w:szCs w:val="2"/>
                <w:color w:val="FFFFFF"/>
              </w:rPr>
              <w:t xml:space="preserve">to 2011. </w:t>
            </w:r>
            <w:r>
              <w:rPr>
                <w:rFonts w:ascii="Arial" w:cs="Arial" w:eastAsia="Arial" w:hAnsi="Arial"/>
                <w:sz w:val="4"/>
                <w:szCs w:val="4"/>
                <w:color w:val="FFFFFF"/>
                <w:vertAlign w:val="subscript"/>
              </w:rPr>
              <w:t>.</w:t>
            </w:r>
            <w:r>
              <w:rPr>
                <w:rFonts w:ascii="Arial" w:cs="Arial" w:eastAsia="Arial" w:hAnsi="Arial"/>
                <w:sz w:val="2"/>
                <w:szCs w:val="2"/>
                <w:color w:val="FFFFFF"/>
              </w:rPr>
              <w:t>Wynn Macau is subjectGamingto35% gaming tax on gross gaming win. In addition, Wynn Macau is also required to pay 4% of its gross gaming win wascontributions for public development and social</w:t>
            </w:r>
          </w:p>
        </w:tc>
        <w:tc>
          <w:tcPr>
            <w:tcW w:w="0" w:type="dxa"/>
            <w:vAlign w:val="bottom"/>
          </w:tcPr>
          <w:p>
            <w:pPr>
              <w:spacing w:after="0"/>
              <w:rPr>
                <w:sz w:val="1"/>
                <w:szCs w:val="1"/>
                <w:color w:val="auto"/>
              </w:rPr>
            </w:pPr>
          </w:p>
        </w:tc>
      </w:tr>
      <w:tr>
        <w:trPr>
          <w:trHeight w:val="81"/>
        </w:trPr>
        <w:tc>
          <w:tcPr>
            <w:tcW w:w="4680" w:type="dxa"/>
            <w:vAlign w:val="bottom"/>
            <w:gridSpan w:val="2"/>
          </w:tcPr>
          <w:p>
            <w:pPr>
              <w:spacing w:after="0" w:line="81" w:lineRule="exact"/>
              <w:rPr>
                <w:sz w:val="20"/>
                <w:szCs w:val="20"/>
                <w:color w:val="auto"/>
              </w:rPr>
            </w:pPr>
            <w:r>
              <w:rPr>
                <w:rFonts w:ascii="Arial" w:cs="Arial" w:eastAsia="Arial" w:hAnsi="Arial"/>
                <w:sz w:val="9"/>
                <w:szCs w:val="9"/>
                <w:color w:val="FFFFFF"/>
              </w:rPr>
              <w:t>facilitiesStafcosts. Staff costs increased from HK$2.1 billion in 2011 to HK$2.2 billion in</w:t>
            </w:r>
          </w:p>
        </w:tc>
        <w:tc>
          <w:tcPr>
            <w:tcW w:w="440" w:type="dxa"/>
            <w:vAlign w:val="bottom"/>
          </w:tcPr>
          <w:p>
            <w:pPr>
              <w:ind w:left="80"/>
              <w:spacing w:after="0" w:line="81" w:lineRule="exact"/>
              <w:rPr>
                <w:sz w:val="20"/>
                <w:szCs w:val="20"/>
                <w:color w:val="auto"/>
              </w:rPr>
            </w:pPr>
            <w:r>
              <w:rPr>
                <w:rFonts w:ascii="Arial" w:cs="Arial" w:eastAsia="Arial" w:hAnsi="Arial"/>
                <w:sz w:val="9"/>
                <w:szCs w:val="9"/>
                <w:color w:val="FFFFFF"/>
              </w:rPr>
              <w:t>. The</w:t>
            </w:r>
          </w:p>
        </w:tc>
        <w:tc>
          <w:tcPr>
            <w:tcW w:w="3380" w:type="dxa"/>
            <w:vAlign w:val="bottom"/>
          </w:tcPr>
          <w:p>
            <w:pPr>
              <w:ind w:left="440"/>
              <w:spacing w:after="0" w:line="81" w:lineRule="exact"/>
              <w:rPr>
                <w:sz w:val="20"/>
                <w:szCs w:val="20"/>
                <w:color w:val="auto"/>
              </w:rPr>
            </w:pPr>
            <w:r>
              <w:rPr>
                <w:rFonts w:ascii="Arial" w:cs="Arial" w:eastAsia="Arial" w:hAnsi="Arial"/>
                <w:sz w:val="9"/>
                <w:szCs w:val="9"/>
                <w:color w:val="FFFFFF"/>
              </w:rPr>
              <w:t>was primarily due to the salary increases implemented</w:t>
            </w:r>
          </w:p>
        </w:tc>
        <w:tc>
          <w:tcPr>
            <w:tcW w:w="2920" w:type="dxa"/>
            <w:vAlign w:val="bottom"/>
          </w:tcPr>
          <w:p>
            <w:pPr>
              <w:jc w:val="right"/>
              <w:ind w:right="2415"/>
              <w:spacing w:after="0" w:line="81" w:lineRule="exact"/>
              <w:rPr>
                <w:sz w:val="20"/>
                <w:szCs w:val="20"/>
                <w:color w:val="auto"/>
              </w:rPr>
            </w:pPr>
            <w:r>
              <w:rPr>
                <w:rFonts w:ascii="Arial" w:cs="Arial" w:eastAsia="Arial" w:hAnsi="Arial"/>
                <w:sz w:val="9"/>
                <w:szCs w:val="9"/>
                <w:color w:val="FFFFFF"/>
              </w:rPr>
              <w:t>2012.</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Other operating expenses. Other operating expenses decreased by 7.6%, from HK$20125.billion increase2011 to HK$4.8 billion in 2012. The decrease in other operating costs was primarily due   lower business volume</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related expenses such as gaming promoters’ commissions, cost of sales and royalty fees. In addition, during 2012, the Group evaluated its reserve estimates based on the results of historical collection patterns</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and current collection trends. As a result, the Group revised its estimates and recorded a HK$165 million credit against its provision for doubtful accounts which decreased the provision for doubtful accounts for</w:t>
            </w:r>
          </w:p>
        </w:tc>
        <w:tc>
          <w:tcPr>
            <w:tcW w:w="0" w:type="dxa"/>
            <w:vAlign w:val="bottom"/>
          </w:tcPr>
          <w:p>
            <w:pPr>
              <w:spacing w:after="0"/>
              <w:rPr>
                <w:sz w:val="1"/>
                <w:szCs w:val="1"/>
                <w:color w:val="auto"/>
              </w:rPr>
            </w:pPr>
          </w:p>
        </w:tc>
      </w:tr>
      <w:tr>
        <w:trPr>
          <w:trHeight w:val="41"/>
        </w:trPr>
        <w:tc>
          <w:tcPr>
            <w:tcW w:w="4680" w:type="dxa"/>
            <w:vAlign w:val="bottom"/>
            <w:gridSpan w:val="2"/>
          </w:tcPr>
          <w:p>
            <w:pPr>
              <w:spacing w:after="0"/>
              <w:rPr>
                <w:sz w:val="20"/>
                <w:szCs w:val="20"/>
                <w:color w:val="auto"/>
              </w:rPr>
            </w:pPr>
            <w:r>
              <w:rPr>
                <w:rFonts w:ascii="Arial" w:cs="Arial" w:eastAsia="Arial" w:hAnsi="Arial"/>
                <w:sz w:val="3"/>
                <w:szCs w:val="3"/>
                <w:color w:val="FFFFFF"/>
              </w:rPr>
              <w:t>the year to  net HK$1.5 million credit.</w:t>
            </w:r>
          </w:p>
        </w:tc>
        <w:tc>
          <w:tcPr>
            <w:tcW w:w="44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Depreciation and amortization. Depreciation and amortization decreased by 9.6% from HK$1,016.4 million in 2011 to HK$918.9 million in 2012. This decrease was primarily due to assets with a 5-year life</w:t>
            </w:r>
          </w:p>
        </w:tc>
        <w:tc>
          <w:tcPr>
            <w:tcW w:w="0" w:type="dxa"/>
            <w:vAlign w:val="bottom"/>
          </w:tcPr>
          <w:p>
            <w:pPr>
              <w:spacing w:after="0"/>
              <w:rPr>
                <w:sz w:val="1"/>
                <w:szCs w:val="1"/>
                <w:color w:val="auto"/>
              </w:rPr>
            </w:pPr>
          </w:p>
        </w:tc>
      </w:tr>
      <w:tr>
        <w:trPr>
          <w:trHeight w:val="41"/>
        </w:trPr>
        <w:tc>
          <w:tcPr>
            <w:tcW w:w="4680" w:type="dxa"/>
            <w:vAlign w:val="bottom"/>
            <w:gridSpan w:val="2"/>
          </w:tcPr>
          <w:p>
            <w:pPr>
              <w:spacing w:after="0"/>
              <w:rPr>
                <w:sz w:val="20"/>
                <w:szCs w:val="20"/>
                <w:color w:val="auto"/>
              </w:rPr>
            </w:pPr>
            <w:r>
              <w:rPr>
                <w:rFonts w:ascii="Arial" w:cs="Arial" w:eastAsia="Arial" w:hAnsi="Arial"/>
                <w:sz w:val="3"/>
                <w:szCs w:val="3"/>
                <w:color w:val="FFFFFF"/>
              </w:rPr>
              <w:t>being fully depreciated as of September 2011.</w:t>
            </w:r>
          </w:p>
        </w:tc>
        <w:tc>
          <w:tcPr>
            <w:tcW w:w="440" w:type="dxa"/>
            <w:vAlign w:val="bottom"/>
          </w:tcPr>
          <w:p>
            <w:pPr>
              <w:spacing w:after="0"/>
              <w:rPr>
                <w:sz w:val="3"/>
                <w:szCs w:val="3"/>
                <w:color w:val="auto"/>
              </w:rPr>
            </w:pPr>
          </w:p>
        </w:tc>
        <w:tc>
          <w:tcPr>
            <w:tcW w:w="33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Property charges and other. Property charges and other decreased from HK$865.9 million in 2011 to HK$49.1 million in 2012. Included in property charges and other for the year ended</w:t>
            </w:r>
          </w:p>
        </w:tc>
        <w:tc>
          <w:tcPr>
            <w:tcW w:w="0" w:type="dxa"/>
            <w:vAlign w:val="bottom"/>
          </w:tcPr>
          <w:p>
            <w:pPr>
              <w:spacing w:after="0"/>
              <w:rPr>
                <w:sz w:val="1"/>
                <w:szCs w:val="1"/>
                <w:color w:val="auto"/>
              </w:rPr>
            </w:pPr>
          </w:p>
        </w:tc>
      </w:tr>
      <w:tr>
        <w:trPr>
          <w:trHeight w:val="0"/>
        </w:trPr>
        <w:tc>
          <w:tcPr>
            <w:tcW w:w="4680" w:type="dxa"/>
            <w:vAlign w:val="bottom"/>
            <w:gridSpan w:val="2"/>
          </w:tcPr>
          <w:p>
            <w:pPr>
              <w:spacing w:after="0" w:line="80" w:lineRule="exact"/>
              <w:rPr>
                <w:sz w:val="20"/>
                <w:szCs w:val="20"/>
                <w:color w:val="auto"/>
              </w:rPr>
            </w:pPr>
            <w:r>
              <w:rPr>
                <w:rFonts w:ascii="Arial" w:cs="Arial" w:eastAsia="Arial" w:hAnsi="Arial"/>
                <w:sz w:val="9"/>
                <w:szCs w:val="9"/>
                <w:color w:val="FFFFFF"/>
              </w:rPr>
              <w:t>31 December 2011 is  charge of HK$831.  million refl ecting the present value of a</w:t>
            </w:r>
          </w:p>
        </w:tc>
        <w:tc>
          <w:tcPr>
            <w:tcW w:w="440" w:type="dxa"/>
            <w:vAlign w:val="bottom"/>
          </w:tcPr>
          <w:p>
            <w:pPr>
              <w:spacing w:after="0" w:line="20" w:lineRule="exact"/>
              <w:rPr>
                <w:sz w:val="1"/>
                <w:szCs w:val="1"/>
                <w:color w:val="auto"/>
              </w:rPr>
            </w:pPr>
          </w:p>
        </w:tc>
        <w:tc>
          <w:tcPr>
            <w:tcW w:w="6300" w:type="dxa"/>
            <w:vAlign w:val="bottom"/>
            <w:gridSpan w:val="2"/>
          </w:tcPr>
          <w:p>
            <w:pPr>
              <w:jc w:val="right"/>
              <w:ind w:right="155"/>
              <w:spacing w:after="0" w:line="80" w:lineRule="exact"/>
              <w:rPr>
                <w:sz w:val="20"/>
                <w:szCs w:val="20"/>
                <w:color w:val="auto"/>
              </w:rPr>
            </w:pPr>
            <w:r>
              <w:rPr>
                <w:rFonts w:ascii="Arial" w:cs="Arial" w:eastAsia="Arial" w:hAnsi="Arial"/>
                <w:sz w:val="9"/>
                <w:szCs w:val="9"/>
                <w:color w:val="FFFFFF"/>
              </w:rPr>
              <w:t>contribution made by WRM to the University of Macau Development Foundation. This contribution consists of</w:t>
            </w:r>
          </w:p>
        </w:tc>
        <w:tc>
          <w:tcPr>
            <w:tcW w:w="0" w:type="dxa"/>
            <w:vAlign w:val="bottom"/>
          </w:tcPr>
          <w:p>
            <w:pPr>
              <w:spacing w:after="0" w:line="20" w:lineRule="exact"/>
              <w:rPr>
                <w:sz w:val="1"/>
                <w:szCs w:val="1"/>
                <w:color w:val="auto"/>
              </w:rPr>
            </w:pPr>
          </w:p>
        </w:tc>
      </w:tr>
    </w:tbl>
    <w:p>
      <w:pPr>
        <w:ind w:right="100"/>
        <w:spacing w:after="0" w:line="217" w:lineRule="auto"/>
        <w:rPr>
          <w:sz w:val="20"/>
          <w:szCs w:val="20"/>
          <w:color w:val="auto"/>
        </w:rPr>
      </w:pPr>
      <w:r>
        <w:rPr>
          <w:rFonts w:ascii="Arial" w:cs="Arial" w:eastAsia="Arial" w:hAnsi="Arial"/>
          <w:sz w:val="2"/>
          <w:szCs w:val="2"/>
          <w:color w:val="FFFFFF"/>
        </w:rPr>
        <w:t xml:space="preserve">MOP200.0 million (approximately HK$194.2 million) payment made in May 2011, andcharitablecommitment for additional donations of MOP80.0 million (approximately HK$77.7 million) each year for the calendar </w:t>
      </w:r>
      <w:r>
        <w:rPr>
          <w:rFonts w:ascii="Arial" w:cs="Arial" w:eastAsia="Arial" w:hAnsi="Arial"/>
          <w:sz w:val="4"/>
          <w:szCs w:val="4"/>
          <w:color w:val="FFFFFF"/>
          <w:vertAlign w:val="subscript"/>
        </w:rPr>
        <w:t>been</w:t>
      </w:r>
      <w:r>
        <w:rPr>
          <w:rFonts w:ascii="Arial" w:cs="Arial" w:eastAsia="Arial" w:hAnsi="Arial"/>
          <w:sz w:val="2"/>
          <w:szCs w:val="2"/>
          <w:color w:val="FFFFFF"/>
        </w:rPr>
        <w:t>yars 2012 through 2022 inclusive,</w:t>
      </w:r>
      <w:r>
        <w:rPr>
          <w:rFonts w:ascii="Arial" w:cs="Arial" w:eastAsia="Arial" w:hAnsi="Arial"/>
          <w:sz w:val="4"/>
          <w:szCs w:val="4"/>
          <w:color w:val="FFFFFF"/>
          <w:vertAlign w:val="subscript"/>
        </w:rPr>
        <w:t>estimated</w:t>
      </w:r>
      <w:r>
        <w:rPr>
          <w:rFonts w:ascii="Arial" w:cs="Arial" w:eastAsia="Arial" w:hAnsi="Arial"/>
          <w:sz w:val="2"/>
          <w:szCs w:val="2"/>
          <w:color w:val="FFFFFF"/>
        </w:rPr>
        <w:t>fortotal of MOP1,080.0 million (approximately HK$1,048.5 million). The amount refl ected in our accompanying consolidated statement of comprehensive income has</w:t>
      </w:r>
    </w:p>
    <w:p>
      <w:pPr>
        <w:ind w:left="300"/>
        <w:spacing w:after="0"/>
        <w:tabs>
          <w:tab w:leader="none" w:pos="2400" w:val="left"/>
        </w:tabs>
        <w:rPr>
          <w:sz w:val="20"/>
          <w:szCs w:val="20"/>
          <w:color w:val="auto"/>
        </w:rPr>
      </w:pPr>
      <w:r>
        <w:rPr>
          <w:rFonts w:ascii="Arial" w:cs="Arial" w:eastAsia="Arial" w:hAnsi="Arial"/>
          <w:sz w:val="14"/>
          <w:szCs w:val="14"/>
          <w:color w:val="FFFFFF"/>
        </w:rPr>
        <w:t>discounted using our current</w:t>
      </w:r>
      <w:r>
        <w:rPr>
          <w:sz w:val="20"/>
          <w:szCs w:val="20"/>
          <w:color w:val="auto"/>
        </w:rPr>
        <w:tab/>
      </w:r>
      <w:r>
        <w:rPr>
          <w:rFonts w:ascii="Arial" w:cs="Arial" w:eastAsia="Arial" w:hAnsi="Arial"/>
          <w:sz w:val="12"/>
          <w:szCs w:val="12"/>
          <w:color w:val="FFFFFF"/>
        </w:rPr>
        <w:t>borrowing rate over the time period of the remaining committed payments. Other charges in each period represent gain/</w:t>
      </w:r>
    </w:p>
    <w:p>
      <w:pPr>
        <w:sectPr>
          <w:pgSz w:w="11900" w:h="16838" w:orient="portrait"/>
          <w:cols w:equalWidth="0" w:num="1">
            <w:col w:w="11420"/>
          </w:cols>
          <w:pgMar w:left="240" w:top="1440" w:right="239" w:bottom="1440"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2"/>
          </w:tcPr>
          <w:p>
            <w:pPr>
              <w:spacing w:after="0"/>
              <w:rPr>
                <w:sz w:val="20"/>
                <w:szCs w:val="20"/>
                <w:color w:val="auto"/>
              </w:rPr>
            </w:pPr>
            <w:r>
              <w:rPr>
                <w:rFonts w:ascii="Arial" w:cs="Arial" w:eastAsia="Arial" w:hAnsi="Arial"/>
                <w:sz w:val="14"/>
                <w:szCs w:val="14"/>
                <w:color w:val="FFFFFF"/>
              </w:rPr>
              <w:t>Annual Report 2012 17</w:t>
            </w:r>
          </w:p>
        </w:tc>
        <w:tc>
          <w:tcPr>
            <w:tcW w:w="40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Management Discussion and Analysis</w:t>
            </w:r>
          </w:p>
        </w:tc>
        <w:tc>
          <w:tcPr>
            <w:tcW w:w="5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loss on the sale of equipment as well as costs related to assets retired or abandoned as a result of renovating certain assets of Wynn Macau in response to customer preferences and changes in market demand.</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As  result of the foregoing, total operating costs and expenses decreased by 7.5%, from HK$23.5 billion in 2011 to HK$21.8 billion in 2012.</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360" w:type="dxa"/>
            <w:vAlign w:val="bottom"/>
          </w:tcPr>
          <w:p>
            <w:pPr>
              <w:ind w:left="60"/>
              <w:spacing w:after="0"/>
              <w:rPr>
                <w:sz w:val="20"/>
                <w:szCs w:val="20"/>
                <w:color w:val="auto"/>
              </w:rPr>
            </w:pPr>
            <w:r>
              <w:rPr>
                <w:rFonts w:ascii="Arial" w:cs="Arial" w:eastAsia="Arial" w:hAnsi="Arial"/>
                <w:sz w:val="3"/>
                <w:szCs w:val="3"/>
                <w:color w:val="FFFFFF"/>
              </w:rPr>
              <w:t>Revenues</w:t>
            </w:r>
          </w:p>
        </w:tc>
        <w:tc>
          <w:tcPr>
            <w:tcW w:w="4060" w:type="dxa"/>
            <w:vAlign w:val="bottom"/>
          </w:tcPr>
          <w:p>
            <w:pPr>
              <w:spacing w:after="0"/>
              <w:rPr>
                <w:sz w:val="3"/>
                <w:szCs w:val="3"/>
                <w:color w:val="auto"/>
              </w:rPr>
            </w:pPr>
          </w:p>
        </w:tc>
        <w:tc>
          <w:tcPr>
            <w:tcW w:w="5520" w:type="dxa"/>
            <w:vAlign w:val="bottom"/>
            <w:vMerge w:val="restart"/>
          </w:tcPr>
          <w:p>
            <w:pPr>
              <w:ind w:left="220"/>
              <w:spacing w:after="0" w:line="81" w:lineRule="exact"/>
              <w:rPr>
                <w:sz w:val="20"/>
                <w:szCs w:val="20"/>
                <w:color w:val="auto"/>
              </w:rPr>
            </w:pPr>
            <w:r>
              <w:rPr>
                <w:rFonts w:ascii="Arial" w:cs="Arial" w:eastAsia="Arial" w:hAnsi="Arial"/>
                <w:sz w:val="9"/>
                <w:szCs w:val="9"/>
                <w:color w:val="FFFFFF"/>
              </w:rPr>
              <w:t>due to higher cash balances during 2012. During 2012 and 2011, our short-term investment</w:t>
            </w: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Finance revenues increased from HK$49.1 million in 2011 to HK$83.8 million in 2012. The increase is</w:t>
            </w:r>
          </w:p>
        </w:tc>
        <w:tc>
          <w:tcPr>
            <w:tcW w:w="5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strategy has been to preserve capital while retaining suffi cient liquidity. While we have recently investedmainlycertain corporate debt securities which contributed to the increase in interest income, the majority of</w:t>
            </w:r>
          </w:p>
        </w:tc>
        <w:tc>
          <w:tcPr>
            <w:tcW w:w="0" w:type="dxa"/>
            <w:vAlign w:val="bottom"/>
          </w:tcPr>
          <w:p>
            <w:pPr>
              <w:spacing w:after="0"/>
              <w:rPr>
                <w:sz w:val="1"/>
                <w:szCs w:val="1"/>
                <w:color w:val="auto"/>
              </w:rPr>
            </w:pPr>
          </w:p>
        </w:tc>
      </w:tr>
      <w:tr>
        <w:trPr>
          <w:trHeight w:val="41"/>
        </w:trPr>
        <w:tc>
          <w:tcPr>
            <w:tcW w:w="5820" w:type="dxa"/>
            <w:vAlign w:val="bottom"/>
            <w:gridSpan w:val="3"/>
          </w:tcPr>
          <w:p>
            <w:pPr>
              <w:spacing w:after="0"/>
              <w:rPr>
                <w:sz w:val="20"/>
                <w:szCs w:val="20"/>
                <w:color w:val="auto"/>
              </w:rPr>
            </w:pPr>
            <w:r>
              <w:rPr>
                <w:rFonts w:ascii="Arial" w:cs="Arial" w:eastAsia="Arial" w:hAnsi="Arial"/>
                <w:sz w:val="3"/>
                <w:szCs w:val="3"/>
                <w:color w:val="FFFFFF"/>
              </w:rPr>
              <w:t>our short-term investments are primarily in ? xed deposits with a maturity of three months or less.</w:t>
            </w:r>
          </w:p>
        </w:tc>
        <w:tc>
          <w:tcPr>
            <w:tcW w:w="5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360" w:type="dxa"/>
            <w:vAlign w:val="bottom"/>
          </w:tcPr>
          <w:p>
            <w:pPr>
              <w:ind w:left="60"/>
              <w:spacing w:after="0"/>
              <w:rPr>
                <w:sz w:val="20"/>
                <w:szCs w:val="20"/>
                <w:color w:val="auto"/>
              </w:rPr>
            </w:pPr>
            <w:r>
              <w:rPr>
                <w:rFonts w:ascii="Arial" w:cs="Arial" w:eastAsia="Arial" w:hAnsi="Arial"/>
                <w:sz w:val="3"/>
                <w:szCs w:val="3"/>
                <w:color w:val="FFFFFF"/>
              </w:rPr>
              <w:t>Costs</w:t>
            </w:r>
          </w:p>
        </w:tc>
        <w:tc>
          <w:tcPr>
            <w:tcW w:w="4060" w:type="dxa"/>
            <w:vAlign w:val="bottom"/>
          </w:tcPr>
          <w:p>
            <w:pPr>
              <w:spacing w:after="0"/>
              <w:rPr>
                <w:sz w:val="3"/>
                <w:szCs w:val="3"/>
                <w:color w:val="auto"/>
              </w:rPr>
            </w:pPr>
          </w:p>
        </w:tc>
        <w:tc>
          <w:tcPr>
            <w:tcW w:w="5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Finance costs increased by 13.5%, from HK$259.4 million in 2011 to HK$294.3 million in 2012. Finance costs increased in 2012 primarily due to the increase in amounts outstanding under the Amended Wynn</w:t>
            </w: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Macau Credit Facility.</w:t>
            </w:r>
          </w:p>
        </w:tc>
        <w:tc>
          <w:tcPr>
            <w:tcW w:w="4060" w:type="dxa"/>
            <w:vAlign w:val="bottom"/>
          </w:tcPr>
          <w:p>
            <w:pPr>
              <w:spacing w:after="0"/>
              <w:rPr>
                <w:sz w:val="3"/>
                <w:szCs w:val="3"/>
                <w:color w:val="auto"/>
              </w:rPr>
            </w:pPr>
          </w:p>
        </w:tc>
        <w:tc>
          <w:tcPr>
            <w:tcW w:w="5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Interest Rate Swaps</w:t>
            </w:r>
          </w:p>
        </w:tc>
        <w:tc>
          <w:tcPr>
            <w:tcW w:w="4060" w:type="dxa"/>
            <w:vAlign w:val="bottom"/>
          </w:tcPr>
          <w:p>
            <w:pPr>
              <w:spacing w:after="0"/>
              <w:rPr>
                <w:sz w:val="3"/>
                <w:szCs w:val="3"/>
                <w:color w:val="auto"/>
              </w:rPr>
            </w:pPr>
          </w:p>
        </w:tc>
        <w:tc>
          <w:tcPr>
            <w:tcW w:w="5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As required under the terms of our various credit facilities, we have entered into agreements which swap a portion of the interest on our loans from ? oating to ? xed rates. These transactions do not qualify for</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hedge</w:t>
            </w:r>
          </w:p>
        </w:tc>
        <w:tc>
          <w:tcPr>
            <w:tcW w:w="1360" w:type="dxa"/>
            <w:vAlign w:val="bottom"/>
          </w:tcPr>
          <w:p>
            <w:pPr>
              <w:jc w:val="right"/>
              <w:ind w:right="743"/>
              <w:spacing w:after="0"/>
              <w:rPr>
                <w:sz w:val="20"/>
                <w:szCs w:val="20"/>
                <w:color w:val="auto"/>
              </w:rPr>
            </w:pPr>
            <w:r>
              <w:rPr>
                <w:rFonts w:ascii="Arial" w:cs="Arial" w:eastAsia="Arial" w:hAnsi="Arial"/>
                <w:sz w:val="3"/>
                <w:szCs w:val="3"/>
                <w:color w:val="FFFFFF"/>
              </w:rPr>
              <w:t>.</w:t>
            </w:r>
          </w:p>
        </w:tc>
        <w:tc>
          <w:tcPr>
            <w:tcW w:w="9580" w:type="dxa"/>
            <w:vAlign w:val="bottom"/>
            <w:gridSpan w:val="2"/>
            <w:vMerge w:val="restart"/>
          </w:tcPr>
          <w:p>
            <w:pPr>
              <w:ind w:left="420"/>
              <w:spacing w:after="0" w:line="81" w:lineRule="exact"/>
              <w:rPr>
                <w:sz w:val="20"/>
                <w:szCs w:val="20"/>
                <w:color w:val="auto"/>
              </w:rPr>
            </w:pPr>
            <w:r>
              <w:rPr>
                <w:rFonts w:ascii="Arial" w:cs="Arial" w:eastAsia="Arial" w:hAnsi="Arial"/>
                <w:sz w:val="9"/>
                <w:szCs w:val="9"/>
                <w:color w:val="FFFFFF"/>
              </w:rPr>
              <w:t>rate swaps are recorded as an increase or decrease in swap fair value during each year. We recorded a loss of HK$9.8 million for 2012 resulting from the decrease in the</w:t>
            </w:r>
          </w:p>
        </w:tc>
        <w:tc>
          <w:tcPr>
            <w:tcW w:w="0" w:type="dxa"/>
            <w:vAlign w:val="bottom"/>
          </w:tcPr>
          <w:p>
            <w:pPr>
              <w:spacing w:after="0"/>
              <w:rPr>
                <w:sz w:val="1"/>
                <w:szCs w:val="1"/>
                <w:color w:val="auto"/>
              </w:rPr>
            </w:pPr>
          </w:p>
        </w:tc>
      </w:tr>
      <w:tr>
        <w:trPr>
          <w:trHeight w:val="41"/>
        </w:trPr>
        <w:tc>
          <w:tcPr>
            <w:tcW w:w="1760" w:type="dxa"/>
            <w:vAlign w:val="bottom"/>
            <w:gridSpan w:val="2"/>
          </w:tcPr>
          <w:p>
            <w:pPr>
              <w:spacing w:after="0"/>
              <w:rPr>
                <w:sz w:val="20"/>
                <w:szCs w:val="20"/>
                <w:color w:val="auto"/>
              </w:rPr>
            </w:pPr>
            <w:r>
              <w:rPr>
                <w:rFonts w:ascii="Arial" w:cs="Arial" w:eastAsia="Arial" w:hAnsi="Arial"/>
                <w:sz w:val="3"/>
                <w:szCs w:val="3"/>
                <w:color w:val="FFFFFF"/>
              </w:rPr>
              <w:t>Changesaccountingthefair value of our</w:t>
            </w:r>
          </w:p>
        </w:tc>
        <w:tc>
          <w:tcPr>
            <w:tcW w:w="9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fair value of our interest rate swapsinterest2012. We recorded a gain of HK$80.4 million in 2011 resulting from the increase in the fair value of our interest rate swaps in 2011.</w:t>
            </w:r>
          </w:p>
        </w:tc>
        <w:tc>
          <w:tcPr>
            <w:tcW w:w="0" w:type="dxa"/>
            <w:vAlign w:val="bottom"/>
          </w:tcPr>
          <w:p>
            <w:pPr>
              <w:spacing w:after="0"/>
              <w:rPr>
                <w:sz w:val="1"/>
                <w:szCs w:val="1"/>
                <w:color w:val="auto"/>
              </w:rPr>
            </w:pPr>
          </w:p>
        </w:tc>
      </w:tr>
      <w:tr>
        <w:trPr>
          <w:trHeight w:val="41"/>
        </w:trPr>
        <w:tc>
          <w:tcPr>
            <w:tcW w:w="1760" w:type="dxa"/>
            <w:vAlign w:val="bottom"/>
            <w:gridSpan w:val="2"/>
          </w:tcPr>
          <w:p>
            <w:pPr>
              <w:ind w:left="120"/>
              <w:spacing w:after="0"/>
              <w:rPr>
                <w:sz w:val="20"/>
                <w:szCs w:val="20"/>
                <w:color w:val="auto"/>
              </w:rPr>
            </w:pPr>
            <w:r>
              <w:rPr>
                <w:rFonts w:ascii="Arial" w:cs="Arial" w:eastAsia="Arial" w:hAnsi="Arial"/>
                <w:sz w:val="3"/>
                <w:szCs w:val="3"/>
                <w:color w:val="FFFFFF"/>
              </w:rPr>
              <w:t>come Tax (Expense) Bene? t</w:t>
            </w:r>
          </w:p>
        </w:tc>
        <w:tc>
          <w:tcPr>
            <w:tcW w:w="9580" w:type="dxa"/>
            <w:vAlign w:val="bottom"/>
            <w:gridSpan w:val="2"/>
            <w:vMerge w:val="restart"/>
          </w:tcPr>
          <w:p>
            <w:pPr>
              <w:ind w:left="40"/>
              <w:spacing w:after="0"/>
              <w:rPr>
                <w:sz w:val="20"/>
                <w:szCs w:val="20"/>
                <w:color w:val="auto"/>
              </w:rPr>
            </w:pPr>
            <w:r>
              <w:rPr>
                <w:rFonts w:ascii="Arial" w:cs="Arial" w:eastAsia="Arial" w:hAnsi="Arial"/>
                <w:sz w:val="3"/>
                <w:szCs w:val="3"/>
                <w:color w:val="FFFFFF"/>
              </w:rPr>
              <w:t>was HK$15.0 million compar   to an income tax benefi  of HK$26.8 million in 2011. Our 2012 current income tax expense primarily relates to income tax expense of our</w:t>
            </w:r>
          </w:p>
        </w:tc>
        <w:tc>
          <w:tcPr>
            <w:tcW w:w="0" w:type="dxa"/>
            <w:vAlign w:val="bottom"/>
          </w:tcPr>
          <w:p>
            <w:pPr>
              <w:spacing w:after="0"/>
              <w:rPr>
                <w:sz w:val="1"/>
                <w:szCs w:val="1"/>
                <w:color w:val="auto"/>
              </w:rPr>
            </w:pPr>
          </w:p>
        </w:tc>
      </w:tr>
      <w:tr>
        <w:trPr>
          <w:trHeight w:val="0"/>
        </w:trPr>
        <w:tc>
          <w:tcPr>
            <w:tcW w:w="1760" w:type="dxa"/>
            <w:vAlign w:val="bottom"/>
            <w:gridSpan w:val="2"/>
          </w:tcPr>
          <w:p>
            <w:pPr>
              <w:spacing w:after="0" w:line="80" w:lineRule="exact"/>
              <w:rPr>
                <w:sz w:val="20"/>
                <w:szCs w:val="20"/>
                <w:color w:val="auto"/>
              </w:rPr>
            </w:pPr>
            <w:r>
              <w:rPr>
                <w:rFonts w:ascii="Arial" w:cs="Arial" w:eastAsia="Arial" w:hAnsi="Arial"/>
                <w:sz w:val="9"/>
                <w:szCs w:val="9"/>
                <w:color w:val="FFFFFF"/>
              </w:rPr>
              <w:t>In 2012, our income tax</w:t>
            </w:r>
          </w:p>
        </w:tc>
        <w:tc>
          <w:tcPr>
            <w:tcW w:w="95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320"/>
        <w:spacing w:after="0" w:line="191" w:lineRule="auto"/>
        <w:rPr>
          <w:sz w:val="20"/>
          <w:szCs w:val="20"/>
          <w:color w:val="auto"/>
        </w:rPr>
      </w:pPr>
      <w:r>
        <w:rPr>
          <w:rFonts w:ascii="Arial" w:cs="Arial" w:eastAsia="Arial" w:hAnsi="Arial"/>
          <w:sz w:val="11"/>
          <w:szCs w:val="11"/>
          <w:color w:val="FFFFFF"/>
        </w:rPr>
        <w:t>subsidiaries owning WRM’expenseshares under the WRM Shareholder Dividend Tax Agreement. Our current income tax benefi t for 2011 primarily relates to the reversal of HK$41.8 million reserve previously established for potential tax assessments for years 2006 and before, which has closed and income tax expense of HK$15.0 million for our subsidiaries owning WRM’s shares under the WRM Shareholder Dividend Tax Agreement.</w:t>
      </w:r>
    </w:p>
    <w:p>
      <w:pPr>
        <w:sectPr>
          <w:pgSz w:w="11900" w:h="16838" w:orient="portrait"/>
          <w:cols w:equalWidth="0" w:num="1">
            <w:col w:w="11340"/>
          </w:cols>
          <w:pgMar w:left="240" w:top="1440" w:right="3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20"/>
                <w:szCs w:val="20"/>
                <w:color w:val="auto"/>
              </w:rPr>
            </w:pPr>
            <w:r>
              <w:rPr>
                <w:rFonts w:ascii="Arial" w:cs="Arial" w:eastAsia="Arial" w:hAnsi="Arial"/>
                <w:sz w:val="14"/>
                <w:szCs w:val="14"/>
                <w:color w:val="FFFFFF"/>
              </w:rPr>
              <w:t>18 Wynn Macau, Limited</w:t>
            </w:r>
          </w:p>
        </w:tc>
        <w:tc>
          <w:tcPr>
            <w:tcW w:w="400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40" w:type="dxa"/>
            <w:vAlign w:val="bottom"/>
          </w:tcPr>
          <w:p>
            <w:pPr>
              <w:ind w:left="740"/>
              <w:spacing w:after="0"/>
              <w:rPr>
                <w:sz w:val="20"/>
                <w:szCs w:val="20"/>
                <w:color w:val="auto"/>
              </w:rPr>
            </w:pPr>
            <w:r>
              <w:rPr>
                <w:rFonts w:ascii="Arial" w:cs="Arial" w:eastAsia="Arial" w:hAnsi="Arial"/>
                <w:sz w:val="3"/>
                <w:szCs w:val="3"/>
                <w:color w:val="FFFFFF"/>
              </w:rPr>
              <w:t>Discussion and Analysis</w:t>
            </w:r>
          </w:p>
        </w:tc>
        <w:tc>
          <w:tcPr>
            <w:tcW w:w="4000" w:type="dxa"/>
            <w:vAlign w:val="bottom"/>
            <w:vMerge w:val="restart"/>
          </w:tcPr>
          <w:p>
            <w:pPr>
              <w:ind w:left="80"/>
              <w:spacing w:after="0" w:line="81" w:lineRule="exact"/>
              <w:rPr>
                <w:sz w:val="20"/>
                <w:szCs w:val="20"/>
                <w:color w:val="auto"/>
              </w:rPr>
            </w:pPr>
            <w:r>
              <w:rPr>
                <w:rFonts w:ascii="Arial" w:cs="Arial" w:eastAsia="Arial" w:hAnsi="Arial"/>
                <w:sz w:val="9"/>
                <w:szCs w:val="9"/>
                <w:color w:val="FFFFFF"/>
              </w:rPr>
              <w:t>Company</w:t>
            </w:r>
          </w:p>
        </w:tc>
        <w:tc>
          <w:tcPr>
            <w:tcW w:w="5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Net Pro?  Attributable to Owners  f</w:t>
            </w:r>
          </w:p>
        </w:tc>
        <w:tc>
          <w:tcPr>
            <w:tcW w:w="4000" w:type="dxa"/>
            <w:vAlign w:val="bottom"/>
            <w:vMerge w:val="continue"/>
          </w:tcPr>
          <w:p>
            <w:pPr>
              <w:spacing w:after="0"/>
              <w:rPr>
                <w:sz w:val="3"/>
                <w:szCs w:val="3"/>
                <w:color w:val="auto"/>
              </w:rPr>
            </w:pPr>
          </w:p>
        </w:tc>
        <w:tc>
          <w:tcPr>
            <w:tcW w:w="5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ManagementAsresultof the foregoing, net pro? theattributable to owners of the Company increased by 8.8%, from HK$5.9 billion in 2011 to HK$6.4 billion in 2012.</w:t>
            </w:r>
          </w:p>
        </w:tc>
        <w:tc>
          <w:tcPr>
            <w:tcW w:w="0" w:type="dxa"/>
            <w:vAlign w:val="bottom"/>
          </w:tcPr>
          <w:p>
            <w:pPr>
              <w:spacing w:after="0"/>
              <w:rPr>
                <w:sz w:val="1"/>
                <w:szCs w:val="1"/>
                <w:color w:val="auto"/>
              </w:rPr>
            </w:pPr>
          </w:p>
        </w:tc>
      </w:tr>
      <w:tr>
        <w:trPr>
          <w:trHeight w:val="41"/>
        </w:trPr>
        <w:tc>
          <w:tcPr>
            <w:tcW w:w="6140" w:type="dxa"/>
            <w:vAlign w:val="bottom"/>
            <w:gridSpan w:val="2"/>
          </w:tcPr>
          <w:p>
            <w:pPr>
              <w:spacing w:after="0"/>
              <w:rPr>
                <w:sz w:val="20"/>
                <w:szCs w:val="20"/>
                <w:color w:val="auto"/>
              </w:rPr>
            </w:pPr>
            <w:r>
              <w:rPr>
                <w:rFonts w:ascii="Arial" w:cs="Arial" w:eastAsia="Arial" w:hAnsi="Arial"/>
                <w:sz w:val="3"/>
                <w:szCs w:val="3"/>
                <w:color w:val="FFFFFF"/>
              </w:rPr>
              <w:t>LIQUIDITY AND CAPITAL RESOURCES</w:t>
            </w:r>
          </w:p>
        </w:tc>
        <w:tc>
          <w:tcPr>
            <w:tcW w:w="5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40" w:type="dxa"/>
            <w:vAlign w:val="bottom"/>
          </w:tcPr>
          <w:p>
            <w:pPr>
              <w:spacing w:after="0"/>
              <w:rPr>
                <w:sz w:val="20"/>
                <w:szCs w:val="20"/>
                <w:color w:val="auto"/>
              </w:rPr>
            </w:pPr>
            <w:r>
              <w:rPr>
                <w:rFonts w:ascii="Arial" w:cs="Arial" w:eastAsia="Arial" w:hAnsi="Arial"/>
                <w:sz w:val="3"/>
                <w:szCs w:val="3"/>
                <w:color w:val="FFFFFF"/>
              </w:rPr>
              <w:t>Capital Resources</w:t>
            </w:r>
          </w:p>
        </w:tc>
        <w:tc>
          <w:tcPr>
            <w:tcW w:w="4000" w:type="dxa"/>
            <w:vAlign w:val="bottom"/>
          </w:tcPr>
          <w:p>
            <w:pPr>
              <w:spacing w:after="0"/>
              <w:rPr>
                <w:sz w:val="3"/>
                <w:szCs w:val="3"/>
                <w:color w:val="auto"/>
              </w:rPr>
            </w:pPr>
          </w:p>
        </w:tc>
        <w:tc>
          <w:tcPr>
            <w:tcW w:w="5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Since Wynn Macau opened in 2006, we have generally funded our working capital and recurring expenses as well as capital expenditures from cash ? ow from operations and cash on hand.</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Our cash balances at 31 December 2012 were HK$10.5 billion. Such cash is available for operations, new development activities and enhancements to Wynn Macau and Encore. In addition, we have HK$768.7</w:t>
            </w:r>
          </w:p>
        </w:tc>
        <w:tc>
          <w:tcPr>
            <w:tcW w:w="0" w:type="dxa"/>
            <w:vAlign w:val="bottom"/>
          </w:tcPr>
          <w:p>
            <w:pPr>
              <w:spacing w:after="0"/>
              <w:rPr>
                <w:sz w:val="1"/>
                <w:szCs w:val="1"/>
                <w:color w:val="auto"/>
              </w:rPr>
            </w:pPr>
          </w:p>
        </w:tc>
      </w:tr>
      <w:tr>
        <w:trPr>
          <w:trHeight w:val="41"/>
        </w:trPr>
        <w:tc>
          <w:tcPr>
            <w:tcW w:w="6140" w:type="dxa"/>
            <w:vAlign w:val="bottom"/>
            <w:gridSpan w:val="2"/>
          </w:tcPr>
          <w:p>
            <w:pPr>
              <w:spacing w:after="0"/>
              <w:rPr>
                <w:sz w:val="20"/>
                <w:szCs w:val="20"/>
                <w:color w:val="auto"/>
              </w:rPr>
            </w:pPr>
            <w:r>
              <w:rPr>
                <w:rFonts w:ascii="Arial" w:cs="Arial" w:eastAsia="Arial" w:hAnsi="Arial"/>
                <w:sz w:val="3"/>
                <w:szCs w:val="3"/>
                <w:color w:val="FFFFFF"/>
              </w:rPr>
              <w:t>million of restricted cash for Cotai related construction and development costs.</w:t>
            </w:r>
          </w:p>
        </w:tc>
        <w:tc>
          <w:tcPr>
            <w:tcW w:w="5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On 31 July 2012. WRM expanded its availability under its senior secured bank facility to US$2.3 billion (approximately HK$17.9 billion) equivalent consisting of a US$750 million (approximately HK$5.8</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billion) equivalent fully funded senior secured term loan facility and  US$1.55 billion (approximately HK$12.1 billion) equivalent senior secured revolving credit facility. WRM also has the ability to upsize the</w:t>
            </w:r>
          </w:p>
        </w:tc>
        <w:tc>
          <w:tcPr>
            <w:tcW w:w="0" w:type="dxa"/>
            <w:vAlign w:val="bottom"/>
          </w:tcPr>
          <w:p>
            <w:pPr>
              <w:spacing w:after="0"/>
              <w:rPr>
                <w:sz w:val="1"/>
                <w:szCs w:val="1"/>
                <w:color w:val="auto"/>
              </w:rPr>
            </w:pPr>
          </w:p>
        </w:tc>
      </w:tr>
      <w:tr>
        <w:trPr>
          <w:trHeight w:val="0"/>
        </w:trPr>
        <w:tc>
          <w:tcPr>
            <w:tcW w:w="6140" w:type="dxa"/>
            <w:vAlign w:val="bottom"/>
            <w:gridSpan w:val="2"/>
          </w:tcPr>
          <w:p>
            <w:pPr>
              <w:spacing w:after="0" w:line="80" w:lineRule="exact"/>
              <w:rPr>
                <w:sz w:val="20"/>
                <w:szCs w:val="20"/>
                <w:color w:val="auto"/>
              </w:rPr>
            </w:pPr>
            <w:r>
              <w:rPr>
                <w:rFonts w:ascii="Arial" w:cs="Arial" w:eastAsia="Arial" w:hAnsi="Arial"/>
                <w:sz w:val="9"/>
                <w:szCs w:val="9"/>
                <w:color w:val="FFFFFF"/>
              </w:rPr>
              <w:t>total senior secured facilities by an additional US$200 million (approximately HK$1.6 billion) pursuant to the</w:t>
            </w:r>
          </w:p>
        </w:tc>
        <w:tc>
          <w:tcPr>
            <w:tcW w:w="5240" w:type="dxa"/>
            <w:vAlign w:val="bottom"/>
          </w:tcPr>
          <w:p>
            <w:pPr>
              <w:ind w:left="180"/>
              <w:spacing w:after="0" w:line="80" w:lineRule="exact"/>
              <w:rPr>
                <w:sz w:val="20"/>
                <w:szCs w:val="20"/>
                <w:color w:val="auto"/>
              </w:rPr>
            </w:pPr>
            <w:r>
              <w:rPr>
                <w:rFonts w:ascii="Arial" w:cs="Arial" w:eastAsia="Arial" w:hAnsi="Arial"/>
                <w:sz w:val="9"/>
                <w:szCs w:val="9"/>
                <w:color w:val="FFFFFF"/>
              </w:rPr>
              <w:t>and provisions of the Amended Wynn Macau Credit Facilities. Borrowings under the</w:t>
            </w:r>
          </w:p>
        </w:tc>
        <w:tc>
          <w:tcPr>
            <w:tcW w:w="0" w:type="dxa"/>
            <w:vAlign w:val="bottom"/>
          </w:tcPr>
          <w:p>
            <w:pPr>
              <w:spacing w:after="0" w:line="20" w:lineRule="exact"/>
              <w:rPr>
                <w:sz w:val="1"/>
                <w:szCs w:val="1"/>
                <w:color w:val="auto"/>
              </w:rPr>
            </w:pPr>
          </w:p>
        </w:tc>
      </w:tr>
    </w:tbl>
    <w:p>
      <w:pPr>
        <w:jc w:val="both"/>
        <w:spacing w:after="0"/>
        <w:rPr>
          <w:sz w:val="20"/>
          <w:szCs w:val="20"/>
          <w:color w:val="auto"/>
        </w:rPr>
      </w:pPr>
      <w:r>
        <w:rPr>
          <w:rFonts w:ascii="Arial" w:cs="Arial" w:eastAsia="Arial" w:hAnsi="Arial"/>
          <w:sz w:val="7"/>
          <w:szCs w:val="7"/>
          <w:color w:val="FFFFFF"/>
        </w:rPr>
        <w:t>Amended Wynn Macau Credit Facilities, specifi cally the fully funded term loan, were used to re? nance WRM’termsexisting indebtedness. Future borrowings under the Amended Wynn Macau Credit Facilities will be used to fund the design, development, construction and pre-opening expenses of Wynn Cotai and for general corporate purposes.</w:t>
      </w:r>
    </w:p>
    <w:p>
      <w:pPr>
        <w:spacing w:after="0" w:line="2" w:lineRule="exact"/>
        <w:rPr>
          <w:sz w:val="20"/>
          <w:szCs w:val="20"/>
          <w:color w:val="auto"/>
        </w:rPr>
      </w:pPr>
    </w:p>
    <w:p>
      <w:pPr>
        <w:ind w:right="560"/>
        <w:spacing w:after="0" w:line="190" w:lineRule="auto"/>
        <w:rPr>
          <w:sz w:val="20"/>
          <w:szCs w:val="20"/>
          <w:color w:val="auto"/>
        </w:rPr>
      </w:pPr>
      <w:r>
        <w:rPr>
          <w:rFonts w:ascii="Arial" w:cs="Arial" w:eastAsia="Arial" w:hAnsi="Arial"/>
          <w:sz w:val="11"/>
          <w:szCs w:val="11"/>
          <w:color w:val="FFFFFF"/>
        </w:rPr>
        <w:t>As at 31 December 2012, the Group had net investments in Offshore RMB denominated debt securities with maturities of up to two years that amounted to Offshore RMB338.7 million (approximately HK$421.8 million) compared to RMB415.6 million (approximately HK$508.8 million) as at 31 December 2011.</w:t>
      </w:r>
    </w:p>
    <w:p>
      <w:pPr>
        <w:sectPr>
          <w:pgSz w:w="11900" w:h="16838" w:orient="portrait"/>
          <w:cols w:equalWidth="0" w:num="1">
            <w:col w:w="11380"/>
          </w:cols>
          <w:pgMar w:left="240" w:top="1440" w:right="27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19</w:t>
      </w:r>
    </w:p>
    <w:p>
      <w:pPr>
        <w:spacing w:after="0"/>
        <w:rPr>
          <w:sz w:val="20"/>
          <w:szCs w:val="20"/>
          <w:color w:val="auto"/>
        </w:rPr>
      </w:pPr>
      <w:r>
        <w:rPr>
          <w:rFonts w:ascii="Arial" w:cs="Arial" w:eastAsia="Arial" w:hAnsi="Arial"/>
          <w:sz w:val="3"/>
          <w:szCs w:val="3"/>
          <w:color w:val="FFFFFF"/>
        </w:rPr>
        <w:t>GearingManagementRatioDiscussion and Analysis</w:t>
      </w:r>
    </w:p>
    <w:p>
      <w:pPr>
        <w:spacing w:after="0" w:line="194" w:lineRule="auto"/>
        <w:rPr>
          <w:sz w:val="20"/>
          <w:szCs w:val="20"/>
          <w:color w:val="auto"/>
        </w:rPr>
      </w:pPr>
      <w:r>
        <w:rPr>
          <w:rFonts w:ascii="Arial" w:cs="Arial" w:eastAsia="Arial" w:hAnsi="Arial"/>
          <w:sz w:val="3"/>
          <w:szCs w:val="3"/>
          <w:color w:val="FFFFFF"/>
        </w:rPr>
        <w:t>The gearing ratio</w:t>
      </w:r>
      <w:r>
        <w:rPr>
          <w:rFonts w:ascii="Arial" w:cs="Arial" w:eastAsia="Arial" w:hAnsi="Arial"/>
          <w:sz w:val="5"/>
          <w:szCs w:val="5"/>
          <w:color w:val="FFFFFF"/>
          <w:vertAlign w:val="subscript"/>
        </w:rPr>
        <w:t>capital</w:t>
      </w:r>
      <w:r>
        <w:rPr>
          <w:rFonts w:ascii="Arial" w:cs="Arial" w:eastAsia="Arial" w:hAnsi="Arial"/>
          <w:sz w:val="3"/>
          <w:szCs w:val="3"/>
          <w:color w:val="FFFFFF"/>
        </w:rPr>
        <w:t>iskey indicator of our Group’s capital structure. The gearing ratio is net debt</w:t>
      </w:r>
    </w:p>
    <w:p>
      <w:pPr>
        <w:ind w:right="4919"/>
        <w:spacing w:after="0"/>
        <w:rPr>
          <w:sz w:val="20"/>
          <w:szCs w:val="20"/>
          <w:color w:val="auto"/>
        </w:rPr>
      </w:pPr>
      <w:r>
        <w:rPr>
          <w:rFonts w:ascii="Arial" w:cs="Arial" w:eastAsia="Arial" w:hAnsi="Arial"/>
          <w:sz w:val="9"/>
          <w:szCs w:val="9"/>
          <w:color w:val="FFFFFF"/>
        </w:rPr>
        <w:t>divided by total plus net debt. The table below presents the calculation of our gearing ratio as at 31 December 2012 and 2011.</w:t>
      </w:r>
    </w:p>
    <w:p>
      <w:pPr>
        <w:spacing w:after="0" w:line="188" w:lineRule="auto"/>
        <w:rPr>
          <w:sz w:val="20"/>
          <w:szCs w:val="20"/>
          <w:color w:val="auto"/>
        </w:rPr>
      </w:pPr>
      <w:r>
        <w:rPr>
          <w:rFonts w:ascii="Arial" w:cs="Arial" w:eastAsia="Arial" w:hAnsi="Arial"/>
          <w:sz w:val="11"/>
          <w:szCs w:val="11"/>
          <w:color w:val="FFFFFF"/>
        </w:rPr>
        <w:t>2012Asat 201131December</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10"/>
          <w:szCs w:val="10"/>
          <w:color w:val="FFFFFF"/>
        </w:rPr>
        <w:t>except for percentages)</w:t>
      </w:r>
    </w:p>
    <w:p>
      <w:pPr>
        <w:spacing w:after="0"/>
        <w:rPr>
          <w:sz w:val="20"/>
          <w:szCs w:val="20"/>
          <w:color w:val="auto"/>
        </w:rPr>
      </w:pPr>
      <w:r>
        <w:rPr>
          <w:rFonts w:ascii="Arial" w:cs="Arial" w:eastAsia="Arial" w:hAnsi="Arial"/>
          <w:sz w:val="3"/>
          <w:szCs w:val="3"/>
          <w:color w:val="FFFFFF"/>
        </w:rPr>
        <w:t>AccountsInterest-bearingpayablebank968,737loans,1,050,345net5,493,770 4,803,466</w:t>
      </w:r>
    </w:p>
    <w:p>
      <w:pPr>
        <w:spacing w:after="0" w:line="194" w:lineRule="auto"/>
        <w:rPr>
          <w:sz w:val="20"/>
          <w:szCs w:val="20"/>
          <w:color w:val="auto"/>
        </w:rPr>
      </w:pPr>
      <w:r>
        <w:rPr>
          <w:rFonts w:ascii="Arial" w:cs="Arial" w:eastAsia="Arial" w:hAnsi="Arial"/>
          <w:sz w:val="5"/>
          <w:szCs w:val="5"/>
          <w:color w:val="FFFFFF"/>
        </w:rPr>
        <w:t>Land premium payable 807,104 911,433</w:t>
      </w:r>
    </w:p>
    <w:p>
      <w:pPr>
        <w:spacing w:after="0" w:line="188" w:lineRule="auto"/>
        <w:rPr>
          <w:sz w:val="20"/>
          <w:szCs w:val="20"/>
          <w:color w:val="auto"/>
        </w:rPr>
      </w:pPr>
      <w:r>
        <w:rPr>
          <w:rFonts w:ascii="Arial" w:cs="Arial" w:eastAsia="Arial" w:hAnsi="Arial"/>
          <w:sz w:val="9"/>
          <w:szCs w:val="9"/>
          <w:color w:val="FFFFFF"/>
        </w:rPr>
        <w:t>Other payables and accruals 5,440,748 6,236,877</w:t>
      </w:r>
    </w:p>
    <w:p>
      <w:pPr>
        <w:spacing w:after="0" w:line="187" w:lineRule="auto"/>
        <w:rPr>
          <w:sz w:val="20"/>
          <w:szCs w:val="20"/>
          <w:color w:val="auto"/>
        </w:rPr>
      </w:pPr>
      <w:r>
        <w:rPr>
          <w:rFonts w:ascii="Arial" w:cs="Arial" w:eastAsia="Arial" w:hAnsi="Arial"/>
          <w:sz w:val="9"/>
          <w:szCs w:val="9"/>
          <w:color w:val="FFFFFF"/>
        </w:rPr>
        <w:t>OtherAmountsliabilitiesdueto 128,433relatedcompanies135,396 230,930 158,188</w:t>
      </w:r>
    </w:p>
    <w:p>
      <w:pPr>
        <w:spacing w:after="0" w:line="213" w:lineRule="auto"/>
        <w:rPr>
          <w:sz w:val="20"/>
          <w:szCs w:val="20"/>
          <w:color w:val="auto"/>
        </w:rPr>
      </w:pPr>
      <w:r>
        <w:rPr>
          <w:rFonts w:ascii="Arial" w:cs="Arial" w:eastAsia="Arial" w:hAnsi="Arial"/>
          <w:sz w:val="2"/>
          <w:szCs w:val="2"/>
          <w:color w:val="FFFFFF"/>
        </w:rPr>
        <w:t>res</w:t>
      </w:r>
      <w:r>
        <w:rPr>
          <w:rFonts w:ascii="Arial" w:cs="Arial" w:eastAsia="Arial" w:hAnsi="Arial"/>
          <w:sz w:val="4"/>
          <w:szCs w:val="4"/>
          <w:color w:val="FFFFFF"/>
          <w:vertAlign w:val="superscript"/>
        </w:rPr>
        <w:t>Net</w:t>
      </w:r>
      <w:r>
        <w:rPr>
          <w:rFonts w:ascii="Arial" w:cs="Arial" w:eastAsia="Arial" w:hAnsi="Arial"/>
          <w:sz w:val="2"/>
          <w:szCs w:val="2"/>
          <w:color w:val="FFFFFF"/>
        </w:rPr>
        <w:t>Less:cashricted cashand cashand cashequivalentsequivalents(10,475,370)(768,654)(5,156,725)—</w:t>
      </w:r>
    </w:p>
    <w:p>
      <w:pPr>
        <w:ind w:left="240"/>
        <w:spacing w:after="0" w:line="188" w:lineRule="auto"/>
        <w:rPr>
          <w:sz w:val="20"/>
          <w:szCs w:val="20"/>
          <w:color w:val="auto"/>
        </w:rPr>
      </w:pPr>
      <w:r>
        <w:rPr>
          <w:rFonts w:ascii="Arial" w:cs="Arial" w:eastAsia="Arial" w:hAnsi="Arial"/>
          <w:sz w:val="9"/>
          <w:szCs w:val="9"/>
          <w:color w:val="FFFFFF"/>
        </w:rPr>
        <w:t>debt 1,825,698 8,138,980</w:t>
      </w:r>
    </w:p>
    <w:p>
      <w:pPr>
        <w:spacing w:after="0" w:line="188" w:lineRule="auto"/>
        <w:rPr>
          <w:sz w:val="20"/>
          <w:szCs w:val="20"/>
          <w:color w:val="auto"/>
        </w:rPr>
      </w:pPr>
      <w:r>
        <w:rPr>
          <w:rFonts w:ascii="Arial" w:cs="Arial" w:eastAsia="Arial" w:hAnsi="Arial"/>
          <w:sz w:val="9"/>
          <w:szCs w:val="9"/>
          <w:color w:val="FFFFFF"/>
        </w:rPr>
        <w:t>TotalEquitycapital10,500,67010,500,6704,028,4434,028,443</w:t>
      </w:r>
    </w:p>
    <w:p>
      <w:pPr>
        <w:spacing w:after="0"/>
        <w:rPr>
          <w:sz w:val="20"/>
          <w:szCs w:val="20"/>
          <w:color w:val="auto"/>
        </w:rPr>
      </w:pPr>
      <w:r>
        <w:rPr>
          <w:rFonts w:ascii="Arial" w:cs="Arial" w:eastAsia="Arial" w:hAnsi="Arial"/>
          <w:sz w:val="14"/>
          <w:szCs w:val="14"/>
          <w:color w:val="FFFFFF"/>
        </w:rPr>
        <w:t>GearingCapitalandrationet14.8%debt 12,326,36866.9% 12,167,423</w:t>
      </w:r>
    </w:p>
    <w:p>
      <w:pPr>
        <w:sectPr>
          <w:pgSz w:w="11900" w:h="16838" w:orient="portrait"/>
          <w:cols w:equalWidth="0" w:num="1">
            <w:col w:w="10219"/>
          </w:cols>
          <w:pgMar w:left="240" w:top="1440" w:right="1440"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20"/>
                <w:szCs w:val="20"/>
                <w:color w:val="auto"/>
              </w:rPr>
            </w:pPr>
            <w:r>
              <w:rPr>
                <w:rFonts w:ascii="Arial" w:cs="Arial" w:eastAsia="Arial" w:hAnsi="Arial"/>
                <w:sz w:val="14"/>
                <w:szCs w:val="14"/>
                <w:color w:val="FFFFFF"/>
              </w:rPr>
              <w:t>20 Wynn Macau, Limited</w:t>
            </w:r>
          </w:p>
        </w:tc>
        <w:tc>
          <w:tcPr>
            <w:tcW w:w="50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50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20"/>
                <w:szCs w:val="20"/>
                <w:color w:val="auto"/>
              </w:rPr>
            </w:pPr>
            <w:r>
              <w:rPr>
                <w:rFonts w:ascii="Arial" w:cs="Arial" w:eastAsia="Arial" w:hAnsi="Arial"/>
                <w:sz w:val="3"/>
                <w:szCs w:val="3"/>
                <w:color w:val="FFFFFF"/>
              </w:rPr>
              <w:t>Cash Flows</w:t>
            </w:r>
          </w:p>
        </w:tc>
        <w:tc>
          <w:tcPr>
            <w:tcW w:w="50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gridSpan w:val="2"/>
          </w:tcPr>
          <w:p>
            <w:pPr>
              <w:spacing w:after="0"/>
              <w:rPr>
                <w:sz w:val="20"/>
                <w:szCs w:val="20"/>
                <w:color w:val="auto"/>
              </w:rPr>
            </w:pPr>
            <w:r>
              <w:rPr>
                <w:rFonts w:ascii="Arial" w:cs="Arial" w:eastAsia="Arial" w:hAnsi="Arial"/>
                <w:sz w:val="3"/>
                <w:szCs w:val="3"/>
                <w:color w:val="FFFFFF"/>
              </w:rPr>
              <w:t>The following table presents a summary of the Group’s cash fl ows for the years ended 31 December 2012 and 2011.</w:t>
            </w: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20"/>
                <w:szCs w:val="20"/>
                <w:color w:val="auto"/>
              </w:rPr>
            </w:pPr>
            <w:r>
              <w:rPr>
                <w:rFonts w:ascii="Arial" w:cs="Arial" w:eastAsia="Arial" w:hAnsi="Arial"/>
                <w:sz w:val="3"/>
                <w:szCs w:val="3"/>
                <w:color w:val="FFFFFF"/>
              </w:rPr>
              <w:t>For the year ended</w:t>
            </w:r>
          </w:p>
        </w:tc>
        <w:tc>
          <w:tcPr>
            <w:tcW w:w="50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20"/>
                <w:szCs w:val="20"/>
                <w:color w:val="auto"/>
              </w:rPr>
            </w:pPr>
            <w:r>
              <w:rPr>
                <w:rFonts w:ascii="Arial" w:cs="Arial" w:eastAsia="Arial" w:hAnsi="Arial"/>
                <w:sz w:val="3"/>
                <w:szCs w:val="3"/>
                <w:color w:val="FFFFFF"/>
              </w:rPr>
              <w:t>31 December</w:t>
            </w:r>
          </w:p>
        </w:tc>
        <w:tc>
          <w:tcPr>
            <w:tcW w:w="50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20"/>
                <w:szCs w:val="20"/>
                <w:color w:val="auto"/>
              </w:rPr>
            </w:pPr>
            <w:r>
              <w:rPr>
                <w:rFonts w:ascii="Arial" w:cs="Arial" w:eastAsia="Arial" w:hAnsi="Arial"/>
                <w:sz w:val="3"/>
                <w:szCs w:val="3"/>
                <w:color w:val="FFFFFF"/>
              </w:rPr>
              <w:t>2012 2011</w:t>
            </w:r>
          </w:p>
        </w:tc>
        <w:tc>
          <w:tcPr>
            <w:tcW w:w="50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20"/>
                <w:szCs w:val="20"/>
                <w:color w:val="auto"/>
              </w:rPr>
            </w:pPr>
            <w:r>
              <w:rPr>
                <w:rFonts w:ascii="Arial" w:cs="Arial" w:eastAsia="Arial" w:hAnsi="Arial"/>
                <w:sz w:val="3"/>
                <w:szCs w:val="3"/>
                <w:color w:val="FFFFFF"/>
              </w:rPr>
              <w:t>HK$ HK$</w:t>
            </w:r>
          </w:p>
        </w:tc>
        <w:tc>
          <w:tcPr>
            <w:tcW w:w="50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20"/>
                <w:szCs w:val="20"/>
                <w:color w:val="auto"/>
              </w:rPr>
            </w:pPr>
            <w:r>
              <w:rPr>
                <w:rFonts w:ascii="Arial" w:cs="Arial" w:eastAsia="Arial" w:hAnsi="Arial"/>
                <w:sz w:val="3"/>
                <w:szCs w:val="3"/>
                <w:color w:val="FFFFFF"/>
              </w:rPr>
              <w:t>(in millions)</w:t>
            </w:r>
          </w:p>
        </w:tc>
        <w:tc>
          <w:tcPr>
            <w:tcW w:w="50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gridSpan w:val="2"/>
          </w:tcPr>
          <w:p>
            <w:pPr>
              <w:ind w:left="520"/>
              <w:spacing w:after="0"/>
              <w:rPr>
                <w:sz w:val="20"/>
                <w:szCs w:val="20"/>
                <w:color w:val="auto"/>
              </w:rPr>
            </w:pPr>
            <w:r>
              <w:rPr>
                <w:rFonts w:ascii="Arial" w:cs="Arial" w:eastAsia="Arial" w:hAnsi="Arial"/>
                <w:sz w:val="3"/>
                <w:szCs w:val="3"/>
                <w:color w:val="FFFFFF"/>
              </w:rPr>
              <w:t>generated from operating activities 7,081.7 9,417.1</w:t>
            </w: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tcPr>
          <w:p>
            <w:pPr>
              <w:ind w:left="520"/>
              <w:spacing w:after="0"/>
              <w:rPr>
                <w:sz w:val="20"/>
                <w:szCs w:val="20"/>
                <w:color w:val="auto"/>
              </w:rPr>
            </w:pPr>
            <w:r>
              <w:rPr>
                <w:rFonts w:ascii="Arial" w:cs="Arial" w:eastAsia="Arial" w:hAnsi="Arial"/>
                <w:sz w:val="3"/>
                <w:szCs w:val="3"/>
                <w:color w:val="FFFFFF"/>
              </w:rPr>
              <w:t>used in investing activities (2,078.7)</w:t>
            </w:r>
          </w:p>
        </w:tc>
        <w:tc>
          <w:tcPr>
            <w:tcW w:w="5020" w:type="dxa"/>
            <w:vAlign w:val="bottom"/>
          </w:tcPr>
          <w:p>
            <w:pPr>
              <w:jc w:val="right"/>
              <w:ind w:right="4723"/>
              <w:spacing w:after="0"/>
              <w:rPr>
                <w:sz w:val="20"/>
                <w:szCs w:val="20"/>
                <w:color w:val="auto"/>
              </w:rPr>
            </w:pPr>
            <w:r>
              <w:rPr>
                <w:rFonts w:ascii="Arial" w:cs="Arial" w:eastAsia="Arial" w:hAnsi="Arial"/>
                <w:sz w:val="3"/>
                <w:szCs w:val="3"/>
                <w:color w:val="FFFFFF"/>
              </w:rPr>
              <w:t>.5)</w:t>
            </w: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gridSpan w:val="2"/>
          </w:tcPr>
          <w:p>
            <w:pPr>
              <w:ind w:left="240"/>
              <w:spacing w:after="0"/>
              <w:rPr>
                <w:sz w:val="20"/>
                <w:szCs w:val="20"/>
                <w:color w:val="auto"/>
              </w:rPr>
            </w:pPr>
            <w:r>
              <w:rPr>
                <w:rFonts w:ascii="Arial" w:cs="Arial" w:eastAsia="Arial" w:hAnsi="Arial"/>
                <w:sz w:val="3"/>
                <w:szCs w:val="3"/>
                <w:color w:val="FFFFFF"/>
              </w:rPr>
              <w:t>cash from (used in) ?nancing activities 299.  (6,607.5)</w:t>
            </w: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gridSpan w:val="2"/>
          </w:tcPr>
          <w:p>
            <w:pPr>
              <w:spacing w:after="0"/>
              <w:rPr>
                <w:sz w:val="20"/>
                <w:szCs w:val="20"/>
                <w:color w:val="auto"/>
              </w:rPr>
            </w:pPr>
            <w:r>
              <w:rPr>
                <w:rFonts w:ascii="Arial" w:cs="Arial" w:eastAsia="Arial" w:hAnsi="Arial"/>
                <w:sz w:val="3"/>
                <w:szCs w:val="3"/>
                <w:color w:val="FFFFFF"/>
              </w:rPr>
              <w:t>Net increase in cash and cash equivalents 5,302.(1,5051,304.</w:t>
            </w: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gridSpan w:val="2"/>
          </w:tcPr>
          <w:p>
            <w:pPr>
              <w:spacing w:after="0"/>
              <w:rPr>
                <w:sz w:val="20"/>
                <w:szCs w:val="20"/>
                <w:color w:val="auto"/>
              </w:rPr>
            </w:pPr>
            <w:r>
              <w:rPr>
                <w:rFonts w:ascii="Arial" w:cs="Arial" w:eastAsia="Arial" w:hAnsi="Arial"/>
                <w:sz w:val="3"/>
                <w:szCs w:val="3"/>
                <w:color w:val="FFFFFF"/>
              </w:rPr>
              <w:t>Cash and cash equivalents at beginning of year 5,156.7 3,819.1</w:t>
            </w: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gridSpan w:val="2"/>
          </w:tcPr>
          <w:p>
            <w:pPr>
              <w:spacing w:after="0"/>
              <w:rPr>
                <w:sz w:val="20"/>
                <w:szCs w:val="20"/>
                <w:color w:val="auto"/>
              </w:rPr>
            </w:pPr>
            <w:r>
              <w:rPr>
                <w:rFonts w:ascii="Arial" w:cs="Arial" w:eastAsia="Arial" w:hAnsi="Arial"/>
                <w:sz w:val="3"/>
                <w:szCs w:val="3"/>
                <w:color w:val="FFFFFF"/>
              </w:rPr>
              <w:t>Effect of foreign exchange rate changes, net 16.7 33.</w:t>
            </w: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20"/>
                <w:szCs w:val="20"/>
                <w:color w:val="auto"/>
              </w:rPr>
            </w:pPr>
            <w:r>
              <w:rPr>
                <w:rFonts w:ascii="Arial" w:cs="Arial" w:eastAsia="Arial" w:hAnsi="Arial"/>
                <w:sz w:val="3"/>
                <w:szCs w:val="3"/>
                <w:color w:val="FFFFFF"/>
              </w:rPr>
              <w:t>Cash and cash equivalents   end of year 10,475.4</w:t>
            </w:r>
          </w:p>
        </w:tc>
        <w:tc>
          <w:tcPr>
            <w:tcW w:w="5020" w:type="dxa"/>
            <w:vAlign w:val="bottom"/>
          </w:tcPr>
          <w:p>
            <w:pPr>
              <w:jc w:val="right"/>
              <w:ind w:right="4583"/>
              <w:spacing w:after="0"/>
              <w:rPr>
                <w:sz w:val="20"/>
                <w:szCs w:val="20"/>
                <w:color w:val="auto"/>
              </w:rPr>
            </w:pPr>
            <w:r>
              <w:rPr>
                <w:rFonts w:ascii="Arial" w:cs="Arial" w:eastAsia="Arial" w:hAnsi="Arial"/>
                <w:sz w:val="3"/>
                <w:szCs w:val="3"/>
                <w:color w:val="FFFFFF"/>
              </w:rPr>
              <w:t>5,156.7</w:t>
            </w: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20" w:type="dxa"/>
            <w:vAlign w:val="bottom"/>
          </w:tcPr>
          <w:p>
            <w:pPr>
              <w:spacing w:after="0"/>
              <w:rPr>
                <w:sz w:val="20"/>
                <w:szCs w:val="20"/>
                <w:color w:val="auto"/>
              </w:rPr>
            </w:pPr>
            <w:r>
              <w:rPr>
                <w:rFonts w:ascii="Arial" w:cs="Arial" w:eastAsia="Arial" w:hAnsi="Arial"/>
                <w:sz w:val="3"/>
                <w:szCs w:val="3"/>
                <w:color w:val="FFFFFF"/>
              </w:rPr>
              <w:t>Net cash generated from operating activities</w:t>
            </w:r>
          </w:p>
        </w:tc>
        <w:tc>
          <w:tcPr>
            <w:tcW w:w="5020" w:type="dxa"/>
            <w:vAlign w:val="bottom"/>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Our net cash generated from operating activities is primarily affected by operating profi t generated by our Macau Operations and changes in our working capital. Net cash from operating activities was HK$7.1</w:t>
            </w:r>
          </w:p>
        </w:tc>
        <w:tc>
          <w:tcPr>
            <w:tcW w:w="0" w:type="dxa"/>
            <w:vAlign w:val="bottom"/>
          </w:tcPr>
          <w:p>
            <w:pPr>
              <w:spacing w:after="0"/>
              <w:rPr>
                <w:sz w:val="1"/>
                <w:szCs w:val="1"/>
                <w:color w:val="auto"/>
              </w:rPr>
            </w:pPr>
          </w:p>
        </w:tc>
      </w:tr>
      <w:tr>
        <w:trPr>
          <w:trHeight w:val="41"/>
        </w:trPr>
        <w:tc>
          <w:tcPr>
            <w:tcW w:w="7740" w:type="dxa"/>
            <w:vAlign w:val="bottom"/>
            <w:gridSpan w:val="2"/>
          </w:tcPr>
          <w:p>
            <w:pPr>
              <w:spacing w:after="0"/>
              <w:rPr>
                <w:sz w:val="20"/>
                <w:szCs w:val="20"/>
                <w:color w:val="auto"/>
              </w:rPr>
            </w:pPr>
            <w:r>
              <w:rPr>
                <w:rFonts w:ascii="Arial" w:cs="Arial" w:eastAsia="Arial" w:hAnsi="Arial"/>
                <w:sz w:val="3"/>
                <w:szCs w:val="3"/>
                <w:color w:val="FFFFFF"/>
              </w:rPr>
              <w:t>billion   2012 compared to HK$9.4 billion in 2011.</w:t>
            </w:r>
          </w:p>
        </w:tc>
        <w:tc>
          <w:tcPr>
            <w:tcW w:w="3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gridSpan w:val="2"/>
          </w:tcPr>
          <w:p>
            <w:pPr>
              <w:spacing w:after="0"/>
              <w:rPr>
                <w:sz w:val="20"/>
                <w:szCs w:val="20"/>
                <w:color w:val="auto"/>
              </w:rPr>
            </w:pPr>
            <w:r>
              <w:rPr>
                <w:rFonts w:ascii="Arial" w:cs="Arial" w:eastAsia="Arial" w:hAnsi="Arial"/>
                <w:sz w:val="3"/>
                <w:szCs w:val="3"/>
                <w:color w:val="FFFFFF"/>
              </w:rPr>
              <w:t>Operating pro? t was HK$6.7 billion in 2012 compared to HK$6.0 billion in 2011.</w:t>
            </w:r>
          </w:p>
        </w:tc>
        <w:tc>
          <w:tcPr>
            <w:tcW w:w="3580" w:type="dxa"/>
            <w:vAlign w:val="bottom"/>
            <w:vMerge w:val="restart"/>
          </w:tcPr>
          <w:p>
            <w:pPr>
              <w:ind w:left="200"/>
              <w:spacing w:after="0" w:line="122" w:lineRule="exact"/>
              <w:rPr>
                <w:sz w:val="20"/>
                <w:szCs w:val="20"/>
                <w:color w:val="auto"/>
              </w:rPr>
            </w:pPr>
            <w:r>
              <w:rPr>
                <w:rFonts w:ascii="Arial" w:cs="Arial" w:eastAsia="Arial" w:hAnsi="Arial"/>
                <w:sz w:val="14"/>
                <w:szCs w:val="14"/>
                <w:color w:val="FFFFFF"/>
                <w:w w:val="92"/>
              </w:rPr>
              <w:t>capital expenditures of HK$1.1 billion related to Cotai Land</w:t>
            </w:r>
          </w:p>
        </w:tc>
        <w:tc>
          <w:tcPr>
            <w:tcW w:w="0" w:type="dxa"/>
            <w:vAlign w:val="bottom"/>
          </w:tcPr>
          <w:p>
            <w:pPr>
              <w:spacing w:after="0"/>
              <w:rPr>
                <w:sz w:val="1"/>
                <w:szCs w:val="1"/>
                <w:color w:val="auto"/>
              </w:rPr>
            </w:pPr>
          </w:p>
        </w:tc>
      </w:tr>
      <w:tr>
        <w:trPr>
          <w:trHeight w:val="81"/>
        </w:trPr>
        <w:tc>
          <w:tcPr>
            <w:tcW w:w="7740" w:type="dxa"/>
            <w:vAlign w:val="bottom"/>
            <w:gridSpan w:val="2"/>
          </w:tcPr>
          <w:p>
            <w:pPr>
              <w:spacing w:after="0" w:line="81" w:lineRule="exact"/>
              <w:rPr>
                <w:sz w:val="20"/>
                <w:szCs w:val="20"/>
                <w:color w:val="auto"/>
              </w:rPr>
            </w:pPr>
            <w:r>
              <w:rPr>
                <w:rFonts w:ascii="Arial" w:cs="Arial" w:eastAsia="Arial" w:hAnsi="Arial"/>
                <w:sz w:val="9"/>
                <w:szCs w:val="9"/>
                <w:color w:val="FFFFFF"/>
              </w:rPr>
              <w:t>Net cash used in investing activities was HK$2.1 billion in 2012, compared to HK$1.5 billion in 2011. Major expenditures made in 2012</w:t>
            </w: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0"/>
        </w:trPr>
        <w:tc>
          <w:tcPr>
            <w:tcW w:w="7740" w:type="dxa"/>
            <w:vAlign w:val="bottom"/>
            <w:gridSpan w:val="2"/>
          </w:tcPr>
          <w:p>
            <w:pPr>
              <w:spacing w:after="0" w:line="121" w:lineRule="exact"/>
              <w:rPr>
                <w:sz w:val="20"/>
                <w:szCs w:val="20"/>
                <w:color w:val="auto"/>
              </w:rPr>
            </w:pPr>
            <w:r>
              <w:rPr>
                <w:rFonts w:ascii="Arial" w:cs="Arial" w:eastAsia="Arial" w:hAnsi="Arial"/>
                <w:sz w:val="12"/>
                <w:szCs w:val="12"/>
                <w:color w:val="FFFFFF"/>
              </w:rPr>
              <w:t>improvement costs and renovations to enhance and refi ne the Macau Operations and a HK$389.0 million payment to an unrelated third party</w:t>
            </w:r>
          </w:p>
        </w:tc>
        <w:tc>
          <w:tcPr>
            <w:tcW w:w="3580" w:type="dxa"/>
            <w:vAlign w:val="bottom"/>
          </w:tcPr>
          <w:p>
            <w:pPr>
              <w:ind w:left="100"/>
              <w:spacing w:after="0" w:line="121" w:lineRule="exact"/>
              <w:rPr>
                <w:sz w:val="20"/>
                <w:szCs w:val="20"/>
                <w:color w:val="auto"/>
              </w:rPr>
            </w:pPr>
            <w:r>
              <w:rPr>
                <w:rFonts w:ascii="Arial" w:cs="Arial" w:eastAsia="Arial" w:hAnsi="Arial"/>
                <w:sz w:val="12"/>
                <w:szCs w:val="12"/>
                <w:color w:val="FFFFFF"/>
              </w:rPr>
              <w:t>consideration of that party’s relinquishment of certain rights in</w:t>
            </w:r>
          </w:p>
        </w:tc>
        <w:tc>
          <w:tcPr>
            <w:tcW w:w="0" w:type="dxa"/>
            <w:vAlign w:val="bottom"/>
          </w:tcPr>
          <w:p>
            <w:pPr>
              <w:spacing w:after="0" w:line="20" w:lineRule="exact"/>
              <w:rPr>
                <w:sz w:val="1"/>
                <w:szCs w:val="1"/>
                <w:color w:val="auto"/>
              </w:rPr>
            </w:pPr>
          </w:p>
        </w:tc>
      </w:tr>
    </w:tbl>
    <w:p>
      <w:pPr>
        <w:spacing w:after="0" w:line="191" w:lineRule="auto"/>
        <w:rPr>
          <w:sz w:val="20"/>
          <w:szCs w:val="20"/>
          <w:color w:val="auto"/>
        </w:rPr>
      </w:pPr>
      <w:r>
        <w:rPr>
          <w:rFonts w:ascii="Arial" w:cs="Arial" w:eastAsia="Arial" w:hAnsi="Arial"/>
          <w:sz w:val="11"/>
          <w:szCs w:val="11"/>
          <w:color w:val="FFFFFF"/>
        </w:rPr>
        <w:t>and to any future development of the Cotai Land. Major expenditures made in 2011 included the purchase of debt securities denominated includedoffshore RMB amounting to HK$518.7 million, the down payment of HK$485.4 million made in December 2011 with respect to the Cotai Land premium and capital expenditures of HK$445.3 million related primarily to renovation projects to enhance and refi ne the Macau operations.</w:t>
      </w:r>
    </w:p>
    <w:p>
      <w:pPr>
        <w:sectPr>
          <w:pgSz w:w="11900" w:h="16838" w:orient="portrait"/>
          <w:cols w:equalWidth="0" w:num="1">
            <w:col w:w="11360"/>
          </w:cols>
          <w:pgMar w:left="240" w:top="1440" w:right="29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20"/>
                <w:szCs w:val="20"/>
                <w:color w:val="auto"/>
              </w:rPr>
            </w:pPr>
            <w:r>
              <w:rPr>
                <w:rFonts w:ascii="Arial" w:cs="Arial" w:eastAsia="Arial" w:hAnsi="Arial"/>
                <w:sz w:val="14"/>
                <w:szCs w:val="14"/>
                <w:color w:val="FFFFFF"/>
              </w:rPr>
              <w:t>Annual Report 2012 21</w:t>
            </w: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74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ind w:left="800"/>
              <w:spacing w:after="0"/>
              <w:rPr>
                <w:sz w:val="20"/>
                <w:szCs w:val="20"/>
                <w:color w:val="auto"/>
              </w:rPr>
            </w:pPr>
            <w:r>
              <w:rPr>
                <w:rFonts w:ascii="Arial" w:cs="Arial" w:eastAsia="Arial" w:hAnsi="Arial"/>
                <w:sz w:val="3"/>
                <w:szCs w:val="3"/>
                <w:color w:val="FFFFFF"/>
              </w:rPr>
              <w:t>(used in) ? nancing activities</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Net cash from ? nancing activities was HK$299.0 million during 2012 compared to HK$6.6 billion net cash used in fi nancing activities during 2011. The increase in cash from ? nancing activities was due to the</w:t>
            </w: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line="41" w:lineRule="exact"/>
              <w:rPr>
                <w:sz w:val="20"/>
                <w:szCs w:val="20"/>
                <w:color w:val="auto"/>
              </w:rPr>
            </w:pPr>
            <w:r>
              <w:rPr>
                <w:rFonts w:ascii="Arial" w:cs="Arial" w:eastAsia="Arial" w:hAnsi="Arial"/>
                <w:sz w:val="4"/>
                <w:szCs w:val="4"/>
                <w:color w:val="FFFFFF"/>
                <w:vertAlign w:val="subscript"/>
              </w:rPr>
              <w:t>HK201$1.</w:t>
            </w:r>
            <w:r>
              <w:rPr>
                <w:rFonts w:ascii="Arial" w:cs="Arial" w:eastAsia="Arial" w:hAnsi="Arial"/>
                <w:sz w:val="2"/>
                <w:szCs w:val="2"/>
                <w:color w:val="FFFFFF"/>
              </w:rPr>
              <w:t>.0 billion net proceeds from the refi nancing of the Wynn Macau Credit Facility in July 2012. In addition, no dividend was paid in 2012 compared to the HK$6.2 billion special dividend payment made in</w:t>
            </w:r>
          </w:p>
        </w:tc>
        <w:tc>
          <w:tcPr>
            <w:tcW w:w="0" w:type="dxa"/>
            <w:vAlign w:val="bottom"/>
          </w:tcPr>
          <w:p>
            <w:pPr>
              <w:spacing w:after="0"/>
              <w:rPr>
                <w:sz w:val="1"/>
                <w:szCs w:val="1"/>
                <w:color w:val="auto"/>
              </w:rPr>
            </w:pPr>
          </w:p>
        </w:tc>
      </w:tr>
      <w:tr>
        <w:trPr>
          <w:trHeight w:val="81"/>
        </w:trPr>
        <w:tc>
          <w:tcPr>
            <w:tcW w:w="7740" w:type="dxa"/>
            <w:vAlign w:val="bottom"/>
          </w:tcPr>
          <w:p>
            <w:pPr>
              <w:spacing w:after="0" w:line="81" w:lineRule="exact"/>
              <w:rPr>
                <w:sz w:val="20"/>
                <w:szCs w:val="20"/>
                <w:color w:val="auto"/>
              </w:rPr>
            </w:pPr>
            <w:r>
              <w:rPr>
                <w:rFonts w:ascii="Arial" w:cs="Arial" w:eastAsia="Arial" w:hAnsi="Arial"/>
                <w:sz w:val="9"/>
                <w:szCs w:val="9"/>
                <w:color w:val="FFFFFF"/>
              </w:rPr>
              <w:t>Indebtedness</w:t>
            </w:r>
          </w:p>
        </w:tc>
        <w:tc>
          <w:tcPr>
            <w:tcW w:w="3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7740" w:type="dxa"/>
            <w:vAlign w:val="bottom"/>
          </w:tcPr>
          <w:p>
            <w:pPr>
              <w:spacing w:after="0"/>
              <w:rPr>
                <w:sz w:val="20"/>
                <w:szCs w:val="20"/>
                <w:color w:val="auto"/>
              </w:rPr>
            </w:pPr>
            <w:r>
              <w:rPr>
                <w:rFonts w:ascii="Arial" w:cs="Arial" w:eastAsia="Arial" w:hAnsi="Arial"/>
                <w:sz w:val="3"/>
                <w:szCs w:val="3"/>
                <w:color w:val="FFFFFF"/>
              </w:rPr>
              <w:t>The following table presents a summary of our indebtedness as at 31 December 2012 and 2011.</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spacing w:after="0"/>
              <w:rPr>
                <w:sz w:val="20"/>
                <w:szCs w:val="20"/>
                <w:color w:val="auto"/>
              </w:rPr>
            </w:pPr>
            <w:r>
              <w:rPr>
                <w:rFonts w:ascii="Arial" w:cs="Arial" w:eastAsia="Arial" w:hAnsi="Arial"/>
                <w:sz w:val="3"/>
                <w:szCs w:val="3"/>
                <w:color w:val="FFFFFF"/>
              </w:rPr>
              <w:t>Indebtedness information</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spacing w:after="0"/>
              <w:rPr>
                <w:sz w:val="20"/>
                <w:szCs w:val="20"/>
                <w:color w:val="auto"/>
              </w:rPr>
            </w:pPr>
            <w:r>
              <w:rPr>
                <w:rFonts w:ascii="Arial" w:cs="Arial" w:eastAsia="Arial" w:hAnsi="Arial"/>
                <w:sz w:val="3"/>
                <w:szCs w:val="3"/>
                <w:color w:val="FFFFFF"/>
              </w:rPr>
              <w:t>As at 31 December</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spacing w:after="0"/>
              <w:rPr>
                <w:sz w:val="20"/>
                <w:szCs w:val="20"/>
                <w:color w:val="auto"/>
              </w:rPr>
            </w:pPr>
            <w:r>
              <w:rPr>
                <w:rFonts w:ascii="Arial" w:cs="Arial" w:eastAsia="Arial" w:hAnsi="Arial"/>
                <w:sz w:val="3"/>
                <w:szCs w:val="3"/>
                <w:color w:val="FFFFFF"/>
              </w:rPr>
              <w:t>2012 2011</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spacing w:after="0"/>
              <w:rPr>
                <w:sz w:val="20"/>
                <w:szCs w:val="20"/>
                <w:color w:val="auto"/>
              </w:rPr>
            </w:pPr>
            <w:r>
              <w:rPr>
                <w:rFonts w:ascii="Arial" w:cs="Arial" w:eastAsia="Arial" w:hAnsi="Arial"/>
                <w:sz w:val="3"/>
                <w:szCs w:val="3"/>
                <w:color w:val="FFFFFF"/>
              </w:rPr>
              <w:t>HK$ HK$</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spacing w:after="0"/>
              <w:rPr>
                <w:sz w:val="20"/>
                <w:szCs w:val="20"/>
                <w:color w:val="auto"/>
              </w:rPr>
            </w:pPr>
            <w:r>
              <w:rPr>
                <w:rFonts w:ascii="Arial" w:cs="Arial" w:eastAsia="Arial" w:hAnsi="Arial"/>
                <w:sz w:val="3"/>
                <w:szCs w:val="3"/>
                <w:color w:val="FFFFFF"/>
              </w:rPr>
              <w:t>(in thousands)</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ind w:left="400"/>
              <w:spacing w:after="0"/>
              <w:rPr>
                <w:sz w:val="20"/>
                <w:szCs w:val="20"/>
                <w:color w:val="auto"/>
              </w:rPr>
            </w:pPr>
            <w:r>
              <w:rPr>
                <w:rFonts w:ascii="Arial" w:cs="Arial" w:eastAsia="Arial" w:hAnsi="Arial"/>
                <w:sz w:val="3"/>
                <w:szCs w:val="3"/>
                <w:color w:val="FFFFFF"/>
              </w:rPr>
              <w:t>revolving credit facility — 1,168,844</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spacing w:after="0"/>
              <w:rPr>
                <w:sz w:val="20"/>
                <w:szCs w:val="20"/>
                <w:color w:val="auto"/>
              </w:rPr>
            </w:pPr>
            <w:r>
              <w:rPr>
                <w:rFonts w:ascii="Arial" w:cs="Arial" w:eastAsia="Arial" w:hAnsi="Arial"/>
                <w:sz w:val="3"/>
                <w:szCs w:val="3"/>
                <w:color w:val="FFFFFF"/>
              </w:rPr>
              <w:t>Senior term loan facility 5,838,167  ,708,975</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spacing w:after="0"/>
              <w:rPr>
                <w:sz w:val="20"/>
                <w:szCs w:val="20"/>
                <w:color w:val="auto"/>
              </w:rPr>
            </w:pPr>
            <w:r>
              <w:rPr>
                <w:rFonts w:ascii="Arial" w:cs="Arial" w:eastAsia="Arial" w:hAnsi="Arial"/>
                <w:sz w:val="3"/>
                <w:szCs w:val="3"/>
                <w:color w:val="FFFFFF"/>
              </w:rPr>
              <w:t>Less: debt ?nancing costs, net (344,397) (74,353)</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ind w:left="80"/>
              <w:spacing w:after="0"/>
              <w:rPr>
                <w:sz w:val="20"/>
                <w:szCs w:val="20"/>
                <w:color w:val="auto"/>
              </w:rPr>
            </w:pPr>
            <w:r>
              <w:rPr>
                <w:rFonts w:ascii="Arial" w:cs="Arial" w:eastAsia="Arial" w:hAnsi="Arial"/>
                <w:sz w:val="3"/>
                <w:szCs w:val="3"/>
                <w:color w:val="FFFFFF"/>
              </w:rPr>
              <w:t>otal interest-bearing bank loans, net 5,493,770 4,803,466</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spacing w:after="0"/>
              <w:rPr>
                <w:sz w:val="20"/>
                <w:szCs w:val="20"/>
                <w:color w:val="auto"/>
              </w:rPr>
            </w:pPr>
            <w:r>
              <w:rPr>
                <w:rFonts w:ascii="Arial" w:cs="Arial" w:eastAsia="Arial" w:hAnsi="Arial"/>
                <w:sz w:val="3"/>
                <w:szCs w:val="3"/>
                <w:color w:val="FFFFFF"/>
              </w:rPr>
              <w:t>The Group had approximately HK$12.1 billion available to draw under the Amended Wynn Macau Credit Facilities as at 31 December 2012.</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spacing w:after="0"/>
              <w:rPr>
                <w:sz w:val="20"/>
                <w:szCs w:val="20"/>
                <w:color w:val="auto"/>
              </w:rPr>
            </w:pPr>
            <w:r>
              <w:rPr>
                <w:rFonts w:ascii="Arial" w:cs="Arial" w:eastAsia="Arial" w:hAnsi="Arial"/>
                <w:sz w:val="3"/>
                <w:szCs w:val="3"/>
                <w:color w:val="FFFFFF"/>
              </w:rPr>
              <w:t>Wynn Macau Credit Facilities</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740" w:type="dxa"/>
            <w:vAlign w:val="bottom"/>
          </w:tcPr>
          <w:p>
            <w:pPr>
              <w:spacing w:after="0"/>
              <w:rPr>
                <w:sz w:val="20"/>
                <w:szCs w:val="20"/>
                <w:color w:val="auto"/>
              </w:rPr>
            </w:pPr>
            <w:r>
              <w:rPr>
                <w:rFonts w:ascii="Arial" w:cs="Arial" w:eastAsia="Arial" w:hAnsi="Arial"/>
                <w:sz w:val="3"/>
                <w:szCs w:val="3"/>
                <w:color w:val="FFFFFF"/>
              </w:rPr>
              <w:t>Overview</w:t>
            </w:r>
          </w:p>
        </w:tc>
        <w:tc>
          <w:tcPr>
            <w:tcW w:w="3660" w:type="dxa"/>
            <w:vAlign w:val="bottom"/>
            <w:vMerge w:val="restart"/>
          </w:tcPr>
          <w:p>
            <w:pPr>
              <w:ind w:left="80"/>
              <w:spacing w:after="0"/>
              <w:rPr>
                <w:sz w:val="20"/>
                <w:szCs w:val="20"/>
                <w:color w:val="auto"/>
              </w:rPr>
            </w:pPr>
            <w:r>
              <w:rPr>
                <w:rFonts w:ascii="Arial" w:cs="Arial" w:eastAsia="Arial" w:hAnsi="Arial"/>
                <w:sz w:val="3"/>
                <w:szCs w:val="3"/>
                <w:color w:val="FFFFFF"/>
              </w:rPr>
              <w:t>including a HK$5.8 billion fully funded senior term loan facility</w:t>
            </w:r>
          </w:p>
        </w:tc>
        <w:tc>
          <w:tcPr>
            <w:tcW w:w="0" w:type="dxa"/>
            <w:vAlign w:val="bottom"/>
          </w:tcPr>
          <w:p>
            <w:pPr>
              <w:spacing w:after="0"/>
              <w:rPr>
                <w:sz w:val="1"/>
                <w:szCs w:val="1"/>
                <w:color w:val="auto"/>
              </w:rPr>
            </w:pPr>
          </w:p>
        </w:tc>
      </w:tr>
      <w:tr>
        <w:trPr>
          <w:trHeight w:val="0"/>
        </w:trPr>
        <w:tc>
          <w:tcPr>
            <w:tcW w:w="7740" w:type="dxa"/>
            <w:vAlign w:val="bottom"/>
          </w:tcPr>
          <w:p>
            <w:pPr>
              <w:spacing w:after="0" w:line="80" w:lineRule="exact"/>
              <w:rPr>
                <w:sz w:val="20"/>
                <w:szCs w:val="20"/>
                <w:color w:val="auto"/>
              </w:rPr>
            </w:pPr>
            <w:r>
              <w:rPr>
                <w:rFonts w:ascii="Arial" w:cs="Arial" w:eastAsia="Arial" w:hAnsi="Arial"/>
                <w:sz w:val="9"/>
                <w:szCs w:val="9"/>
                <w:color w:val="FFFFFF"/>
              </w:rPr>
              <w:t>As at 31 December 2012, WRM’s credit facilities consisted of HK$17.9 billion in a combination of Hong Kong dollar and U.S. dollar</w:t>
            </w:r>
          </w:p>
        </w:tc>
        <w:tc>
          <w:tcPr>
            <w:tcW w:w="3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80"/>
        <w:spacing w:after="0" w:line="187" w:lineRule="auto"/>
        <w:rPr>
          <w:sz w:val="20"/>
          <w:szCs w:val="20"/>
          <w:color w:val="auto"/>
        </w:rPr>
      </w:pPr>
      <w:r>
        <w:rPr>
          <w:rFonts w:ascii="Arial" w:cs="Arial" w:eastAsia="Arial" w:hAnsi="Arial"/>
          <w:sz w:val="9"/>
          <w:szCs w:val="9"/>
          <w:color w:val="FFFFFF"/>
        </w:rPr>
        <w:t>and a HK$12.1 billion senior revolving credit facility. The facilities, specifi cally the fully funded term loan, were used to re? nance WRM’facilities,existing indebtedness. Future borrowings under the facilities may be used for a variety of purposes, including investment in our Cotai project, further enhancements at our resort, and general corporate purposes.</w:t>
      </w:r>
    </w:p>
    <w:p>
      <w:pPr>
        <w:sectPr>
          <w:pgSz w:w="11900" w:h="16838" w:orient="portrait"/>
          <w:cols w:equalWidth="0" w:num="1">
            <w:col w:w="11400"/>
          </w:cols>
          <w:pgMar w:left="240" w:top="1440" w:right="259" w:bottom="1440"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Management22WynnMacau,DiscussionLimitedand Analysis</w:t>
      </w:r>
    </w:p>
    <w:p>
      <w:pPr>
        <w:ind w:right="120"/>
        <w:spacing w:after="0" w:line="187" w:lineRule="auto"/>
        <w:rPr>
          <w:sz w:val="20"/>
          <w:szCs w:val="20"/>
          <w:color w:val="auto"/>
        </w:rPr>
      </w:pPr>
      <w:r>
        <w:rPr>
          <w:rFonts w:ascii="Arial" w:cs="Arial" w:eastAsia="Arial" w:hAnsi="Arial"/>
          <w:sz w:val="9"/>
          <w:szCs w:val="9"/>
          <w:color w:val="FFFFFF"/>
        </w:rPr>
        <w:t>As at 31 December 2012, the senior revolving credit facility was undrawn, and we had total bank borrowings under the senior term loan facility of HK$5.8 billion, of which HK$1.9 billion was denominated in U.S. dollars and HK$3.9 billion was denominated in Hong Kong dollars.</w:t>
      </w:r>
    </w:p>
    <w:p>
      <w:pPr>
        <w:ind w:right="200"/>
        <w:spacing w:after="0" w:line="187" w:lineRule="auto"/>
        <w:rPr>
          <w:sz w:val="20"/>
          <w:szCs w:val="20"/>
          <w:color w:val="auto"/>
        </w:rPr>
      </w:pPr>
      <w:r>
        <w:rPr>
          <w:rFonts w:ascii="Arial" w:cs="Arial" w:eastAsia="Arial" w:hAnsi="Arial"/>
          <w:sz w:val="9"/>
          <w:szCs w:val="9"/>
          <w:color w:val="FFFFFF"/>
        </w:rPr>
        <w:t>The term loans under the previous Wynn Macau Credit Facilities had June 2014 maturities, but were re? nanced as part of the Amended Wynn Macau Credit Facilities. The revolving loans under the previous Wynn Macau Credit Facilities matured in June 2012.</w:t>
      </w:r>
    </w:p>
    <w:p>
      <w:pPr>
        <w:spacing w:after="0"/>
        <w:rPr>
          <w:sz w:val="20"/>
          <w:szCs w:val="20"/>
          <w:color w:val="auto"/>
        </w:rPr>
      </w:pPr>
      <w:r>
        <w:rPr>
          <w:rFonts w:ascii="Arial" w:cs="Arial" w:eastAsia="Arial" w:hAnsi="Arial"/>
          <w:sz w:val="6"/>
          <w:szCs w:val="6"/>
          <w:color w:val="FFFFFF"/>
        </w:rPr>
        <w:t xml:space="preserve">On 31 July 2012, WRM entered into the Amended Wynn Macau Credit Facilities and appointed Bank of China Limited, Macau Branch as facilities agent, intercreditor agent and security agent. The Amended Wynn Macau Credit Facilities and related agreements took effect on 31 July 2012 and expanded availability under WRM’s senior bank facility to US$2.3 billion equivalent (approximately HK$17.9 billion), </w:t>
      </w:r>
      <w:r>
        <w:rPr>
          <w:rFonts w:ascii="Arial" w:cs="Arial" w:eastAsia="Arial" w:hAnsi="Arial"/>
          <w:sz w:val="7"/>
          <w:szCs w:val="7"/>
          <w:color w:val="FFFFFF"/>
          <w:vertAlign w:val="subscript"/>
        </w:rPr>
        <w:t>consisting</w:t>
      </w:r>
      <w:r>
        <w:rPr>
          <w:rFonts w:ascii="Arial" w:cs="Arial" w:eastAsia="Arial" w:hAnsi="Arial"/>
          <w:sz w:val="6"/>
          <w:szCs w:val="6"/>
          <w:color w:val="FFFFFF"/>
        </w:rPr>
        <w:t xml:space="preserve"> of </w:t>
      </w:r>
      <w:r>
        <w:rPr>
          <w:rFonts w:ascii="Arial" w:cs="Arial" w:eastAsia="Arial" w:hAnsi="Arial"/>
          <w:sz w:val="7"/>
          <w:szCs w:val="7"/>
          <w:color w:val="FFFFFF"/>
          <w:vertAlign w:val="subscript"/>
        </w:rPr>
        <w:t>an</w:t>
      </w:r>
      <w:r>
        <w:rPr>
          <w:rFonts w:ascii="Arial" w:cs="Arial" w:eastAsia="Arial" w:hAnsi="Arial"/>
          <w:sz w:val="6"/>
          <w:szCs w:val="6"/>
          <w:color w:val="FFFFFF"/>
        </w:rPr>
        <w:t xml:space="preserve">US$750 million equivalent (approximately HK$5.8 billion) fully funded senior term loan facility and a US$1.55 billion equivalent (approximately HK$12.1 billion) senior revolving credit facility. </w:t>
      </w:r>
      <w:r>
        <w:rPr>
          <w:rFonts w:ascii="Arial" w:cs="Arial" w:eastAsia="Arial" w:hAnsi="Arial"/>
          <w:sz w:val="7"/>
          <w:szCs w:val="7"/>
          <w:color w:val="FFFFFF"/>
          <w:vertAlign w:val="superscript"/>
        </w:rPr>
        <w:t>The</w:t>
      </w:r>
      <w:r>
        <w:rPr>
          <w:rFonts w:ascii="Arial" w:cs="Arial" w:eastAsia="Arial" w:hAnsi="Arial"/>
          <w:sz w:val="6"/>
          <w:szCs w:val="6"/>
          <w:color w:val="FFFFFF"/>
        </w:rPr>
        <w:t>re also option to upsize the total senior secured facilities by an additional US$200 million (approxim</w:t>
      </w:r>
      <w:r>
        <w:rPr>
          <w:rFonts w:ascii="Arial" w:cs="Arial" w:eastAsia="Arial" w:hAnsi="Arial"/>
          <w:sz w:val="7"/>
          <w:szCs w:val="7"/>
          <w:color w:val="FFFFFF"/>
          <w:vertAlign w:val="superscript"/>
        </w:rPr>
        <w:t>equal</w:t>
      </w:r>
      <w:r>
        <w:rPr>
          <w:rFonts w:ascii="Arial" w:cs="Arial" w:eastAsia="Arial" w:hAnsi="Arial"/>
          <w:sz w:val="6"/>
          <w:szCs w:val="6"/>
          <w:color w:val="FFFFFF"/>
        </w:rPr>
        <w:t>tely HK$1.6 billion) under the Amended Wynn Macau Credit Facilities.</w:t>
      </w:r>
    </w:p>
    <w:p>
      <w:pPr>
        <w:ind w:left="260"/>
        <w:spacing w:after="0"/>
        <w:tabs>
          <w:tab w:leader="none" w:pos="6040" w:val="left"/>
        </w:tabs>
        <w:rPr>
          <w:sz w:val="20"/>
          <w:szCs w:val="20"/>
          <w:color w:val="auto"/>
        </w:rPr>
      </w:pPr>
      <w:r>
        <w:rPr>
          <w:rFonts w:ascii="Arial" w:cs="Arial" w:eastAsia="Arial" w:hAnsi="Arial"/>
          <w:sz w:val="2"/>
          <w:szCs w:val="2"/>
          <w:color w:val="FFFFFF"/>
        </w:rPr>
        <w:t>term loan facility matures</w:t>
      </w:r>
      <w:r>
        <w:rPr>
          <w:rFonts w:ascii="Arial" w:cs="Arial" w:eastAsia="Arial" w:hAnsi="Arial"/>
          <w:sz w:val="4"/>
          <w:szCs w:val="4"/>
          <w:color w:val="FFFFFF"/>
          <w:vertAlign w:val="subscript"/>
        </w:rPr>
        <w:t>outstanding</w:t>
      </w:r>
      <w:r>
        <w:rPr>
          <w:rFonts w:ascii="Arial" w:cs="Arial" w:eastAsia="Arial" w:hAnsi="Arial"/>
          <w:sz w:val="2"/>
          <w:szCs w:val="2"/>
          <w:color w:val="FFFFFF"/>
        </w:rPr>
        <w:t>July 2018 with the principal amount of the term loan to be repaid in two</w:t>
      </w:r>
      <w:r>
        <w:rPr>
          <w:sz w:val="20"/>
          <w:szCs w:val="20"/>
          <w:color w:val="auto"/>
        </w:rPr>
        <w:tab/>
      </w:r>
      <w:r>
        <w:rPr>
          <w:rFonts w:ascii="Arial" w:cs="Arial" w:eastAsia="Arial" w:hAnsi="Arial"/>
          <w:sz w:val="3"/>
          <w:szCs w:val="3"/>
          <w:color w:val="FFFFFF"/>
        </w:rPr>
        <w:t>installments in July 2017 and July 2018. The ? nal maturity for the revolving credit facility is July</w:t>
      </w:r>
    </w:p>
    <w:p>
      <w:pPr>
        <w:ind w:right="240"/>
        <w:spacing w:after="0" w:line="181" w:lineRule="auto"/>
        <w:rPr>
          <w:sz w:val="20"/>
          <w:szCs w:val="20"/>
          <w:color w:val="auto"/>
        </w:rPr>
      </w:pPr>
      <w:r>
        <w:rPr>
          <w:rFonts w:ascii="Arial" w:cs="Arial" w:eastAsia="Arial" w:hAnsi="Arial"/>
          <w:sz w:val="7"/>
          <w:szCs w:val="7"/>
          <w:color w:val="FFFFFF"/>
        </w:rPr>
        <w:t>2017, by which date any revolving loans must be repaid. The senior secured facilities will bear interest for the ? rst six months after closing at LIBOR or HIBOR plus a margin of 2.50% and thereafter will be subject to LIBOR or HIBOR plus a margin of between 1.75% to 2.50 % based on WRM’s leverage ratio. Customary fees and expenses were paid by WRM in connection with the Amended Wynn Macau Credit Facilities.</w:t>
      </w:r>
    </w:p>
    <w:p>
      <w:pPr>
        <w:spacing w:after="0"/>
        <w:rPr>
          <w:sz w:val="20"/>
          <w:szCs w:val="20"/>
          <w:color w:val="auto"/>
        </w:rPr>
      </w:pPr>
      <w:r>
        <w:rPr>
          <w:rFonts w:ascii="Arial" w:cs="Arial" w:eastAsia="Arial" w:hAnsi="Arial"/>
          <w:sz w:val="3"/>
          <w:szCs w:val="3"/>
          <w:color w:val="FFFFFF"/>
        </w:rPr>
        <w:t>Security and Guarantees</w:t>
      </w:r>
    </w:p>
    <w:p>
      <w:pPr>
        <w:spacing w:after="0" w:line="6" w:lineRule="exact"/>
        <w:rPr>
          <w:sz w:val="20"/>
          <w:szCs w:val="20"/>
          <w:color w:val="auto"/>
        </w:rPr>
      </w:pPr>
    </w:p>
    <w:p>
      <w:pPr>
        <w:jc w:val="both"/>
        <w:ind w:right="160"/>
        <w:spacing w:after="0"/>
        <w:rPr>
          <w:sz w:val="20"/>
          <w:szCs w:val="20"/>
          <w:color w:val="auto"/>
        </w:rPr>
      </w:pPr>
      <w:r>
        <w:rPr>
          <w:rFonts w:ascii="Arial" w:cs="Arial" w:eastAsia="Arial" w:hAnsi="Arial"/>
          <w:sz w:val="9"/>
          <w:szCs w:val="9"/>
          <w:color w:val="FFFFFF"/>
        </w:rPr>
        <w:t>Borrowings under the Amended Wynn Macau Credit Facilities are guaranteed by Palo and by certain subsidiaries of the Company that own equity interests in WRM, and are secured by substantially all of the assets of WRM, the equity interests in WRM and, substantially all of the assets of Palo. With respect to the Concession Agreement and WRM’s land concession agreement, the WRM lenders have certain cure rights and consultation rights with the Macau government upon an enforcement by the lenders.</w:t>
      </w:r>
    </w:p>
    <w:p>
      <w:pPr>
        <w:sectPr>
          <w:pgSz w:w="11900" w:h="16838" w:orient="portrait"/>
          <w:cols w:equalWidth="0" w:num="1">
            <w:col w:w="11400"/>
          </w:cols>
          <w:pgMar w:left="240" w:top="1440" w:right="2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20"/>
                <w:szCs w:val="20"/>
                <w:color w:val="auto"/>
              </w:rPr>
            </w:pPr>
            <w:r>
              <w:rPr>
                <w:rFonts w:ascii="Arial" w:cs="Arial" w:eastAsia="Arial" w:hAnsi="Arial"/>
                <w:sz w:val="14"/>
                <w:szCs w:val="14"/>
                <w:color w:val="FFFFFF"/>
              </w:rPr>
              <w:t>Annual Report 2012 23</w:t>
            </w:r>
          </w:p>
        </w:tc>
        <w:tc>
          <w:tcPr>
            <w:tcW w:w="4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48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43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80" w:type="dxa"/>
            <w:vAlign w:val="bottom"/>
          </w:tcPr>
          <w:p>
            <w:pPr>
              <w:spacing w:after="0"/>
              <w:rPr>
                <w:sz w:val="20"/>
                <w:szCs w:val="20"/>
                <w:color w:val="auto"/>
              </w:rPr>
            </w:pPr>
            <w:r>
              <w:rPr>
                <w:rFonts w:ascii="Arial" w:cs="Arial" w:eastAsia="Arial" w:hAnsi="Arial"/>
                <w:sz w:val="3"/>
                <w:szCs w:val="3"/>
                <w:color w:val="FFFFFF"/>
              </w:rPr>
              <w:t>Second Ranking Lender</w:t>
            </w:r>
          </w:p>
        </w:tc>
        <w:tc>
          <w:tcPr>
            <w:tcW w:w="43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WRM is also party to  bank guarantee reimbursement agreement with Banco National Ultramarino S.A. to secure a guarantee in favor of the Macau government as required under the Concession Agreement.</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 amount of this guarantee is MOP300 million (approximately HK$291.3 million) and  lasts until 180 days after the end of the term of the Concession Agreement. The guarantee assures WRM’s performance</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under the Concession Agreement, including the payment of certain premiums, fi nes and indemnities for breach. The guarantee is secured by a second priority security interest in the same collateral package</w:t>
            </w:r>
          </w:p>
        </w:tc>
        <w:tc>
          <w:tcPr>
            <w:tcW w:w="0" w:type="dxa"/>
            <w:vAlign w:val="bottom"/>
          </w:tcPr>
          <w:p>
            <w:pPr>
              <w:spacing w:after="0"/>
              <w:rPr>
                <w:sz w:val="1"/>
                <w:szCs w:val="1"/>
                <w:color w:val="auto"/>
              </w:rPr>
            </w:pPr>
          </w:p>
        </w:tc>
      </w:tr>
      <w:tr>
        <w:trPr>
          <w:trHeight w:val="41"/>
        </w:trPr>
        <w:tc>
          <w:tcPr>
            <w:tcW w:w="5480" w:type="dxa"/>
            <w:vAlign w:val="bottom"/>
          </w:tcPr>
          <w:p>
            <w:pPr>
              <w:spacing w:after="0"/>
              <w:rPr>
                <w:sz w:val="20"/>
                <w:szCs w:val="20"/>
                <w:color w:val="auto"/>
              </w:rPr>
            </w:pPr>
            <w:r>
              <w:rPr>
                <w:rFonts w:ascii="Arial" w:cs="Arial" w:eastAsia="Arial" w:hAnsi="Arial"/>
                <w:sz w:val="3"/>
                <w:szCs w:val="3"/>
                <w:color w:val="FFFFFF"/>
              </w:rPr>
              <w:t>securing the Amended Wynn Macau Credit Facilities.</w:t>
            </w:r>
          </w:p>
        </w:tc>
        <w:tc>
          <w:tcPr>
            <w:tcW w:w="43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80" w:type="dxa"/>
            <w:vAlign w:val="bottom"/>
          </w:tcPr>
          <w:p>
            <w:pPr>
              <w:spacing w:after="0"/>
              <w:rPr>
                <w:sz w:val="20"/>
                <w:szCs w:val="20"/>
                <w:color w:val="auto"/>
              </w:rPr>
            </w:pPr>
            <w:r>
              <w:rPr>
                <w:rFonts w:ascii="Arial" w:cs="Arial" w:eastAsia="Arial" w:hAnsi="Arial"/>
                <w:sz w:val="3"/>
                <w:szCs w:val="3"/>
                <w:color w:val="FFFFFF"/>
              </w:rPr>
              <w:t>Other terms</w:t>
            </w:r>
          </w:p>
        </w:tc>
        <w:tc>
          <w:tcPr>
            <w:tcW w:w="43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 Amended Wynn Macau Credit Facilities contain representations, warranties, covenants and events of default customary for casino development ? nancings in Macau. The Directors con? rm that there is no</w:t>
            </w:r>
          </w:p>
        </w:tc>
        <w:tc>
          <w:tcPr>
            <w:tcW w:w="0" w:type="dxa"/>
            <w:vAlign w:val="bottom"/>
          </w:tcPr>
          <w:p>
            <w:pPr>
              <w:spacing w:after="0"/>
              <w:rPr>
                <w:sz w:val="1"/>
                <w:szCs w:val="1"/>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non-compliance with the ? nancial covenants or general covenants contained in the Amended Wynn Macau Credit Facilities.</w:t>
            </w: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The Company is not a party to the credit facilities agreement and related agreements and has no rights or obligations thereunder.</w:t>
            </w: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80" w:type="dxa"/>
            <w:vAlign w:val="bottom"/>
          </w:tcPr>
          <w:p>
            <w:pPr>
              <w:spacing w:after="0"/>
              <w:rPr>
                <w:sz w:val="20"/>
                <w:szCs w:val="20"/>
                <w:color w:val="auto"/>
              </w:rPr>
            </w:pPr>
            <w:r>
              <w:rPr>
                <w:rFonts w:ascii="Arial" w:cs="Arial" w:eastAsia="Arial" w:hAnsi="Arial"/>
                <w:sz w:val="3"/>
                <w:szCs w:val="3"/>
                <w:color w:val="FFFFFF"/>
              </w:rPr>
              <w:t>QUANTITATIVE AND QUALITATIVE DISCLOSURE ABOUT MARKET RISK</w:t>
            </w:r>
          </w:p>
        </w:tc>
        <w:tc>
          <w:tcPr>
            <w:tcW w:w="43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Market risk is the risk of loss arising from adverse changes in market rates and conditions, such as in? ation, interest rates, and foreign currency exchange rates.</w:t>
            </w:r>
          </w:p>
        </w:tc>
        <w:tc>
          <w:tcPr>
            <w:tcW w:w="1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80" w:type="dxa"/>
            <w:vAlign w:val="bottom"/>
          </w:tcPr>
          <w:p>
            <w:pPr>
              <w:spacing w:after="0"/>
              <w:rPr>
                <w:sz w:val="20"/>
                <w:szCs w:val="20"/>
                <w:color w:val="auto"/>
              </w:rPr>
            </w:pPr>
            <w:r>
              <w:rPr>
                <w:rFonts w:ascii="Arial" w:cs="Arial" w:eastAsia="Arial" w:hAnsi="Arial"/>
                <w:sz w:val="3"/>
                <w:szCs w:val="3"/>
                <w:color w:val="FFFFFF"/>
              </w:rPr>
              <w:t>Foreign Exchange Risks</w:t>
            </w:r>
          </w:p>
        </w:tc>
        <w:tc>
          <w:tcPr>
            <w:tcW w:w="5940" w:type="dxa"/>
            <w:vAlign w:val="bottom"/>
            <w:gridSpan w:val="2"/>
            <w:vMerge w:val="restart"/>
          </w:tcPr>
          <w:p>
            <w:pPr>
              <w:ind w:left="20"/>
              <w:spacing w:after="0" w:line="81" w:lineRule="exact"/>
              <w:rPr>
                <w:sz w:val="20"/>
                <w:szCs w:val="20"/>
                <w:color w:val="auto"/>
              </w:rPr>
            </w:pPr>
            <w:r>
              <w:rPr>
                <w:rFonts w:ascii="Arial" w:cs="Arial" w:eastAsia="Arial" w:hAnsi="Arial"/>
                <w:sz w:val="9"/>
                <w:szCs w:val="9"/>
                <w:color w:val="FFFFFF"/>
              </w:rPr>
              <w:t>functional and presentation currency, for incorporation into the consolidated fi nancial statements. The</w:t>
            </w:r>
          </w:p>
        </w:tc>
        <w:tc>
          <w:tcPr>
            <w:tcW w:w="0" w:type="dxa"/>
            <w:vAlign w:val="bottom"/>
          </w:tcPr>
          <w:p>
            <w:pPr>
              <w:spacing w:after="0"/>
              <w:rPr>
                <w:sz w:val="1"/>
                <w:szCs w:val="1"/>
                <w:color w:val="auto"/>
              </w:rPr>
            </w:pPr>
          </w:p>
        </w:tc>
      </w:tr>
      <w:tr>
        <w:trPr>
          <w:trHeight w:val="41"/>
        </w:trPr>
        <w:tc>
          <w:tcPr>
            <w:tcW w:w="5480" w:type="dxa"/>
            <w:vAlign w:val="bottom"/>
          </w:tcPr>
          <w:p>
            <w:pPr>
              <w:spacing w:after="0"/>
              <w:rPr>
                <w:sz w:val="20"/>
                <w:szCs w:val="20"/>
                <w:color w:val="auto"/>
              </w:rPr>
            </w:pPr>
            <w:r>
              <w:rPr>
                <w:rFonts w:ascii="Arial" w:cs="Arial" w:eastAsia="Arial" w:hAnsi="Arial"/>
                <w:sz w:val="3"/>
                <w:szCs w:val="3"/>
                <w:color w:val="FFFFFF"/>
              </w:rPr>
              <w:t>The ? nancial st tements of foreign op rations are translated into Hong Kong dollars, the Company’</w:t>
            </w:r>
          </w:p>
        </w:tc>
        <w:tc>
          <w:tcPr>
            <w:tcW w:w="5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800" w:type="dxa"/>
            <w:vAlign w:val="bottom"/>
            <w:gridSpan w:val="2"/>
          </w:tcPr>
          <w:p>
            <w:pPr>
              <w:spacing w:after="0"/>
              <w:rPr>
                <w:sz w:val="20"/>
                <w:szCs w:val="20"/>
                <w:color w:val="auto"/>
              </w:rPr>
            </w:pPr>
            <w:r>
              <w:rPr>
                <w:rFonts w:ascii="Arial" w:cs="Arial" w:eastAsia="Arial" w:hAnsi="Arial"/>
                <w:sz w:val="3"/>
                <w:szCs w:val="3"/>
                <w:color w:val="FFFFFF"/>
              </w:rPr>
              <w:t>majority of our assets and liabilities are denominated in U.S. dollars, Hong Kong dollars, Macau patacas and Offshore RMB, and there are no signifi cant assets and liabilities</w:t>
            </w:r>
          </w:p>
        </w:tc>
        <w:tc>
          <w:tcPr>
            <w:tcW w:w="1620" w:type="dxa"/>
            <w:vAlign w:val="bottom"/>
          </w:tcPr>
          <w:p>
            <w:pPr>
              <w:ind w:left="380"/>
              <w:spacing w:after="0"/>
              <w:rPr>
                <w:sz w:val="20"/>
                <w:szCs w:val="20"/>
                <w:color w:val="auto"/>
              </w:rPr>
            </w:pPr>
            <w:r>
              <w:rPr>
                <w:rFonts w:ascii="Arial" w:cs="Arial" w:eastAsia="Arial" w:hAnsi="Arial"/>
                <w:sz w:val="3"/>
                <w:szCs w:val="3"/>
                <w:color w:val="FFFFFF"/>
              </w:rPr>
              <w:t>in other currencies.</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Assets and liabilities are translated at the prevailing foreign exchange rates   effect at the end of the reporting period. Income, expenditures and cash ? ow items are measured denominatedtheactual foreign exchange rates</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or average foreign exchange rates for the period. The Hong Kong dollar is linked to the U.S. dollar and the exchange rate between these two currencies has remained relatively stable over the past several years.</w:t>
            </w:r>
          </w:p>
        </w:tc>
        <w:tc>
          <w:tcPr>
            <w:tcW w:w="0" w:type="dxa"/>
            <w:vAlign w:val="bottom"/>
          </w:tcPr>
          <w:p>
            <w:pPr>
              <w:spacing w:after="0"/>
              <w:rPr>
                <w:sz w:val="1"/>
                <w:szCs w:val="1"/>
                <w:color w:val="auto"/>
              </w:rPr>
            </w:pPr>
          </w:p>
        </w:tc>
      </w:tr>
      <w:tr>
        <w:trPr>
          <w:trHeight w:val="0"/>
        </w:trPr>
        <w:tc>
          <w:tcPr>
            <w:tcW w:w="5480" w:type="dxa"/>
            <w:vAlign w:val="bottom"/>
          </w:tcPr>
          <w:p>
            <w:pPr>
              <w:spacing w:after="0" w:line="80" w:lineRule="exact"/>
              <w:rPr>
                <w:sz w:val="20"/>
                <w:szCs w:val="20"/>
                <w:color w:val="auto"/>
              </w:rPr>
            </w:pPr>
            <w:r>
              <w:rPr>
                <w:rFonts w:ascii="Arial" w:cs="Arial" w:eastAsia="Arial" w:hAnsi="Arial"/>
                <w:sz w:val="9"/>
                <w:szCs w:val="9"/>
                <w:color w:val="FFFFFF"/>
              </w:rPr>
              <w:t>The Macau pataca is pegged to the Hong Kong dollar, and in many cases the two currencies are used</w:t>
            </w:r>
          </w:p>
        </w:tc>
        <w:tc>
          <w:tcPr>
            <w:tcW w:w="5940" w:type="dxa"/>
            <w:vAlign w:val="bottom"/>
            <w:gridSpan w:val="2"/>
          </w:tcPr>
          <w:p>
            <w:pPr>
              <w:ind w:left="900"/>
              <w:spacing w:after="0" w:line="80" w:lineRule="exact"/>
              <w:rPr>
                <w:sz w:val="20"/>
                <w:szCs w:val="20"/>
                <w:color w:val="auto"/>
              </w:rPr>
            </w:pPr>
            <w:r>
              <w:rPr>
                <w:rFonts w:ascii="Arial" w:cs="Arial" w:eastAsia="Arial" w:hAnsi="Arial"/>
                <w:sz w:val="9"/>
                <w:szCs w:val="9"/>
                <w:color w:val="FFFFFF"/>
              </w:rPr>
              <w:t>in Macau. However, the exchange linkages of the Hong Kong dollar and the Macau</w:t>
            </w:r>
          </w:p>
        </w:tc>
        <w:tc>
          <w:tcPr>
            <w:tcW w:w="0" w:type="dxa"/>
            <w:vAlign w:val="bottom"/>
          </w:tcPr>
          <w:p>
            <w:pPr>
              <w:spacing w:after="0" w:line="20" w:lineRule="exact"/>
              <w:rPr>
                <w:sz w:val="1"/>
                <w:szCs w:val="1"/>
                <w:color w:val="auto"/>
              </w:rPr>
            </w:pPr>
          </w:p>
        </w:tc>
      </w:tr>
    </w:tbl>
    <w:p>
      <w:pPr>
        <w:ind w:right="120"/>
        <w:spacing w:after="0" w:line="187" w:lineRule="auto"/>
        <w:rPr>
          <w:sz w:val="20"/>
          <w:szCs w:val="20"/>
          <w:color w:val="auto"/>
        </w:rPr>
      </w:pPr>
      <w:r>
        <w:rPr>
          <w:rFonts w:ascii="Arial" w:cs="Arial" w:eastAsia="Arial" w:hAnsi="Arial"/>
          <w:sz w:val="9"/>
          <w:szCs w:val="9"/>
          <w:color w:val="FFFFFF"/>
        </w:rPr>
        <w:t>and the Hong Kong dollar to the U.S. dollar, are subject to potential changes due to, among other things,interchangeablychangesgovernmental policies and international economic and political developments. In particularpataca, our Group is exposed to foreign exchange risk arising primarily with respect to the Offshore RMB, which does not have pegged exchange linkages to the U.S. dollar, Hong Kong dollar or Macau pataca.</w:t>
      </w:r>
    </w:p>
    <w:p>
      <w:pPr>
        <w:sectPr>
          <w:pgSz w:w="11900" w:h="16838" w:orient="portrait"/>
          <w:cols w:equalWidth="0" w:num="1">
            <w:col w:w="11420"/>
          </w:cols>
          <w:pgMar w:left="240" w:top="1440" w:right="23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20"/>
                <w:szCs w:val="20"/>
                <w:color w:val="auto"/>
              </w:rPr>
            </w:pPr>
            <w:r>
              <w:rPr>
                <w:rFonts w:ascii="Arial" w:cs="Arial" w:eastAsia="Arial" w:hAnsi="Arial"/>
                <w:sz w:val="14"/>
                <w:szCs w:val="14"/>
                <w:color w:val="FFFFFF"/>
                <w:w w:val="89"/>
              </w:rPr>
              <w:t>24 Wynn Macau, Limited</w:t>
            </w:r>
          </w:p>
        </w:tc>
        <w:tc>
          <w:tcPr>
            <w:tcW w:w="1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Management Discussion and Analysis</w:t>
            </w:r>
          </w:p>
        </w:tc>
        <w:tc>
          <w:tcPr>
            <w:tcW w:w="130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Interest Rate Risks</w:t>
            </w:r>
          </w:p>
        </w:tc>
        <w:tc>
          <w:tcPr>
            <w:tcW w:w="10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720" w:type="dxa"/>
            <w:vAlign w:val="bottom"/>
            <w:vMerge w:val="restart"/>
          </w:tcPr>
          <w:p>
            <w:pPr>
              <w:jc w:val="right"/>
              <w:ind w:right="155"/>
              <w:spacing w:after="0" w:line="81" w:lineRule="exact"/>
              <w:rPr>
                <w:sz w:val="20"/>
                <w:szCs w:val="20"/>
                <w:color w:val="auto"/>
              </w:rPr>
            </w:pPr>
            <w:r>
              <w:rPr>
                <w:rFonts w:ascii="Arial" w:cs="Arial" w:eastAsia="Arial" w:hAnsi="Arial"/>
                <w:sz w:val="9"/>
                <w:szCs w:val="9"/>
                <w:color w:val="FFFFFF"/>
              </w:rPr>
              <w:t>risk by managing the mix of</w:t>
            </w:r>
          </w:p>
        </w:tc>
        <w:tc>
          <w:tcPr>
            <w:tcW w:w="0" w:type="dxa"/>
            <w:vAlign w:val="bottom"/>
          </w:tcPr>
          <w:p>
            <w:pPr>
              <w:spacing w:after="0"/>
              <w:rPr>
                <w:sz w:val="1"/>
                <w:szCs w:val="1"/>
                <w:color w:val="auto"/>
              </w:rPr>
            </w:pPr>
          </w:p>
        </w:tc>
      </w:tr>
      <w:tr>
        <w:trPr>
          <w:trHeight w:val="41"/>
        </w:trPr>
        <w:tc>
          <w:tcPr>
            <w:tcW w:w="9700" w:type="dxa"/>
            <w:vAlign w:val="bottom"/>
            <w:gridSpan w:val="7"/>
          </w:tcPr>
          <w:p>
            <w:pPr>
              <w:spacing w:after="0"/>
              <w:rPr>
                <w:sz w:val="20"/>
                <w:szCs w:val="20"/>
                <w:color w:val="auto"/>
              </w:rPr>
            </w:pPr>
            <w:r>
              <w:rPr>
                <w:rFonts w:ascii="Arial" w:cs="Arial" w:eastAsia="Arial" w:hAnsi="Arial"/>
                <w:sz w:val="3"/>
                <w:szCs w:val="3"/>
                <w:color w:val="FFFFFF"/>
              </w:rPr>
              <w:t>One of our primary exposures to market risk is interest rate risk associated with our credit facilities, which bear interest based on ? oating rates. We attempt to manage interest</w:t>
            </w:r>
          </w:p>
        </w:tc>
        <w:tc>
          <w:tcPr>
            <w:tcW w:w="1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long-term ? xed rate borrowings and</w:t>
            </w:r>
          </w:p>
        </w:tc>
        <w:tc>
          <w:tcPr>
            <w:tcW w:w="9000" w:type="dxa"/>
            <w:vAlign w:val="bottom"/>
            <w:gridSpan w:val="6"/>
          </w:tcPr>
          <w:p>
            <w:pPr>
              <w:jc w:val="right"/>
              <w:spacing w:after="0"/>
              <w:rPr>
                <w:sz w:val="20"/>
                <w:szCs w:val="20"/>
                <w:color w:val="auto"/>
              </w:rPr>
            </w:pPr>
            <w:r>
              <w:rPr>
                <w:rFonts w:ascii="Arial" w:cs="Arial" w:eastAsia="Arial" w:hAnsi="Arial"/>
                <w:sz w:val="3"/>
                <w:szCs w:val="3"/>
                <w:color w:val="FFFFFF"/>
              </w:rPr>
              <w:t>rate borrowings supplemented by hedging activities as considered necessary. We cannot assure you that these risk management strategies will have the desired effect,</w:t>
            </w:r>
          </w:p>
        </w:tc>
        <w:tc>
          <w:tcPr>
            <w:tcW w:w="0" w:type="dxa"/>
            <w:vAlign w:val="bottom"/>
          </w:tcPr>
          <w:p>
            <w:pPr>
              <w:spacing w:after="0"/>
              <w:rPr>
                <w:sz w:val="1"/>
                <w:szCs w:val="1"/>
                <w:color w:val="auto"/>
              </w:rPr>
            </w:pPr>
          </w:p>
        </w:tc>
      </w:tr>
      <w:tr>
        <w:trPr>
          <w:trHeight w:val="41"/>
        </w:trPr>
        <w:tc>
          <w:tcPr>
            <w:tcW w:w="6060" w:type="dxa"/>
            <w:vAlign w:val="bottom"/>
            <w:gridSpan w:val="4"/>
          </w:tcPr>
          <w:p>
            <w:pPr>
              <w:spacing w:after="0"/>
              <w:rPr>
                <w:sz w:val="20"/>
                <w:szCs w:val="20"/>
                <w:color w:val="auto"/>
              </w:rPr>
            </w:pPr>
            <w:r>
              <w:rPr>
                <w:rFonts w:ascii="Arial" w:cs="Arial" w:eastAsia="Arial" w:hAnsi="Arial"/>
                <w:sz w:val="3"/>
                <w:szCs w:val="3"/>
                <w:color w:val="FFFFFF"/>
              </w:rPr>
              <w:t>and interest rate ? uctuations could havevariablenegative imp ct on our results of operations.</w:t>
            </w:r>
          </w:p>
        </w:tc>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As at 31 December 2012, the Group had three interest rate swap agreements intended to manage  portion of the underlying interest rate risk on borrowings under the Amended Wynn Macau Credit Facilities.</w:t>
            </w: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Under two swap</w:t>
            </w:r>
          </w:p>
        </w:tc>
        <w:tc>
          <w:tcPr>
            <w:tcW w:w="10020" w:type="dxa"/>
            <w:vAlign w:val="bottom"/>
            <w:gridSpan w:val="7"/>
          </w:tcPr>
          <w:p>
            <w:pPr>
              <w:jc w:val="right"/>
              <w:ind w:right="55"/>
              <w:spacing w:after="0"/>
              <w:rPr>
                <w:sz w:val="20"/>
                <w:szCs w:val="20"/>
                <w:color w:val="auto"/>
              </w:rPr>
            </w:pPr>
            <w:r>
              <w:rPr>
                <w:rFonts w:ascii="Arial" w:cs="Arial" w:eastAsia="Arial" w:hAnsi="Arial"/>
                <w:sz w:val="3"/>
                <w:szCs w:val="3"/>
                <w:color w:val="FFFFFF"/>
              </w:rPr>
              <w:t>the Group pays a ? xed interest rate of 0.73% on borrowings of approximately HK$3.95 billion incurred under the Am nded Wynn Macau Credit Facilities in exchange for receipts</w:t>
            </w:r>
          </w:p>
        </w:tc>
        <w:tc>
          <w:tcPr>
            <w:tcW w:w="0" w:type="dxa"/>
            <w:vAlign w:val="bottom"/>
          </w:tcPr>
          <w:p>
            <w:pPr>
              <w:spacing w:after="0"/>
              <w:rPr>
                <w:sz w:val="1"/>
                <w:szCs w:val="1"/>
                <w:color w:val="auto"/>
              </w:rPr>
            </w:pP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on the same amountagreements,atvariable interest rate based on the applicable HIBOR at the time of payment. These interest rate swaps fi xes the all-in interest rate on approximately HK$3.95 billion of borrowings</w:t>
            </w:r>
          </w:p>
        </w:tc>
        <w:tc>
          <w:tcPr>
            <w:tcW w:w="0" w:type="dxa"/>
            <w:vAlign w:val="bottom"/>
          </w:tcPr>
          <w:p>
            <w:pPr>
              <w:spacing w:after="0"/>
              <w:rPr>
                <w:sz w:val="1"/>
                <w:szCs w:val="1"/>
                <w:color w:val="auto"/>
              </w:rPr>
            </w:pPr>
          </w:p>
        </w:tc>
      </w:tr>
      <w:tr>
        <w:trPr>
          <w:trHeight w:val="41"/>
        </w:trPr>
        <w:tc>
          <w:tcPr>
            <w:tcW w:w="3720" w:type="dxa"/>
            <w:vAlign w:val="bottom"/>
            <w:gridSpan w:val="3"/>
          </w:tcPr>
          <w:p>
            <w:pPr>
              <w:spacing w:after="0"/>
              <w:rPr>
                <w:sz w:val="20"/>
                <w:szCs w:val="20"/>
                <w:color w:val="auto"/>
              </w:rPr>
            </w:pPr>
            <w:r>
              <w:rPr>
                <w:rFonts w:ascii="Arial" w:cs="Arial" w:eastAsia="Arial" w:hAnsi="Arial"/>
                <w:sz w:val="3"/>
                <w:szCs w:val="3"/>
                <w:color w:val="FFFFFF"/>
              </w:rPr>
              <w:t>under the Amended Wynn Macau Credit Facilities at approximately</w:t>
            </w:r>
          </w:p>
        </w:tc>
        <w:tc>
          <w:tcPr>
            <w:tcW w:w="2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420" w:type="dxa"/>
            <w:vAlign w:val="bottom"/>
            <w:gridSpan w:val="2"/>
          </w:tcPr>
          <w:p>
            <w:pPr>
              <w:spacing w:after="0"/>
              <w:rPr>
                <w:sz w:val="20"/>
                <w:szCs w:val="20"/>
                <w:color w:val="auto"/>
              </w:rPr>
            </w:pPr>
            <w:r>
              <w:rPr>
                <w:rFonts w:ascii="Arial" w:cs="Arial" w:eastAsia="Arial" w:hAnsi="Arial"/>
                <w:sz w:val="3"/>
                <w:szCs w:val="3"/>
                <w:color w:val="FFFFFF"/>
              </w:rPr>
              <w:t>3.23%. These interest rate swap agreements</w:t>
            </w:r>
          </w:p>
        </w:tc>
        <w:tc>
          <w:tcPr>
            <w:tcW w:w="1300" w:type="dxa"/>
            <w:vAlign w:val="bottom"/>
          </w:tcPr>
          <w:p>
            <w:pPr>
              <w:ind w:left="400"/>
              <w:spacing w:after="0"/>
              <w:rPr>
                <w:sz w:val="20"/>
                <w:szCs w:val="20"/>
                <w:color w:val="auto"/>
              </w:rPr>
            </w:pPr>
            <w:r>
              <w:rPr>
                <w:rFonts w:ascii="Arial" w:cs="Arial" w:eastAsia="Arial" w:hAnsi="Arial"/>
                <w:sz w:val="3"/>
                <w:szCs w:val="3"/>
                <w:color w:val="FFFFFF"/>
              </w:rPr>
              <w:t>in July 2017.</w:t>
            </w:r>
          </w:p>
        </w:tc>
        <w:tc>
          <w:tcPr>
            <w:tcW w:w="2340" w:type="dxa"/>
            <w:vAlign w:val="bottom"/>
          </w:tcPr>
          <w:p>
            <w:pPr>
              <w:spacing w:after="0"/>
              <w:rPr>
                <w:sz w:val="3"/>
                <w:szCs w:val="3"/>
                <w:color w:val="auto"/>
              </w:rPr>
            </w:pPr>
          </w:p>
        </w:tc>
        <w:tc>
          <w:tcPr>
            <w:tcW w:w="2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Under the third swap agreement, the Group p ys  ? xed interest rate of 0.6763% on borrowing of US$243.8 million (approximately HK$1.8 billion) incurred under the Amended Wynn Macau Credit Facilities</w:t>
            </w:r>
          </w:p>
        </w:tc>
        <w:tc>
          <w:tcPr>
            <w:tcW w:w="0" w:type="dxa"/>
            <w:vAlign w:val="bottom"/>
          </w:tcPr>
          <w:p>
            <w:pPr>
              <w:spacing w:after="0"/>
              <w:rPr>
                <w:sz w:val="1"/>
                <w:szCs w:val="1"/>
                <w:color w:val="auto"/>
              </w:rPr>
            </w:pPr>
          </w:p>
        </w:tc>
      </w:tr>
      <w:tr>
        <w:trPr>
          <w:trHeight w:val="41"/>
        </w:trPr>
        <w:tc>
          <w:tcPr>
            <w:tcW w:w="1400" w:type="dxa"/>
            <w:vAlign w:val="bottom"/>
          </w:tcPr>
          <w:p>
            <w:pPr>
              <w:spacing w:after="0"/>
              <w:rPr>
                <w:sz w:val="20"/>
                <w:szCs w:val="20"/>
                <w:color w:val="auto"/>
              </w:rPr>
            </w:pPr>
            <w:r>
              <w:rPr>
                <w:rFonts w:ascii="Arial" w:cs="Arial" w:eastAsia="Arial" w:hAnsi="Arial"/>
                <w:sz w:val="3"/>
                <w:szCs w:val="3"/>
                <w:color w:val="FFFFFF"/>
              </w:rPr>
              <w:t>in exchange for receipts</w:t>
            </w:r>
          </w:p>
        </w:tc>
        <w:tc>
          <w:tcPr>
            <w:tcW w:w="7740" w:type="dxa"/>
            <w:vAlign w:val="bottom"/>
            <w:gridSpan w:val="5"/>
          </w:tcPr>
          <w:p>
            <w:pPr>
              <w:ind w:left="100"/>
              <w:spacing w:after="0"/>
              <w:rPr>
                <w:sz w:val="20"/>
                <w:szCs w:val="20"/>
                <w:color w:val="auto"/>
              </w:rPr>
            </w:pPr>
            <w:r>
              <w:rPr>
                <w:rFonts w:ascii="Arial" w:cs="Arial" w:eastAsia="Arial" w:hAnsi="Arial"/>
                <w:sz w:val="3"/>
                <w:szCs w:val="3"/>
                <w:color w:val="FFFFFF"/>
              </w:rPr>
              <w:t>the same amountmatureatvariable interest rate based on the applicable LIBOR   the time of payment. This interest rate swap fi xes the all-in</w:t>
            </w:r>
          </w:p>
        </w:tc>
        <w:tc>
          <w:tcPr>
            <w:tcW w:w="2280" w:type="dxa"/>
            <w:vAlign w:val="bottom"/>
            <w:gridSpan w:val="2"/>
          </w:tcPr>
          <w:p>
            <w:pPr>
              <w:jc w:val="right"/>
              <w:ind w:right="635"/>
              <w:spacing w:after="0"/>
              <w:rPr>
                <w:sz w:val="20"/>
                <w:szCs w:val="20"/>
                <w:color w:val="auto"/>
              </w:rPr>
            </w:pPr>
            <w:r>
              <w:rPr>
                <w:rFonts w:ascii="Arial" w:cs="Arial" w:eastAsia="Arial" w:hAnsi="Arial"/>
                <w:sz w:val="3"/>
                <w:szCs w:val="3"/>
                <w:color w:val="FFFFFF"/>
              </w:rPr>
              <w:t>rate on US$243.8 million</w:t>
            </w:r>
          </w:p>
        </w:tc>
        <w:tc>
          <w:tcPr>
            <w:tcW w:w="0" w:type="dxa"/>
            <w:vAlign w:val="bottom"/>
          </w:tcPr>
          <w:p>
            <w:pPr>
              <w:spacing w:after="0"/>
              <w:rPr>
                <w:sz w:val="1"/>
                <w:szCs w:val="1"/>
                <w:color w:val="auto"/>
              </w:rPr>
            </w:pPr>
          </w:p>
        </w:tc>
      </w:tr>
      <w:tr>
        <w:trPr>
          <w:trHeight w:val="41"/>
        </w:trPr>
        <w:tc>
          <w:tcPr>
            <w:tcW w:w="9700" w:type="dxa"/>
            <w:vAlign w:val="bottom"/>
            <w:gridSpan w:val="7"/>
          </w:tcPr>
          <w:p>
            <w:pPr>
              <w:spacing w:after="0"/>
              <w:rPr>
                <w:sz w:val="20"/>
                <w:szCs w:val="20"/>
                <w:color w:val="auto"/>
              </w:rPr>
            </w:pPr>
            <w:r>
              <w:rPr>
                <w:rFonts w:ascii="Arial" w:cs="Arial" w:eastAsia="Arial" w:hAnsi="Arial"/>
                <w:sz w:val="3"/>
                <w:szCs w:val="3"/>
                <w:color w:val="FFFFFF"/>
              </w:rPr>
              <w:t>(approximately HK$1.8 billion) of borrowings under the Amended Wynn Macau Credit Facilities at approximately 3.18%. This interest rate swap agreement maturesinterestJuly 2017.</w:t>
            </w: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8"/>
          </w:tcPr>
          <w:p>
            <w:pPr>
              <w:spacing w:after="0"/>
              <w:rPr>
                <w:sz w:val="20"/>
                <w:szCs w:val="20"/>
                <w:color w:val="auto"/>
              </w:rPr>
            </w:pPr>
            <w:r>
              <w:rPr>
                <w:rFonts w:ascii="Arial" w:cs="Arial" w:eastAsia="Arial" w:hAnsi="Arial"/>
                <w:sz w:val="3"/>
                <w:szCs w:val="3"/>
                <w:color w:val="FFFFFF"/>
              </w:rPr>
              <w:t>The carrying value of these interest rate swaps on the consolidated statement of ? nancial position approximates its fair value. The fair value approximates the amount the Group would pay if these contracts were</w:t>
            </w:r>
          </w:p>
        </w:tc>
        <w:tc>
          <w:tcPr>
            <w:tcW w:w="0" w:type="dxa"/>
            <w:vAlign w:val="bottom"/>
          </w:tcPr>
          <w:p>
            <w:pPr>
              <w:spacing w:after="0"/>
              <w:rPr>
                <w:sz w:val="1"/>
                <w:szCs w:val="1"/>
                <w:color w:val="auto"/>
              </w:rPr>
            </w:pPr>
          </w:p>
        </w:tc>
      </w:tr>
      <w:tr>
        <w:trPr>
          <w:trHeight w:val="41"/>
        </w:trPr>
        <w:tc>
          <w:tcPr>
            <w:tcW w:w="3720" w:type="dxa"/>
            <w:vAlign w:val="bottom"/>
            <w:gridSpan w:val="3"/>
          </w:tcPr>
          <w:p>
            <w:pPr>
              <w:spacing w:after="0"/>
              <w:rPr>
                <w:sz w:val="20"/>
                <w:szCs w:val="20"/>
                <w:color w:val="auto"/>
              </w:rPr>
            </w:pPr>
            <w:r>
              <w:rPr>
                <w:rFonts w:ascii="Arial" w:cs="Arial" w:eastAsia="Arial" w:hAnsi="Arial"/>
                <w:sz w:val="3"/>
                <w:szCs w:val="3"/>
                <w:color w:val="FFFFFF"/>
              </w:rPr>
              <w:t>settled at the respective valuation dates. Fair value is estimated</w:t>
            </w:r>
          </w:p>
        </w:tc>
        <w:tc>
          <w:tcPr>
            <w:tcW w:w="4760" w:type="dxa"/>
            <w:vAlign w:val="bottom"/>
            <w:gridSpan w:val="2"/>
          </w:tcPr>
          <w:p>
            <w:pPr>
              <w:ind w:left="60"/>
              <w:spacing w:after="0"/>
              <w:rPr>
                <w:sz w:val="20"/>
                <w:szCs w:val="20"/>
                <w:color w:val="auto"/>
              </w:rPr>
            </w:pPr>
            <w:r>
              <w:rPr>
                <w:rFonts w:ascii="Arial" w:cs="Arial" w:eastAsia="Arial" w:hAnsi="Arial"/>
                <w:sz w:val="3"/>
                <w:szCs w:val="3"/>
                <w:color w:val="FFFFFF"/>
              </w:rPr>
              <w:t>upon current, and predictions of future interest rate levels along a yield curve, the</w:t>
            </w:r>
          </w:p>
        </w:tc>
        <w:tc>
          <w:tcPr>
            <w:tcW w:w="2940" w:type="dxa"/>
            <w:vAlign w:val="bottom"/>
            <w:gridSpan w:val="3"/>
          </w:tcPr>
          <w:p>
            <w:pPr>
              <w:jc w:val="right"/>
              <w:ind w:right="175"/>
              <w:spacing w:after="0"/>
              <w:rPr>
                <w:sz w:val="20"/>
                <w:szCs w:val="20"/>
                <w:color w:val="auto"/>
              </w:rPr>
            </w:pPr>
            <w:r>
              <w:rPr>
                <w:rFonts w:ascii="Arial" w:cs="Arial" w:eastAsia="Arial" w:hAnsi="Arial"/>
                <w:sz w:val="3"/>
                <w:szCs w:val="3"/>
                <w:color w:val="FFFFFF"/>
              </w:rPr>
              <w:t>duration of the instruments and other market</w:t>
            </w:r>
          </w:p>
        </w:tc>
        <w:tc>
          <w:tcPr>
            <w:tcW w:w="0" w:type="dxa"/>
            <w:vAlign w:val="bottom"/>
          </w:tcPr>
          <w:p>
            <w:pPr>
              <w:spacing w:after="0"/>
              <w:rPr>
                <w:sz w:val="1"/>
                <w:szCs w:val="1"/>
                <w:color w:val="auto"/>
              </w:rPr>
            </w:pPr>
          </w:p>
        </w:tc>
      </w:tr>
      <w:tr>
        <w:trPr>
          <w:trHeight w:val="41"/>
        </w:trPr>
        <w:tc>
          <w:tcPr>
            <w:tcW w:w="1400" w:type="dxa"/>
            <w:vAlign w:val="bottom"/>
          </w:tcPr>
          <w:p>
            <w:pPr>
              <w:ind w:left="60"/>
              <w:spacing w:after="0"/>
              <w:rPr>
                <w:sz w:val="20"/>
                <w:szCs w:val="20"/>
                <w:color w:val="auto"/>
              </w:rPr>
            </w:pPr>
            <w:r>
              <w:rPr>
                <w:rFonts w:ascii="Arial" w:cs="Arial" w:eastAsia="Arial" w:hAnsi="Arial"/>
                <w:sz w:val="3"/>
                <w:szCs w:val="3"/>
                <w:color w:val="FFFFFF"/>
              </w:rPr>
              <w:t>onditions and,</w:t>
            </w:r>
          </w:p>
        </w:tc>
        <w:tc>
          <w:tcPr>
            <w:tcW w:w="10020" w:type="dxa"/>
            <w:vAlign w:val="bottom"/>
            <w:gridSpan w:val="7"/>
          </w:tcPr>
          <w:p>
            <w:pPr>
              <w:jc w:val="right"/>
              <w:ind w:right="275"/>
              <w:spacing w:after="0"/>
              <w:rPr>
                <w:sz w:val="20"/>
                <w:szCs w:val="20"/>
                <w:color w:val="auto"/>
              </w:rPr>
            </w:pPr>
            <w:r>
              <w:rPr>
                <w:rFonts w:ascii="Arial" w:cs="Arial" w:eastAsia="Arial" w:hAnsi="Arial"/>
                <w:sz w:val="3"/>
                <w:szCs w:val="3"/>
                <w:color w:val="FFFFFF"/>
              </w:rPr>
              <w:t>is subject to signi? cant estimation  ndbasedhigh degree of variability of ? uctuation between periods. We adjust this amount by applyingremaining non-performance valuation, considering its</w:t>
            </w:r>
          </w:p>
        </w:tc>
        <w:tc>
          <w:tcPr>
            <w:tcW w:w="0" w:type="dxa"/>
            <w:vAlign w:val="bottom"/>
          </w:tcPr>
          <w:p>
            <w:pPr>
              <w:spacing w:after="0"/>
              <w:rPr>
                <w:sz w:val="1"/>
                <w:szCs w:val="1"/>
                <w:color w:val="auto"/>
              </w:rPr>
            </w:pPr>
          </w:p>
        </w:tc>
      </w:tr>
      <w:tr>
        <w:trPr>
          <w:trHeight w:val="0"/>
        </w:trPr>
        <w:tc>
          <w:tcPr>
            <w:tcW w:w="6060" w:type="dxa"/>
            <w:vAlign w:val="bottom"/>
            <w:gridSpan w:val="4"/>
          </w:tcPr>
          <w:p>
            <w:pPr>
              <w:spacing w:after="0" w:line="80" w:lineRule="exact"/>
              <w:rPr>
                <w:sz w:val="20"/>
                <w:szCs w:val="20"/>
                <w:color w:val="auto"/>
              </w:rPr>
            </w:pPr>
            <w:r>
              <w:rPr>
                <w:rFonts w:ascii="Arial" w:cs="Arial" w:eastAsia="Arial" w:hAnsi="Arial"/>
                <w:sz w:val="9"/>
                <w:szCs w:val="9"/>
                <w:color w:val="FFFFFF"/>
              </w:rPr>
              <w:t>creditworthinesstherefore,creditworthiness of its counterparties at each settlement date, as applicable. These</w:t>
            </w:r>
          </w:p>
        </w:tc>
        <w:tc>
          <w:tcPr>
            <w:tcW w:w="5360" w:type="dxa"/>
            <w:vAlign w:val="bottom"/>
            <w:gridSpan w:val="4"/>
          </w:tcPr>
          <w:p>
            <w:pPr>
              <w:jc w:val="right"/>
              <w:spacing w:after="0" w:line="80" w:lineRule="exact"/>
              <w:rPr>
                <w:sz w:val="20"/>
                <w:szCs w:val="20"/>
                <w:color w:val="auto"/>
              </w:rPr>
            </w:pPr>
            <w:r>
              <w:rPr>
                <w:rFonts w:ascii="Arial" w:cs="Arial" w:eastAsia="Arial" w:hAnsi="Arial"/>
                <w:sz w:val="9"/>
                <w:szCs w:val="9"/>
                <w:color w:val="FFFFFF"/>
              </w:rPr>
              <w:t>do not qualify for hedge accounting. Accordingly, changes in the fair values during the years</w:t>
            </w:r>
          </w:p>
        </w:tc>
        <w:tc>
          <w:tcPr>
            <w:tcW w:w="0" w:type="dxa"/>
            <w:vAlign w:val="bottom"/>
          </w:tcPr>
          <w:p>
            <w:pPr>
              <w:spacing w:after="0" w:line="20" w:lineRule="exact"/>
              <w:rPr>
                <w:sz w:val="1"/>
                <w:szCs w:val="1"/>
                <w:color w:val="auto"/>
              </w:rPr>
            </w:pPr>
          </w:p>
        </w:tc>
      </w:tr>
    </w:tbl>
    <w:p>
      <w:pPr>
        <w:ind w:right="280"/>
        <w:spacing w:after="0" w:line="187" w:lineRule="auto"/>
        <w:rPr>
          <w:sz w:val="20"/>
          <w:szCs w:val="20"/>
          <w:color w:val="auto"/>
        </w:rPr>
      </w:pPr>
      <w:r>
        <w:rPr>
          <w:rFonts w:ascii="Arial" w:cs="Arial" w:eastAsia="Arial" w:hAnsi="Arial"/>
          <w:sz w:val="9"/>
          <w:szCs w:val="9"/>
          <w:color w:val="FFFFFF"/>
        </w:rPr>
        <w:t>ended 31 December 2012 and 2011, were charged to the consolidated statement of comprehensive income.Ttransactionstheextent there are any liabilities of Wynn Macau under the swap agreement, such liabilities are secured by the same collateral package securing the Amended Wynn Macau Credit Facilities.</w:t>
      </w:r>
    </w:p>
    <w:p>
      <w:pPr>
        <w:sectPr>
          <w:pgSz w:w="11900" w:h="16838" w:orient="portrait"/>
          <w:cols w:equalWidth="0" w:num="1">
            <w:col w:w="11420"/>
          </w:cols>
          <w:pgMar w:left="240" w:top="1440" w:right="2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20"/>
                <w:szCs w:val="20"/>
                <w:color w:val="auto"/>
              </w:rPr>
            </w:pPr>
            <w:r>
              <w:rPr>
                <w:rFonts w:ascii="Arial" w:cs="Arial" w:eastAsia="Arial" w:hAnsi="Arial"/>
                <w:sz w:val="14"/>
                <w:szCs w:val="14"/>
                <w:color w:val="FFFFFF"/>
              </w:rPr>
              <w:t>Annual Report 2012 25</w:t>
            </w:r>
          </w:p>
        </w:tc>
        <w:tc>
          <w:tcPr>
            <w:tcW w:w="58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Management Discussion and Analysis</w:t>
            </w:r>
          </w:p>
        </w:tc>
        <w:tc>
          <w:tcPr>
            <w:tcW w:w="5800" w:type="dxa"/>
            <w:vAlign w:val="bottom"/>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980" w:type="dxa"/>
            <w:vAlign w:val="bottom"/>
            <w:gridSpan w:val="2"/>
          </w:tcPr>
          <w:p>
            <w:pPr>
              <w:spacing w:after="0"/>
              <w:rPr>
                <w:sz w:val="20"/>
                <w:szCs w:val="20"/>
                <w:color w:val="auto"/>
              </w:rPr>
            </w:pPr>
            <w:r>
              <w:rPr>
                <w:rFonts w:ascii="Arial" w:cs="Arial" w:eastAsia="Arial" w:hAnsi="Arial"/>
                <w:sz w:val="3"/>
                <w:szCs w:val="3"/>
                <w:color w:val="FFFFFF"/>
              </w:rPr>
              <w:t>OFF BALANCE SHEET ARRANGEMENTS</w:t>
            </w: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W have not entered into any</w:t>
            </w:r>
          </w:p>
        </w:tc>
        <w:tc>
          <w:tcPr>
            <w:tcW w:w="9060" w:type="dxa"/>
            <w:vAlign w:val="bottom"/>
            <w:gridSpan w:val="2"/>
          </w:tcPr>
          <w:p>
            <w:pPr>
              <w:ind w:left="120"/>
              <w:spacing w:after="0"/>
              <w:rPr>
                <w:sz w:val="20"/>
                <w:szCs w:val="20"/>
                <w:color w:val="auto"/>
              </w:rPr>
            </w:pPr>
            <w:r>
              <w:rPr>
                <w:rFonts w:ascii="Arial" w:cs="Arial" w:eastAsia="Arial" w:hAnsi="Arial"/>
                <w:sz w:val="3"/>
                <w:szCs w:val="3"/>
                <w:color w:val="FFFFFF"/>
              </w:rPr>
              <w:t>with special purpose entities nor do we engage in any transactions involving derivatives except for interest rate swaps. We do not have any retained or contingent</w:t>
            </w:r>
          </w:p>
        </w:tc>
        <w:tc>
          <w:tcPr>
            <w:tcW w:w="0" w:type="dxa"/>
            <w:vAlign w:val="bottom"/>
          </w:tcPr>
          <w:p>
            <w:pPr>
              <w:spacing w:after="0"/>
              <w:rPr>
                <w:sz w:val="1"/>
                <w:szCs w:val="1"/>
                <w:color w:val="auto"/>
              </w:rPr>
            </w:pPr>
          </w:p>
        </w:tc>
      </w:tr>
      <w:tr>
        <w:trPr>
          <w:trHeight w:val="41"/>
        </w:trPr>
        <w:tc>
          <w:tcPr>
            <w:tcW w:w="7980" w:type="dxa"/>
            <w:vAlign w:val="bottom"/>
            <w:gridSpan w:val="2"/>
          </w:tcPr>
          <w:p>
            <w:pPr>
              <w:spacing w:after="0"/>
              <w:rPr>
                <w:sz w:val="20"/>
                <w:szCs w:val="20"/>
                <w:color w:val="auto"/>
              </w:rPr>
            </w:pPr>
            <w:r>
              <w:rPr>
                <w:rFonts w:ascii="Arial" w:cs="Arial" w:eastAsia="Arial" w:hAnsi="Arial"/>
                <w:sz w:val="3"/>
                <w:szCs w:val="3"/>
                <w:color w:val="FFFFFF"/>
              </w:rPr>
              <w:t>interest in assets transferred totransactionsunconsolidated entity.</w:t>
            </w: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80" w:type="dxa"/>
            <w:vAlign w:val="bottom"/>
          </w:tcPr>
          <w:p>
            <w:pPr>
              <w:spacing w:after="0"/>
              <w:rPr>
                <w:sz w:val="20"/>
                <w:szCs w:val="20"/>
                <w:color w:val="auto"/>
              </w:rPr>
            </w:pPr>
            <w:r>
              <w:rPr>
                <w:rFonts w:ascii="Arial" w:cs="Arial" w:eastAsia="Arial" w:hAnsi="Arial"/>
                <w:sz w:val="3"/>
                <w:szCs w:val="3"/>
                <w:color w:val="FFFFFF"/>
              </w:rPr>
              <w:t>OTHER LIQUIDITY MATTERS</w:t>
            </w:r>
          </w:p>
        </w:tc>
        <w:tc>
          <w:tcPr>
            <w:tcW w:w="5800" w:type="dxa"/>
            <w:vAlign w:val="bottom"/>
          </w:tcPr>
          <w:p>
            <w:pPr>
              <w:spacing w:after="0"/>
              <w:rPr>
                <w:sz w:val="3"/>
                <w:szCs w:val="3"/>
                <w:color w:val="auto"/>
              </w:rPr>
            </w:pPr>
          </w:p>
        </w:tc>
        <w:tc>
          <w:tcPr>
            <w:tcW w:w="3260" w:type="dxa"/>
            <w:vAlign w:val="bottom"/>
            <w:vMerge w:val="restart"/>
          </w:tcPr>
          <w:p>
            <w:pPr>
              <w:ind w:left="300"/>
              <w:spacing w:after="0"/>
              <w:rPr>
                <w:sz w:val="20"/>
                <w:szCs w:val="20"/>
                <w:color w:val="auto"/>
              </w:rPr>
            </w:pPr>
            <w:r>
              <w:rPr>
                <w:rFonts w:ascii="Arial" w:cs="Arial" w:eastAsia="Arial" w:hAnsi="Arial"/>
                <w:sz w:val="3"/>
                <w:szCs w:val="3"/>
                <w:color w:val="FFFFFF"/>
              </w:rPr>
              <w:t>Wynn Macau Credit Facilities. However, we cannot be</w:t>
            </w:r>
          </w:p>
        </w:tc>
        <w:tc>
          <w:tcPr>
            <w:tcW w:w="0" w:type="dxa"/>
            <w:vAlign w:val="bottom"/>
          </w:tcPr>
          <w:p>
            <w:pPr>
              <w:spacing w:after="0"/>
              <w:rPr>
                <w:sz w:val="1"/>
                <w:szCs w:val="1"/>
                <w:color w:val="auto"/>
              </w:rPr>
            </w:pPr>
          </w:p>
        </w:tc>
      </w:tr>
      <w:tr>
        <w:trPr>
          <w:trHeight w:val="0"/>
        </w:trPr>
        <w:tc>
          <w:tcPr>
            <w:tcW w:w="7980" w:type="dxa"/>
            <w:vAlign w:val="bottom"/>
            <w:gridSpan w:val="2"/>
          </w:tcPr>
          <w:p>
            <w:pPr>
              <w:spacing w:after="0" w:line="80" w:lineRule="exact"/>
              <w:rPr>
                <w:sz w:val="20"/>
                <w:szCs w:val="20"/>
                <w:color w:val="auto"/>
              </w:rPr>
            </w:pPr>
            <w:r>
              <w:rPr>
                <w:rFonts w:ascii="Arial" w:cs="Arial" w:eastAsia="Arial" w:hAnsi="Arial"/>
                <w:sz w:val="9"/>
                <w:szCs w:val="9"/>
                <w:color w:val="FFFFFF"/>
              </w:rPr>
              <w:t>W expect to fund our operations and capital expenditure requirements from operating cash ? ows, cash on hand and funds available under the</w:t>
            </w:r>
          </w:p>
        </w:tc>
        <w:tc>
          <w:tcPr>
            <w:tcW w:w="32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80"/>
        <w:spacing w:after="0" w:line="217" w:lineRule="auto"/>
        <w:rPr>
          <w:sz w:val="20"/>
          <w:szCs w:val="20"/>
          <w:color w:val="auto"/>
        </w:rPr>
      </w:pPr>
      <w:r>
        <w:rPr>
          <w:rFonts w:ascii="Arial" w:cs="Arial" w:eastAsia="Arial" w:hAnsi="Arial"/>
          <w:sz w:val="2"/>
          <w:szCs w:val="2"/>
          <w:color w:val="FFFFFF"/>
        </w:rPr>
        <w:t>sure that operating cash ? ows will be suf? cient for those purposes. We may re? nance all or a portion of our indebtedness on or before maturity.AmendedWcannot be sure that we will be able to re? nance any of the indebtedness on</w:t>
      </w:r>
      <w:r>
        <w:rPr>
          <w:rFonts w:ascii="Arial" w:cs="Arial" w:eastAsia="Arial" w:hAnsi="Arial"/>
          <w:sz w:val="4"/>
          <w:szCs w:val="4"/>
          <w:color w:val="FFFFFF"/>
          <w:vertAlign w:val="subscript"/>
        </w:rPr>
        <w:t>developments</w:t>
      </w:r>
      <w:r>
        <w:rPr>
          <w:rFonts w:ascii="Arial" w:cs="Arial" w:eastAsia="Arial" w:hAnsi="Arial"/>
          <w:sz w:val="2"/>
          <w:szCs w:val="2"/>
          <w:color w:val="FFFFFF"/>
        </w:rPr>
        <w:t>accetableterms or at all.</w:t>
      </w:r>
    </w:p>
    <w:p>
      <w:pPr>
        <w:ind w:right="280"/>
        <w:spacing w:after="0"/>
        <w:rPr>
          <w:sz w:val="20"/>
          <w:szCs w:val="20"/>
          <w:color w:val="auto"/>
        </w:rPr>
      </w:pPr>
      <w:r>
        <w:rPr>
          <w:rFonts w:ascii="Arial" w:cs="Arial" w:eastAsia="Arial" w:hAnsi="Arial"/>
          <w:sz w:val="7"/>
          <w:szCs w:val="7"/>
          <w:color w:val="FFFFFF"/>
        </w:rPr>
        <w:t>New business (including our development of a project in Cotai) or other unforeseen events may occur, resulting in the need to raise additional funds. There can be no assurances regarding the business prospects with respect to any other opportunity. Any other development would require us to obtain additional ? nancing.</w:t>
      </w:r>
    </w:p>
    <w:p>
      <w:pPr>
        <w:spacing w:after="0" w:line="212" w:lineRule="auto"/>
        <w:rPr>
          <w:sz w:val="20"/>
          <w:szCs w:val="20"/>
          <w:color w:val="auto"/>
        </w:rPr>
      </w:pPr>
      <w:r>
        <w:rPr>
          <w:rFonts w:ascii="Arial" w:cs="Arial" w:eastAsia="Arial" w:hAnsi="Arial"/>
          <w:sz w:val="8"/>
          <w:szCs w:val="8"/>
          <w:color w:val="FFFFFF"/>
        </w:rPr>
        <w:t>WeInthehaveordinaryincurredcourseand willofbusiness,continueintoresponseincurcapitaltomarketexpendituresdemandsrelatedandclienttothesepreferences,enhancementsandinandorderre?tonements.increase revenues, we have made and will continue to make enhancements and re? nements to our resort.</w:t>
      </w:r>
    </w:p>
    <w:p>
      <w:pPr>
        <w:ind w:right="20"/>
        <w:spacing w:after="0" w:line="211" w:lineRule="auto"/>
        <w:rPr>
          <w:sz w:val="20"/>
          <w:szCs w:val="20"/>
          <w:color w:val="auto"/>
        </w:rPr>
      </w:pPr>
      <w:r>
        <w:rPr>
          <w:rFonts w:ascii="Arial" w:cs="Arial" w:eastAsia="Arial" w:hAnsi="Arial"/>
          <w:sz w:val="8"/>
          <w:szCs w:val="8"/>
          <w:color w:val="FFFFFF"/>
        </w:rPr>
        <w:t>Taking into consideration our ? nancial resources, including our cash and cash equivalents, internally generated funds and availability under the Amended Wynn Macau Credit Facilities, we believe that we have suf? cient liquid assets to meet our working capital and operating requirements for the following 12 months.</w:t>
      </w:r>
    </w:p>
    <w:p>
      <w:pPr>
        <w:spacing w:after="0"/>
        <w:rPr>
          <w:sz w:val="20"/>
          <w:szCs w:val="20"/>
          <w:color w:val="auto"/>
        </w:rPr>
      </w:pPr>
      <w:r>
        <w:rPr>
          <w:rFonts w:ascii="Arial" w:cs="Arial" w:eastAsia="Arial" w:hAnsi="Arial"/>
          <w:sz w:val="3"/>
          <w:szCs w:val="3"/>
          <w:color w:val="FFFFFF"/>
        </w:rPr>
        <w:t>RELATED PARTY TRANSACTIONS</w:t>
      </w:r>
    </w:p>
    <w:p>
      <w:pPr>
        <w:spacing w:after="0" w:line="6" w:lineRule="exact"/>
        <w:rPr>
          <w:sz w:val="20"/>
          <w:szCs w:val="20"/>
          <w:color w:val="auto"/>
        </w:rPr>
      </w:pPr>
    </w:p>
    <w:p>
      <w:pPr>
        <w:ind w:left="220" w:right="100" w:hanging="220"/>
        <w:spacing w:after="0" w:line="199" w:lineRule="auto"/>
        <w:rPr>
          <w:sz w:val="20"/>
          <w:szCs w:val="20"/>
          <w:color w:val="auto"/>
        </w:rPr>
      </w:pPr>
      <w:r>
        <w:rPr>
          <w:rFonts w:ascii="Arial" w:cs="Arial" w:eastAsia="Arial" w:hAnsi="Arial"/>
          <w:sz w:val="21"/>
          <w:szCs w:val="21"/>
          <w:color w:val="FFFFFF"/>
          <w:vertAlign w:val="superscript"/>
        </w:rPr>
        <w:t>fair</w:t>
      </w:r>
      <w:r>
        <w:rPr>
          <w:rFonts w:ascii="Arial" w:cs="Arial" w:eastAsia="Arial" w:hAnsi="Arial"/>
          <w:sz w:val="11"/>
          <w:szCs w:val="11"/>
          <w:color w:val="FFFFFF"/>
        </w:rPr>
        <w:t>For details of the related party transactions, see note 28 to the Financial Statements. Our Directors con? rm that all related party transactions are conducted on normal commercial terms, and that their terms are and reasonable.</w:t>
      </w:r>
    </w:p>
    <w:p>
      <w:pPr>
        <w:sectPr>
          <w:pgSz w:w="11900" w:h="16838" w:orient="portrait"/>
          <w:cols w:equalWidth="0" w:num="1">
            <w:col w:w="11360"/>
          </w:cols>
          <w:pgMar w:left="240" w:top="1440" w:right="29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26 Wynn Macau, Limited</w:t>
      </w:r>
    </w:p>
    <w:p>
      <w:pPr>
        <w:spacing w:after="0"/>
        <w:rPr>
          <w:sz w:val="20"/>
          <w:szCs w:val="20"/>
          <w:color w:val="auto"/>
        </w:rPr>
      </w:pPr>
      <w:r>
        <w:rPr>
          <w:rFonts w:ascii="Arial" w:cs="Arial" w:eastAsia="Arial" w:hAnsi="Arial"/>
          <w:sz w:val="3"/>
          <w:szCs w:val="3"/>
          <w:color w:val="FFFFFF"/>
        </w:rPr>
        <w:t>Directors and Senior Management</w:t>
      </w:r>
    </w:p>
    <w:p>
      <w:pPr>
        <w:spacing w:after="0" w:line="181" w:lineRule="auto"/>
        <w:rPr>
          <w:sz w:val="20"/>
          <w:szCs w:val="20"/>
          <w:color w:val="auto"/>
        </w:rPr>
      </w:pPr>
      <w:r>
        <w:rPr>
          <w:rFonts w:ascii="Arial" w:cs="Arial" w:eastAsia="Arial" w:hAnsi="Arial"/>
          <w:sz w:val="10"/>
          <w:szCs w:val="10"/>
          <w:color w:val="FFFFFF"/>
        </w:rPr>
        <w:t>TheOURfollowingDIRECTORStable presents certain information in respect of the members of our Board.</w:t>
      </w:r>
    </w:p>
    <w:p>
      <w:pPr>
        <w:ind w:left="1520"/>
        <w:spacing w:after="0" w:line="6" w:lineRule="auto"/>
        <w:rPr>
          <w:sz w:val="20"/>
          <w:szCs w:val="20"/>
          <w:color w:val="auto"/>
        </w:rPr>
      </w:pPr>
      <w:r>
        <w:rPr>
          <w:rFonts w:ascii="Arial" w:cs="Arial" w:eastAsia="Arial" w:hAnsi="Arial"/>
          <w:sz w:val="1"/>
          <w:szCs w:val="1"/>
          <w:color w:val="FFFFFF"/>
        </w:rPr>
        <w:t>NameMembers ofPositionurBoardDate of Appointment</w:t>
      </w:r>
    </w:p>
    <w:p>
      <w:pPr>
        <w:ind w:left="360"/>
        <w:spacing w:after="0" w:line="188" w:lineRule="auto"/>
        <w:rPr>
          <w:sz w:val="20"/>
          <w:szCs w:val="20"/>
          <w:color w:val="auto"/>
        </w:rPr>
      </w:pPr>
      <w:r>
        <w:rPr>
          <w:rFonts w:ascii="Arial" w:cs="Arial" w:eastAsia="Arial" w:hAnsi="Arial"/>
          <w:sz w:val="9"/>
          <w:szCs w:val="9"/>
          <w:color w:val="FFFFFF"/>
        </w:rPr>
        <w:t>Age</w:t>
      </w:r>
    </w:p>
    <w:p>
      <w:pPr>
        <w:spacing w:after="0" w:line="187" w:lineRule="auto"/>
        <w:rPr>
          <w:sz w:val="20"/>
          <w:szCs w:val="20"/>
          <w:color w:val="auto"/>
        </w:rPr>
      </w:pPr>
      <w:r>
        <w:rPr>
          <w:rFonts w:ascii="Arial" w:cs="Arial" w:eastAsia="Arial" w:hAnsi="Arial"/>
          <w:sz w:val="9"/>
          <w:szCs w:val="9"/>
          <w:color w:val="FFFFFF"/>
        </w:rPr>
        <w:t>ExecutiveStephen .Director,Wynn71 Chairman of the Board, 16 September 2009</w:t>
      </w:r>
    </w:p>
    <w:p>
      <w:pPr>
        <w:spacing w:after="0" w:line="188" w:lineRule="auto"/>
        <w:rPr>
          <w:sz w:val="20"/>
          <w:szCs w:val="20"/>
          <w:color w:val="auto"/>
        </w:rPr>
      </w:pPr>
      <w:r>
        <w:rPr>
          <w:rFonts w:ascii="Arial" w:cs="Arial" w:eastAsia="Arial" w:hAnsi="Arial"/>
          <w:sz w:val="9"/>
          <w:szCs w:val="9"/>
          <w:color w:val="FFFFFF"/>
        </w:rPr>
        <w:t>andChiefPresidentExecutive Of?cer</w:t>
      </w:r>
    </w:p>
    <w:p>
      <w:pPr>
        <w:spacing w:after="0"/>
        <w:rPr>
          <w:sz w:val="20"/>
          <w:szCs w:val="20"/>
          <w:color w:val="auto"/>
        </w:rPr>
      </w:pPr>
      <w:r>
        <w:rPr>
          <w:rFonts w:ascii="Arial" w:cs="Arial" w:eastAsia="Arial" w:hAnsi="Arial"/>
          <w:sz w:val="3"/>
          <w:szCs w:val="3"/>
          <w:color w:val="FFFFFF"/>
        </w:rPr>
        <w:t>ChiefLinda OperatingChen46ExecutiveOf?cer Director and 16 September 2009</w:t>
      </w:r>
    </w:p>
    <w:p>
      <w:pPr>
        <w:spacing w:after="0" w:line="194" w:lineRule="auto"/>
        <w:rPr>
          <w:sz w:val="20"/>
          <w:szCs w:val="20"/>
          <w:color w:val="auto"/>
        </w:rPr>
      </w:pPr>
      <w:r>
        <w:rPr>
          <w:rFonts w:ascii="Arial" w:cs="Arial" w:eastAsia="Arial" w:hAnsi="Arial"/>
          <w:sz w:val="5"/>
          <w:szCs w:val="5"/>
          <w:color w:val="FFFFFF"/>
        </w:rPr>
        <w:t>Ian Michael Coughlan 53 Executive Director 16 September 2009</w:t>
      </w:r>
    </w:p>
    <w:p>
      <w:pPr>
        <w:spacing w:after="0" w:line="211" w:lineRule="auto"/>
        <w:rPr>
          <w:sz w:val="20"/>
          <w:szCs w:val="20"/>
          <w:color w:val="auto"/>
        </w:rPr>
      </w:pPr>
      <w:r>
        <w:rPr>
          <w:rFonts w:ascii="Arial" w:cs="Arial" w:eastAsia="Arial" w:hAnsi="Arial"/>
          <w:sz w:val="4"/>
          <w:szCs w:val="4"/>
          <w:color w:val="FFFFFF"/>
          <w:vertAlign w:val="superscript"/>
        </w:rPr>
        <w:t>Marc</w:t>
      </w:r>
    </w:p>
    <w:p>
      <w:pPr>
        <w:ind w:left="180"/>
        <w:spacing w:after="0"/>
        <w:rPr>
          <w:sz w:val="20"/>
          <w:szCs w:val="20"/>
          <w:color w:val="auto"/>
        </w:rPr>
      </w:pPr>
      <w:r>
        <w:rPr>
          <w:rFonts w:ascii="Arial" w:cs="Arial" w:eastAsia="Arial" w:hAnsi="Arial"/>
          <w:sz w:val="3"/>
          <w:szCs w:val="3"/>
          <w:color w:val="FFFFFF"/>
        </w:rPr>
        <w:t>tthewD. SchorrO.Maddox65Non37-executiveNon-executiveDirectorDirector16September28March20092013</w:t>
      </w:r>
    </w:p>
    <w:p>
      <w:pPr>
        <w:spacing w:after="0" w:line="181" w:lineRule="auto"/>
        <w:rPr>
          <w:sz w:val="20"/>
          <w:szCs w:val="20"/>
          <w:color w:val="auto"/>
        </w:rPr>
      </w:pPr>
      <w:r>
        <w:rPr>
          <w:rFonts w:ascii="Arial" w:cs="Arial" w:eastAsia="Arial" w:hAnsi="Arial"/>
          <w:sz w:val="10"/>
          <w:szCs w:val="10"/>
          <w:color w:val="FFFFFF"/>
        </w:rPr>
        <w:t>(retired on 28 March 2013)</w:t>
      </w:r>
    </w:p>
    <w:p>
      <w:pPr>
        <w:spacing w:after="0" w:line="188" w:lineRule="auto"/>
        <w:rPr>
          <w:sz w:val="20"/>
          <w:szCs w:val="20"/>
          <w:color w:val="auto"/>
        </w:rPr>
      </w:pPr>
      <w:r>
        <w:rPr>
          <w:rFonts w:ascii="Arial" w:cs="Arial" w:eastAsia="Arial" w:hAnsi="Arial"/>
          <w:sz w:val="9"/>
          <w:szCs w:val="9"/>
          <w:color w:val="FFFFFF"/>
        </w:rPr>
        <w:t>andAllanNonZeman,-executiveGBM,DirectorGBS,JP 64 Vice-chairman of the Board 16 September 2009</w:t>
      </w:r>
    </w:p>
    <w:p>
      <w:pPr>
        <w:spacing w:after="0" w:line="188" w:lineRule="auto"/>
        <w:rPr>
          <w:sz w:val="20"/>
          <w:szCs w:val="20"/>
          <w:color w:val="auto"/>
        </w:rPr>
      </w:pPr>
      <w:r>
        <w:rPr>
          <w:rFonts w:ascii="Arial" w:cs="Arial" w:eastAsia="Arial" w:hAnsi="Arial"/>
          <w:sz w:val="9"/>
          <w:szCs w:val="9"/>
          <w:color w:val="FFFFFF"/>
        </w:rPr>
        <w:t>NonJeffrey-executiveKin-fungDirectorLam,GBS, JP 61 Independent 16 September 2009</w:t>
      </w:r>
    </w:p>
    <w:p>
      <w:pPr>
        <w:spacing w:after="0" w:line="188" w:lineRule="auto"/>
        <w:rPr>
          <w:sz w:val="20"/>
          <w:szCs w:val="20"/>
          <w:color w:val="auto"/>
        </w:rPr>
      </w:pPr>
      <w:r>
        <w:rPr>
          <w:rFonts w:ascii="Arial" w:cs="Arial" w:eastAsia="Arial" w:hAnsi="Arial"/>
          <w:sz w:val="9"/>
          <w:szCs w:val="9"/>
          <w:color w:val="FFFFFF"/>
          <w:vertAlign w:val="superscript"/>
        </w:rPr>
        <w:t>Non</w:t>
      </w:r>
      <w:r>
        <w:rPr>
          <w:rFonts w:ascii="Arial" w:cs="Arial" w:eastAsia="Arial" w:hAnsi="Arial"/>
          <w:sz w:val="7"/>
          <w:szCs w:val="7"/>
          <w:color w:val="FFFFFF"/>
        </w:rPr>
        <w:t>Bruce</w:t>
      </w:r>
      <w:r>
        <w:rPr>
          <w:rFonts w:ascii="Arial" w:cs="Arial" w:eastAsia="Arial" w:hAnsi="Arial"/>
          <w:sz w:val="9"/>
          <w:szCs w:val="9"/>
          <w:color w:val="FFFFFF"/>
          <w:vertAlign w:val="subscript"/>
        </w:rPr>
        <w:t>icholas</w:t>
      </w:r>
      <w:r>
        <w:rPr>
          <w:rFonts w:ascii="Arial" w:cs="Arial" w:eastAsia="Arial" w:hAnsi="Arial"/>
          <w:sz w:val="7"/>
          <w:szCs w:val="7"/>
          <w:color w:val="FFFFFF"/>
        </w:rPr>
        <w:t>-executiveRockowitzDirector54Independent 16 September 2009</w:t>
      </w:r>
    </w:p>
    <w:p>
      <w:pPr>
        <w:ind w:left="240"/>
        <w:spacing w:after="0" w:line="188" w:lineRule="auto"/>
        <w:rPr>
          <w:sz w:val="20"/>
          <w:szCs w:val="20"/>
          <w:color w:val="auto"/>
        </w:rPr>
      </w:pPr>
      <w:r>
        <w:rPr>
          <w:rFonts w:ascii="Arial" w:cs="Arial" w:eastAsia="Arial" w:hAnsi="Arial"/>
          <w:sz w:val="9"/>
          <w:szCs w:val="9"/>
          <w:color w:val="FFFFFF"/>
        </w:rPr>
        <w:t>-executiveSallnowDirector-Smith 63 Independent 16 September 2009</w:t>
      </w:r>
    </w:p>
    <w:p>
      <w:pPr>
        <w:spacing w:after="0" w:line="212" w:lineRule="auto"/>
        <w:rPr>
          <w:sz w:val="20"/>
          <w:szCs w:val="20"/>
          <w:color w:val="auto"/>
        </w:rPr>
      </w:pPr>
      <w:r>
        <w:rPr>
          <w:rFonts w:ascii="Arial" w:cs="Arial" w:eastAsia="Arial" w:hAnsi="Arial"/>
          <w:sz w:val="2"/>
          <w:szCs w:val="2"/>
          <w:color w:val="FFFFFF"/>
        </w:rPr>
        <w:t>The</w:t>
      </w:r>
      <w:r>
        <w:rPr>
          <w:rFonts w:ascii="Arial" w:cs="Arial" w:eastAsia="Arial" w:hAnsi="Arial"/>
          <w:sz w:val="4"/>
          <w:szCs w:val="4"/>
          <w:color w:val="FFFFFF"/>
          <w:vertAlign w:val="subscript"/>
        </w:rPr>
        <w:t>Executive</w:t>
      </w:r>
      <w:r>
        <w:rPr>
          <w:rFonts w:ascii="Arial" w:cs="Arial" w:eastAsia="Arial" w:hAnsi="Arial"/>
          <w:sz w:val="2"/>
          <w:szCs w:val="2"/>
          <w:color w:val="FFFFFF"/>
        </w:rPr>
        <w:t>biographyDirectorsofeach Director is set out below:</w:t>
      </w:r>
    </w:p>
    <w:p>
      <w:pPr>
        <w:spacing w:after="0" w:line="181" w:lineRule="auto"/>
        <w:rPr>
          <w:sz w:val="20"/>
          <w:szCs w:val="20"/>
          <w:color w:val="auto"/>
        </w:rPr>
      </w:pPr>
      <w:r>
        <w:rPr>
          <w:rFonts w:ascii="Arial" w:cs="Arial" w:eastAsia="Arial" w:hAnsi="Arial"/>
          <w:sz w:val="6"/>
          <w:szCs w:val="6"/>
          <w:color w:val="FFFFFF"/>
        </w:rPr>
        <w:t xml:space="preserve">Mr. Stephen A. Wynn, aged 71, has been a Director of the Company since its inception and an executive Director, the Chairman of the Board of Directors, Chief Executive Of? cer and President of the Company since 16 September 2009. Mr. Wynn has served as Director, Chairman and Chief Executive Of? cer of WRM since October 2001. Mr. Wynn has also served </w:t>
      </w:r>
      <w:r>
        <w:rPr>
          <w:rFonts w:ascii="Arial" w:cs="Arial" w:eastAsia="Arial" w:hAnsi="Arial"/>
          <w:sz w:val="7"/>
          <w:szCs w:val="7"/>
          <w:color w:val="FFFFFF"/>
          <w:vertAlign w:val="superscript"/>
        </w:rPr>
        <w:t>was</w:t>
      </w:r>
      <w:r>
        <w:rPr>
          <w:rFonts w:ascii="Arial" w:cs="Arial" w:eastAsia="Arial" w:hAnsi="Arial"/>
          <w:sz w:val="6"/>
          <w:szCs w:val="6"/>
          <w:color w:val="FFFFFF"/>
        </w:rPr>
        <w:t xml:space="preserve">Chairman and Chief Executive Of? cer of Wynn Resorts, Limited since June 2002. Mr. Wynn has over 40 years of experience in the gaming casino industry. From April 2000 </w:t>
      </w:r>
      <w:r>
        <w:rPr>
          <w:rFonts w:ascii="Arial" w:cs="Arial" w:eastAsia="Arial" w:hAnsi="Arial"/>
          <w:sz w:val="7"/>
          <w:szCs w:val="7"/>
          <w:color w:val="FFFFFF"/>
          <w:vertAlign w:val="subscript"/>
        </w:rPr>
        <w:t>director</w:t>
      </w:r>
      <w:r>
        <w:rPr>
          <w:rFonts w:ascii="Arial" w:cs="Arial" w:eastAsia="Arial" w:hAnsi="Arial"/>
          <w:sz w:val="6"/>
          <w:szCs w:val="6"/>
          <w:color w:val="FFFFFF"/>
        </w:rPr>
        <w:t>September 2002, Mr. Wynn the managing member of Valvino Lamore, LLC,</w:t>
      </w:r>
    </w:p>
    <w:p>
      <w:pPr>
        <w:spacing w:after="0"/>
        <w:tabs>
          <w:tab w:leader="none" w:pos="7200" w:val="left"/>
        </w:tabs>
        <w:rPr>
          <w:sz w:val="20"/>
          <w:szCs w:val="20"/>
          <w:color w:val="auto"/>
        </w:rPr>
      </w:pPr>
      <w:r>
        <w:rPr>
          <w:rFonts w:ascii="Arial" w:cs="Arial" w:eastAsia="Arial" w:hAnsi="Arial"/>
          <w:sz w:val="14"/>
          <w:szCs w:val="14"/>
          <w:color w:val="FFFFFF"/>
        </w:rPr>
        <w:t>the predecessor and a current wholly owned subsidiary of Wynn Resorts, Limited. Mr. Wynn also serves as an of? cer and/or</w:t>
      </w:r>
      <w:r>
        <w:rPr>
          <w:sz w:val="20"/>
          <w:szCs w:val="20"/>
          <w:color w:val="auto"/>
        </w:rPr>
        <w:tab/>
      </w:r>
      <w:r>
        <w:rPr>
          <w:rFonts w:ascii="Arial" w:cs="Arial" w:eastAsia="Arial" w:hAnsi="Arial"/>
          <w:sz w:val="12"/>
          <w:szCs w:val="12"/>
          <w:color w:val="FFFFFF"/>
        </w:rPr>
        <w:t>of several subsidiaries</w:t>
      </w:r>
    </w:p>
    <w:p>
      <w:pPr>
        <w:sectPr>
          <w:pgSz w:w="11900" w:h="16838" w:orient="portrait"/>
          <w:cols w:equalWidth="0" w:num="1">
            <w:col w:w="11360"/>
          </w:cols>
          <w:pgMar w:left="240" w:top="1440" w:right="29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20"/>
                <w:szCs w:val="20"/>
                <w:color w:val="auto"/>
              </w:rPr>
            </w:pPr>
            <w:r>
              <w:rPr>
                <w:rFonts w:ascii="Arial" w:cs="Arial" w:eastAsia="Arial" w:hAnsi="Arial"/>
                <w:sz w:val="14"/>
                <w:szCs w:val="14"/>
                <w:color w:val="FFFFFF"/>
              </w:rPr>
              <w:t>Annual Report 2012 27</w:t>
            </w:r>
          </w:p>
        </w:tc>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40" w:type="dxa"/>
            <w:vAlign w:val="bottom"/>
          </w:tcPr>
          <w:p>
            <w:pPr>
              <w:spacing w:after="0"/>
              <w:rPr>
                <w:sz w:val="20"/>
                <w:szCs w:val="20"/>
                <w:color w:val="auto"/>
              </w:rPr>
            </w:pPr>
            <w:r>
              <w:rPr>
                <w:rFonts w:ascii="Arial" w:cs="Arial" w:eastAsia="Arial" w:hAnsi="Arial"/>
                <w:sz w:val="3"/>
                <w:szCs w:val="3"/>
                <w:color w:val="FFFFFF"/>
              </w:rPr>
              <w:t>Directors and Senior Management</w:t>
            </w:r>
          </w:p>
        </w:tc>
        <w:tc>
          <w:tcPr>
            <w:tcW w:w="21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280" w:type="dxa"/>
            <w:vAlign w:val="bottom"/>
            <w:vMerge w:val="restart"/>
          </w:tcPr>
          <w:p>
            <w:pPr>
              <w:jc w:val="right"/>
              <w:spacing w:after="0" w:line="81" w:lineRule="exact"/>
              <w:rPr>
                <w:sz w:val="20"/>
                <w:szCs w:val="20"/>
                <w:color w:val="auto"/>
              </w:rPr>
            </w:pPr>
            <w:r>
              <w:rPr>
                <w:rFonts w:ascii="Arial" w:cs="Arial" w:eastAsia="Arial" w:hAnsi="Arial"/>
                <w:sz w:val="9"/>
                <w:szCs w:val="9"/>
                <w:color w:val="FFFFFF"/>
              </w:rPr>
              <w:t>Inc. and its predecessor, Golden Nugget Inc., between 1973 and 2000. Mr. Wynn developed</w:t>
            </w:r>
          </w:p>
        </w:tc>
        <w:tc>
          <w:tcPr>
            <w:tcW w:w="0" w:type="dxa"/>
            <w:vAlign w:val="bottom"/>
          </w:tcPr>
          <w:p>
            <w:pPr>
              <w:spacing w:after="0"/>
              <w:rPr>
                <w:sz w:val="1"/>
                <w:szCs w:val="1"/>
                <w:color w:val="auto"/>
              </w:rPr>
            </w:pPr>
          </w:p>
        </w:tc>
      </w:tr>
      <w:tr>
        <w:trPr>
          <w:trHeight w:val="41"/>
        </w:trPr>
        <w:tc>
          <w:tcPr>
            <w:tcW w:w="6040" w:type="dxa"/>
            <w:vAlign w:val="bottom"/>
            <w:gridSpan w:val="3"/>
          </w:tcPr>
          <w:p>
            <w:pPr>
              <w:spacing w:after="0"/>
              <w:rPr>
                <w:sz w:val="20"/>
                <w:szCs w:val="20"/>
                <w:color w:val="auto"/>
              </w:rPr>
            </w:pPr>
            <w:r>
              <w:rPr>
                <w:rFonts w:ascii="Arial" w:cs="Arial" w:eastAsia="Arial" w:hAnsi="Arial"/>
                <w:sz w:val="3"/>
                <w:szCs w:val="3"/>
                <w:color w:val="FFFFFF"/>
              </w:rPr>
              <w:t>of Wynn Resorts, Limited. Mr. Wynn served as Chairman, President and Chief Executive Offi cer of Mirage</w:t>
            </w:r>
          </w:p>
        </w:tc>
        <w:tc>
          <w:tcPr>
            <w:tcW w:w="5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40" w:type="dxa"/>
            <w:vAlign w:val="bottom"/>
          </w:tcPr>
          <w:p>
            <w:pPr>
              <w:spacing w:after="0"/>
              <w:rPr>
                <w:sz w:val="20"/>
                <w:szCs w:val="20"/>
                <w:color w:val="auto"/>
              </w:rPr>
            </w:pPr>
            <w:r>
              <w:rPr>
                <w:rFonts w:ascii="Arial" w:cs="Arial" w:eastAsia="Arial" w:hAnsi="Arial"/>
                <w:sz w:val="3"/>
                <w:szCs w:val="3"/>
                <w:color w:val="FFFFFF"/>
              </w:rPr>
              <w:t>and opened The Mirage, Treasure</w:t>
            </w:r>
          </w:p>
        </w:tc>
        <w:tc>
          <w:tcPr>
            <w:tcW w:w="9280" w:type="dxa"/>
            <w:vAlign w:val="bottom"/>
            <w:gridSpan w:val="3"/>
          </w:tcPr>
          <w:p>
            <w:pPr>
              <w:jc w:val="right"/>
              <w:ind w:right="2389"/>
              <w:spacing w:after="0"/>
              <w:rPr>
                <w:sz w:val="20"/>
                <w:szCs w:val="20"/>
                <w:color w:val="auto"/>
              </w:rPr>
            </w:pPr>
            <w:r>
              <w:rPr>
                <w:rFonts w:ascii="Arial" w:cs="Arial" w:eastAsia="Arial" w:hAnsi="Arial"/>
                <w:sz w:val="3"/>
                <w:szCs w:val="3"/>
                <w:color w:val="FFFFFF"/>
              </w:rPr>
              <w:t>and Bellagio in 1989, 1993 and 1998, respectively. In 2011, Barron’Resorts,ranked Mr. Wynn as one of the world’s 30 best CEOs.</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Ms. Linda Chen, aged 46, has beenIslandexecutive Director and the Chief Operating Of? cer of the Company since 16 September 2009 and Chief Operating Of? cer of WRM since June 2002. Ms. Chen is</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responsible for the marketing and strategic development of WRM. Ms. Chen served as a director of Wynn Resorts, Limited from October 2007 to 13 December 2012 and is the President of WIML. In these</w:t>
            </w:r>
          </w:p>
        </w:tc>
        <w:tc>
          <w:tcPr>
            <w:tcW w:w="0" w:type="dxa"/>
            <w:vAlign w:val="bottom"/>
          </w:tcPr>
          <w:p>
            <w:pPr>
              <w:spacing w:after="0"/>
              <w:rPr>
                <w:sz w:val="1"/>
                <w:szCs w:val="1"/>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positions, she is responsible for the set-up of international marketing operations of Wynn Resorts, Limited. Prior to joining the Group, Ms. Chen was Executive Vice President — International Marketing at</w:t>
            </w:r>
          </w:p>
        </w:tc>
        <w:tc>
          <w:tcPr>
            <w:tcW w:w="0" w:type="dxa"/>
            <w:vAlign w:val="bottom"/>
          </w:tcPr>
          <w:p>
            <w:pPr>
              <w:spacing w:after="0"/>
              <w:rPr>
                <w:sz w:val="1"/>
                <w:szCs w:val="1"/>
                <w:color w:val="auto"/>
              </w:rPr>
            </w:pPr>
          </w:p>
        </w:tc>
      </w:tr>
      <w:tr>
        <w:trPr>
          <w:trHeight w:val="41"/>
        </w:trPr>
        <w:tc>
          <w:tcPr>
            <w:tcW w:w="6040" w:type="dxa"/>
            <w:vAlign w:val="bottom"/>
            <w:gridSpan w:val="3"/>
          </w:tcPr>
          <w:p>
            <w:pPr>
              <w:spacing w:after="0"/>
              <w:rPr>
                <w:sz w:val="20"/>
                <w:szCs w:val="20"/>
                <w:color w:val="auto"/>
              </w:rPr>
            </w:pPr>
            <w:r>
              <w:rPr>
                <w:rFonts w:ascii="Arial" w:cs="Arial" w:eastAsia="Arial" w:hAnsi="Arial"/>
                <w:sz w:val="3"/>
                <w:szCs w:val="3"/>
                <w:color w:val="FFFFFF"/>
              </w:rPr>
              <w:t>MGM Mirage, a role she held from June 2000 until May 2002, and was responsible for the international</w:t>
            </w:r>
          </w:p>
        </w:tc>
        <w:tc>
          <w:tcPr>
            <w:tcW w:w="5280" w:type="dxa"/>
            <w:vAlign w:val="bottom"/>
          </w:tcPr>
          <w:p>
            <w:pPr>
              <w:jc w:val="right"/>
              <w:spacing w:after="0"/>
              <w:rPr>
                <w:sz w:val="20"/>
                <w:szCs w:val="20"/>
                <w:color w:val="auto"/>
              </w:rPr>
            </w:pPr>
            <w:r>
              <w:rPr>
                <w:rFonts w:ascii="Arial" w:cs="Arial" w:eastAsia="Arial" w:hAnsi="Arial"/>
                <w:sz w:val="3"/>
                <w:szCs w:val="3"/>
                <w:color w:val="FFFFFF"/>
              </w:rPr>
              <w:t>operations for MGM Grand, Bellagio and The Mirage. Prior to this position, Ms. Chen served</w:t>
            </w:r>
          </w:p>
        </w:tc>
        <w:tc>
          <w:tcPr>
            <w:tcW w:w="0" w:type="dxa"/>
            <w:vAlign w:val="bottom"/>
          </w:tcPr>
          <w:p>
            <w:pPr>
              <w:spacing w:after="0"/>
              <w:rPr>
                <w:sz w:val="1"/>
                <w:szCs w:val="1"/>
                <w:color w:val="auto"/>
              </w:rPr>
            </w:pPr>
          </w:p>
        </w:tc>
      </w:tr>
      <w:tr>
        <w:trPr>
          <w:trHeight w:val="0"/>
        </w:trPr>
        <w:tc>
          <w:tcPr>
            <w:tcW w:w="4220" w:type="dxa"/>
            <w:vAlign w:val="bottom"/>
            <w:gridSpan w:val="2"/>
          </w:tcPr>
          <w:p>
            <w:pPr>
              <w:spacing w:after="0" w:line="80" w:lineRule="exact"/>
              <w:rPr>
                <w:sz w:val="20"/>
                <w:szCs w:val="20"/>
                <w:color w:val="auto"/>
              </w:rPr>
            </w:pPr>
            <w:r>
              <w:rPr>
                <w:rFonts w:ascii="Arial" w:cs="Arial" w:eastAsia="Arial" w:hAnsi="Arial"/>
                <w:sz w:val="9"/>
                <w:szCs w:val="9"/>
                <w:color w:val="FFFFFF"/>
              </w:rPr>
              <w:t>as the Executive Vice President of International Marketing for Bellagio and</w:t>
            </w:r>
          </w:p>
        </w:tc>
        <w:tc>
          <w:tcPr>
            <w:tcW w:w="7100" w:type="dxa"/>
            <w:vAlign w:val="bottom"/>
            <w:gridSpan w:val="2"/>
          </w:tcPr>
          <w:p>
            <w:pPr>
              <w:jc w:val="right"/>
              <w:ind w:right="129"/>
              <w:spacing w:after="0" w:line="80" w:lineRule="exact"/>
              <w:rPr>
                <w:sz w:val="20"/>
                <w:szCs w:val="20"/>
                <w:color w:val="auto"/>
              </w:rPr>
            </w:pPr>
            <w:r>
              <w:rPr>
                <w:rFonts w:ascii="Arial" w:cs="Arial" w:eastAsia="Arial" w:hAnsi="Arial"/>
                <w:sz w:val="9"/>
                <w:szCs w:val="9"/>
                <w:color w:val="FFFFFF"/>
              </w:rPr>
              <w:t>involved with its openingmarketing1998. She was also involved in the opening of the MGM Grand in 1993 and The Mirage in 1989.</w:t>
            </w:r>
          </w:p>
        </w:tc>
        <w:tc>
          <w:tcPr>
            <w:tcW w:w="0" w:type="dxa"/>
            <w:vAlign w:val="bottom"/>
          </w:tcPr>
          <w:p>
            <w:pPr>
              <w:spacing w:after="0" w:line="20" w:lineRule="exact"/>
              <w:rPr>
                <w:sz w:val="1"/>
                <w:szCs w:val="1"/>
                <w:color w:val="auto"/>
              </w:rPr>
            </w:pPr>
          </w:p>
        </w:tc>
      </w:tr>
    </w:tbl>
    <w:p>
      <w:pPr>
        <w:ind w:right="160"/>
        <w:spacing w:after="0"/>
        <w:rPr>
          <w:sz w:val="20"/>
          <w:szCs w:val="20"/>
          <w:color w:val="auto"/>
        </w:rPr>
      </w:pPr>
      <w:r>
        <w:rPr>
          <w:rFonts w:ascii="Arial" w:cs="Arial" w:eastAsia="Arial" w:hAnsi="Arial"/>
          <w:sz w:val="3"/>
          <w:szCs w:val="3"/>
          <w:color w:val="FFFFFF"/>
        </w:rPr>
        <w:t>Ms. Chen is also a member of the Nanjing Committee of the Chinese People’wasPolitical Consultative Conference (Macau). Ms. Chen holds a Bachelor of Science Degree in Hotel Administration from Cornell University in 1989 and completed the Stanford Graduate School of Business Executive Development Program in 1997.</w:t>
      </w:r>
    </w:p>
    <w:p>
      <w:pPr>
        <w:spacing w:after="0" w:line="7" w:lineRule="exact"/>
        <w:rPr>
          <w:sz w:val="20"/>
          <w:szCs w:val="20"/>
          <w:color w:val="auto"/>
        </w:rPr>
      </w:pPr>
    </w:p>
    <w:p>
      <w:pPr>
        <w:spacing w:after="0"/>
        <w:rPr>
          <w:sz w:val="20"/>
          <w:szCs w:val="20"/>
          <w:color w:val="auto"/>
        </w:rPr>
      </w:pPr>
      <w:r>
        <w:rPr>
          <w:rFonts w:ascii="Arial" w:cs="Arial" w:eastAsia="Arial" w:hAnsi="Arial"/>
          <w:sz w:val="6"/>
          <w:szCs w:val="6"/>
          <w:color w:val="FFFFFF"/>
        </w:rPr>
        <w:t>Mr. Ian Michael Coughlan, aged 53, has been an executive Director of the Company since 16 September 2009. Mr. Coughlan is also the President of WRM, a position he has held since July 2007. In this role, he is responsible for the</w:t>
      </w:r>
      <w:r>
        <w:rPr>
          <w:rFonts w:ascii="Arial" w:cs="Arial" w:eastAsia="Arial" w:hAnsi="Arial"/>
          <w:sz w:val="7"/>
          <w:szCs w:val="7"/>
          <w:color w:val="FFFFFF"/>
          <w:vertAlign w:val="subscript"/>
        </w:rPr>
        <w:t>experience</w:t>
      </w:r>
      <w:r>
        <w:rPr>
          <w:rFonts w:ascii="Arial" w:cs="Arial" w:eastAsia="Arial" w:hAnsi="Arial"/>
          <w:sz w:val="6"/>
          <w:szCs w:val="6"/>
          <w:color w:val="FFFFFF"/>
        </w:rPr>
        <w:t>entireoperation and development of Wynn Macau. Prior to this role, Mr. Coughlan was Director of Hotel Operations — Worldwide for Wynn Resorts, Limited. Mr. Coughlan has over 30</w:t>
      </w:r>
    </w:p>
    <w:p>
      <w:pPr>
        <w:spacing w:after="0" w:line="1" w:lineRule="exact"/>
        <w:rPr>
          <w:sz w:val="20"/>
          <w:szCs w:val="20"/>
          <w:color w:val="auto"/>
        </w:rPr>
      </w:pPr>
    </w:p>
    <w:p>
      <w:pPr>
        <w:ind w:right="120"/>
        <w:spacing w:after="0"/>
        <w:rPr>
          <w:sz w:val="20"/>
          <w:szCs w:val="20"/>
          <w:color w:val="auto"/>
        </w:rPr>
      </w:pPr>
      <w:r>
        <w:rPr>
          <w:rFonts w:ascii="Arial" w:cs="Arial" w:eastAsia="Arial" w:hAnsi="Arial"/>
          <w:sz w:val="6"/>
          <w:szCs w:val="6"/>
          <w:color w:val="FFFFFF"/>
        </w:rPr>
        <w:t xml:space="preserve">years of hospitality with leading hotels across Asia, Europe and the United States. Before joining Wynn Resorts, Limited, he spent ten years with The Peninsula Group, including posts as General Manager of The Peninsula Hong Kong from September 2004 to January 2007, and General Manager of The Peninsula Bangkok from </w:t>
      </w:r>
      <w:r>
        <w:rPr>
          <w:rFonts w:ascii="Arial" w:cs="Arial" w:eastAsia="Arial" w:hAnsi="Arial"/>
          <w:sz w:val="7"/>
          <w:szCs w:val="7"/>
          <w:color w:val="FFFFFF"/>
          <w:vertAlign w:val="subscript"/>
        </w:rPr>
        <w:t>Diploma</w:t>
      </w:r>
      <w:r>
        <w:rPr>
          <w:rFonts w:ascii="Arial" w:cs="Arial" w:eastAsia="Arial" w:hAnsi="Arial"/>
          <w:sz w:val="6"/>
          <w:szCs w:val="6"/>
          <w:color w:val="FFFFFF"/>
        </w:rPr>
        <w:t>Setember 1999 to August 2004. His previous assignments include senior</w:t>
      </w:r>
    </w:p>
    <w:p>
      <w:pPr>
        <w:spacing w:after="0"/>
        <w:tabs>
          <w:tab w:leader="none" w:pos="7740" w:val="left"/>
        </w:tabs>
        <w:rPr>
          <w:sz w:val="20"/>
          <w:szCs w:val="20"/>
          <w:color w:val="auto"/>
        </w:rPr>
      </w:pPr>
      <w:r>
        <w:rPr>
          <w:rFonts w:ascii="Arial" w:cs="Arial" w:eastAsia="Arial" w:hAnsi="Arial"/>
          <w:sz w:val="14"/>
          <w:szCs w:val="14"/>
          <w:color w:val="FFFFFF"/>
        </w:rPr>
        <w:t>management positions at The Oriental Singapore, and a number of Ritz-Carlton properties in the United States. Mr. Coughlan holds a</w:t>
      </w:r>
      <w:r>
        <w:rPr>
          <w:sz w:val="20"/>
          <w:szCs w:val="20"/>
          <w:color w:val="auto"/>
        </w:rPr>
        <w:tab/>
      </w:r>
      <w:r>
        <w:rPr>
          <w:rFonts w:ascii="Arial" w:cs="Arial" w:eastAsia="Arial" w:hAnsi="Arial"/>
          <w:sz w:val="12"/>
          <w:szCs w:val="12"/>
          <w:color w:val="FFFFFF"/>
        </w:rPr>
        <w:t>from Shannon College of Hotel Management, Ireland.</w:t>
      </w:r>
    </w:p>
    <w:p>
      <w:pPr>
        <w:sectPr>
          <w:pgSz w:w="11900" w:h="16838" w:orient="portrait"/>
          <w:cols w:equalWidth="0" w:num="1">
            <w:col w:w="11360"/>
          </w:cols>
          <w:pgMar w:left="240" w:top="1440" w:right="299" w:bottom="1440" w:gutter="0" w:footer="0" w:header="0"/>
        </w:sectPr>
      </w:pPr>
    </w:p>
    <w:bookmarkStart w:id="33" w:name="page34"/>
    <w:bookmarkEnd w:id="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gridSpan w:val="3"/>
          </w:tcPr>
          <w:p>
            <w:pPr>
              <w:spacing w:after="0"/>
              <w:rPr>
                <w:sz w:val="20"/>
                <w:szCs w:val="20"/>
                <w:color w:val="auto"/>
              </w:rPr>
            </w:pPr>
            <w:r>
              <w:rPr>
                <w:rFonts w:ascii="Arial" w:cs="Arial" w:eastAsia="Arial" w:hAnsi="Arial"/>
                <w:sz w:val="14"/>
                <w:szCs w:val="14"/>
                <w:color w:val="FFFFFF"/>
              </w:rPr>
              <w:t>28 Wynn Macau, Limited</w:t>
            </w:r>
          </w:p>
        </w:tc>
        <w:tc>
          <w:tcPr>
            <w:tcW w:w="12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780" w:type="dxa"/>
            <w:vAlign w:val="bottom"/>
          </w:tcPr>
          <w:p>
            <w:pPr>
              <w:spacing w:after="0"/>
              <w:rPr>
                <w:sz w:val="14"/>
                <w:szCs w:val="14"/>
                <w:color w:val="auto"/>
              </w:rPr>
            </w:pPr>
          </w:p>
        </w:tc>
      </w:tr>
      <w:tr>
        <w:trPr>
          <w:trHeight w:val="41"/>
        </w:trPr>
        <w:tc>
          <w:tcPr>
            <w:tcW w:w="2100" w:type="dxa"/>
            <w:vAlign w:val="bottom"/>
            <w:gridSpan w:val="3"/>
          </w:tcPr>
          <w:p>
            <w:pPr>
              <w:spacing w:after="0"/>
              <w:rPr>
                <w:sz w:val="20"/>
                <w:szCs w:val="20"/>
                <w:color w:val="auto"/>
              </w:rPr>
            </w:pPr>
            <w:r>
              <w:rPr>
                <w:rFonts w:ascii="Arial" w:cs="Arial" w:eastAsia="Arial" w:hAnsi="Arial"/>
                <w:sz w:val="3"/>
                <w:szCs w:val="3"/>
                <w:color w:val="FFFFFF"/>
              </w:rPr>
              <w:t>Directors and Senior Management</w:t>
            </w:r>
          </w:p>
        </w:tc>
        <w:tc>
          <w:tcPr>
            <w:tcW w:w="1280" w:type="dxa"/>
            <w:vAlign w:val="bottom"/>
          </w:tcPr>
          <w:p>
            <w:pPr>
              <w:spacing w:after="0"/>
              <w:rPr>
                <w:sz w:val="3"/>
                <w:szCs w:val="3"/>
                <w:color w:val="auto"/>
              </w:rPr>
            </w:pPr>
          </w:p>
        </w:tc>
        <w:tc>
          <w:tcPr>
            <w:tcW w:w="4240" w:type="dxa"/>
            <w:vAlign w:val="bottom"/>
          </w:tcPr>
          <w:p>
            <w:pPr>
              <w:spacing w:after="0"/>
              <w:rPr>
                <w:sz w:val="3"/>
                <w:szCs w:val="3"/>
                <w:color w:val="auto"/>
              </w:rPr>
            </w:pPr>
          </w:p>
        </w:tc>
        <w:tc>
          <w:tcPr>
            <w:tcW w:w="3780" w:type="dxa"/>
            <w:vAlign w:val="bottom"/>
          </w:tcPr>
          <w:p>
            <w:pPr>
              <w:spacing w:after="0"/>
              <w:rPr>
                <w:sz w:val="3"/>
                <w:szCs w:val="3"/>
                <w:color w:val="auto"/>
              </w:rPr>
            </w:pPr>
          </w:p>
        </w:tc>
      </w:tr>
      <w:tr>
        <w:trPr>
          <w:trHeight w:val="41"/>
        </w:trPr>
        <w:tc>
          <w:tcPr>
            <w:tcW w:w="1360" w:type="dxa"/>
            <w:vAlign w:val="bottom"/>
            <w:gridSpan w:val="2"/>
          </w:tcPr>
          <w:p>
            <w:pPr>
              <w:spacing w:after="0"/>
              <w:rPr>
                <w:sz w:val="20"/>
                <w:szCs w:val="20"/>
                <w:color w:val="auto"/>
              </w:rPr>
            </w:pPr>
            <w:r>
              <w:rPr>
                <w:rFonts w:ascii="Arial" w:cs="Arial" w:eastAsia="Arial" w:hAnsi="Arial"/>
                <w:sz w:val="3"/>
                <w:szCs w:val="3"/>
                <w:color w:val="FFFFFF"/>
              </w:rPr>
              <w:t>Non-executive Directors</w:t>
            </w:r>
          </w:p>
        </w:tc>
        <w:tc>
          <w:tcPr>
            <w:tcW w:w="7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240" w:type="dxa"/>
            <w:vAlign w:val="bottom"/>
          </w:tcPr>
          <w:p>
            <w:pPr>
              <w:spacing w:after="0"/>
              <w:rPr>
                <w:sz w:val="3"/>
                <w:szCs w:val="3"/>
                <w:color w:val="auto"/>
              </w:rPr>
            </w:pPr>
          </w:p>
        </w:tc>
        <w:tc>
          <w:tcPr>
            <w:tcW w:w="3780" w:type="dxa"/>
            <w:vAlign w:val="bottom"/>
          </w:tcPr>
          <w:p>
            <w:pPr>
              <w:spacing w:after="0"/>
              <w:rPr>
                <w:sz w:val="3"/>
                <w:szCs w:val="3"/>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Mr. Matthew O. Maddox, aged 37, was appointed as a non-executive director of the Company and  member of the Remuneration Committee on 28 March 2013. Mr. Maddox is also a director of WM Cayman</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Holdings II and Palo Real Estate Company Limited. He also serves as the Chief Financ al Of? cer and Treasurer of Wynn Resorts, Limited. Prior to his promotion in March 2008, Mr. Maddox served as Wynn</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Resorts, Limited’s Senior Vice President of Business Development and Treasurer positions he held since January 2007 and May 2006, respectively. From September 2005 to 31 December 2006, Mr. Maddox</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served as the Senior Vice President of Business Development for Wynn Las Vegas, LLC. From March 2003 to September 2005, Mr. Maddox was the Chief Financial Offi cer of WRM. From May 2002 through</w:t>
            </w:r>
          </w:p>
        </w:tc>
      </w:tr>
      <w:tr>
        <w:trPr>
          <w:trHeight w:val="41"/>
        </w:trPr>
        <w:tc>
          <w:tcPr>
            <w:tcW w:w="3380" w:type="dxa"/>
            <w:vAlign w:val="bottom"/>
            <w:gridSpan w:val="4"/>
          </w:tcPr>
          <w:p>
            <w:pPr>
              <w:spacing w:after="0"/>
              <w:rPr>
                <w:sz w:val="20"/>
                <w:szCs w:val="20"/>
                <w:color w:val="auto"/>
              </w:rPr>
            </w:pPr>
            <w:r>
              <w:rPr>
                <w:rFonts w:ascii="Arial" w:cs="Arial" w:eastAsia="Arial" w:hAnsi="Arial"/>
                <w:sz w:val="3"/>
                <w:szCs w:val="3"/>
                <w:color w:val="FFFFFF"/>
              </w:rPr>
              <w:t>March 2003, Mr. Maddox was Wynn Resorts, Limited’ T</w:t>
            </w:r>
          </w:p>
        </w:tc>
        <w:tc>
          <w:tcPr>
            <w:tcW w:w="8020" w:type="dxa"/>
            <w:vAlign w:val="bottom"/>
            <w:gridSpan w:val="2"/>
          </w:tcPr>
          <w:p>
            <w:pPr>
              <w:ind w:left="240"/>
              <w:spacing w:after="0"/>
              <w:rPr>
                <w:sz w:val="20"/>
                <w:szCs w:val="20"/>
                <w:color w:val="auto"/>
              </w:rPr>
            </w:pPr>
            <w:r>
              <w:rPr>
                <w:rFonts w:ascii="Arial" w:cs="Arial" w:eastAsia="Arial" w:hAnsi="Arial"/>
                <w:sz w:val="3"/>
                <w:szCs w:val="3"/>
                <w:color w:val="FFFFFF"/>
              </w:rPr>
              <w:t>and Vice President — Investor Relations. Mr. Maddox also serves as an offi cer of several subsidiaries of Wynn Resorts, Limited. Prior to</w:t>
            </w:r>
          </w:p>
        </w:tc>
      </w:tr>
      <w:tr>
        <w:trPr>
          <w:trHeight w:val="41"/>
        </w:trPr>
        <w:tc>
          <w:tcPr>
            <w:tcW w:w="7620" w:type="dxa"/>
            <w:vAlign w:val="bottom"/>
            <w:gridSpan w:val="5"/>
          </w:tcPr>
          <w:p>
            <w:pPr>
              <w:spacing w:after="0"/>
              <w:rPr>
                <w:sz w:val="20"/>
                <w:szCs w:val="20"/>
                <w:color w:val="auto"/>
              </w:rPr>
            </w:pPr>
            <w:r>
              <w:rPr>
                <w:rFonts w:ascii="Arial" w:cs="Arial" w:eastAsia="Arial" w:hAnsi="Arial"/>
                <w:sz w:val="3"/>
                <w:szCs w:val="3"/>
                <w:color w:val="FFFFFF"/>
              </w:rPr>
              <w:t>joining Wynn Resorts, Limited   2002, Mr. Maddox servedreasurerDirector of Finance, Executive Director of Finance and Vice President of</w:t>
            </w:r>
          </w:p>
        </w:tc>
        <w:tc>
          <w:tcPr>
            <w:tcW w:w="3780" w:type="dxa"/>
            <w:vAlign w:val="bottom"/>
          </w:tcPr>
          <w:p>
            <w:pPr>
              <w:ind w:left="260"/>
              <w:spacing w:after="0"/>
              <w:rPr>
                <w:sz w:val="20"/>
                <w:szCs w:val="20"/>
                <w:color w:val="auto"/>
              </w:rPr>
            </w:pPr>
            <w:r>
              <w:rPr>
                <w:rFonts w:ascii="Arial" w:cs="Arial" w:eastAsia="Arial" w:hAnsi="Arial"/>
                <w:sz w:val="3"/>
                <w:szCs w:val="3"/>
                <w:color w:val="FFFFFF"/>
              </w:rPr>
              <w:t>for Caesars Entertainment, Inc. (formerly Park Place</w:t>
            </w:r>
          </w:p>
        </w:tc>
      </w:tr>
      <w:tr>
        <w:trPr>
          <w:trHeight w:val="41"/>
        </w:trPr>
        <w:tc>
          <w:tcPr>
            <w:tcW w:w="2100" w:type="dxa"/>
            <w:vAlign w:val="bottom"/>
            <w:gridSpan w:val="3"/>
          </w:tcPr>
          <w:p>
            <w:pPr>
              <w:spacing w:after="0"/>
              <w:rPr>
                <w:sz w:val="20"/>
                <w:szCs w:val="20"/>
                <w:color w:val="auto"/>
              </w:rPr>
            </w:pPr>
            <w:r>
              <w:rPr>
                <w:rFonts w:ascii="Arial" w:cs="Arial" w:eastAsia="Arial" w:hAnsi="Arial"/>
                <w:sz w:val="3"/>
                <w:szCs w:val="3"/>
                <w:color w:val="FFFFFF"/>
              </w:rPr>
              <w:t>Entertainment, Inc.). Before joining</w:t>
            </w:r>
          </w:p>
        </w:tc>
        <w:tc>
          <w:tcPr>
            <w:tcW w:w="9300" w:type="dxa"/>
            <w:vAlign w:val="bottom"/>
            <w:gridSpan w:val="3"/>
          </w:tcPr>
          <w:p>
            <w:pPr>
              <w:ind w:left="160"/>
              <w:spacing w:after="0"/>
              <w:rPr>
                <w:sz w:val="20"/>
                <w:szCs w:val="20"/>
                <w:color w:val="auto"/>
              </w:rPr>
            </w:pPr>
            <w:r>
              <w:rPr>
                <w:rFonts w:ascii="Arial" w:cs="Arial" w:eastAsia="Arial" w:hAnsi="Arial"/>
                <w:sz w:val="3"/>
                <w:szCs w:val="3"/>
                <w:color w:val="FFFFFF"/>
              </w:rPr>
              <w:t>Place Entertainment, Mr. Maddox worked as an investment banker for Bank of America SecuritiesFinancethe Mergers and Acquisitions Department.</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Mr. Marc D. Schorr, aged 65, has beenPark non-executive Director of the Company since 16 September 2009, and is also a director of WRM. Mr. Schorr retired as a non-executive Director of the Company, a</w:t>
            </w: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member of the</w:t>
            </w:r>
          </w:p>
        </w:tc>
        <w:tc>
          <w:tcPr>
            <w:tcW w:w="400" w:type="dxa"/>
            <w:vAlign w:val="bottom"/>
          </w:tcPr>
          <w:p>
            <w:pPr>
              <w:spacing w:after="0"/>
              <w:rPr>
                <w:sz w:val="3"/>
                <w:szCs w:val="3"/>
                <w:color w:val="auto"/>
              </w:rPr>
            </w:pPr>
          </w:p>
        </w:tc>
        <w:tc>
          <w:tcPr>
            <w:tcW w:w="10040" w:type="dxa"/>
            <w:vAlign w:val="bottom"/>
            <w:gridSpan w:val="4"/>
          </w:tcPr>
          <w:p>
            <w:pPr>
              <w:ind w:left="220"/>
              <w:spacing w:after="0"/>
              <w:rPr>
                <w:sz w:val="20"/>
                <w:szCs w:val="20"/>
                <w:color w:val="auto"/>
              </w:rPr>
            </w:pPr>
            <w:r>
              <w:rPr>
                <w:rFonts w:ascii="Arial" w:cs="Arial" w:eastAsia="Arial" w:hAnsi="Arial"/>
                <w:sz w:val="3"/>
                <w:szCs w:val="3"/>
                <w:color w:val="FFFFFF"/>
              </w:rPr>
              <w:t>committee of the Board and all other positions in the Group on 28 March 2013. He is also the Chief Operating Of? cer of Wynn Resorts, Limited, a position from which he intends to</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retire effective remuneration1June2013. Mr. Schorr served as a director of Wynn Resorts, Limited from 29 July 2010 to 13 December 2012. Mr. Schorr has over 33 years of experience   the casino gaming industry.</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From June 2000 through April 2001, Mr. Schorr served as Chief Operating Of? cer of Valvino Lamore, LLC. Prior to joining the Group, Mr. Schorr held various positions including President of The Mirage</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Casino-Hotel from January 1997 until May 2000 and Chief Executive Of? cer of Treasure Island at The Mirage from August 1992. In 1989, as President and Chief Executive Of? cer of the Golden Nugget in</w:t>
            </w:r>
          </w:p>
        </w:tc>
      </w:tr>
      <w:tr>
        <w:trPr>
          <w:trHeight w:val="41"/>
        </w:trPr>
        <w:tc>
          <w:tcPr>
            <w:tcW w:w="960" w:type="dxa"/>
            <w:vAlign w:val="bottom"/>
          </w:tcPr>
          <w:p>
            <w:pPr>
              <w:spacing w:after="0"/>
              <w:rPr>
                <w:sz w:val="20"/>
                <w:szCs w:val="20"/>
                <w:color w:val="auto"/>
              </w:rPr>
            </w:pPr>
            <w:r>
              <w:rPr>
                <w:rFonts w:ascii="Arial" w:cs="Arial" w:eastAsia="Arial" w:hAnsi="Arial"/>
                <w:sz w:val="3"/>
                <w:szCs w:val="3"/>
                <w:color w:val="FFFFFF"/>
              </w:rPr>
              <w:t>Laughlin,</w:t>
            </w:r>
          </w:p>
        </w:tc>
        <w:tc>
          <w:tcPr>
            <w:tcW w:w="10440" w:type="dxa"/>
            <w:vAlign w:val="bottom"/>
            <w:gridSpan w:val="5"/>
          </w:tcPr>
          <w:p>
            <w:pPr>
              <w:ind w:left="80"/>
              <w:spacing w:after="0"/>
              <w:rPr>
                <w:sz w:val="20"/>
                <w:szCs w:val="20"/>
                <w:color w:val="auto"/>
              </w:rPr>
            </w:pPr>
            <w:r>
              <w:rPr>
                <w:rFonts w:ascii="Arial" w:cs="Arial" w:eastAsia="Arial" w:hAnsi="Arial"/>
                <w:sz w:val="3"/>
                <w:szCs w:val="3"/>
                <w:color w:val="FFFFFF"/>
              </w:rPr>
              <w:t>he managed its multi-million dollar expansion program. Preceding that in 1984, as director of Casino Marketing for the Golden Nugget in Las Vegas, he established a casino marketing</w:t>
            </w:r>
          </w:p>
        </w:tc>
      </w:tr>
      <w:tr>
        <w:trPr>
          <w:trHeight w:val="41"/>
        </w:trPr>
        <w:tc>
          <w:tcPr>
            <w:tcW w:w="7620" w:type="dxa"/>
            <w:vAlign w:val="bottom"/>
            <w:gridSpan w:val="5"/>
          </w:tcPr>
          <w:p>
            <w:pPr>
              <w:spacing w:after="0"/>
              <w:rPr>
                <w:sz w:val="20"/>
                <w:szCs w:val="20"/>
                <w:color w:val="auto"/>
              </w:rPr>
            </w:pPr>
            <w:r>
              <w:rPr>
                <w:rFonts w:ascii="Arial" w:cs="Arial" w:eastAsia="Arial" w:hAnsi="Arial"/>
                <w:sz w:val="3"/>
                <w:szCs w:val="3"/>
                <w:color w:val="FFFFFF"/>
              </w:rPr>
              <w:t>departmentNevada,andbranch of? ce network throughout the United States.</w:t>
            </w:r>
          </w:p>
        </w:tc>
        <w:tc>
          <w:tcPr>
            <w:tcW w:w="3780" w:type="dxa"/>
            <w:vAlign w:val="bottom"/>
          </w:tcPr>
          <w:p>
            <w:pPr>
              <w:spacing w:after="0"/>
              <w:rPr>
                <w:sz w:val="3"/>
                <w:szCs w:val="3"/>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Dr. Allan Zeman, GBM, GBS, JP, aged 64, has been a Director of the Company since its inception and a non-executive Director of the Company since 16 September 2009 and is the Vice-chairman of the</w:t>
            </w:r>
          </w:p>
        </w:tc>
      </w:tr>
      <w:tr>
        <w:trPr>
          <w:trHeight w:val="41"/>
        </w:trPr>
        <w:tc>
          <w:tcPr>
            <w:tcW w:w="1360" w:type="dxa"/>
            <w:vAlign w:val="bottom"/>
            <w:gridSpan w:val="2"/>
          </w:tcPr>
          <w:p>
            <w:pPr>
              <w:spacing w:after="0"/>
              <w:rPr>
                <w:sz w:val="20"/>
                <w:szCs w:val="20"/>
                <w:color w:val="auto"/>
              </w:rPr>
            </w:pPr>
            <w:r>
              <w:rPr>
                <w:rFonts w:ascii="Arial" w:cs="Arial" w:eastAsia="Arial" w:hAnsi="Arial"/>
                <w:sz w:val="3"/>
                <w:szCs w:val="3"/>
                <w:color w:val="FFFFFF"/>
              </w:rPr>
              <w:t>Company. He was also</w:t>
            </w:r>
          </w:p>
        </w:tc>
        <w:tc>
          <w:tcPr>
            <w:tcW w:w="10040" w:type="dxa"/>
            <w:vAlign w:val="bottom"/>
            <w:gridSpan w:val="4"/>
          </w:tcPr>
          <w:p>
            <w:pPr>
              <w:ind w:left="20"/>
              <w:spacing w:after="0"/>
              <w:rPr>
                <w:sz w:val="20"/>
                <w:szCs w:val="20"/>
                <w:color w:val="auto"/>
              </w:rPr>
            </w:pPr>
            <w:r>
              <w:rPr>
                <w:rFonts w:ascii="Arial" w:cs="Arial" w:eastAsia="Arial" w:hAnsi="Arial"/>
                <w:sz w:val="3"/>
                <w:szCs w:val="3"/>
                <w:color w:val="FFFFFF"/>
              </w:rPr>
              <w:t>non-executive director of Wynn Resorts, Limited from October 2002 to 13 December 2012. Dr. Zeman founded The Colby International Group in 1975 to source and export fashion</w:t>
            </w:r>
          </w:p>
        </w:tc>
      </w:tr>
      <w:tr>
        <w:trPr>
          <w:trHeight w:val="20"/>
        </w:trPr>
        <w:tc>
          <w:tcPr>
            <w:tcW w:w="7620" w:type="dxa"/>
            <w:vAlign w:val="bottom"/>
            <w:gridSpan w:val="5"/>
          </w:tcPr>
          <w:p>
            <w:pPr>
              <w:spacing w:after="0" w:line="21" w:lineRule="exact"/>
              <w:rPr>
                <w:sz w:val="20"/>
                <w:szCs w:val="20"/>
                <w:color w:val="auto"/>
              </w:rPr>
            </w:pPr>
            <w:r>
              <w:rPr>
                <w:rFonts w:ascii="Arial" w:cs="Arial" w:eastAsia="Arial" w:hAnsi="Arial"/>
                <w:sz w:val="2"/>
                <w:szCs w:val="2"/>
                <w:color w:val="FFFFFF"/>
              </w:rPr>
              <w:t>Properties Group,Americaproperty developer in Thailand. Dr. Zeman is also Chairman of Ocean Park, a major theme park in Hong Kong.</w:t>
            </w:r>
          </w:p>
        </w:tc>
        <w:tc>
          <w:tcPr>
            <w:tcW w:w="3780" w:type="dxa"/>
            <w:vAlign w:val="bottom"/>
          </w:tcPr>
          <w:p>
            <w:pPr>
              <w:spacing w:after="0" w:line="20" w:lineRule="exact"/>
              <w:rPr>
                <w:sz w:val="1"/>
                <w:szCs w:val="1"/>
                <w:color w:val="auto"/>
              </w:rPr>
            </w:pPr>
          </w:p>
        </w:tc>
      </w:tr>
      <w:tr>
        <w:trPr>
          <w:trHeight w:val="172"/>
        </w:trPr>
        <w:tc>
          <w:tcPr>
            <w:tcW w:w="960" w:type="dxa"/>
            <w:vAlign w:val="bottom"/>
          </w:tcPr>
          <w:p>
            <w:pPr>
              <w:spacing w:after="0"/>
              <w:rPr>
                <w:sz w:val="20"/>
                <w:szCs w:val="20"/>
                <w:color w:val="auto"/>
              </w:rPr>
            </w:pPr>
            <w:r>
              <w:rPr>
                <w:rFonts w:ascii="Arial" w:cs="Arial" w:eastAsia="Arial" w:hAnsi="Arial"/>
                <w:sz w:val="14"/>
                <w:szCs w:val="14"/>
                <w:color w:val="FFFFFF"/>
                <w:w w:val="93"/>
              </w:rPr>
              <w:t>apparel to North</w:t>
            </w:r>
          </w:p>
        </w:tc>
        <w:tc>
          <w:tcPr>
            <w:tcW w:w="400" w:type="dxa"/>
            <w:vAlign w:val="bottom"/>
          </w:tcPr>
          <w:p>
            <w:pPr>
              <w:spacing w:after="0"/>
              <w:rPr>
                <w:sz w:val="14"/>
                <w:szCs w:val="14"/>
                <w:color w:val="auto"/>
              </w:rPr>
            </w:pPr>
          </w:p>
        </w:tc>
        <w:tc>
          <w:tcPr>
            <w:tcW w:w="10040" w:type="dxa"/>
            <w:vAlign w:val="bottom"/>
            <w:gridSpan w:val="4"/>
          </w:tcPr>
          <w:p>
            <w:pPr>
              <w:ind w:left="40"/>
              <w:spacing w:after="0"/>
              <w:rPr>
                <w:sz w:val="20"/>
                <w:szCs w:val="20"/>
                <w:color w:val="auto"/>
              </w:rPr>
            </w:pPr>
            <w:r>
              <w:rPr>
                <w:rFonts w:ascii="Arial" w:cs="Arial" w:eastAsia="Arial" w:hAnsi="Arial"/>
                <w:sz w:val="14"/>
                <w:szCs w:val="14"/>
                <w:color w:val="FFFFFF"/>
                <w:w w:val="92"/>
              </w:rPr>
              <w:t>. In late 2000, The Colby International Group merged with Li &amp; Fung Limited. Dr. Zeman is the Chairman of Lan Kwai Fong Holdings Limited. He is also the owner of Paradise</w:t>
            </w:r>
          </w:p>
        </w:tc>
      </w:tr>
    </w:tbl>
    <w:p>
      <w:pPr>
        <w:sectPr>
          <w:pgSz w:w="11900" w:h="16838" w:orient="portrait"/>
          <w:cols w:equalWidth="0" w:num="1">
            <w:col w:w="11400"/>
          </w:cols>
          <w:pgMar w:left="240" w:top="1440" w:right="25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20"/>
                <w:szCs w:val="20"/>
                <w:color w:val="auto"/>
              </w:rPr>
            </w:pPr>
            <w:r>
              <w:rPr>
                <w:rFonts w:ascii="Arial" w:cs="Arial" w:eastAsia="Arial" w:hAnsi="Arial"/>
                <w:sz w:val="14"/>
                <w:szCs w:val="14"/>
                <w:color w:val="FFFFFF"/>
              </w:rPr>
              <w:t>Annual Report 2012 29</w:t>
            </w: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640" w:type="dxa"/>
            <w:vAlign w:val="bottom"/>
          </w:tcPr>
          <w:p>
            <w:pPr>
              <w:ind w:left="100"/>
              <w:spacing w:after="0"/>
              <w:rPr>
                <w:sz w:val="20"/>
                <w:szCs w:val="20"/>
                <w:color w:val="auto"/>
              </w:rPr>
            </w:pPr>
            <w:r>
              <w:rPr>
                <w:rFonts w:ascii="Arial" w:cs="Arial" w:eastAsia="Arial" w:hAnsi="Arial"/>
                <w:sz w:val="3"/>
                <w:szCs w:val="3"/>
                <w:color w:val="FFFFFF"/>
              </w:rPr>
              <w:t>irectors and Senior Management</w:t>
            </w: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380" w:type="dxa"/>
            <w:vAlign w:val="bottom"/>
            <w:gridSpan w:val="4"/>
            <w:vMerge w:val="restart"/>
          </w:tcPr>
          <w:p>
            <w:pPr>
              <w:ind w:left="100"/>
              <w:spacing w:after="0" w:line="81" w:lineRule="exact"/>
              <w:rPr>
                <w:sz w:val="20"/>
                <w:szCs w:val="20"/>
                <w:color w:val="auto"/>
              </w:rPr>
            </w:pPr>
            <w:r>
              <w:rPr>
                <w:rFonts w:ascii="Arial" w:cs="Arial" w:eastAsia="Arial" w:hAnsi="Arial"/>
                <w:sz w:val="9"/>
                <w:szCs w:val="9"/>
                <w:color w:val="FFFFFF"/>
              </w:rPr>
              <w:t>director of the “Star” Ferry Company, Limited. Dr. Zeman also serves as an independent non-executive director of Pacifi c Century</w:t>
            </w:r>
          </w:p>
        </w:tc>
        <w:tc>
          <w:tcPr>
            <w:tcW w:w="0" w:type="dxa"/>
            <w:vAlign w:val="bottom"/>
          </w:tcPr>
          <w:p>
            <w:pPr>
              <w:spacing w:after="0"/>
              <w:rPr>
                <w:sz w:val="1"/>
                <w:szCs w:val="1"/>
                <w:color w:val="auto"/>
              </w:rPr>
            </w:pPr>
          </w:p>
        </w:tc>
      </w:tr>
      <w:tr>
        <w:trPr>
          <w:trHeight w:val="41"/>
        </w:trPr>
        <w:tc>
          <w:tcPr>
            <w:tcW w:w="3980" w:type="dxa"/>
            <w:vAlign w:val="bottom"/>
            <w:gridSpan w:val="3"/>
          </w:tcPr>
          <w:p>
            <w:pPr>
              <w:spacing w:after="0"/>
              <w:rPr>
                <w:sz w:val="20"/>
                <w:szCs w:val="20"/>
                <w:color w:val="auto"/>
              </w:rPr>
            </w:pPr>
            <w:r>
              <w:rPr>
                <w:rFonts w:ascii="Arial" w:cs="Arial" w:eastAsia="Arial" w:hAnsi="Arial"/>
                <w:sz w:val="3"/>
                <w:szCs w:val="3"/>
                <w:color w:val="FFFFFF"/>
              </w:rPr>
              <w:t>Dr. Zeman is Vice Patron of Hong Kong Community Chest and serves as</w:t>
            </w:r>
          </w:p>
        </w:tc>
        <w:tc>
          <w:tcPr>
            <w:tcW w:w="73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80" w:type="dxa"/>
            <w:vAlign w:val="bottom"/>
            <w:gridSpan w:val="3"/>
          </w:tcPr>
          <w:p>
            <w:pPr>
              <w:spacing w:after="0"/>
              <w:rPr>
                <w:sz w:val="20"/>
                <w:szCs w:val="20"/>
                <w:color w:val="auto"/>
              </w:rPr>
            </w:pPr>
            <w:r>
              <w:rPr>
                <w:rFonts w:ascii="Arial" w:cs="Arial" w:eastAsia="Arial" w:hAnsi="Arial"/>
                <w:sz w:val="3"/>
                <w:szCs w:val="3"/>
                <w:color w:val="FFFFFF"/>
              </w:rPr>
              <w:t>Premium Developments Limited, Sino Land Company Limited and Tsim</w:t>
            </w:r>
          </w:p>
        </w:tc>
        <w:tc>
          <w:tcPr>
            <w:tcW w:w="3640" w:type="dxa"/>
            <w:vAlign w:val="bottom"/>
            <w:gridSpan w:val="2"/>
          </w:tcPr>
          <w:p>
            <w:pPr>
              <w:spacing w:after="0"/>
              <w:rPr>
                <w:sz w:val="20"/>
                <w:szCs w:val="20"/>
                <w:color w:val="auto"/>
              </w:rPr>
            </w:pPr>
            <w:r>
              <w:rPr>
                <w:rFonts w:ascii="Arial" w:cs="Arial" w:eastAsia="Arial" w:hAnsi="Arial"/>
                <w:sz w:val="3"/>
                <w:szCs w:val="3"/>
                <w:color w:val="FFFFFF"/>
              </w:rPr>
              <w:t>Sha Tsui Properties Limited, all of which are listed on the Hong</w:t>
            </w:r>
          </w:p>
        </w:tc>
        <w:tc>
          <w:tcPr>
            <w:tcW w:w="3740" w:type="dxa"/>
            <w:vAlign w:val="bottom"/>
            <w:gridSpan w:val="2"/>
          </w:tcPr>
          <w:p>
            <w:pPr>
              <w:ind w:left="180"/>
              <w:spacing w:after="0"/>
              <w:rPr>
                <w:sz w:val="20"/>
                <w:szCs w:val="20"/>
                <w:color w:val="auto"/>
              </w:rPr>
            </w:pPr>
            <w:r>
              <w:rPr>
                <w:rFonts w:ascii="Arial" w:cs="Arial" w:eastAsia="Arial" w:hAnsi="Arial"/>
                <w:sz w:val="3"/>
                <w:szCs w:val="3"/>
                <w:color w:val="FFFFFF"/>
              </w:rPr>
              <w:t>Stock Exchange.</w:t>
            </w:r>
          </w:p>
        </w:tc>
        <w:tc>
          <w:tcPr>
            <w:tcW w:w="0" w:type="dxa"/>
            <w:vAlign w:val="bottom"/>
          </w:tcPr>
          <w:p>
            <w:pPr>
              <w:spacing w:after="0"/>
              <w:rPr>
                <w:sz w:val="1"/>
                <w:szCs w:val="1"/>
                <w:color w:val="auto"/>
              </w:rPr>
            </w:pP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Dr. Zeman is a member of the Food Business Task Force for Business Facilitation Advisory Committee, the Committee on the CommissionKongStrategic Development, the West Kowloon Cultural</w:t>
            </w:r>
          </w:p>
        </w:tc>
        <w:tc>
          <w:tcPr>
            <w:tcW w:w="0" w:type="dxa"/>
            <w:vAlign w:val="bottom"/>
          </w:tcPr>
          <w:p>
            <w:pPr>
              <w:spacing w:after="0"/>
              <w:rPr>
                <w:sz w:val="1"/>
                <w:szCs w:val="1"/>
                <w:color w:val="auto"/>
              </w:rPr>
            </w:pP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Authority (“WKCDA”), the Consultation Panel of the WKCDA, WKCDA Development Committee, WKCDA Investment Committee, and WKCDA Performing Arts Committee (of which Dr. ZemanDistrictthe</w:t>
            </w:r>
          </w:p>
        </w:tc>
        <w:tc>
          <w:tcPr>
            <w:tcW w:w="0" w:type="dxa"/>
            <w:vAlign w:val="bottom"/>
          </w:tcPr>
          <w:p>
            <w:pPr>
              <w:spacing w:after="0"/>
              <w:rPr>
                <w:sz w:val="1"/>
                <w:szCs w:val="1"/>
                <w:color w:val="auto"/>
              </w:rPr>
            </w:pPr>
          </w:p>
        </w:tc>
      </w:tr>
      <w:tr>
        <w:trPr>
          <w:trHeight w:val="41"/>
        </w:trPr>
        <w:tc>
          <w:tcPr>
            <w:tcW w:w="6160" w:type="dxa"/>
            <w:vAlign w:val="bottom"/>
            <w:gridSpan w:val="4"/>
          </w:tcPr>
          <w:p>
            <w:pPr>
              <w:spacing w:after="0"/>
              <w:rPr>
                <w:sz w:val="20"/>
                <w:szCs w:val="20"/>
                <w:color w:val="auto"/>
              </w:rPr>
            </w:pPr>
            <w:r>
              <w:rPr>
                <w:rFonts w:ascii="Arial" w:cs="Arial" w:eastAsia="Arial" w:hAnsi="Arial"/>
                <w:sz w:val="3"/>
                <w:szCs w:val="3"/>
                <w:color w:val="FFFFFF"/>
              </w:rPr>
              <w:t>Chairman). In 2001, Dr. Zeman joined the Richard Ivey School of Business’ Asian Advisory Board.</w:t>
            </w:r>
          </w:p>
        </w:tc>
        <w:tc>
          <w:tcPr>
            <w:tcW w:w="1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In 2001, Dr. Zeman was appointed a Justice of the Peace. He was awarded the Gold Bauhinia Star in 2004 and the Grand Bauhinia Medal in 2011. In 2012, he was awarded Honorary Doctorate Degree of</w:t>
            </w:r>
          </w:p>
        </w:tc>
        <w:tc>
          <w:tcPr>
            <w:tcW w:w="0" w:type="dxa"/>
            <w:vAlign w:val="bottom"/>
          </w:tcPr>
          <w:p>
            <w:pPr>
              <w:spacing w:after="0"/>
              <w:rPr>
                <w:sz w:val="1"/>
                <w:szCs w:val="1"/>
                <w:color w:val="auto"/>
              </w:rPr>
            </w:pPr>
          </w:p>
        </w:tc>
      </w:tr>
      <w:tr>
        <w:trPr>
          <w:trHeight w:val="41"/>
        </w:trPr>
        <w:tc>
          <w:tcPr>
            <w:tcW w:w="7620" w:type="dxa"/>
            <w:vAlign w:val="bottom"/>
            <w:gridSpan w:val="5"/>
          </w:tcPr>
          <w:p>
            <w:pPr>
              <w:spacing w:after="0"/>
              <w:rPr>
                <w:sz w:val="20"/>
                <w:szCs w:val="20"/>
                <w:color w:val="auto"/>
              </w:rPr>
            </w:pPr>
            <w:r>
              <w:rPr>
                <w:rFonts w:ascii="Arial" w:cs="Arial" w:eastAsia="Arial" w:hAnsi="Arial"/>
                <w:sz w:val="3"/>
                <w:szCs w:val="3"/>
                <w:color w:val="FFFFFF"/>
              </w:rPr>
              <w:t>Business Administration from City University of Hong Kong and University of Science and Technology of Hong Kong.</w:t>
            </w:r>
          </w:p>
        </w:tc>
        <w:tc>
          <w:tcPr>
            <w:tcW w:w="4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tcPr>
          <w:p>
            <w:pPr>
              <w:spacing w:after="0"/>
              <w:rPr>
                <w:sz w:val="20"/>
                <w:szCs w:val="20"/>
                <w:color w:val="auto"/>
              </w:rPr>
            </w:pPr>
            <w:r>
              <w:rPr>
                <w:rFonts w:ascii="Arial" w:cs="Arial" w:eastAsia="Arial" w:hAnsi="Arial"/>
                <w:sz w:val="3"/>
                <w:szCs w:val="3"/>
                <w:color w:val="FFFFFF"/>
              </w:rPr>
              <w:t>Independent non-executive Directors</w:t>
            </w: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900" w:type="dxa"/>
            <w:vAlign w:val="bottom"/>
            <w:gridSpan w:val="2"/>
            <w:vMerge w:val="restart"/>
          </w:tcPr>
          <w:p>
            <w:pPr>
              <w:ind w:left="180"/>
              <w:spacing w:after="0" w:line="81" w:lineRule="exact"/>
              <w:rPr>
                <w:sz w:val="20"/>
                <w:szCs w:val="20"/>
                <w:color w:val="auto"/>
              </w:rPr>
            </w:pPr>
            <w:r>
              <w:rPr>
                <w:rFonts w:ascii="Arial" w:cs="Arial" w:eastAsia="Arial" w:hAnsi="Arial"/>
                <w:sz w:val="9"/>
                <w:szCs w:val="9"/>
                <w:color w:val="FFFFFF"/>
              </w:rPr>
              <w:t>16 September 2009. Mr. Lam</w:t>
            </w:r>
          </w:p>
        </w:tc>
        <w:tc>
          <w:tcPr>
            <w:tcW w:w="330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appointed as a non-of? cial member of the Hong Kong</w:t>
            </w:r>
          </w:p>
        </w:tc>
        <w:tc>
          <w:tcPr>
            <w:tcW w:w="0" w:type="dxa"/>
            <w:vAlign w:val="bottom"/>
          </w:tcPr>
          <w:p>
            <w:pPr>
              <w:spacing w:after="0"/>
              <w:rPr>
                <w:sz w:val="1"/>
                <w:szCs w:val="1"/>
                <w:color w:val="auto"/>
              </w:rPr>
            </w:pPr>
          </w:p>
        </w:tc>
      </w:tr>
      <w:tr>
        <w:trPr>
          <w:trHeight w:val="41"/>
        </w:trPr>
        <w:tc>
          <w:tcPr>
            <w:tcW w:w="6160" w:type="dxa"/>
            <w:vAlign w:val="bottom"/>
            <w:gridSpan w:val="4"/>
          </w:tcPr>
          <w:p>
            <w:pPr>
              <w:spacing w:after="0"/>
              <w:rPr>
                <w:sz w:val="20"/>
                <w:szCs w:val="20"/>
                <w:color w:val="auto"/>
              </w:rPr>
            </w:pPr>
            <w:r>
              <w:rPr>
                <w:rFonts w:ascii="Arial" w:cs="Arial" w:eastAsia="Arial" w:hAnsi="Arial"/>
                <w:sz w:val="3"/>
                <w:szCs w:val="3"/>
                <w:color w:val="FFFFFF"/>
              </w:rPr>
              <w:t>Mr. Jeffrey Kin-fung Lam, GBS, JP, aged 61, has been an independent non-executive Director of the Company</w:t>
            </w:r>
          </w:p>
        </w:tc>
        <w:tc>
          <w:tcPr>
            <w:tcW w:w="1900" w:type="dxa"/>
            <w:vAlign w:val="bottom"/>
            <w:gridSpan w:val="2"/>
            <w:vMerge w:val="continue"/>
          </w:tcPr>
          <w:p>
            <w:pPr>
              <w:spacing w:after="0"/>
              <w:rPr>
                <w:sz w:val="3"/>
                <w:szCs w:val="3"/>
                <w:color w:val="auto"/>
              </w:rPr>
            </w:pPr>
          </w:p>
        </w:tc>
        <w:tc>
          <w:tcPr>
            <w:tcW w:w="33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40" w:type="dxa"/>
            <w:vAlign w:val="bottom"/>
          </w:tcPr>
          <w:p>
            <w:pPr>
              <w:spacing w:after="0"/>
              <w:rPr>
                <w:sz w:val="20"/>
                <w:szCs w:val="20"/>
                <w:color w:val="auto"/>
              </w:rPr>
            </w:pPr>
            <w:r>
              <w:rPr>
                <w:rFonts w:ascii="Arial" w:cs="Arial" w:eastAsia="Arial" w:hAnsi="Arial"/>
                <w:sz w:val="3"/>
                <w:szCs w:val="3"/>
                <w:color w:val="FFFFFF"/>
              </w:rPr>
              <w:t>Executive Council in October 2012. Mr. Lam is</w:t>
            </w:r>
          </w:p>
        </w:tc>
        <w:tc>
          <w:tcPr>
            <w:tcW w:w="8720" w:type="dxa"/>
            <w:vAlign w:val="bottom"/>
            <w:gridSpan w:val="6"/>
          </w:tcPr>
          <w:p>
            <w:pPr>
              <w:ind w:left="40"/>
              <w:spacing w:after="0"/>
              <w:rPr>
                <w:sz w:val="20"/>
                <w:szCs w:val="20"/>
                <w:color w:val="auto"/>
              </w:rPr>
            </w:pPr>
            <w:r>
              <w:rPr>
                <w:rFonts w:ascii="Arial" w:cs="Arial" w:eastAsia="Arial" w:hAnsi="Arial"/>
                <w:sz w:val="3"/>
                <w:szCs w:val="3"/>
                <w:color w:val="FFFFFF"/>
              </w:rPr>
              <w:t>lso a member of the National Committee of the Chinese People’sincePolitical Consultative Conference,was member of the Hong Kong Legislative Council, the</w:t>
            </w: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Chairman of the Assessment Committee of Mega Events Funds,</w:t>
            </w:r>
          </w:p>
        </w:tc>
        <w:tc>
          <w:tcPr>
            <w:tcW w:w="7880" w:type="dxa"/>
            <w:vAlign w:val="bottom"/>
            <w:gridSpan w:val="5"/>
          </w:tcPr>
          <w:p>
            <w:pPr>
              <w:ind w:left="120"/>
              <w:spacing w:after="0"/>
              <w:rPr>
                <w:sz w:val="20"/>
                <w:szCs w:val="20"/>
                <w:color w:val="auto"/>
              </w:rPr>
            </w:pPr>
            <w:r>
              <w:rPr>
                <w:rFonts w:ascii="Arial" w:cs="Arial" w:eastAsia="Arial" w:hAnsi="Arial"/>
                <w:sz w:val="3"/>
                <w:szCs w:val="3"/>
                <w:color w:val="FFFFFF"/>
              </w:rPr>
              <w:t>member of the board of the West Kowloon Cultural District Authority, a member of the board of Hong Kong Airport Authority and a member</w:t>
            </w: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of the Fight Crime Committee   Hong Kong. Mr. Lam is also a</w:t>
            </w:r>
          </w:p>
        </w:tc>
        <w:tc>
          <w:tcPr>
            <w:tcW w:w="7880" w:type="dxa"/>
            <w:vAlign w:val="bottom"/>
            <w:gridSpan w:val="5"/>
          </w:tcPr>
          <w:p>
            <w:pPr>
              <w:ind w:left="20"/>
              <w:spacing w:after="0"/>
              <w:rPr>
                <w:sz w:val="20"/>
                <w:szCs w:val="20"/>
                <w:color w:val="auto"/>
              </w:rPr>
            </w:pPr>
            <w:r>
              <w:rPr>
                <w:rFonts w:ascii="Arial" w:cs="Arial" w:eastAsia="Arial" w:hAnsi="Arial"/>
                <w:sz w:val="3"/>
                <w:szCs w:val="3"/>
                <w:color w:val="FFFFFF"/>
              </w:rPr>
              <w:t>General Committee Member of the Hong Kong General Chamber of Commerce and the Vice-chairman of The Hong Kong Shippers’ Council. In</w:t>
            </w:r>
          </w:p>
        </w:tc>
        <w:tc>
          <w:tcPr>
            <w:tcW w:w="0" w:type="dxa"/>
            <w:vAlign w:val="bottom"/>
          </w:tcPr>
          <w:p>
            <w:pPr>
              <w:spacing w:after="0"/>
              <w:rPr>
                <w:sz w:val="1"/>
                <w:szCs w:val="1"/>
                <w:color w:val="auto"/>
              </w:rPr>
            </w:pP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addition, Mr. Lam is an independent non-executive director of CC Land Holdings Limited, Hsin Chong Construction Group Ltd., China Overseas Grand Oceans Group Limited, Sateri Holdings Limited and</w:t>
            </w:r>
          </w:p>
        </w:tc>
        <w:tc>
          <w:tcPr>
            <w:tcW w:w="0" w:type="dxa"/>
            <w:vAlign w:val="bottom"/>
          </w:tcPr>
          <w:p>
            <w:pPr>
              <w:spacing w:after="0"/>
              <w:rPr>
                <w:sz w:val="1"/>
                <w:szCs w:val="1"/>
                <w:color w:val="auto"/>
              </w:rPr>
            </w:pP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Chow Tai Fook Jewellery Group Limited, all of which are listed on the Hong Kong Stock Exchange.In 1996, Mr. Lam was appointed Justice of the Peace and became a member of the Most Excellent Order of</w:t>
            </w:r>
          </w:p>
        </w:tc>
        <w:tc>
          <w:tcPr>
            <w:tcW w:w="0" w:type="dxa"/>
            <w:vAlign w:val="bottom"/>
          </w:tcPr>
          <w:p>
            <w:pPr>
              <w:spacing w:after="0"/>
              <w:rPr>
                <w:sz w:val="1"/>
                <w:szCs w:val="1"/>
                <w:color w:val="auto"/>
              </w:rPr>
            </w:pP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the British Empire. He was awarded the honor of the Gold Bauhinia Star in July 2011 and the Silver Bauhinia Star in 2004. Mr. Lam was conferred University Fellow of Tufts University in the United States and</w:t>
            </w:r>
          </w:p>
        </w:tc>
        <w:tc>
          <w:tcPr>
            <w:tcW w:w="0" w:type="dxa"/>
            <w:vAlign w:val="bottom"/>
          </w:tcPr>
          <w:p>
            <w:pPr>
              <w:spacing w:after="0"/>
              <w:rPr>
                <w:sz w:val="1"/>
                <w:szCs w:val="1"/>
                <w:color w:val="auto"/>
              </w:rPr>
            </w:pPr>
          </w:p>
        </w:tc>
      </w:tr>
      <w:tr>
        <w:trPr>
          <w:trHeight w:val="0"/>
        </w:trPr>
        <w:tc>
          <w:tcPr>
            <w:tcW w:w="2640" w:type="dxa"/>
            <w:vAlign w:val="bottom"/>
          </w:tcPr>
          <w:p>
            <w:pPr>
              <w:spacing w:after="0" w:line="80" w:lineRule="exact"/>
              <w:rPr>
                <w:sz w:val="20"/>
                <w:szCs w:val="20"/>
                <w:color w:val="auto"/>
              </w:rPr>
            </w:pPr>
            <w:r>
              <w:rPr>
                <w:rFonts w:ascii="Arial" w:cs="Arial" w:eastAsia="Arial" w:hAnsi="Arial"/>
                <w:sz w:val="9"/>
                <w:szCs w:val="9"/>
                <w:color w:val="FFFFFF"/>
              </w:rPr>
              <w:t>Hong Kong Polytechnic University in 1997 and</w:t>
            </w:r>
          </w:p>
        </w:tc>
        <w:tc>
          <w:tcPr>
            <w:tcW w:w="134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2000, respectively.</w:t>
            </w:r>
          </w:p>
        </w:tc>
        <w:tc>
          <w:tcPr>
            <w:tcW w:w="2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40"/>
        <w:spacing w:after="0" w:line="187" w:lineRule="auto"/>
        <w:rPr>
          <w:sz w:val="20"/>
          <w:szCs w:val="20"/>
          <w:color w:val="auto"/>
        </w:rPr>
      </w:pPr>
      <w:r>
        <w:rPr>
          <w:rFonts w:ascii="Arial" w:cs="Arial" w:eastAsia="Arial" w:hAnsi="Arial"/>
          <w:sz w:val="9"/>
          <w:szCs w:val="9"/>
          <w:color w:val="FFFFFF"/>
        </w:rPr>
        <w:t>Mr. Bruce Rockowitz, aged 54, has been an independent non-executive Director of the Company since 16 September 2009. Mr. Rockowitz is also the Group President and Chief Executive Of? cer of Li &amp; Fung Limited, a company listed on the Hong Kong Stock Exchange. He was appointed as</w:t>
      </w:r>
    </w:p>
    <w:p>
      <w:pPr>
        <w:sectPr>
          <w:pgSz w:w="11900" w:h="16838" w:orient="portrait"/>
          <w:cols w:equalWidth="0" w:num="1">
            <w:col w:w="11360"/>
          </w:cols>
          <w:pgMar w:left="240" w:top="1440" w:right="29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20"/>
                <w:szCs w:val="20"/>
                <w:color w:val="auto"/>
              </w:rPr>
            </w:pPr>
            <w:r>
              <w:rPr>
                <w:rFonts w:ascii="Arial" w:cs="Arial" w:eastAsia="Arial" w:hAnsi="Arial"/>
                <w:sz w:val="14"/>
                <w:szCs w:val="14"/>
                <w:color w:val="FFFFFF"/>
              </w:rPr>
              <w:t>30 Wynn Macau, Limited</w:t>
            </w: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20"/>
                <w:szCs w:val="20"/>
                <w:color w:val="auto"/>
              </w:rPr>
            </w:pPr>
            <w:r>
              <w:rPr>
                <w:rFonts w:ascii="Arial" w:cs="Arial" w:eastAsia="Arial" w:hAnsi="Arial"/>
                <w:sz w:val="3"/>
                <w:szCs w:val="3"/>
                <w:color w:val="FFFFFF"/>
              </w:rPr>
              <w:t>Directors and Senior Management</w:t>
            </w:r>
          </w:p>
        </w:tc>
        <w:tc>
          <w:tcPr>
            <w:tcW w:w="5800" w:type="dxa"/>
            <w:vAlign w:val="bottom"/>
            <w:gridSpan w:val="4"/>
            <w:vMerge w:val="restart"/>
          </w:tcPr>
          <w:p>
            <w:pPr>
              <w:jc w:val="right"/>
              <w:ind w:right="403"/>
              <w:spacing w:after="0" w:line="81" w:lineRule="exact"/>
              <w:rPr>
                <w:sz w:val="20"/>
                <w:szCs w:val="20"/>
                <w:color w:val="auto"/>
              </w:rPr>
            </w:pPr>
            <w:r>
              <w:rPr>
                <w:rFonts w:ascii="Arial" w:cs="Arial" w:eastAsia="Arial" w:hAnsi="Arial"/>
                <w:sz w:val="9"/>
                <w:szCs w:val="9"/>
                <w:color w:val="FFFFFF"/>
              </w:rPr>
              <w:t>of Li &amp; Fung Limited since 2001 and was the co-founder and Chief Executive Of? cer of Colby</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20"/>
                <w:szCs w:val="20"/>
                <w:color w:val="auto"/>
              </w:rPr>
            </w:pPr>
            <w:r>
              <w:rPr>
                <w:rFonts w:ascii="Arial" w:cs="Arial" w:eastAsia="Arial" w:hAnsi="Arial"/>
                <w:sz w:val="3"/>
                <w:szCs w:val="3"/>
                <w:color w:val="FFFFFF"/>
              </w:rPr>
              <w:t>the chairman of LF USA and LF Europe in December 2012. Mr. Rockowitz has been an executive</w:t>
            </w:r>
          </w:p>
        </w:tc>
        <w:tc>
          <w:tcPr>
            <w:tcW w:w="58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International Limited, a large Hong Kong buying agent, prior to the sale of Colby International LimiteddirectorLi &amp; Fung Limited in 2000. In addition to his position at Li &amp; Fung, Mr. Rockowitz  the non-</w:t>
            </w:r>
          </w:p>
        </w:tc>
        <w:tc>
          <w:tcPr>
            <w:tcW w:w="0" w:type="dxa"/>
            <w:vAlign w:val="bottom"/>
          </w:tcPr>
          <w:p>
            <w:pPr>
              <w:spacing w:after="0"/>
              <w:rPr>
                <w:sz w:val="1"/>
                <w:szCs w:val="1"/>
                <w:color w:val="auto"/>
              </w:rPr>
            </w:pPr>
          </w:p>
        </w:tc>
      </w:tr>
      <w:tr>
        <w:trPr>
          <w:trHeight w:val="41"/>
        </w:trPr>
        <w:tc>
          <w:tcPr>
            <w:tcW w:w="9420" w:type="dxa"/>
            <w:vAlign w:val="bottom"/>
            <w:gridSpan w:val="4"/>
          </w:tcPr>
          <w:p>
            <w:pPr>
              <w:spacing w:after="0"/>
              <w:rPr>
                <w:sz w:val="20"/>
                <w:szCs w:val="20"/>
                <w:color w:val="auto"/>
              </w:rPr>
            </w:pPr>
            <w:r>
              <w:rPr>
                <w:rFonts w:ascii="Arial" w:cs="Arial" w:eastAsia="Arial" w:hAnsi="Arial"/>
                <w:sz w:val="3"/>
                <w:szCs w:val="3"/>
                <w:color w:val="FFFFFF"/>
              </w:rPr>
              <w:t>executive Chairman of The Pure Group,  lifestyle, ? tness and yoga group operating in Hong Kong, Singapore and Taiwan and soon to be opening in mainland China. He is</w:t>
            </w:r>
          </w:p>
        </w:tc>
        <w:tc>
          <w:tcPr>
            <w:tcW w:w="1980" w:type="dxa"/>
            <w:vAlign w:val="bottom"/>
          </w:tcPr>
          <w:p>
            <w:pPr>
              <w:jc w:val="right"/>
              <w:ind w:right="43"/>
              <w:spacing w:after="0"/>
              <w:rPr>
                <w:sz w:val="20"/>
                <w:szCs w:val="20"/>
                <w:color w:val="auto"/>
              </w:rPr>
            </w:pPr>
            <w:r>
              <w:rPr>
                <w:rFonts w:ascii="Arial" w:cs="Arial" w:eastAsia="Arial" w:hAnsi="Arial"/>
                <w:sz w:val="3"/>
                <w:szCs w:val="3"/>
                <w:color w:val="FFFFFF"/>
              </w:rPr>
              <w:t>member of the Advisory Board for</w:t>
            </w:r>
          </w:p>
        </w:tc>
        <w:tc>
          <w:tcPr>
            <w:tcW w:w="0" w:type="dxa"/>
            <w:vAlign w:val="bottom"/>
          </w:tcPr>
          <w:p>
            <w:pPr>
              <w:spacing w:after="0"/>
              <w:rPr>
                <w:sz w:val="1"/>
                <w:szCs w:val="1"/>
                <w:color w:val="auto"/>
              </w:rPr>
            </w:pPr>
          </w:p>
        </w:tc>
      </w:tr>
      <w:tr>
        <w:trPr>
          <w:trHeight w:val="41"/>
        </w:trPr>
        <w:tc>
          <w:tcPr>
            <w:tcW w:w="6880" w:type="dxa"/>
            <w:vAlign w:val="bottom"/>
            <w:gridSpan w:val="2"/>
          </w:tcPr>
          <w:p>
            <w:pPr>
              <w:spacing w:after="0"/>
              <w:rPr>
                <w:sz w:val="20"/>
                <w:szCs w:val="20"/>
                <w:color w:val="auto"/>
              </w:rPr>
            </w:pPr>
            <w:r>
              <w:rPr>
                <w:rFonts w:ascii="Arial" w:cs="Arial" w:eastAsia="Arial" w:hAnsi="Arial"/>
                <w:sz w:val="3"/>
                <w:szCs w:val="3"/>
                <w:color w:val="FFFFFF"/>
              </w:rPr>
              <w:t>the Wharton School’s Jay H Baker Retailing Center, an industry research center for retail at the University of P nnsylvania. He</w:t>
            </w:r>
          </w:p>
        </w:tc>
        <w:tc>
          <w:tcPr>
            <w:tcW w:w="4520" w:type="dxa"/>
            <w:vAlign w:val="bottom"/>
            <w:gridSpan w:val="3"/>
          </w:tcPr>
          <w:p>
            <w:pPr>
              <w:jc w:val="right"/>
              <w:ind w:right="183"/>
              <w:spacing w:after="0"/>
              <w:rPr>
                <w:sz w:val="20"/>
                <w:szCs w:val="20"/>
                <w:color w:val="auto"/>
              </w:rPr>
            </w:pPr>
            <w:r>
              <w:rPr>
                <w:rFonts w:ascii="Arial" w:cs="Arial" w:eastAsia="Arial" w:hAnsi="Arial"/>
                <w:sz w:val="3"/>
                <w:szCs w:val="3"/>
                <w:color w:val="FFFFFF"/>
              </w:rPr>
              <w:t>also a board member of the Education Foundation for Fashion Industries, the</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20"/>
                <w:szCs w:val="20"/>
                <w:color w:val="auto"/>
              </w:rPr>
            </w:pPr>
            <w:r>
              <w:rPr>
                <w:rFonts w:ascii="Arial" w:cs="Arial" w:eastAsia="Arial" w:hAnsi="Arial"/>
                <w:sz w:val="3"/>
                <w:szCs w:val="3"/>
                <w:color w:val="FFFFFF"/>
              </w:rPr>
              <w:t>private fund-raising arm of the Fashion Institute of Technology, New York. In March 2012, he became</w:t>
            </w:r>
          </w:p>
        </w:tc>
        <w:tc>
          <w:tcPr>
            <w:tcW w:w="1280" w:type="dxa"/>
            <w:vAlign w:val="bottom"/>
          </w:tcPr>
          <w:p>
            <w:pPr>
              <w:ind w:left="60"/>
              <w:spacing w:after="0"/>
              <w:rPr>
                <w:sz w:val="20"/>
                <w:szCs w:val="20"/>
                <w:color w:val="auto"/>
              </w:rPr>
            </w:pPr>
            <w:r>
              <w:rPr>
                <w:rFonts w:ascii="Arial" w:cs="Arial" w:eastAsia="Arial" w:hAnsi="Arial"/>
                <w:sz w:val="3"/>
                <w:szCs w:val="3"/>
                <w:color w:val="FFFFFF"/>
              </w:rPr>
              <w:t>member of the Global</w:t>
            </w:r>
          </w:p>
        </w:tc>
        <w:tc>
          <w:tcPr>
            <w:tcW w:w="2540" w:type="dxa"/>
            <w:vAlign w:val="bottom"/>
            <w:gridSpan w:val="2"/>
          </w:tcPr>
          <w:p>
            <w:pPr>
              <w:ind w:left="20"/>
              <w:spacing w:after="0"/>
              <w:rPr>
                <w:sz w:val="20"/>
                <w:szCs w:val="20"/>
                <w:color w:val="auto"/>
              </w:rPr>
            </w:pPr>
            <w:r>
              <w:rPr>
                <w:rFonts w:ascii="Arial" w:cs="Arial" w:eastAsia="Arial" w:hAnsi="Arial"/>
                <w:sz w:val="3"/>
                <w:szCs w:val="3"/>
                <w:color w:val="FFFFFF"/>
              </w:rPr>
              <w:t>Advisory Council of the Women’s Tennis</w:t>
            </w:r>
          </w:p>
        </w:tc>
        <w:tc>
          <w:tcPr>
            <w:tcW w:w="1980" w:type="dxa"/>
            <w:vAlign w:val="bottom"/>
          </w:tcPr>
          <w:p>
            <w:pPr>
              <w:jc w:val="right"/>
              <w:ind w:right="43"/>
              <w:spacing w:after="0"/>
              <w:rPr>
                <w:sz w:val="20"/>
                <w:szCs w:val="20"/>
                <w:color w:val="auto"/>
              </w:rPr>
            </w:pPr>
            <w:r>
              <w:rPr>
                <w:rFonts w:ascii="Arial" w:cs="Arial" w:eastAsia="Arial" w:hAnsi="Arial"/>
                <w:sz w:val="3"/>
                <w:szCs w:val="3"/>
                <w:color w:val="FFFFFF"/>
              </w:rPr>
              <w:t>(WTA). In December 2008,</w:t>
            </w:r>
          </w:p>
        </w:tc>
        <w:tc>
          <w:tcPr>
            <w:tcW w:w="0" w:type="dxa"/>
            <w:vAlign w:val="bottom"/>
          </w:tcPr>
          <w:p>
            <w:pPr>
              <w:spacing w:after="0"/>
              <w:rPr>
                <w:sz w:val="1"/>
                <w:szCs w:val="1"/>
                <w:color w:val="auto"/>
              </w:rPr>
            </w:pPr>
          </w:p>
        </w:tc>
      </w:tr>
      <w:tr>
        <w:trPr>
          <w:trHeight w:val="41"/>
        </w:trPr>
        <w:tc>
          <w:tcPr>
            <w:tcW w:w="9420" w:type="dxa"/>
            <w:vAlign w:val="bottom"/>
            <w:gridSpan w:val="4"/>
          </w:tcPr>
          <w:p>
            <w:pPr>
              <w:spacing w:after="0"/>
              <w:rPr>
                <w:sz w:val="20"/>
                <w:szCs w:val="20"/>
                <w:color w:val="auto"/>
              </w:rPr>
            </w:pPr>
            <w:r>
              <w:rPr>
                <w:rFonts w:ascii="Arial" w:cs="Arial" w:eastAsia="Arial" w:hAnsi="Arial"/>
                <w:sz w:val="3"/>
                <w:szCs w:val="3"/>
                <w:color w:val="FFFFFF"/>
              </w:rPr>
              <w:t>Mr. Rockowitz was ranked fi rst by Institutional Investor for Asia’ Best CEOs in the consumer category. In the years 2010 and 2011, he was also ranked as one of the world’</w:t>
            </w:r>
          </w:p>
        </w:tc>
        <w:tc>
          <w:tcPr>
            <w:tcW w:w="1980" w:type="dxa"/>
            <w:vAlign w:val="bottom"/>
          </w:tcPr>
          <w:p>
            <w:pPr>
              <w:jc w:val="right"/>
              <w:spacing w:after="0"/>
              <w:rPr>
                <w:sz w:val="20"/>
                <w:szCs w:val="20"/>
                <w:color w:val="auto"/>
              </w:rPr>
            </w:pPr>
            <w:r>
              <w:rPr>
                <w:rFonts w:ascii="Arial" w:cs="Arial" w:eastAsia="Arial" w:hAnsi="Arial"/>
                <w:sz w:val="3"/>
                <w:szCs w:val="3"/>
                <w:color w:val="FFFFFF"/>
              </w:rPr>
              <w:t>30 best CEOs by Barron’ . In 2011,</w:t>
            </w:r>
          </w:p>
        </w:tc>
        <w:tc>
          <w:tcPr>
            <w:tcW w:w="0" w:type="dxa"/>
            <w:vAlign w:val="bottom"/>
          </w:tcPr>
          <w:p>
            <w:pPr>
              <w:spacing w:after="0"/>
              <w:rPr>
                <w:sz w:val="1"/>
                <w:szCs w:val="1"/>
                <w:color w:val="auto"/>
              </w:rPr>
            </w:pPr>
          </w:p>
        </w:tc>
      </w:tr>
      <w:tr>
        <w:trPr>
          <w:trHeight w:val="41"/>
        </w:trPr>
        <w:tc>
          <w:tcPr>
            <w:tcW w:w="11400" w:type="dxa"/>
            <w:vAlign w:val="bottom"/>
            <w:gridSpan w:val="5"/>
          </w:tcPr>
          <w:p>
            <w:pPr>
              <w:ind w:left="420"/>
              <w:spacing w:after="0"/>
              <w:rPr>
                <w:sz w:val="20"/>
                <w:szCs w:val="20"/>
                <w:color w:val="auto"/>
              </w:rPr>
            </w:pPr>
            <w:r>
              <w:rPr>
                <w:rFonts w:ascii="Arial" w:cs="Arial" w:eastAsia="Arial" w:hAnsi="Arial"/>
                <w:sz w:val="3"/>
                <w:szCs w:val="3"/>
                <w:color w:val="FFFFFF"/>
              </w:rPr>
              <w:t>presented with the Alumni Achievement Award by the University of Vermont. In 2012, Mr. Rockowitz was named Asia’s Best CEO at Corporate Governance Asia’AssociationExcellence Recognition Awards, and</w:t>
            </w:r>
          </w:p>
        </w:tc>
        <w:tc>
          <w:tcPr>
            <w:tcW w:w="0" w:type="dxa"/>
            <w:vAlign w:val="bottom"/>
          </w:tcPr>
          <w:p>
            <w:pPr>
              <w:spacing w:after="0"/>
              <w:rPr>
                <w:sz w:val="1"/>
                <w:szCs w:val="1"/>
                <w:color w:val="auto"/>
              </w:rPr>
            </w:pPr>
          </w:p>
        </w:tc>
      </w:tr>
      <w:tr>
        <w:trPr>
          <w:trHeight w:val="41"/>
        </w:trPr>
        <w:tc>
          <w:tcPr>
            <w:tcW w:w="5600" w:type="dxa"/>
            <w:vAlign w:val="bottom"/>
          </w:tcPr>
          <w:p>
            <w:pPr>
              <w:spacing w:after="0"/>
              <w:rPr>
                <w:sz w:val="20"/>
                <w:szCs w:val="20"/>
                <w:color w:val="auto"/>
              </w:rPr>
            </w:pPr>
            <w:r>
              <w:rPr>
                <w:rFonts w:ascii="Arial" w:cs="Arial" w:eastAsia="Arial" w:hAnsi="Arial"/>
                <w:sz w:val="3"/>
                <w:szCs w:val="3"/>
                <w:color w:val="FFFFFF"/>
              </w:rPr>
              <w:t>he was also presented with an Asian Corporate Director Recognition Award by the same organization.</w:t>
            </w:r>
          </w:p>
        </w:tc>
        <w:tc>
          <w:tcPr>
            <w:tcW w:w="1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Mr. Nicholas Sallnow-Smith, aged 63, has been an independent non-executive Director of the Company since 16 September 2009. Mr. Sallnow-Smith has also served as the Chairman and an indepe dent non-</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executive director of The Link Management Limited since April 2007 and is also Chairman of the Link Management Limited’s Finance and Investment, and Nominations Committees. The Link</w:t>
            </w:r>
          </w:p>
        </w:tc>
        <w:tc>
          <w:tcPr>
            <w:tcW w:w="0" w:type="dxa"/>
            <w:vAlign w:val="bottom"/>
          </w:tcPr>
          <w:p>
            <w:pPr>
              <w:spacing w:after="0"/>
              <w:rPr>
                <w:sz w:val="1"/>
                <w:szCs w:val="1"/>
                <w:color w:val="auto"/>
              </w:rPr>
            </w:pPr>
          </w:p>
        </w:tc>
      </w:tr>
      <w:tr>
        <w:trPr>
          <w:trHeight w:val="41"/>
        </w:trPr>
        <w:tc>
          <w:tcPr>
            <w:tcW w:w="7940" w:type="dxa"/>
            <w:vAlign w:val="bottom"/>
            <w:gridSpan w:val="3"/>
          </w:tcPr>
          <w:p>
            <w:pPr>
              <w:spacing w:after="0"/>
              <w:rPr>
                <w:sz w:val="20"/>
                <w:szCs w:val="20"/>
                <w:color w:val="auto"/>
              </w:rPr>
            </w:pPr>
            <w:r>
              <w:rPr>
                <w:rFonts w:ascii="Arial" w:cs="Arial" w:eastAsia="Arial" w:hAnsi="Arial"/>
                <w:sz w:val="3"/>
                <w:szCs w:val="3"/>
                <w:color w:val="FFFFFF"/>
              </w:rPr>
              <w:t>Limited is the manager to the Link Real Estate Investment Trust, a company listed on the Hong Kong Stock Exchange. Mr. Sallnow-Smith is also</w:t>
            </w:r>
          </w:p>
        </w:tc>
        <w:tc>
          <w:tcPr>
            <w:tcW w:w="3460" w:type="dxa"/>
            <w:vAlign w:val="bottom"/>
            <w:gridSpan w:val="2"/>
          </w:tcPr>
          <w:p>
            <w:pPr>
              <w:jc w:val="right"/>
              <w:ind w:right="183"/>
              <w:spacing w:after="0"/>
              <w:rPr>
                <w:sz w:val="20"/>
                <w:szCs w:val="20"/>
                <w:color w:val="auto"/>
              </w:rPr>
            </w:pPr>
            <w:r>
              <w:rPr>
                <w:rFonts w:ascii="Arial" w:cs="Arial" w:eastAsia="Arial" w:hAnsi="Arial"/>
                <w:sz w:val="3"/>
                <w:szCs w:val="3"/>
                <w:color w:val="FFFFFF"/>
              </w:rPr>
              <w:t>non-executive director of Unitech Corporate ParksManagementPlc.,</w:t>
            </w:r>
          </w:p>
        </w:tc>
        <w:tc>
          <w:tcPr>
            <w:tcW w:w="0" w:type="dxa"/>
            <w:vAlign w:val="bottom"/>
          </w:tcPr>
          <w:p>
            <w:pPr>
              <w:spacing w:after="0"/>
              <w:rPr>
                <w:sz w:val="1"/>
                <w:szCs w:val="1"/>
                <w:color w:val="auto"/>
              </w:rPr>
            </w:pPr>
          </w:p>
        </w:tc>
      </w:tr>
      <w:tr>
        <w:trPr>
          <w:trHeight w:val="0"/>
        </w:trPr>
        <w:tc>
          <w:tcPr>
            <w:tcW w:w="7940" w:type="dxa"/>
            <w:vAlign w:val="bottom"/>
            <w:gridSpan w:val="3"/>
          </w:tcPr>
          <w:p>
            <w:pPr>
              <w:spacing w:after="0" w:line="121" w:lineRule="exact"/>
              <w:rPr>
                <w:sz w:val="20"/>
                <w:szCs w:val="20"/>
                <w:color w:val="auto"/>
              </w:rPr>
            </w:pPr>
            <w:r>
              <w:rPr>
                <w:rFonts w:ascii="Arial" w:cs="Arial" w:eastAsia="Arial" w:hAnsi="Arial"/>
                <w:sz w:val="12"/>
                <w:szCs w:val="12"/>
                <w:color w:val="FFFFFF"/>
              </w:rPr>
              <w:t>company listed on the London Stock Exchange in the Alternative Investment Market (“AIM”); a non-executive director of Aviva Life Insurance</w:t>
            </w:r>
          </w:p>
        </w:tc>
        <w:tc>
          <w:tcPr>
            <w:tcW w:w="3460" w:type="dxa"/>
            <w:vAlign w:val="bottom"/>
            <w:gridSpan w:val="2"/>
          </w:tcPr>
          <w:p>
            <w:pPr>
              <w:jc w:val="right"/>
              <w:ind w:right="323"/>
              <w:spacing w:after="0" w:line="121" w:lineRule="exact"/>
              <w:rPr>
                <w:sz w:val="20"/>
                <w:szCs w:val="20"/>
                <w:color w:val="auto"/>
              </w:rPr>
            </w:pPr>
            <w:r>
              <w:rPr>
                <w:rFonts w:ascii="Arial" w:cs="Arial" w:eastAsia="Arial" w:hAnsi="Arial"/>
                <w:sz w:val="12"/>
                <w:szCs w:val="12"/>
                <w:color w:val="FFFFFF"/>
              </w:rPr>
              <w:t>Limited in Hong Kong. Prior to joining The Link</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 xml:space="preserve">Management Limited, Mr. Sallnow-Smith was Chief Executive of Hongkong Land Holdings Limited from February 2000 to March 2007. He hasCompanywideranging fi nance background in Asia and the United Kingdom for over 30 years, including his roles as Finance Director of Hongkong Land Holdings Limited from 1998 to 2000 and as Group Treasurer of Jardine Matheson Limited from 1993 to 1998. </w:t>
      </w:r>
      <w:r>
        <w:rPr>
          <w:rFonts w:ascii="Arial" w:cs="Arial" w:eastAsia="Arial" w:hAnsi="Arial"/>
          <w:sz w:val="6"/>
          <w:szCs w:val="6"/>
          <w:color w:val="FFFFFF"/>
          <w:vertAlign w:val="subscript"/>
        </w:rPr>
        <w:t>Manufacturers</w:t>
      </w:r>
      <w:r>
        <w:rPr>
          <w:rFonts w:ascii="Arial" w:cs="Arial" w:eastAsia="Arial" w:hAnsi="Arial"/>
          <w:sz w:val="3"/>
          <w:szCs w:val="3"/>
          <w:color w:val="FFFFFF"/>
        </w:rPr>
        <w:t>.Sallnow-Smith’s early career was spent in the British Civil Service, where he worked for Her Majesty’</w:t>
      </w:r>
      <w:r>
        <w:rPr>
          <w:rFonts w:ascii="Arial" w:cs="Arial" w:eastAsia="Arial" w:hAnsi="Arial"/>
          <w:sz w:val="6"/>
          <w:szCs w:val="6"/>
          <w:color w:val="FFFFFF"/>
          <w:vertAlign w:val="subscript"/>
        </w:rPr>
        <w:t>Manufacturers</w:t>
      </w:r>
      <w:r>
        <w:rPr>
          <w:rFonts w:ascii="Arial" w:cs="Arial" w:eastAsia="Arial" w:hAnsi="Arial"/>
          <w:sz w:val="3"/>
          <w:szCs w:val="3"/>
          <w:color w:val="FFFFFF"/>
        </w:rPr>
        <w:t>Treasury in Whitehall, London from 1975 to 1985. During that time, he was seconded for two years to</w:t>
      </w:r>
    </w:p>
    <w:p>
      <w:pPr>
        <w:spacing w:after="0" w:line="13" w:lineRule="exact"/>
        <w:rPr>
          <w:sz w:val="20"/>
          <w:szCs w:val="20"/>
          <w:color w:val="auto"/>
        </w:rPr>
      </w:pPr>
    </w:p>
    <w:p>
      <w:pPr>
        <w:ind w:right="380" w:firstLine="821"/>
        <w:spacing w:after="0" w:line="228" w:lineRule="auto"/>
        <w:rPr>
          <w:sz w:val="20"/>
          <w:szCs w:val="20"/>
          <w:color w:val="auto"/>
        </w:rPr>
      </w:pPr>
      <w:r>
        <w:rPr>
          <w:rFonts w:ascii="Arial" w:cs="Arial" w:eastAsia="Arial" w:hAnsi="Arial"/>
          <w:sz w:val="11"/>
          <w:szCs w:val="11"/>
          <w:color w:val="FFFFFF"/>
        </w:rPr>
        <w:t>Hanover London, working in export fi nance and in their merchant banking division, Hanover Limited. He left the Civil Service in 1985, following a period working in the International Finance section of H. M. Treasury on Paris Club and other international debt policy matters, and spent two years with Lloyds Merchant Bank before moving into the corporate sector in 1987. Mr. Sallnow-Smith served as the Convenor of the Hong</w:t>
      </w:r>
    </w:p>
    <w:p>
      <w:pPr>
        <w:sectPr>
          <w:pgSz w:w="11900" w:h="16838" w:orient="portrait"/>
          <w:cols w:equalWidth="0" w:num="1">
            <w:col w:w="11400"/>
          </w:cols>
          <w:pgMar w:left="240" w:top="1440" w:right="25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AnnualDirectorsReportandSeni2012ofr 31Management</w:t>
      </w:r>
    </w:p>
    <w:p>
      <w:pPr>
        <w:ind w:left="11080"/>
        <w:spacing w:after="0"/>
        <w:rPr>
          <w:sz w:val="20"/>
          <w:szCs w:val="20"/>
          <w:color w:val="auto"/>
        </w:rPr>
      </w:pPr>
      <w:r>
        <w:rPr>
          <w:rFonts w:ascii="Arial" w:cs="Arial" w:eastAsia="Arial" w:hAnsi="Arial"/>
          <w:sz w:val="1"/>
          <w:szCs w:val="1"/>
          <w:color w:val="FFFFFF"/>
        </w:rPr>
        <w:t>PhilharmonicKongAssociatiSocietyCorporate,ChairmanTreasurersoftheHongfromKong1996Youthto2000,Arts asFoundation,Chairman aofmembertheMatildaoftheChildCouncilDevelopmentoftheTreasuryCentreMarketsandaschairmanAssociationof the(HongMatildaKongInternationalAssociationHospital.of He isTreasurersdirector Representative)oftheHongKongand</w:t>
      </w:r>
    </w:p>
    <w:p>
      <w:pPr>
        <w:spacing w:after="0" w:line="187" w:lineRule="auto"/>
        <w:rPr>
          <w:sz w:val="20"/>
          <w:szCs w:val="20"/>
          <w:color w:val="auto"/>
        </w:rPr>
      </w:pPr>
      <w:r>
        <w:rPr>
          <w:rFonts w:ascii="Arial" w:cs="Arial" w:eastAsia="Arial" w:hAnsi="Arial"/>
          <w:sz w:val="7"/>
          <w:szCs w:val="7"/>
          <w:color w:val="FFFFFF"/>
        </w:rPr>
        <w:t>the Chairman of the General Committee of T</w:t>
      </w:r>
      <w:r>
        <w:rPr>
          <w:rFonts w:ascii="Arial" w:cs="Arial" w:eastAsia="Arial" w:hAnsi="Arial"/>
          <w:sz w:val="9"/>
          <w:szCs w:val="9"/>
          <w:color w:val="FFFFFF"/>
          <w:vertAlign w:val="subscript"/>
        </w:rPr>
        <w:t>the</w:t>
      </w:r>
      <w:r>
        <w:rPr>
          <w:rFonts w:ascii="Arial" w:cs="Arial" w:eastAsia="Arial" w:hAnsi="Arial"/>
          <w:sz w:val="7"/>
          <w:szCs w:val="7"/>
          <w:color w:val="FFFFFF"/>
        </w:rPr>
        <w:t xml:space="preserve"> British Chamber of Commerce in Hong Kong. He is also</w:t>
      </w:r>
      <w:r>
        <w:rPr>
          <w:rFonts w:ascii="Arial" w:cs="Arial" w:eastAsia="Arial" w:hAnsi="Arial"/>
          <w:sz w:val="9"/>
          <w:szCs w:val="9"/>
          <w:color w:val="FFFFFF"/>
          <w:vertAlign w:val="subscript"/>
        </w:rPr>
        <w:t>became</w:t>
      </w:r>
      <w:r>
        <w:rPr>
          <w:rFonts w:ascii="Arial" w:cs="Arial" w:eastAsia="Arial" w:hAnsi="Arial"/>
          <w:sz w:val="7"/>
          <w:szCs w:val="7"/>
          <w:color w:val="FFFFFF"/>
        </w:rPr>
        <w:t>director of AFS Intercultural Exchanges Ltd. in Hong Kong,Corporatedirector of The Photographic Heritage</w:t>
      </w:r>
    </w:p>
    <w:p>
      <w:pPr>
        <w:spacing w:after="0" w:line="213" w:lineRule="auto"/>
        <w:tabs>
          <w:tab w:leader="none" w:pos="2580" w:val="left"/>
          <w:tab w:leader="none" w:pos="6040" w:val="left"/>
        </w:tabs>
        <w:rPr>
          <w:sz w:val="20"/>
          <w:szCs w:val="20"/>
          <w:color w:val="auto"/>
        </w:rPr>
      </w:pPr>
      <w:r>
        <w:rPr>
          <w:rFonts w:ascii="Arial" w:cs="Arial" w:eastAsia="Arial" w:hAnsi="Arial"/>
          <w:sz w:val="2"/>
          <w:szCs w:val="2"/>
          <w:color w:val="FFFFFF"/>
        </w:rPr>
        <w:t xml:space="preserve">Foundation Hong Kong </w:t>
      </w:r>
      <w:r>
        <w:rPr>
          <w:rFonts w:ascii="Arial" w:cs="Arial" w:eastAsia="Arial" w:hAnsi="Arial"/>
          <w:sz w:val="4"/>
          <w:szCs w:val="4"/>
          <w:color w:val="FFFFFF"/>
          <w:vertAlign w:val="subscript"/>
        </w:rPr>
        <w:t>educated</w:t>
      </w:r>
      <w:r>
        <w:rPr>
          <w:rFonts w:ascii="Arial" w:cs="Arial" w:eastAsia="Arial" w:hAnsi="Arial"/>
          <w:sz w:val="2"/>
          <w:szCs w:val="2"/>
          <w:color w:val="FFFFFF"/>
        </w:rPr>
        <w:t>andCouncillor of</w:t>
      </w:r>
      <w:r>
        <w:rPr>
          <w:sz w:val="20"/>
          <w:szCs w:val="20"/>
          <w:color w:val="auto"/>
        </w:rPr>
        <w:tab/>
      </w:r>
      <w:r>
        <w:rPr>
          <w:rFonts w:ascii="Arial" w:cs="Arial" w:eastAsia="Arial" w:hAnsi="Arial"/>
          <w:sz w:val="3"/>
          <w:szCs w:val="3"/>
          <w:color w:val="FFFFFF"/>
        </w:rPr>
        <w:t>Foundation for the Arts and Music Limited in Asia. He</w:t>
      </w:r>
      <w:r>
        <w:rPr>
          <w:sz w:val="20"/>
          <w:szCs w:val="20"/>
          <w:color w:val="auto"/>
        </w:rPr>
        <w:tab/>
      </w:r>
      <w:r>
        <w:rPr>
          <w:rFonts w:ascii="Arial" w:cs="Arial" w:eastAsia="Arial" w:hAnsi="Arial"/>
          <w:sz w:val="2"/>
          <w:szCs w:val="2"/>
          <w:color w:val="FFFFFF"/>
        </w:rPr>
        <w:t>a member of the Finan</w:t>
      </w:r>
      <w:r>
        <w:rPr>
          <w:rFonts w:ascii="Arial" w:cs="Arial" w:eastAsia="Arial" w:hAnsi="Arial"/>
          <w:sz w:val="4"/>
          <w:szCs w:val="4"/>
          <w:color w:val="FFFFFF"/>
          <w:vertAlign w:val="subscript"/>
        </w:rPr>
        <w:t>Association</w:t>
      </w:r>
      <w:r>
        <w:rPr>
          <w:rFonts w:ascii="Arial" w:cs="Arial" w:eastAsia="Arial" w:hAnsi="Arial"/>
          <w:sz w:val="2"/>
          <w:szCs w:val="2"/>
          <w:color w:val="FFFFFF"/>
        </w:rPr>
        <w:t>lReporting Council of Hong Kong in December 2012.</w:t>
      </w:r>
    </w:p>
    <w:p>
      <w:pPr>
        <w:spacing w:after="0" w:line="187" w:lineRule="auto"/>
        <w:rPr>
          <w:sz w:val="20"/>
          <w:szCs w:val="20"/>
          <w:color w:val="auto"/>
        </w:rPr>
      </w:pPr>
      <w:r>
        <w:rPr>
          <w:rFonts w:ascii="Arial" w:cs="Arial" w:eastAsia="Arial" w:hAnsi="Arial"/>
          <w:sz w:val="9"/>
          <w:szCs w:val="9"/>
          <w:color w:val="FFFFFF"/>
        </w:rPr>
        <w:t>Mr. Sallnow-Smith was at Gonville &amp; Caius College, Cambridge, and the University of Leicester and is a Fellow of the of Corporate Treasurers. He holds M.A. (Cantab) and M.A. (Soc. of Ed.) Degrees.</w:t>
      </w:r>
    </w:p>
    <w:p>
      <w:pPr>
        <w:spacing w:after="0" w:line="188" w:lineRule="auto"/>
        <w:rPr>
          <w:sz w:val="20"/>
          <w:szCs w:val="20"/>
          <w:color w:val="auto"/>
        </w:rPr>
      </w:pPr>
      <w:r>
        <w:rPr>
          <w:rFonts w:ascii="Arial" w:cs="Arial" w:eastAsia="Arial" w:hAnsi="Arial"/>
          <w:sz w:val="9"/>
          <w:szCs w:val="9"/>
          <w:color w:val="FFFFFF"/>
        </w:rPr>
        <w:t>OUR SENIOR MANAGEMENT</w:t>
      </w:r>
    </w:p>
    <w:p>
      <w:pPr>
        <w:spacing w:after="0"/>
        <w:rPr>
          <w:sz w:val="20"/>
          <w:szCs w:val="20"/>
          <w:color w:val="auto"/>
        </w:rPr>
      </w:pPr>
      <w:r>
        <w:rPr>
          <w:rFonts w:ascii="Arial" w:cs="Arial" w:eastAsia="Arial" w:hAnsi="Arial"/>
          <w:sz w:val="3"/>
          <w:szCs w:val="3"/>
          <w:color w:val="FFFFFF"/>
        </w:rPr>
        <w:t>SeniorThefollowingmanagementtable presents certain information concerning the senior management personnel of the Group (other than our executive Directors).</w:t>
      </w:r>
    </w:p>
    <w:p>
      <w:pPr>
        <w:spacing w:after="0" w:line="194" w:lineRule="auto"/>
        <w:rPr>
          <w:sz w:val="20"/>
          <w:szCs w:val="20"/>
          <w:color w:val="auto"/>
        </w:rPr>
      </w:pPr>
      <w:r>
        <w:rPr>
          <w:rFonts w:ascii="Arial" w:cs="Arial" w:eastAsia="Arial" w:hAnsi="Arial"/>
          <w:sz w:val="5"/>
          <w:szCs w:val="5"/>
          <w:color w:val="FFFFFF"/>
        </w:rPr>
        <w:t>Name Age Position</w:t>
      </w:r>
    </w:p>
    <w:p>
      <w:pPr>
        <w:spacing w:after="0"/>
        <w:rPr>
          <w:sz w:val="20"/>
          <w:szCs w:val="20"/>
          <w:color w:val="auto"/>
        </w:rPr>
      </w:pPr>
      <w:r>
        <w:rPr>
          <w:rFonts w:ascii="Arial" w:cs="Arial" w:eastAsia="Arial" w:hAnsi="Arial"/>
          <w:sz w:val="3"/>
          <w:szCs w:val="3"/>
          <w:color w:val="FFFFFF"/>
        </w:rPr>
        <w:t>Frank Xiao 45 President — Marketing# (Wynn Macau)</w:t>
      </w:r>
    </w:p>
    <w:p>
      <w:pPr>
        <w:spacing w:after="0" w:line="181" w:lineRule="auto"/>
        <w:rPr>
          <w:sz w:val="20"/>
          <w:szCs w:val="20"/>
          <w:color w:val="auto"/>
        </w:rPr>
      </w:pPr>
      <w:r>
        <w:rPr>
          <w:rFonts w:ascii="Arial" w:cs="Arial" w:eastAsia="Arial" w:hAnsi="Arial"/>
          <w:sz w:val="10"/>
          <w:szCs w:val="10"/>
          <w:color w:val="FFFFFF"/>
        </w:rPr>
        <w:t>Charlie Ward 63 Executive Vice President — Casino Operations#</w:t>
      </w:r>
    </w:p>
    <w:p>
      <w:pPr>
        <w:spacing w:after="0"/>
        <w:rPr>
          <w:sz w:val="20"/>
          <w:szCs w:val="20"/>
          <w:color w:val="auto"/>
        </w:rPr>
      </w:pPr>
      <w:r>
        <w:rPr>
          <w:rFonts w:ascii="Arial" w:cs="Arial" w:eastAsia="Arial" w:hAnsi="Arial"/>
          <w:sz w:val="3"/>
          <w:szCs w:val="3"/>
          <w:color w:val="FFFFFF"/>
        </w:rPr>
        <w:t>JayDoreenM. SchallMarie 39WhennenSenior Vice58ExecutivePresidentViceand PresidentGeneralCounsel##,—HotelOperations#</w:t>
      </w:r>
    </w:p>
    <w:p>
      <w:pPr>
        <w:spacing w:after="0" w:line="181" w:lineRule="auto"/>
        <w:rPr>
          <w:sz w:val="20"/>
          <w:szCs w:val="20"/>
          <w:color w:val="auto"/>
        </w:rPr>
      </w:pPr>
      <w:r>
        <w:rPr>
          <w:rFonts w:ascii="Arial" w:cs="Arial" w:eastAsia="Arial" w:hAnsi="Arial"/>
          <w:sz w:val="10"/>
          <w:szCs w:val="10"/>
          <w:color w:val="FFFFFF"/>
        </w:rPr>
        <w:t>Senior Vice President — Legal#</w:t>
      </w:r>
    </w:p>
    <w:p>
      <w:pPr>
        <w:spacing w:after="0"/>
        <w:rPr>
          <w:sz w:val="20"/>
          <w:szCs w:val="20"/>
          <w:color w:val="auto"/>
        </w:rPr>
      </w:pPr>
      <w:r>
        <w:rPr>
          <w:rFonts w:ascii="Arial" w:cs="Arial" w:eastAsia="Arial" w:hAnsi="Arial"/>
          <w:sz w:val="3"/>
          <w:szCs w:val="3"/>
          <w:color w:val="FFFFFF"/>
        </w:rPr>
        <w:t>AndreRobert MungAlexanderDickGansmoOng43 Senior43SeniorViceVicePresidentPresident— Technology—ChiefFinancialand Officer#</w:t>
      </w:r>
    </w:p>
    <w:p>
      <w:pPr>
        <w:spacing w:after="0" w:line="194" w:lineRule="auto"/>
        <w:rPr>
          <w:sz w:val="20"/>
          <w:szCs w:val="20"/>
          <w:color w:val="auto"/>
        </w:rPr>
      </w:pPr>
      <w:r>
        <w:rPr>
          <w:rFonts w:ascii="Arial" w:cs="Arial" w:eastAsia="Arial" w:hAnsi="Arial"/>
          <w:sz w:val="5"/>
          <w:szCs w:val="5"/>
          <w:color w:val="FFFFFF"/>
        </w:rPr>
        <w:t>Chief Information Of?cer#</w:t>
      </w:r>
    </w:p>
    <w:p>
      <w:pPr>
        <w:spacing w:after="0" w:line="188" w:lineRule="auto"/>
        <w:rPr>
          <w:sz w:val="20"/>
          <w:szCs w:val="20"/>
          <w:color w:val="auto"/>
        </w:rPr>
      </w:pPr>
      <w:r>
        <w:rPr>
          <w:rFonts w:ascii="Arial" w:cs="Arial" w:eastAsia="Arial" w:hAnsi="Arial"/>
          <w:sz w:val="9"/>
          <w:szCs w:val="9"/>
          <w:color w:val="FFFFFF"/>
          <w:vertAlign w:val="subscript"/>
        </w:rPr>
        <w:t>Dennis</w:t>
      </w:r>
      <w:r>
        <w:rPr>
          <w:rFonts w:ascii="Arial" w:cs="Arial" w:eastAsia="Arial" w:hAnsi="Arial"/>
          <w:sz w:val="7"/>
          <w:szCs w:val="7"/>
          <w:color w:val="FFFFFF"/>
        </w:rPr>
        <w:t>ianne Fiona Dennehy 57 Vice President — Main Floor Gaming#</w:t>
      </w:r>
    </w:p>
    <w:p>
      <w:pPr>
        <w:spacing w:after="0" w:line="187" w:lineRule="auto"/>
        <w:rPr>
          <w:sz w:val="20"/>
          <w:szCs w:val="20"/>
          <w:color w:val="auto"/>
        </w:rPr>
      </w:pPr>
      <w:r>
        <w:rPr>
          <w:rFonts w:ascii="Arial" w:cs="Arial" w:eastAsia="Arial" w:hAnsi="Arial"/>
          <w:sz w:val="9"/>
          <w:szCs w:val="9"/>
          <w:color w:val="FFFFFF"/>
        </w:rPr>
        <w:t>Mo YinHudsonMok5153ViceVicePresidentPresident——HumanWynnResources#ClubGaming#</w:t>
      </w:r>
    </w:p>
    <w:p>
      <w:pPr>
        <w:spacing w:after="0" w:line="188" w:lineRule="auto"/>
        <w:rPr>
          <w:sz w:val="20"/>
          <w:szCs w:val="20"/>
          <w:color w:val="auto"/>
        </w:rPr>
      </w:pPr>
      <w:r>
        <w:rPr>
          <w:rFonts w:ascii="Arial" w:cs="Arial" w:eastAsia="Arial" w:hAnsi="Arial"/>
          <w:sz w:val="9"/>
          <w:szCs w:val="9"/>
          <w:color w:val="FFFFFF"/>
        </w:rPr>
        <w:t>MitchellCraigArthur Raymond 51 Assistant Vice President — Slot Operations#</w:t>
      </w:r>
    </w:p>
    <w:p>
      <w:pPr>
        <w:spacing w:after="0"/>
        <w:rPr>
          <w:sz w:val="20"/>
          <w:szCs w:val="20"/>
          <w:color w:val="auto"/>
        </w:rPr>
      </w:pPr>
      <w:r>
        <w:rPr>
          <w:rFonts w:ascii="Arial" w:cs="Arial" w:eastAsia="Arial" w:hAnsi="Arial"/>
          <w:sz w:val="14"/>
          <w:szCs w:val="14"/>
          <w:color w:val="FFFFFF"/>
        </w:rPr>
        <w:t>MichaelDanielGordonDerringtonLawleyHarvey51Executive63PresidentDirector—Wynn—SecurityDesign &amp;&amp; CorporateDevelopmentInvestigation#Asia</w:t>
      </w:r>
    </w:p>
    <w:p>
      <w:pPr>
        <w:sectPr>
          <w:pgSz w:w="11900" w:h="16838" w:orient="portrait"/>
          <w:cols w:equalWidth="0" w:num="1">
            <w:col w:w="11360"/>
          </w:cols>
          <w:pgMar w:left="240" w:top="1440" w:right="29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32 Wynn Macau, Limited</w:t>
      </w:r>
    </w:p>
    <w:p>
      <w:pPr>
        <w:spacing w:after="0" w:line="187" w:lineRule="auto"/>
        <w:rPr>
          <w:sz w:val="20"/>
          <w:szCs w:val="20"/>
          <w:color w:val="auto"/>
        </w:rPr>
      </w:pPr>
      <w:r>
        <w:rPr>
          <w:rFonts w:ascii="Arial" w:cs="Arial" w:eastAsia="Arial" w:hAnsi="Arial"/>
          <w:sz w:val="9"/>
          <w:szCs w:val="9"/>
          <w:color w:val="FFFFFF"/>
        </w:rPr>
        <w:t>Notes:Directors and Senior Management</w:t>
      </w:r>
    </w:p>
    <w:p>
      <w:pPr>
        <w:ind w:left="80"/>
        <w:spacing w:after="0"/>
        <w:rPr>
          <w:sz w:val="20"/>
          <w:szCs w:val="20"/>
          <w:color w:val="auto"/>
        </w:rPr>
      </w:pPr>
      <w:r>
        <w:rPr>
          <w:rFonts w:ascii="Arial" w:cs="Arial" w:eastAsia="Arial" w:hAnsi="Arial"/>
          <w:sz w:val="3"/>
          <w:szCs w:val="3"/>
          <w:color w:val="FFFFFF"/>
        </w:rPr>
        <w:t># Position held in the Company.</w:t>
      </w:r>
    </w:p>
    <w:p>
      <w:pPr>
        <w:spacing w:after="0" w:line="181" w:lineRule="auto"/>
        <w:rPr>
          <w:sz w:val="20"/>
          <w:szCs w:val="20"/>
          <w:color w:val="auto"/>
        </w:rPr>
      </w:pPr>
      <w:r>
        <w:rPr>
          <w:rFonts w:ascii="Arial" w:cs="Arial" w:eastAsia="Arial" w:hAnsi="Arial"/>
          <w:sz w:val="10"/>
          <w:szCs w:val="10"/>
          <w:color w:val="FFFFFF"/>
        </w:rPr>
        <w:t>The#Positionbiographyheld ofin eachWRM.member of the senior management team (other than our executive Directors) is set out below:</w:t>
      </w:r>
    </w:p>
    <w:p>
      <w:pPr>
        <w:ind w:right="20"/>
        <w:spacing w:after="0" w:line="181" w:lineRule="auto"/>
        <w:rPr>
          <w:sz w:val="20"/>
          <w:szCs w:val="20"/>
          <w:color w:val="auto"/>
        </w:rPr>
      </w:pPr>
      <w:r>
        <w:rPr>
          <w:rFonts w:ascii="Arial" w:cs="Arial" w:eastAsia="Arial" w:hAnsi="Arial"/>
          <w:sz w:val="7"/>
          <w:szCs w:val="7"/>
          <w:color w:val="FFFFFF"/>
        </w:rPr>
        <w:t>—Mr.PremierFrankXiao,Marketingaged45,of WRMisthe Presidentbetween August—Marketing2006and(WynnOctoberMacau)2012.of Mr.WRM,Xiao positionisresponsiblehehasforheldprovidingsinceOctoberleadership2012.andPriorguidancetothistoposition,themarketingMr.Xiaoteamwasandthestaff,SeniordevelopingExecutivebusinessVicePresidentandpromoting Wynn Macau. PriorMarketingtohis position, Mr. Xiao was the Senior Executive Vice President</w:t>
      </w:r>
    </w:p>
    <w:p>
      <w:pPr>
        <w:ind w:right="220"/>
        <w:spacing w:after="0" w:line="181" w:lineRule="auto"/>
        <w:rPr>
          <w:sz w:val="20"/>
          <w:szCs w:val="20"/>
          <w:color w:val="auto"/>
        </w:rPr>
      </w:pPr>
      <w:r>
        <w:rPr>
          <w:rFonts w:ascii="Arial" w:cs="Arial" w:eastAsia="Arial" w:hAnsi="Arial"/>
          <w:sz w:val="7"/>
          <w:szCs w:val="7"/>
          <w:color w:val="FFFFFF"/>
        </w:rPr>
        <w:t>years—Chinaatthe MGM GrandforWIMLHotel,andhe wasWorldwidepromotedWynnseveralbetweentimes2005from untilhisfi2006.rstpositionPriortoasjoiningFarEasttheMarketingGroup,Mr.ExecutiveXiaowasinthe1993.SeniorMr. ViceXiaoPresidentholdsaBachelorofFarEastof ScienceMarketingDegreeatMGMinHotelGrandAdministrationHotel.Duringandhisa12 Mraster’s Degree in Hotel Administration from the University of Nevada, Las Vegas.</w:t>
      </w:r>
    </w:p>
    <w:p>
      <w:pPr>
        <w:ind w:left="10840"/>
        <w:spacing w:after="0"/>
        <w:rPr>
          <w:sz w:val="20"/>
          <w:szCs w:val="20"/>
          <w:color w:val="auto"/>
        </w:rPr>
      </w:pPr>
      <w:r>
        <w:rPr>
          <w:rFonts w:ascii="Arial" w:cs="Arial" w:eastAsia="Arial" w:hAnsi="Arial"/>
          <w:sz w:val="1"/>
          <w:szCs w:val="1"/>
          <w:color w:val="FFFFFF"/>
        </w:rPr>
        <w:t>for.WRMCharlie Ward, operations.aged63, theMr. ExecutiveWardhas moreVice Presidentthan40years—CasinoexperienceOperationsinthe gamingofWRM,industry,apositionhavinghehasservedhldatsincegaming1Marchcompanies2012. Mr.includingWard isMGMresponsibleandWynn.for providingOverhis careerleadershipMr.Wardandoperationalhasgained direction</w:t>
      </w:r>
    </w:p>
    <w:p>
      <w:pPr>
        <w:ind w:right="80"/>
        <w:spacing w:after="0" w:line="198" w:lineRule="auto"/>
        <w:rPr>
          <w:sz w:val="20"/>
          <w:szCs w:val="20"/>
          <w:color w:val="auto"/>
        </w:rPr>
      </w:pPr>
      <w:r>
        <w:rPr>
          <w:rFonts w:ascii="Arial" w:cs="Arial" w:eastAsia="Arial" w:hAnsi="Arial"/>
          <w:sz w:val="7"/>
          <w:szCs w:val="7"/>
          <w:color w:val="FFFFFF"/>
        </w:rPr>
        <w:t xml:space="preserve">experiencegamingwide range of assignments including customer/VIP relations, game protection and casino set up, opening and operations. Prior to this position, Mr. Ward held the position of Vice President of Table Games at Wynn | Encore Las Vegas between 2008 and 2012. Prior to joining the Group, Mr. Ward was at MGM Grand Hotel and Casino for 14 years and in 2007 was promoted to the pre-opening team of </w:t>
      </w:r>
      <w:r>
        <w:rPr>
          <w:rFonts w:ascii="Arial" w:cs="Arial" w:eastAsia="Arial" w:hAnsi="Arial"/>
          <w:sz w:val="10"/>
          <w:szCs w:val="10"/>
          <w:color w:val="FFFFFF"/>
          <w:vertAlign w:val="superscript"/>
        </w:rPr>
        <w:t>Ms</w:t>
      </w:r>
      <w:r>
        <w:rPr>
          <w:rFonts w:ascii="Arial" w:cs="Arial" w:eastAsia="Arial" w:hAnsi="Arial"/>
          <w:sz w:val="7"/>
          <w:szCs w:val="7"/>
          <w:color w:val="FFFFFF"/>
        </w:rPr>
        <w:t>GM Grand Macau as Vice President of VIP Gaming.</w:t>
      </w:r>
    </w:p>
    <w:p>
      <w:pPr>
        <w:spacing w:after="0" w:line="1" w:lineRule="exact"/>
        <w:rPr>
          <w:sz w:val="20"/>
          <w:szCs w:val="20"/>
          <w:color w:val="auto"/>
        </w:rPr>
      </w:pPr>
    </w:p>
    <w:p>
      <w:pPr>
        <w:ind w:firstLine="173"/>
        <w:spacing w:after="0" w:line="195" w:lineRule="auto"/>
        <w:rPr>
          <w:sz w:val="20"/>
          <w:szCs w:val="20"/>
          <w:color w:val="auto"/>
        </w:rPr>
      </w:pPr>
      <w:r>
        <w:rPr>
          <w:rFonts w:ascii="Arial" w:cs="Arial" w:eastAsia="Arial" w:hAnsi="Arial"/>
          <w:sz w:val="6"/>
          <w:szCs w:val="6"/>
          <w:color w:val="FFFFFF"/>
        </w:rPr>
        <w:t xml:space="preserve">. Doreen Marie Whennen, aged 58, is the Executive Vice President — Hotel and Food &amp; Beverage Operations of WRM, a position she has held since July 2012. Ms. Whennen is responsible for overseeing both the hotel and food &amp; beverage operations of Wynn Macau. Prior to this, from May 2007 through June 2012, Ms. Whennen held the position of Executive Vice President — Hotel Operations of WRM, where she was responsible </w:t>
      </w:r>
      <w:r>
        <w:rPr>
          <w:rFonts w:ascii="Arial" w:cs="Arial" w:eastAsia="Arial" w:hAnsi="Arial"/>
          <w:sz w:val="7"/>
          <w:szCs w:val="7"/>
          <w:color w:val="FFFFFF"/>
          <w:vertAlign w:val="subscript"/>
        </w:rPr>
        <w:t>various</w:t>
      </w:r>
      <w:r>
        <w:rPr>
          <w:rFonts w:ascii="Arial" w:cs="Arial" w:eastAsia="Arial" w:hAnsi="Arial"/>
          <w:sz w:val="6"/>
          <w:szCs w:val="6"/>
          <w:color w:val="FFFFFF"/>
        </w:rPr>
        <w:t>foroverseeing the Hotel Operations of Wynn Macau. Ms. Whennen has over 20 years of experience in the hospitality industry. She joined Valvino Lamore, LLC in 2000 and prior to joining</w:t>
      </w:r>
    </w:p>
    <w:p>
      <w:pPr>
        <w:spacing w:after="0"/>
        <w:tabs>
          <w:tab w:leader="none" w:pos="1520" w:val="left"/>
        </w:tabs>
        <w:rPr>
          <w:sz w:val="20"/>
          <w:szCs w:val="20"/>
          <w:color w:val="auto"/>
        </w:rPr>
      </w:pPr>
      <w:r>
        <w:rPr>
          <w:rFonts w:ascii="Arial" w:cs="Arial" w:eastAsia="Arial" w:hAnsi="Arial"/>
          <w:sz w:val="14"/>
          <w:szCs w:val="14"/>
          <w:color w:val="FFFFFF"/>
        </w:rPr>
        <w:t>the Group, she held</w:t>
      </w:r>
      <w:r>
        <w:rPr>
          <w:sz w:val="20"/>
          <w:szCs w:val="20"/>
          <w:color w:val="auto"/>
        </w:rPr>
        <w:tab/>
      </w:r>
      <w:r>
        <w:rPr>
          <w:rFonts w:ascii="Arial" w:cs="Arial" w:eastAsia="Arial" w:hAnsi="Arial"/>
          <w:sz w:val="12"/>
          <w:szCs w:val="12"/>
          <w:color w:val="FFFFFF"/>
        </w:rPr>
        <w:t>positions at The Mirage, which she joined in 1989, including Front Offi ce Manager, Director of Guest Services and Vice President of Hotel Operations.</w:t>
      </w:r>
    </w:p>
    <w:p>
      <w:pPr>
        <w:sectPr>
          <w:pgSz w:w="11900" w:h="16838" w:orient="portrait"/>
          <w:cols w:equalWidth="0" w:num="1">
            <w:col w:w="11420"/>
          </w:cols>
          <w:pgMar w:left="240" w:top="1440" w:right="23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gridSpan w:val="2"/>
          </w:tcPr>
          <w:p>
            <w:pPr>
              <w:spacing w:after="0"/>
              <w:rPr>
                <w:sz w:val="20"/>
                <w:szCs w:val="20"/>
                <w:color w:val="auto"/>
              </w:rPr>
            </w:pPr>
            <w:r>
              <w:rPr>
                <w:rFonts w:ascii="Arial" w:cs="Arial" w:eastAsia="Arial" w:hAnsi="Arial"/>
                <w:sz w:val="14"/>
                <w:szCs w:val="14"/>
                <w:color w:val="FFFFFF"/>
              </w:rPr>
              <w:t>Annual Report 2012 33</w:t>
            </w:r>
          </w:p>
        </w:tc>
        <w:tc>
          <w:tcPr>
            <w:tcW w:w="5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6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560" w:type="dxa"/>
            <w:vAlign w:val="bottom"/>
          </w:tcPr>
          <w:p>
            <w:pPr>
              <w:spacing w:after="0"/>
              <w:rPr>
                <w:sz w:val="3"/>
                <w:szCs w:val="3"/>
                <w:color w:val="auto"/>
              </w:rPr>
            </w:pPr>
          </w:p>
        </w:tc>
        <w:tc>
          <w:tcPr>
            <w:tcW w:w="268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ind w:left="240"/>
              <w:spacing w:after="0"/>
              <w:rPr>
                <w:sz w:val="20"/>
                <w:szCs w:val="20"/>
                <w:color w:val="auto"/>
              </w:rPr>
            </w:pPr>
            <w:r>
              <w:rPr>
                <w:rFonts w:ascii="Arial" w:cs="Arial" w:eastAsia="Arial" w:hAnsi="Arial"/>
                <w:sz w:val="3"/>
                <w:szCs w:val="3"/>
                <w:color w:val="FFFFFF"/>
              </w:rPr>
              <w:t>Jay M. Schall, aged 39, is the Senior Vice President and General Counsel of the Company and Senior Vice President – Legal of WRM. He has held senior legal positions with WRM since May 2006.</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Mr. Schall has over thirteen years of experience in the legal fi eld, including nine years in Macau and Hong Kong. Prior to joining the Group, Mr. Schall practiced United States law at a major law ? rm in the</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United St tes and in H ng Kong. Mr. Schall is a member of the State Bar of Texas. Mr. Schall holds a Bachelor of Arts Degree from Colorado College, an MBA from Tulane University, Freeman School of</w:t>
            </w:r>
          </w:p>
        </w:tc>
        <w:tc>
          <w:tcPr>
            <w:tcW w:w="0" w:type="dxa"/>
            <w:vAlign w:val="bottom"/>
          </w:tcPr>
          <w:p>
            <w:pPr>
              <w:spacing w:after="0"/>
              <w:rPr>
                <w:sz w:val="1"/>
                <w:szCs w:val="1"/>
                <w:color w:val="auto"/>
              </w:rPr>
            </w:pP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Business and</w:t>
            </w:r>
          </w:p>
        </w:tc>
        <w:tc>
          <w:tcPr>
            <w:tcW w:w="9380" w:type="dxa"/>
            <w:vAlign w:val="bottom"/>
            <w:gridSpan w:val="4"/>
          </w:tcPr>
          <w:p>
            <w:pPr>
              <w:ind w:left="60"/>
              <w:spacing w:after="0"/>
              <w:rPr>
                <w:sz w:val="20"/>
                <w:szCs w:val="20"/>
                <w:color w:val="auto"/>
              </w:rPr>
            </w:pPr>
            <w:r>
              <w:rPr>
                <w:rFonts w:ascii="Arial" w:cs="Arial" w:eastAsia="Arial" w:hAnsi="Arial"/>
                <w:sz w:val="3"/>
                <w:szCs w:val="3"/>
                <w:color w:val="FFFFFF"/>
              </w:rPr>
              <w:t>Juris Doctor (magna cum laude, Order of the Coif) from Tulane University School of Law.</w:t>
            </w: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Mr. Robert</w:t>
            </w:r>
          </w:p>
        </w:tc>
        <w:tc>
          <w:tcPr>
            <w:tcW w:w="10600" w:type="dxa"/>
            <w:vAlign w:val="bottom"/>
            <w:gridSpan w:val="5"/>
          </w:tcPr>
          <w:p>
            <w:pPr>
              <w:ind w:left="460"/>
              <w:spacing w:after="0"/>
              <w:rPr>
                <w:sz w:val="20"/>
                <w:szCs w:val="20"/>
                <w:color w:val="auto"/>
              </w:rPr>
            </w:pPr>
            <w:r>
              <w:rPr>
                <w:rFonts w:ascii="Arial" w:cs="Arial" w:eastAsia="Arial" w:hAnsi="Arial"/>
                <w:sz w:val="3"/>
                <w:szCs w:val="3"/>
                <w:color w:val="FFFFFF"/>
              </w:rPr>
              <w:t>Gansmo, aged 43, is the Senior Vice President — Chief Financial Offi cer of WRM,  position he has held since April 2009. Prior to taking this position, Mr. Gansmo was the Director —</w:t>
            </w:r>
          </w:p>
        </w:tc>
        <w:tc>
          <w:tcPr>
            <w:tcW w:w="0" w:type="dxa"/>
            <w:vAlign w:val="bottom"/>
          </w:tcPr>
          <w:p>
            <w:pPr>
              <w:spacing w:after="0"/>
              <w:rPr>
                <w:sz w:val="1"/>
                <w:szCs w:val="1"/>
                <w:color w:val="auto"/>
              </w:rPr>
            </w:pPr>
          </w:p>
        </w:tc>
      </w:tr>
      <w:tr>
        <w:trPr>
          <w:trHeight w:val="41"/>
        </w:trPr>
        <w:tc>
          <w:tcPr>
            <w:tcW w:w="2060" w:type="dxa"/>
            <w:vAlign w:val="bottom"/>
            <w:gridSpan w:val="2"/>
          </w:tcPr>
          <w:p>
            <w:pPr>
              <w:spacing w:after="0"/>
              <w:rPr>
                <w:sz w:val="20"/>
                <w:szCs w:val="20"/>
                <w:color w:val="auto"/>
              </w:rPr>
            </w:pPr>
            <w:r>
              <w:rPr>
                <w:rFonts w:ascii="Arial" w:cs="Arial" w:eastAsia="Arial" w:hAnsi="Arial"/>
                <w:sz w:val="3"/>
                <w:szCs w:val="3"/>
                <w:color w:val="FFFFFF"/>
              </w:rPr>
              <w:t>Finance of WRM,Alexanderposition he</w:t>
            </w:r>
          </w:p>
        </w:tc>
        <w:tc>
          <w:tcPr>
            <w:tcW w:w="9320" w:type="dxa"/>
            <w:vAlign w:val="bottom"/>
            <w:gridSpan w:val="4"/>
          </w:tcPr>
          <w:p>
            <w:pPr>
              <w:ind w:left="180"/>
              <w:spacing w:after="0"/>
              <w:rPr>
                <w:sz w:val="20"/>
                <w:szCs w:val="20"/>
                <w:color w:val="auto"/>
              </w:rPr>
            </w:pPr>
            <w:r>
              <w:rPr>
                <w:rFonts w:ascii="Arial" w:cs="Arial" w:eastAsia="Arial" w:hAnsi="Arial"/>
                <w:sz w:val="3"/>
                <w:szCs w:val="3"/>
                <w:color w:val="FFFFFF"/>
              </w:rPr>
              <w:t>in January 2007. Mr. Gansmo is responsible for the management and administration of WRM’s fi nance division. Before joining WRM, Mr. Gansmo worked at Wynn</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Resorts, Limited, where he servedassumedthe Director of Financial Reporting from November 2002. Prior to joining the Group, Mr. Gansmo practiced as  certi? ed public accountant with ? rms   Las Vegas,</w:t>
            </w:r>
          </w:p>
        </w:tc>
        <w:tc>
          <w:tcPr>
            <w:tcW w:w="0" w:type="dxa"/>
            <w:vAlign w:val="bottom"/>
          </w:tcPr>
          <w:p>
            <w:pPr>
              <w:spacing w:after="0"/>
              <w:rPr>
                <w:sz w:val="1"/>
                <w:szCs w:val="1"/>
                <w:color w:val="auto"/>
              </w:rPr>
            </w:pPr>
          </w:p>
        </w:tc>
      </w:tr>
      <w:tr>
        <w:trPr>
          <w:trHeight w:val="41"/>
        </w:trPr>
        <w:tc>
          <w:tcPr>
            <w:tcW w:w="2620" w:type="dxa"/>
            <w:vAlign w:val="bottom"/>
            <w:gridSpan w:val="3"/>
          </w:tcPr>
          <w:p>
            <w:pPr>
              <w:spacing w:after="0"/>
              <w:rPr>
                <w:sz w:val="20"/>
                <w:szCs w:val="20"/>
                <w:color w:val="auto"/>
              </w:rPr>
            </w:pPr>
            <w:r>
              <w:rPr>
                <w:rFonts w:ascii="Arial" w:cs="Arial" w:eastAsia="Arial" w:hAnsi="Arial"/>
                <w:sz w:val="3"/>
                <w:szCs w:val="3"/>
                <w:color w:val="FFFFFF"/>
              </w:rPr>
              <w:t>Washington and California, including KPMG</w:t>
            </w:r>
          </w:p>
        </w:tc>
        <w:tc>
          <w:tcPr>
            <w:tcW w:w="8760" w:type="dxa"/>
            <w:vAlign w:val="bottom"/>
            <w:gridSpan w:val="3"/>
          </w:tcPr>
          <w:p>
            <w:pPr>
              <w:ind w:left="140"/>
              <w:spacing w:after="0"/>
              <w:rPr>
                <w:sz w:val="20"/>
                <w:szCs w:val="20"/>
                <w:color w:val="auto"/>
              </w:rPr>
            </w:pPr>
            <w:r>
              <w:rPr>
                <w:rFonts w:ascii="Arial" w:cs="Arial" w:eastAsia="Arial" w:hAnsi="Arial"/>
                <w:sz w:val="3"/>
                <w:szCs w:val="3"/>
                <w:color w:val="FFFFFF"/>
              </w:rPr>
              <w:t>Marwick, Arthur Andersen, and Deloitte and Touche. Mr. Gansmo graduated in 1993 from California State University, Chico, where he obtained a Bachelor of</w:t>
            </w:r>
          </w:p>
        </w:tc>
        <w:tc>
          <w:tcPr>
            <w:tcW w:w="0" w:type="dxa"/>
            <w:vAlign w:val="bottom"/>
          </w:tcPr>
          <w:p>
            <w:pPr>
              <w:spacing w:after="0"/>
              <w:rPr>
                <w:sz w:val="1"/>
                <w:szCs w:val="1"/>
                <w:color w:val="auto"/>
              </w:rPr>
            </w:pPr>
          </w:p>
        </w:tc>
      </w:tr>
      <w:tr>
        <w:trPr>
          <w:trHeight w:val="41"/>
        </w:trPr>
        <w:tc>
          <w:tcPr>
            <w:tcW w:w="2060" w:type="dxa"/>
            <w:vAlign w:val="bottom"/>
            <w:gridSpan w:val="2"/>
          </w:tcPr>
          <w:p>
            <w:pPr>
              <w:spacing w:after="0"/>
              <w:rPr>
                <w:sz w:val="20"/>
                <w:szCs w:val="20"/>
                <w:color w:val="auto"/>
              </w:rPr>
            </w:pPr>
            <w:r>
              <w:rPr>
                <w:rFonts w:ascii="Arial" w:cs="Arial" w:eastAsia="Arial" w:hAnsi="Arial"/>
                <w:sz w:val="3"/>
                <w:szCs w:val="3"/>
                <w:color w:val="FFFFFF"/>
              </w:rPr>
              <w:t>Science Degree in Business</w:t>
            </w:r>
          </w:p>
        </w:tc>
        <w:tc>
          <w:tcPr>
            <w:tcW w:w="3240" w:type="dxa"/>
            <w:vAlign w:val="bottom"/>
            <w:gridSpan w:val="2"/>
          </w:tcPr>
          <w:p>
            <w:pPr>
              <w:ind w:left="340"/>
              <w:spacing w:after="0"/>
              <w:rPr>
                <w:sz w:val="20"/>
                <w:szCs w:val="20"/>
                <w:color w:val="auto"/>
              </w:rPr>
            </w:pPr>
            <w:r>
              <w:rPr>
                <w:rFonts w:ascii="Arial" w:cs="Arial" w:eastAsia="Arial" w:hAnsi="Arial"/>
                <w:sz w:val="3"/>
                <w:szCs w:val="3"/>
                <w:color w:val="FFFFFF"/>
              </w:rPr>
              <w:t>withPeat focus on accounting.</w:t>
            </w:r>
          </w:p>
        </w:tc>
        <w:tc>
          <w:tcPr>
            <w:tcW w:w="6080" w:type="dxa"/>
            <w:vAlign w:val="bottom"/>
            <w:gridSpan w:val="2"/>
            <w:vMerge w:val="restart"/>
          </w:tcPr>
          <w:p>
            <w:pPr>
              <w:ind w:left="340"/>
              <w:spacing w:after="0" w:line="81" w:lineRule="exact"/>
              <w:rPr>
                <w:sz w:val="20"/>
                <w:szCs w:val="20"/>
                <w:color w:val="auto"/>
              </w:rPr>
            </w:pPr>
            <w:r>
              <w:rPr>
                <w:rFonts w:ascii="Arial" w:cs="Arial" w:eastAsia="Arial" w:hAnsi="Arial"/>
                <w:sz w:val="9"/>
                <w:szCs w:val="9"/>
                <w:color w:val="FFFFFF"/>
              </w:rPr>
              <w:t>Offi cer of WRM, a position he has held since June 2012. Mr. Ong is responsible for the strategic</w:t>
            </w:r>
          </w:p>
        </w:tc>
        <w:tc>
          <w:tcPr>
            <w:tcW w:w="0" w:type="dxa"/>
            <w:vAlign w:val="bottom"/>
          </w:tcPr>
          <w:p>
            <w:pPr>
              <w:spacing w:after="0"/>
              <w:rPr>
                <w:sz w:val="1"/>
                <w:szCs w:val="1"/>
                <w:color w:val="auto"/>
              </w:rPr>
            </w:pPr>
          </w:p>
        </w:tc>
      </w:tr>
      <w:tr>
        <w:trPr>
          <w:trHeight w:val="41"/>
        </w:trPr>
        <w:tc>
          <w:tcPr>
            <w:tcW w:w="5300" w:type="dxa"/>
            <w:vAlign w:val="bottom"/>
            <w:gridSpan w:val="4"/>
          </w:tcPr>
          <w:p>
            <w:pPr>
              <w:spacing w:after="0"/>
              <w:rPr>
                <w:sz w:val="20"/>
                <w:szCs w:val="20"/>
                <w:color w:val="auto"/>
              </w:rPr>
            </w:pPr>
            <w:r>
              <w:rPr>
                <w:rFonts w:ascii="Arial" w:cs="Arial" w:eastAsia="Arial" w:hAnsi="Arial"/>
                <w:sz w:val="3"/>
                <w:szCs w:val="3"/>
                <w:color w:val="FFFFFF"/>
              </w:rPr>
              <w:t>Mr. Andre Mung Dick Ong, Administrationaged43,the Senior Vice President — Technology and Chief</w:t>
            </w:r>
          </w:p>
        </w:tc>
        <w:tc>
          <w:tcPr>
            <w:tcW w:w="6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160" w:type="dxa"/>
            <w:vAlign w:val="bottom"/>
            <w:gridSpan w:val="5"/>
          </w:tcPr>
          <w:p>
            <w:pPr>
              <w:spacing w:after="0"/>
              <w:rPr>
                <w:sz w:val="20"/>
                <w:szCs w:val="20"/>
                <w:color w:val="auto"/>
              </w:rPr>
            </w:pPr>
            <w:r>
              <w:rPr>
                <w:rFonts w:ascii="Arial" w:cs="Arial" w:eastAsia="Arial" w:hAnsi="Arial"/>
                <w:sz w:val="3"/>
                <w:szCs w:val="3"/>
                <w:color w:val="FFFFFF"/>
              </w:rPr>
              <w:t>planning, development and overall operation of information systems and technology servicesInformationWRM. Prior positions held by Mr. Ong include Vice President — Information Technology</w:t>
            </w:r>
          </w:p>
        </w:tc>
        <w:tc>
          <w:tcPr>
            <w:tcW w:w="1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&amp; Chief Information Of? cer and Executive director, Chief Information Of? cer between June 2003 and May 2012. Before joining the Group, Mr. Ong served at Shangri-La Hotels &amp; Resorts where, from August</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2001 until May 2003, he was the Director of Corporate Information Technology and was responsible for the planning and deployment of information technology for the group of 40 hotels and ? ve regional sales</w:t>
            </w:r>
          </w:p>
        </w:tc>
        <w:tc>
          <w:tcPr>
            <w:tcW w:w="0" w:type="dxa"/>
            <w:vAlign w:val="bottom"/>
          </w:tcPr>
          <w:p>
            <w:pPr>
              <w:spacing w:after="0"/>
              <w:rPr>
                <w:sz w:val="1"/>
                <w:szCs w:val="1"/>
                <w:color w:val="auto"/>
              </w:rPr>
            </w:pPr>
          </w:p>
        </w:tc>
      </w:tr>
      <w:tr>
        <w:trPr>
          <w:trHeight w:val="0"/>
        </w:trPr>
        <w:tc>
          <w:tcPr>
            <w:tcW w:w="10160" w:type="dxa"/>
            <w:vAlign w:val="bottom"/>
            <w:gridSpan w:val="5"/>
          </w:tcPr>
          <w:p>
            <w:pPr>
              <w:spacing w:after="0" w:line="80" w:lineRule="exact"/>
              <w:rPr>
                <w:sz w:val="20"/>
                <w:szCs w:val="20"/>
                <w:color w:val="auto"/>
              </w:rPr>
            </w:pPr>
            <w:r>
              <w:rPr>
                <w:rFonts w:ascii="Arial" w:cs="Arial" w:eastAsia="Arial" w:hAnsi="Arial"/>
                <w:sz w:val="9"/>
                <w:szCs w:val="9"/>
                <w:color w:val="FFFFFF"/>
              </w:rPr>
              <w:t>of? ces. Prior to this role, he was Director of Technology Support as well as Systems Support Manager since 1993. Mr. Ong has more than 19 years of experience in the</w:t>
            </w:r>
          </w:p>
        </w:tc>
        <w:tc>
          <w:tcPr>
            <w:tcW w:w="1220" w:type="dxa"/>
            <w:vAlign w:val="bottom"/>
          </w:tcPr>
          <w:p>
            <w:pPr>
              <w:spacing w:after="0" w:line="80" w:lineRule="exact"/>
              <w:rPr>
                <w:sz w:val="20"/>
                <w:szCs w:val="20"/>
                <w:color w:val="auto"/>
              </w:rPr>
            </w:pPr>
            <w:r>
              <w:rPr>
                <w:rFonts w:ascii="Arial" w:cs="Arial" w:eastAsia="Arial" w:hAnsi="Arial"/>
                <w:sz w:val="9"/>
                <w:szCs w:val="9"/>
                <w:color w:val="FFFFFF"/>
              </w:rPr>
              <w:t>industry and extensive</w:t>
            </w:r>
          </w:p>
        </w:tc>
        <w:tc>
          <w:tcPr>
            <w:tcW w:w="0" w:type="dxa"/>
            <w:vAlign w:val="bottom"/>
          </w:tcPr>
          <w:p>
            <w:pPr>
              <w:spacing w:after="0" w:line="20" w:lineRule="exact"/>
              <w:rPr>
                <w:sz w:val="1"/>
                <w:szCs w:val="1"/>
                <w:color w:val="auto"/>
              </w:rPr>
            </w:pPr>
          </w:p>
        </w:tc>
      </w:tr>
    </w:tbl>
    <w:p>
      <w:pPr>
        <w:ind w:right="300"/>
        <w:spacing w:after="0" w:line="187" w:lineRule="auto"/>
        <w:rPr>
          <w:sz w:val="20"/>
          <w:szCs w:val="20"/>
          <w:color w:val="auto"/>
        </w:rPr>
      </w:pPr>
      <w:r>
        <w:rPr>
          <w:rFonts w:ascii="Arial" w:cs="Arial" w:eastAsia="Arial" w:hAnsi="Arial"/>
          <w:sz w:val="9"/>
          <w:szCs w:val="9"/>
          <w:color w:val="FFFFFF"/>
        </w:rPr>
        <w:t>skills in technology consultation and execution, vendor management, operation management and software development. Mr. Ong was educated in Western Australia andhospitality/gamingobtainedBachelor of Engineering Degree in Computer Systems from Curtin University of Technology in 1991.</w:t>
      </w:r>
    </w:p>
    <w:p>
      <w:pPr>
        <w:sectPr>
          <w:pgSz w:w="11900" w:h="16838" w:orient="portrait"/>
          <w:cols w:equalWidth="0" w:num="1">
            <w:col w:w="11380"/>
          </w:cols>
          <w:pgMar w:left="240" w:top="1440" w:right="279"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20"/>
                <w:szCs w:val="20"/>
                <w:color w:val="auto"/>
              </w:rPr>
            </w:pPr>
            <w:r>
              <w:rPr>
                <w:rFonts w:ascii="Arial" w:cs="Arial" w:eastAsia="Arial" w:hAnsi="Arial"/>
                <w:sz w:val="14"/>
                <w:szCs w:val="14"/>
                <w:color w:val="FFFFFF"/>
              </w:rPr>
              <w:t>34 Wynn Macau, Limited</w:t>
            </w:r>
          </w:p>
        </w:tc>
        <w:tc>
          <w:tcPr>
            <w:tcW w:w="3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1"/>
        </w:trPr>
        <w:tc>
          <w:tcPr>
            <w:tcW w:w="4080" w:type="dxa"/>
            <w:vAlign w:val="bottom"/>
          </w:tcPr>
          <w:p>
            <w:pPr>
              <w:spacing w:after="0"/>
              <w:rPr>
                <w:sz w:val="20"/>
                <w:szCs w:val="20"/>
                <w:color w:val="auto"/>
              </w:rPr>
            </w:pPr>
            <w:r>
              <w:rPr>
                <w:rFonts w:ascii="Arial" w:cs="Arial" w:eastAsia="Arial" w:hAnsi="Arial"/>
                <w:sz w:val="3"/>
                <w:szCs w:val="3"/>
                <w:color w:val="FFFFFF"/>
              </w:rPr>
              <w:t>Directors and Senior Management</w:t>
            </w:r>
          </w:p>
        </w:tc>
        <w:tc>
          <w:tcPr>
            <w:tcW w:w="32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Ms. Dianne Fiona Dennehy, aged 57,  the Vice President — Main Floor Gaming of WRM,  position she has held since September 2011. Ms. Dennehy is responsible for the overall operations of WRM’s main</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fl oor table games operation. Prior to this position, she was the Assistant Vice President — Main Floor Gaming from S ptember 2010 to August 2011, and from September 2005 through August 2010 she was the</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Director — Main Floor Gaming. Ms. Dennehy has over 38 years of experience in the casino industry in and has experience in such areas as table games operations, card room operations, cash desk, slots, VIP,</w:t>
            </w:r>
          </w:p>
        </w:tc>
      </w:tr>
      <w:tr>
        <w:trPr>
          <w:trHeight w:val="41"/>
        </w:trPr>
        <w:tc>
          <w:tcPr>
            <w:tcW w:w="9660" w:type="dxa"/>
            <w:vAlign w:val="bottom"/>
            <w:gridSpan w:val="3"/>
          </w:tcPr>
          <w:p>
            <w:pPr>
              <w:spacing w:after="0"/>
              <w:rPr>
                <w:sz w:val="20"/>
                <w:szCs w:val="20"/>
                <w:color w:val="auto"/>
              </w:rPr>
            </w:pPr>
            <w:r>
              <w:rPr>
                <w:rFonts w:ascii="Arial" w:cs="Arial" w:eastAsia="Arial" w:hAnsi="Arial"/>
                <w:sz w:val="3"/>
                <w:szCs w:val="3"/>
                <w:color w:val="FFFFFF"/>
              </w:rPr>
              <w:t>guest relations, human resources and training and development. Prior to joining the Group, Ms. Dennehy was involved in the opening of a number of the casino properties in</w:t>
            </w:r>
          </w:p>
        </w:tc>
        <w:tc>
          <w:tcPr>
            <w:tcW w:w="1740" w:type="dxa"/>
            <w:vAlign w:val="bottom"/>
            <w:gridSpan w:val="2"/>
          </w:tcPr>
          <w:p>
            <w:pPr>
              <w:ind w:left="300"/>
              <w:spacing w:after="0"/>
              <w:rPr>
                <w:sz w:val="20"/>
                <w:szCs w:val="20"/>
                <w:color w:val="auto"/>
              </w:rPr>
            </w:pPr>
            <w:r>
              <w:rPr>
                <w:rFonts w:ascii="Arial" w:cs="Arial" w:eastAsia="Arial" w:hAnsi="Arial"/>
                <w:sz w:val="3"/>
                <w:szCs w:val="3"/>
                <w:color w:val="FFFFFF"/>
              </w:rPr>
              <w:t>and has also opened</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properties in Sri Lanka, Yugoslavia and Egypt. She also has six years of experience in human resources which she gained as the Human Resources Operations Manager at StarAustralia,CitySydney, Australia.</w:t>
            </w:r>
          </w:p>
        </w:tc>
      </w:tr>
      <w:tr>
        <w:trPr>
          <w:trHeight w:val="41"/>
        </w:trPr>
        <w:tc>
          <w:tcPr>
            <w:tcW w:w="4080" w:type="dxa"/>
            <w:vAlign w:val="bottom"/>
          </w:tcPr>
          <w:p>
            <w:pPr>
              <w:spacing w:after="0"/>
              <w:rPr>
                <w:sz w:val="20"/>
                <w:szCs w:val="20"/>
                <w:color w:val="auto"/>
              </w:rPr>
            </w:pPr>
            <w:r>
              <w:rPr>
                <w:rFonts w:ascii="Arial" w:cs="Arial" w:eastAsia="Arial" w:hAnsi="Arial"/>
                <w:sz w:val="3"/>
                <w:szCs w:val="3"/>
                <w:color w:val="FFFFFF"/>
              </w:rPr>
              <w:t>Mr. Dennis Hudson, aged 53, is the Vice President — Wynn Club Gaming,</w:t>
            </w:r>
          </w:p>
        </w:tc>
        <w:tc>
          <w:tcPr>
            <w:tcW w:w="7320" w:type="dxa"/>
            <w:vAlign w:val="bottom"/>
            <w:gridSpan w:val="4"/>
          </w:tcPr>
          <w:p>
            <w:pPr>
              <w:ind w:left="100"/>
              <w:spacing w:after="0"/>
              <w:rPr>
                <w:sz w:val="20"/>
                <w:szCs w:val="20"/>
                <w:color w:val="auto"/>
              </w:rPr>
            </w:pPr>
            <w:r>
              <w:rPr>
                <w:rFonts w:ascii="Arial" w:cs="Arial" w:eastAsia="Arial" w:hAnsi="Arial"/>
                <w:sz w:val="3"/>
                <w:szCs w:val="3"/>
                <w:color w:val="FFFFFF"/>
              </w:rPr>
              <w:t>position he has held since April 2012. Mr. Hudson is responsible for overseeing, managing and leading the operations of all casino</w:t>
            </w:r>
          </w:p>
        </w:tc>
      </w:tr>
      <w:tr>
        <w:trPr>
          <w:trHeight w:val="41"/>
        </w:trPr>
        <w:tc>
          <w:tcPr>
            <w:tcW w:w="4080" w:type="dxa"/>
            <w:vAlign w:val="bottom"/>
          </w:tcPr>
          <w:p>
            <w:pPr>
              <w:spacing w:after="0"/>
              <w:rPr>
                <w:sz w:val="20"/>
                <w:szCs w:val="20"/>
                <w:color w:val="auto"/>
              </w:rPr>
            </w:pPr>
            <w:r>
              <w:rPr>
                <w:rFonts w:ascii="Arial" w:cs="Arial" w:eastAsia="Arial" w:hAnsi="Arial"/>
                <w:sz w:val="3"/>
                <w:szCs w:val="3"/>
                <w:color w:val="FFFFFF"/>
              </w:rPr>
              <w:t>gaming in Wynn Macau’s Wynn Club. Prior to this position, he was  Shift</w:t>
            </w:r>
          </w:p>
        </w:tc>
        <w:tc>
          <w:tcPr>
            <w:tcW w:w="6240" w:type="dxa"/>
            <w:vAlign w:val="bottom"/>
            <w:gridSpan w:val="3"/>
          </w:tcPr>
          <w:p>
            <w:pPr>
              <w:spacing w:after="0"/>
              <w:rPr>
                <w:sz w:val="20"/>
                <w:szCs w:val="20"/>
                <w:color w:val="auto"/>
              </w:rPr>
            </w:pPr>
            <w:r>
              <w:rPr>
                <w:rFonts w:ascii="Arial" w:cs="Arial" w:eastAsia="Arial" w:hAnsi="Arial"/>
                <w:sz w:val="3"/>
                <w:szCs w:val="3"/>
                <w:color w:val="FFFFFF"/>
              </w:rPr>
              <w:t>Manager — Wynn Club from joining WRM   April 2006 through March 2012. Mr. Hudson started his gaming</w:t>
            </w:r>
          </w:p>
        </w:tc>
        <w:tc>
          <w:tcPr>
            <w:tcW w:w="1080" w:type="dxa"/>
            <w:vAlign w:val="bottom"/>
          </w:tcPr>
          <w:p>
            <w:pPr>
              <w:ind w:left="200"/>
              <w:spacing w:after="0"/>
              <w:rPr>
                <w:sz w:val="20"/>
                <w:szCs w:val="20"/>
                <w:color w:val="auto"/>
              </w:rPr>
            </w:pPr>
            <w:r>
              <w:rPr>
                <w:rFonts w:ascii="Arial" w:cs="Arial" w:eastAsia="Arial" w:hAnsi="Arial"/>
                <w:sz w:val="3"/>
                <w:szCs w:val="3"/>
                <w:color w:val="FFFFFF"/>
              </w:rPr>
              <w:t>at the Playboy</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Victoria Sporting Club on Edgeware road London in 1979, and has amassed over 33 years of experience in the casino industry including senior management positions. Among others, he wascareerCasino Manager</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for Star Cruises, where he was responsible for shipboard casino operations on cruises throughout Asia from 2000 to April 2006 and he was the Director of Gaming for VIP Clubs in the Czech Republic from</w:t>
            </w:r>
          </w:p>
        </w:tc>
      </w:tr>
      <w:tr>
        <w:trPr>
          <w:trHeight w:val="41"/>
        </w:trPr>
        <w:tc>
          <w:tcPr>
            <w:tcW w:w="4080" w:type="dxa"/>
            <w:vAlign w:val="bottom"/>
          </w:tcPr>
          <w:p>
            <w:pPr>
              <w:spacing w:after="0"/>
              <w:rPr>
                <w:sz w:val="20"/>
                <w:szCs w:val="20"/>
                <w:color w:val="auto"/>
              </w:rPr>
            </w:pPr>
            <w:r>
              <w:rPr>
                <w:rFonts w:ascii="Arial" w:cs="Arial" w:eastAsia="Arial" w:hAnsi="Arial"/>
                <w:sz w:val="3"/>
                <w:szCs w:val="3"/>
                <w:color w:val="FFFFFF"/>
              </w:rPr>
              <w:t>1995 to 2000.</w:t>
            </w:r>
          </w:p>
        </w:tc>
        <w:tc>
          <w:tcPr>
            <w:tcW w:w="32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Ms. Mo Yin Mok, aged 51, is the Vice President — Human Resources of WRM, a position she has held since June 2008. Ms. Mok has an extensive 20-year background in hospitality and human resources,</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primarily in the luxury hotel sector at The Regent Four Seasons Hong Kong and The Peninsula Hong Kong. Prior to joining the Group, she led The Peninsula Group’s worldwide human resources team and, in</w:t>
            </w:r>
          </w:p>
        </w:tc>
      </w:tr>
      <w:tr>
        <w:trPr>
          <w:trHeight w:val="41"/>
        </w:trPr>
        <w:tc>
          <w:tcPr>
            <w:tcW w:w="11400" w:type="dxa"/>
            <w:vAlign w:val="bottom"/>
            <w:gridSpan w:val="5"/>
          </w:tcPr>
          <w:p>
            <w:pPr>
              <w:ind w:left="80"/>
              <w:spacing w:after="0"/>
              <w:rPr>
                <w:sz w:val="20"/>
                <w:szCs w:val="20"/>
                <w:color w:val="auto"/>
              </w:rPr>
            </w:pPr>
            <w:r>
              <w:rPr>
                <w:rFonts w:ascii="Arial" w:cs="Arial" w:eastAsia="Arial" w:hAnsi="Arial"/>
                <w:sz w:val="3"/>
                <w:szCs w:val="3"/>
                <w:color w:val="FFFFFF"/>
              </w:rPr>
              <w:t>er position, supported eight Peninsula hotels with more than 5,000 staff, and orchestrated human resources activities for the opening of The Peninsula Tokyo. Ms. Mok also served at the front lines of the</w:t>
            </w: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hospitality industry as the Director of Rooms Division at The Peninsula Hong Kong with responsibility for front offi ce, housekeeping, security and spa departments. Ms. Mok currently serves on the Future</w:t>
            </w:r>
          </w:p>
        </w:tc>
      </w:tr>
      <w:tr>
        <w:trPr>
          <w:trHeight w:val="0"/>
        </w:trPr>
        <w:tc>
          <w:tcPr>
            <w:tcW w:w="7280" w:type="dxa"/>
            <w:vAlign w:val="bottom"/>
            <w:gridSpan w:val="2"/>
          </w:tcPr>
          <w:p>
            <w:pPr>
              <w:spacing w:after="0" w:line="80" w:lineRule="exact"/>
              <w:rPr>
                <w:sz w:val="20"/>
                <w:szCs w:val="20"/>
                <w:color w:val="auto"/>
              </w:rPr>
            </w:pPr>
            <w:r>
              <w:rPr>
                <w:rFonts w:ascii="Arial" w:cs="Arial" w:eastAsia="Arial" w:hAnsi="Arial"/>
                <w:sz w:val="9"/>
                <w:szCs w:val="9"/>
                <w:color w:val="FFFFFF"/>
              </w:rPr>
              <w:t>Students and Placement Advisory Committee of the University of Macau and is  panel member of the Hong Kong Council for</w:t>
            </w:r>
          </w:p>
        </w:tc>
        <w:tc>
          <w:tcPr>
            <w:tcW w:w="4120" w:type="dxa"/>
            <w:vAlign w:val="bottom"/>
            <w:gridSpan w:val="3"/>
          </w:tcPr>
          <w:p>
            <w:pPr>
              <w:ind w:left="400"/>
              <w:spacing w:after="0" w:line="80" w:lineRule="exact"/>
              <w:rPr>
                <w:sz w:val="20"/>
                <w:szCs w:val="20"/>
                <w:color w:val="auto"/>
              </w:rPr>
            </w:pPr>
            <w:r>
              <w:rPr>
                <w:rFonts w:ascii="Arial" w:cs="Arial" w:eastAsia="Arial" w:hAnsi="Arial"/>
                <w:sz w:val="9"/>
                <w:szCs w:val="9"/>
                <w:color w:val="FFFFFF"/>
              </w:rPr>
              <w:t>of Academic and Vocational Quali? cations.Ms. Mok holds</w:t>
            </w:r>
          </w:p>
        </w:tc>
      </w:tr>
    </w:tbl>
    <w:p>
      <w:pPr>
        <w:ind w:right="200"/>
        <w:spacing w:after="0"/>
        <w:rPr>
          <w:sz w:val="20"/>
          <w:szCs w:val="20"/>
          <w:color w:val="auto"/>
        </w:rPr>
      </w:pPr>
      <w:r>
        <w:rPr>
          <w:rFonts w:ascii="Arial" w:cs="Arial" w:eastAsia="Arial" w:hAnsi="Arial"/>
          <w:sz w:val="9"/>
          <w:szCs w:val="9"/>
          <w:color w:val="FFFFFF"/>
        </w:rPr>
        <w:t>Bachelor of Science Degree in Hospitality Management from Florida International University in the United States, where she receivedAccreditationRotary International Ambassadorial Scholarship. She also obtained an MBA from the Chinese University of Hong Kong.</w:t>
      </w:r>
    </w:p>
    <w:p>
      <w:pPr>
        <w:sectPr>
          <w:pgSz w:w="11900" w:h="16838" w:orient="portrait"/>
          <w:cols w:equalWidth="0" w:num="1">
            <w:col w:w="11400"/>
          </w:cols>
          <w:pgMar w:left="240" w:top="1440" w:right="259" w:bottom="1440" w:gutter="0" w:footer="0" w:header="0"/>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20"/>
                <w:szCs w:val="20"/>
                <w:color w:val="auto"/>
              </w:rPr>
            </w:pPr>
            <w:r>
              <w:rPr>
                <w:rFonts w:ascii="Arial" w:cs="Arial" w:eastAsia="Arial" w:hAnsi="Arial"/>
                <w:sz w:val="14"/>
                <w:szCs w:val="14"/>
                <w:color w:val="FFFFFF"/>
              </w:rPr>
              <w:t>Annual Report 2012 35</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26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2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8"/>
          </w:tcPr>
          <w:p>
            <w:pPr>
              <w:spacing w:after="0"/>
              <w:rPr>
                <w:sz w:val="20"/>
                <w:szCs w:val="20"/>
                <w:color w:val="auto"/>
              </w:rPr>
            </w:pPr>
            <w:r>
              <w:rPr>
                <w:rFonts w:ascii="Arial" w:cs="Arial" w:eastAsia="Arial" w:hAnsi="Arial"/>
                <w:sz w:val="3"/>
                <w:szCs w:val="3"/>
                <w:color w:val="FFFFFF"/>
              </w:rPr>
              <w:t>Mr. Craig Arthur Raymond Mitchell, aged 51, is the Assistant Vice President — Slot Operations of WRM, a position he has held since June 2011. Mr. Mitchell is responsible for providing leadership and</w:t>
            </w:r>
          </w:p>
        </w:tc>
        <w:tc>
          <w:tcPr>
            <w:tcW w:w="0" w:type="dxa"/>
            <w:vAlign w:val="bottom"/>
          </w:tcPr>
          <w:p>
            <w:pPr>
              <w:spacing w:after="0"/>
              <w:rPr>
                <w:sz w:val="1"/>
                <w:szCs w:val="1"/>
                <w:color w:val="auto"/>
              </w:rPr>
            </w:pPr>
          </w:p>
        </w:tc>
      </w:tr>
      <w:tr>
        <w:trPr>
          <w:trHeight w:val="41"/>
        </w:trPr>
        <w:tc>
          <w:tcPr>
            <w:tcW w:w="10040" w:type="dxa"/>
            <w:vAlign w:val="bottom"/>
            <w:gridSpan w:val="7"/>
          </w:tcPr>
          <w:p>
            <w:pPr>
              <w:spacing w:after="0"/>
              <w:rPr>
                <w:sz w:val="20"/>
                <w:szCs w:val="20"/>
                <w:color w:val="auto"/>
              </w:rPr>
            </w:pPr>
            <w:r>
              <w:rPr>
                <w:rFonts w:ascii="Arial" w:cs="Arial" w:eastAsia="Arial" w:hAnsi="Arial"/>
                <w:sz w:val="3"/>
                <w:szCs w:val="3"/>
                <w:color w:val="FFFFFF"/>
              </w:rPr>
              <w:t>guidance to the slot department management team and staff. This includes establishing the operational structure, instituting departmental policies and procedures, developing slot</w:t>
            </w:r>
          </w:p>
        </w:tc>
        <w:tc>
          <w:tcPr>
            <w:tcW w:w="1240" w:type="dxa"/>
            <w:vAlign w:val="bottom"/>
          </w:tcPr>
          <w:p>
            <w:pPr>
              <w:ind w:left="420"/>
              <w:spacing w:after="0"/>
              <w:rPr>
                <w:sz w:val="20"/>
                <w:szCs w:val="20"/>
                <w:color w:val="auto"/>
              </w:rPr>
            </w:pPr>
            <w:r>
              <w:rPr>
                <w:rFonts w:ascii="Arial" w:cs="Arial" w:eastAsia="Arial" w:hAnsi="Arial"/>
                <w:sz w:val="3"/>
                <w:szCs w:val="3"/>
                <w:color w:val="FFFFFF"/>
              </w:rPr>
              <w:t>strategies, and</w:t>
            </w:r>
          </w:p>
        </w:tc>
        <w:tc>
          <w:tcPr>
            <w:tcW w:w="0" w:type="dxa"/>
            <w:vAlign w:val="bottom"/>
          </w:tcPr>
          <w:p>
            <w:pPr>
              <w:spacing w:after="0"/>
              <w:rPr>
                <w:sz w:val="1"/>
                <w:szCs w:val="1"/>
                <w:color w:val="auto"/>
              </w:rPr>
            </w:pPr>
          </w:p>
        </w:tc>
      </w:tr>
      <w:tr>
        <w:trPr>
          <w:trHeight w:val="41"/>
        </w:trPr>
        <w:tc>
          <w:tcPr>
            <w:tcW w:w="11280" w:type="dxa"/>
            <w:vAlign w:val="bottom"/>
            <w:gridSpan w:val="8"/>
          </w:tcPr>
          <w:p>
            <w:pPr>
              <w:spacing w:after="0"/>
              <w:rPr>
                <w:sz w:val="20"/>
                <w:szCs w:val="20"/>
                <w:color w:val="auto"/>
              </w:rPr>
            </w:pPr>
            <w:r>
              <w:rPr>
                <w:rFonts w:ascii="Arial" w:cs="Arial" w:eastAsia="Arial" w:hAnsi="Arial"/>
                <w:sz w:val="3"/>
                <w:szCs w:val="3"/>
                <w:color w:val="FFFFFF"/>
              </w:rPr>
              <w:t>projecting and evaluating the revenues and expenses of the department. Prior to this position, Mr. Mitchell was the Director — Slot Operations between June 2008 and May 2011 merchandisingShiftManager of Slots</w:t>
            </w:r>
          </w:p>
        </w:tc>
        <w:tc>
          <w:tcPr>
            <w:tcW w:w="0" w:type="dxa"/>
            <w:vAlign w:val="bottom"/>
          </w:tcPr>
          <w:p>
            <w:pPr>
              <w:spacing w:after="0"/>
              <w:rPr>
                <w:sz w:val="1"/>
                <w:szCs w:val="1"/>
                <w:color w:val="auto"/>
              </w:rPr>
            </w:pPr>
          </w:p>
        </w:tc>
      </w:tr>
      <w:tr>
        <w:trPr>
          <w:trHeight w:val="41"/>
        </w:trPr>
        <w:tc>
          <w:tcPr>
            <w:tcW w:w="5520" w:type="dxa"/>
            <w:vAlign w:val="bottom"/>
            <w:gridSpan w:val="5"/>
          </w:tcPr>
          <w:p>
            <w:pPr>
              <w:spacing w:after="0"/>
              <w:rPr>
                <w:sz w:val="20"/>
                <w:szCs w:val="20"/>
                <w:color w:val="auto"/>
              </w:rPr>
            </w:pPr>
            <w:r>
              <w:rPr>
                <w:rFonts w:ascii="Arial" w:cs="Arial" w:eastAsia="Arial" w:hAnsi="Arial"/>
                <w:sz w:val="3"/>
                <w:szCs w:val="3"/>
                <w:color w:val="FFFFFF"/>
              </w:rPr>
              <w:t>between June 2006 and May 2008. Mr. Mitchell has held management roles in various hospitality-</w:t>
            </w:r>
          </w:p>
        </w:tc>
        <w:tc>
          <w:tcPr>
            <w:tcW w:w="5760" w:type="dxa"/>
            <w:vAlign w:val="bottom"/>
            <w:gridSpan w:val="3"/>
          </w:tcPr>
          <w:p>
            <w:pPr>
              <w:ind w:left="200"/>
              <w:spacing w:after="0"/>
              <w:rPr>
                <w:sz w:val="20"/>
                <w:szCs w:val="20"/>
                <w:color w:val="auto"/>
              </w:rPr>
            </w:pPr>
            <w:r>
              <w:rPr>
                <w:rFonts w:ascii="Arial" w:cs="Arial" w:eastAsia="Arial" w:hAnsi="Arial"/>
                <w:sz w:val="3"/>
                <w:szCs w:val="3"/>
                <w:color w:val="FFFFFF"/>
              </w:rPr>
              <w:t>businesses prior to joining the Group including Gaming Manager at a Rugby Super League Club in</w:t>
            </w:r>
          </w:p>
        </w:tc>
        <w:tc>
          <w:tcPr>
            <w:tcW w:w="0" w:type="dxa"/>
            <w:vAlign w:val="bottom"/>
          </w:tcPr>
          <w:p>
            <w:pPr>
              <w:spacing w:after="0"/>
              <w:rPr>
                <w:sz w:val="1"/>
                <w:szCs w:val="1"/>
                <w:color w:val="auto"/>
              </w:rPr>
            </w:pPr>
          </w:p>
        </w:tc>
      </w:tr>
      <w:tr>
        <w:trPr>
          <w:trHeight w:val="41"/>
        </w:trPr>
        <w:tc>
          <w:tcPr>
            <w:tcW w:w="11280" w:type="dxa"/>
            <w:vAlign w:val="bottom"/>
            <w:gridSpan w:val="8"/>
          </w:tcPr>
          <w:p>
            <w:pPr>
              <w:spacing w:after="0"/>
              <w:rPr>
                <w:sz w:val="20"/>
                <w:szCs w:val="20"/>
                <w:color w:val="auto"/>
              </w:rPr>
            </w:pPr>
            <w:r>
              <w:rPr>
                <w:rFonts w:ascii="Arial" w:cs="Arial" w:eastAsia="Arial" w:hAnsi="Arial"/>
                <w:sz w:val="3"/>
                <w:szCs w:val="3"/>
                <w:color w:val="FFFFFF"/>
              </w:rPr>
              <w:t>Sydney which had 300 slot machines. From 1989, he was Operations Manager and Duty Manager relatedBalmain Leagues Club (Tigers), Australia. Mr. Mitchell has attended the Gaming Executive Development</w:t>
            </w:r>
          </w:p>
        </w:tc>
        <w:tc>
          <w:tcPr>
            <w:tcW w:w="0" w:type="dxa"/>
            <w:vAlign w:val="bottom"/>
          </w:tcPr>
          <w:p>
            <w:pPr>
              <w:spacing w:after="0"/>
              <w:rPr>
                <w:sz w:val="1"/>
                <w:szCs w:val="1"/>
                <w:color w:val="auto"/>
              </w:rPr>
            </w:pPr>
          </w:p>
        </w:tc>
      </w:tr>
      <w:tr>
        <w:trPr>
          <w:trHeight w:val="41"/>
        </w:trPr>
        <w:tc>
          <w:tcPr>
            <w:tcW w:w="4460" w:type="dxa"/>
            <w:vAlign w:val="bottom"/>
            <w:gridSpan w:val="4"/>
          </w:tcPr>
          <w:p>
            <w:pPr>
              <w:spacing w:after="0"/>
              <w:rPr>
                <w:sz w:val="20"/>
                <w:szCs w:val="20"/>
                <w:color w:val="auto"/>
              </w:rPr>
            </w:pPr>
            <w:r>
              <w:rPr>
                <w:rFonts w:ascii="Arial" w:cs="Arial" w:eastAsia="Arial" w:hAnsi="Arial"/>
                <w:sz w:val="3"/>
                <w:szCs w:val="3"/>
                <w:color w:val="FFFFFF"/>
              </w:rPr>
              <w:t>Program at the University of Nevada, United States.</w:t>
            </w:r>
          </w:p>
        </w:tc>
        <w:tc>
          <w:tcPr>
            <w:tcW w:w="106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8"/>
          </w:tcPr>
          <w:p>
            <w:pPr>
              <w:spacing w:after="0"/>
              <w:rPr>
                <w:sz w:val="20"/>
                <w:szCs w:val="20"/>
                <w:color w:val="auto"/>
              </w:rPr>
            </w:pPr>
            <w:r>
              <w:rPr>
                <w:rFonts w:ascii="Arial" w:cs="Arial" w:eastAsia="Arial" w:hAnsi="Arial"/>
                <w:sz w:val="3"/>
                <w:szCs w:val="3"/>
                <w:color w:val="FFFFFF"/>
              </w:rPr>
              <w:t>Mr. Daniel Gordon Lawley, aged 51, is the Executive Director — Security &amp; Corporate Investigations of WRM, a position which he has fi lled since June 2012. Mr. Lawley is responsible for all aspects of</w:t>
            </w:r>
          </w:p>
        </w:tc>
        <w:tc>
          <w:tcPr>
            <w:tcW w:w="0" w:type="dxa"/>
            <w:vAlign w:val="bottom"/>
          </w:tcPr>
          <w:p>
            <w:pPr>
              <w:spacing w:after="0"/>
              <w:rPr>
                <w:sz w:val="1"/>
                <w:szCs w:val="1"/>
                <w:color w:val="auto"/>
              </w:rPr>
            </w:pPr>
          </w:p>
        </w:tc>
      </w:tr>
      <w:tr>
        <w:trPr>
          <w:trHeight w:val="41"/>
        </w:trPr>
        <w:tc>
          <w:tcPr>
            <w:tcW w:w="8840" w:type="dxa"/>
            <w:vAlign w:val="bottom"/>
            <w:gridSpan w:val="6"/>
          </w:tcPr>
          <w:p>
            <w:pPr>
              <w:spacing w:after="0"/>
              <w:rPr>
                <w:sz w:val="20"/>
                <w:szCs w:val="20"/>
                <w:color w:val="auto"/>
              </w:rPr>
            </w:pPr>
            <w:r>
              <w:rPr>
                <w:rFonts w:ascii="Arial" w:cs="Arial" w:eastAsia="Arial" w:hAnsi="Arial"/>
                <w:sz w:val="3"/>
                <w:szCs w:val="3"/>
                <w:color w:val="FFFFFF"/>
              </w:rPr>
              <w:t>WRM’s security and corporate investigations. Prior to joining the fi rm, Mr. Lawley served for 23 years as a Superintendent in the Hong Kong Police Force,</w:t>
            </w:r>
          </w:p>
        </w:tc>
        <w:tc>
          <w:tcPr>
            <w:tcW w:w="2440" w:type="dxa"/>
            <w:vAlign w:val="bottom"/>
            <w:gridSpan w:val="2"/>
          </w:tcPr>
          <w:p>
            <w:pPr>
              <w:ind w:left="380"/>
              <w:spacing w:after="0"/>
              <w:rPr>
                <w:sz w:val="20"/>
                <w:szCs w:val="20"/>
                <w:color w:val="auto"/>
              </w:rPr>
            </w:pPr>
            <w:r>
              <w:rPr>
                <w:rFonts w:ascii="Arial" w:cs="Arial" w:eastAsia="Arial" w:hAnsi="Arial"/>
                <w:sz w:val="3"/>
                <w:szCs w:val="3"/>
                <w:color w:val="FFFFFF"/>
              </w:rPr>
              <w:t>several police stations, covering</w:t>
            </w:r>
          </w:p>
        </w:tc>
        <w:tc>
          <w:tcPr>
            <w:tcW w:w="0" w:type="dxa"/>
            <w:vAlign w:val="bottom"/>
          </w:tcPr>
          <w:p>
            <w:pPr>
              <w:spacing w:after="0"/>
              <w:rPr>
                <w:sz w:val="1"/>
                <w:szCs w:val="1"/>
                <w:color w:val="auto"/>
              </w:rPr>
            </w:pPr>
          </w:p>
        </w:tc>
      </w:tr>
      <w:tr>
        <w:trPr>
          <w:trHeight w:val="41"/>
        </w:trPr>
        <w:tc>
          <w:tcPr>
            <w:tcW w:w="11280" w:type="dxa"/>
            <w:vAlign w:val="bottom"/>
            <w:gridSpan w:val="8"/>
          </w:tcPr>
          <w:p>
            <w:pPr>
              <w:spacing w:after="0"/>
              <w:rPr>
                <w:sz w:val="20"/>
                <w:szCs w:val="20"/>
                <w:color w:val="auto"/>
              </w:rPr>
            </w:pPr>
            <w:r>
              <w:rPr>
                <w:rFonts w:ascii="Arial" w:cs="Arial" w:eastAsia="Arial" w:hAnsi="Arial"/>
                <w:sz w:val="3"/>
                <w:szCs w:val="3"/>
                <w:color w:val="FFFFFF"/>
              </w:rPr>
              <w:t>criminal investigations and operational deployment, until his resignation in 2008. He then spent 4 years in the corporate sector, working with Hill and AssociatescommandingChina, and then as a Vice President with</w:t>
            </w:r>
          </w:p>
        </w:tc>
        <w:tc>
          <w:tcPr>
            <w:tcW w:w="0" w:type="dxa"/>
            <w:vAlign w:val="bottom"/>
          </w:tcPr>
          <w:p>
            <w:pPr>
              <w:spacing w:after="0"/>
              <w:rPr>
                <w:sz w:val="1"/>
                <w:szCs w:val="1"/>
                <w:color w:val="auto"/>
              </w:rPr>
            </w:pPr>
          </w:p>
        </w:tc>
      </w:tr>
      <w:tr>
        <w:trPr>
          <w:trHeight w:val="41"/>
        </w:trPr>
        <w:tc>
          <w:tcPr>
            <w:tcW w:w="1640" w:type="dxa"/>
            <w:vAlign w:val="bottom"/>
          </w:tcPr>
          <w:p>
            <w:pPr>
              <w:spacing w:after="0"/>
              <w:rPr>
                <w:sz w:val="20"/>
                <w:szCs w:val="20"/>
                <w:color w:val="auto"/>
              </w:rPr>
            </w:pPr>
            <w:r>
              <w:rPr>
                <w:rFonts w:ascii="Arial" w:cs="Arial" w:eastAsia="Arial" w:hAnsi="Arial"/>
                <w:sz w:val="3"/>
                <w:szCs w:val="3"/>
                <w:color w:val="FFFFFF"/>
              </w:rPr>
              <w:t>JPMorgan Chase &amp; Co. in the</w:t>
            </w:r>
          </w:p>
        </w:tc>
        <w:tc>
          <w:tcPr>
            <w:tcW w:w="620" w:type="dxa"/>
            <w:vAlign w:val="bottom"/>
            <w:vMerge w:val="restart"/>
          </w:tcPr>
          <w:p>
            <w:pPr>
              <w:ind w:left="20"/>
              <w:spacing w:after="0" w:line="81" w:lineRule="exact"/>
              <w:rPr>
                <w:sz w:val="20"/>
                <w:szCs w:val="20"/>
                <w:color w:val="auto"/>
              </w:rPr>
            </w:pPr>
            <w:r>
              <w:rPr>
                <w:rFonts w:ascii="Arial" w:cs="Arial" w:eastAsia="Arial" w:hAnsi="Arial"/>
                <w:sz w:val="9"/>
                <w:szCs w:val="9"/>
                <w:color w:val="FFFFFF"/>
                <w:w w:val="82"/>
              </w:rPr>
              <w:t>Philippinescourse</w:t>
            </w:r>
          </w:p>
        </w:tc>
        <w:tc>
          <w:tcPr>
            <w:tcW w:w="2200" w:type="dxa"/>
            <w:vAlign w:val="bottom"/>
            <w:gridSpan w:val="2"/>
          </w:tcPr>
          <w:p>
            <w:pPr>
              <w:spacing w:after="0"/>
              <w:rPr>
                <w:sz w:val="20"/>
                <w:szCs w:val="20"/>
                <w:color w:val="auto"/>
              </w:rPr>
            </w:pPr>
            <w:r>
              <w:rPr>
                <w:rFonts w:ascii="Arial" w:cs="Arial" w:eastAsia="Arial" w:hAnsi="Arial"/>
                <w:sz w:val="3"/>
                <w:szCs w:val="3"/>
                <w:color w:val="FFFFFF"/>
              </w:rPr>
              <w:t>. Mr. Lawley has professional quali?</w:t>
            </w:r>
          </w:p>
        </w:tc>
        <w:tc>
          <w:tcPr>
            <w:tcW w:w="6820" w:type="dxa"/>
            <w:vAlign w:val="bottom"/>
            <w:gridSpan w:val="4"/>
          </w:tcPr>
          <w:p>
            <w:pPr>
              <w:ind w:left="220"/>
              <w:spacing w:after="0"/>
              <w:rPr>
                <w:sz w:val="20"/>
                <w:szCs w:val="20"/>
                <w:color w:val="auto"/>
              </w:rPr>
            </w:pPr>
            <w:r>
              <w:rPr>
                <w:rFonts w:ascii="Arial" w:cs="Arial" w:eastAsia="Arial" w:hAnsi="Arial"/>
                <w:sz w:val="3"/>
                <w:szCs w:val="3"/>
                <w:color w:val="FFFFFF"/>
              </w:rPr>
              <w:t>which cover executive protection, ? rearms instruction and counter terrorism tactics. He completed the Bramshill National</w:t>
            </w:r>
          </w:p>
        </w:tc>
        <w:tc>
          <w:tcPr>
            <w:tcW w:w="0" w:type="dxa"/>
            <w:vAlign w:val="bottom"/>
          </w:tcPr>
          <w:p>
            <w:pPr>
              <w:spacing w:after="0"/>
              <w:rPr>
                <w:sz w:val="1"/>
                <w:szCs w:val="1"/>
                <w:color w:val="auto"/>
              </w:rPr>
            </w:pPr>
          </w:p>
        </w:tc>
      </w:tr>
      <w:tr>
        <w:trPr>
          <w:trHeight w:val="41"/>
        </w:trPr>
        <w:tc>
          <w:tcPr>
            <w:tcW w:w="1640" w:type="dxa"/>
            <w:vAlign w:val="bottom"/>
          </w:tcPr>
          <w:p>
            <w:pPr>
              <w:spacing w:after="0"/>
              <w:rPr>
                <w:sz w:val="20"/>
                <w:szCs w:val="20"/>
                <w:color w:val="auto"/>
              </w:rPr>
            </w:pPr>
            <w:r>
              <w:rPr>
                <w:rFonts w:ascii="Arial" w:cs="Arial" w:eastAsia="Arial" w:hAnsi="Arial"/>
                <w:sz w:val="3"/>
                <w:szCs w:val="3"/>
                <w:color w:val="FFFFFF"/>
              </w:rPr>
              <w:t>Police College senior</w:t>
            </w:r>
          </w:p>
        </w:tc>
        <w:tc>
          <w:tcPr>
            <w:tcW w:w="620" w:type="dxa"/>
            <w:vAlign w:val="bottom"/>
            <w:vMerge w:val="continue"/>
          </w:tcPr>
          <w:p>
            <w:pPr>
              <w:spacing w:after="0"/>
              <w:rPr>
                <w:sz w:val="3"/>
                <w:szCs w:val="3"/>
                <w:color w:val="auto"/>
              </w:rPr>
            </w:pPr>
          </w:p>
        </w:tc>
        <w:tc>
          <w:tcPr>
            <w:tcW w:w="9020" w:type="dxa"/>
            <w:vAlign w:val="bottom"/>
            <w:gridSpan w:val="6"/>
          </w:tcPr>
          <w:p>
            <w:pPr>
              <w:ind w:left="20"/>
              <w:spacing w:after="0"/>
              <w:rPr>
                <w:sz w:val="20"/>
                <w:szCs w:val="20"/>
                <w:color w:val="auto"/>
              </w:rPr>
            </w:pPr>
            <w:r>
              <w:rPr>
                <w:rFonts w:ascii="Arial" w:cs="Arial" w:eastAsia="Arial" w:hAnsi="Arial"/>
                <w:sz w:val="3"/>
                <w:szCs w:val="3"/>
                <w:color w:val="FFFFFF"/>
              </w:rPr>
              <w:t>the United Kingdom in 2006. He is alsocationsfounding member and ambassador of Operation Breakthrough, a Hong Kong based registered charity which assists young</w:t>
            </w:r>
          </w:p>
        </w:tc>
        <w:tc>
          <w:tcPr>
            <w:tcW w:w="0" w:type="dxa"/>
            <w:vAlign w:val="bottom"/>
          </w:tcPr>
          <w:p>
            <w:pPr>
              <w:spacing w:after="0"/>
              <w:rPr>
                <w:sz w:val="1"/>
                <w:szCs w:val="1"/>
                <w:color w:val="auto"/>
              </w:rPr>
            </w:pPr>
          </w:p>
        </w:tc>
      </w:tr>
      <w:tr>
        <w:trPr>
          <w:trHeight w:val="0"/>
        </w:trPr>
        <w:tc>
          <w:tcPr>
            <w:tcW w:w="2460" w:type="dxa"/>
            <w:vAlign w:val="bottom"/>
            <w:gridSpan w:val="3"/>
          </w:tcPr>
          <w:p>
            <w:pPr>
              <w:spacing w:after="0" w:line="80" w:lineRule="exact"/>
              <w:rPr>
                <w:sz w:val="20"/>
                <w:szCs w:val="20"/>
                <w:color w:val="auto"/>
              </w:rPr>
            </w:pPr>
            <w:r>
              <w:rPr>
                <w:rFonts w:ascii="Arial" w:cs="Arial" w:eastAsia="Arial" w:hAnsi="Arial"/>
                <w:sz w:val="9"/>
                <w:szCs w:val="9"/>
                <w:color w:val="FFFFFF"/>
              </w:rPr>
              <w:t>offenders to turn fromcommandlifecrime through</w:t>
            </w:r>
          </w:p>
        </w:tc>
        <w:tc>
          <w:tcPr>
            <w:tcW w:w="2000" w:type="dxa"/>
            <w:vAlign w:val="bottom"/>
          </w:tcPr>
          <w:p>
            <w:pPr>
              <w:ind w:left="160"/>
              <w:spacing w:after="0" w:line="80" w:lineRule="exact"/>
              <w:rPr>
                <w:sz w:val="20"/>
                <w:szCs w:val="20"/>
                <w:color w:val="auto"/>
              </w:rPr>
            </w:pPr>
            <w:r>
              <w:rPr>
                <w:rFonts w:ascii="Arial" w:cs="Arial" w:eastAsia="Arial" w:hAnsi="Arial"/>
                <w:sz w:val="9"/>
                <w:szCs w:val="9"/>
                <w:color w:val="FFFFFF"/>
              </w:rPr>
              <w:t>participation in sport.</w:t>
            </w:r>
          </w:p>
        </w:tc>
        <w:tc>
          <w:tcPr>
            <w:tcW w:w="10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spacing w:after="0" w:line="187" w:lineRule="auto"/>
        <w:rPr>
          <w:sz w:val="20"/>
          <w:szCs w:val="20"/>
          <w:color w:val="auto"/>
        </w:rPr>
      </w:pPr>
      <w:r>
        <w:rPr>
          <w:rFonts w:ascii="Arial" w:cs="Arial" w:eastAsia="Arial" w:hAnsi="Arial"/>
          <w:sz w:val="9"/>
          <w:szCs w:val="9"/>
          <w:color w:val="FFFFFF"/>
        </w:rPr>
        <w:t>Mr. Michael Derrington Harvey, aged 63, istheir President — Wynn Design &amp; Development Asia, a division of WRM, a position he has held since joining the Group in April 2011. Mr. Harvey has over 35 years experience in construction management and development overseeing projects around the world. From 2004 until joining the Group, he was the Project Director for Leighton China State Joint venture overseeing the construction and development of Wynn Macau. Prior to that, Mr. Harvey spent 10 years as an Operations Manager in Hong Kong with Leighton Contractors managing various construction projects including a hospital, the maritime museum and a number of large infrastructure projects.</w:t>
      </w:r>
    </w:p>
    <w:p>
      <w:pPr>
        <w:sectPr>
          <w:pgSz w:w="11900" w:h="16838" w:orient="portrait"/>
          <w:cols w:equalWidth="0" w:num="1">
            <w:col w:w="11360"/>
          </w:cols>
          <w:pgMar w:left="240" w:top="1440" w:right="299" w:bottom="1440" w:gutter="0" w:footer="0" w:header="0"/>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20"/>
                <w:szCs w:val="20"/>
                <w:color w:val="auto"/>
              </w:rPr>
            </w:pPr>
            <w:r>
              <w:rPr>
                <w:rFonts w:ascii="Arial" w:cs="Arial" w:eastAsia="Arial" w:hAnsi="Arial"/>
                <w:sz w:val="14"/>
                <w:szCs w:val="14"/>
                <w:color w:val="FFFFFF"/>
              </w:rPr>
              <w:t>36 Wynn Macau, Limited</w:t>
            </w:r>
          </w:p>
        </w:tc>
        <w:tc>
          <w:tcPr>
            <w:tcW w:w="5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0" w:type="dxa"/>
            <w:vAlign w:val="bottom"/>
            <w:gridSpan w:val="2"/>
          </w:tcPr>
          <w:p>
            <w:pPr>
              <w:spacing w:after="0"/>
              <w:rPr>
                <w:sz w:val="20"/>
                <w:szCs w:val="20"/>
                <w:color w:val="auto"/>
              </w:rPr>
            </w:pPr>
            <w:r>
              <w:rPr>
                <w:rFonts w:ascii="Arial" w:cs="Arial" w:eastAsia="Arial" w:hAnsi="Arial"/>
                <w:sz w:val="3"/>
                <w:szCs w:val="3"/>
                <w:color w:val="FFFFFF"/>
              </w:rPr>
              <w:t>Directors and Senior Management</w:t>
            </w:r>
          </w:p>
        </w:tc>
        <w:tc>
          <w:tcPr>
            <w:tcW w:w="4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000" w:type="dxa"/>
            <w:vAlign w:val="bottom"/>
            <w:gridSpan w:val="2"/>
          </w:tcPr>
          <w:p>
            <w:pPr>
              <w:spacing w:after="0"/>
              <w:rPr>
                <w:sz w:val="20"/>
                <w:szCs w:val="20"/>
                <w:color w:val="auto"/>
              </w:rPr>
            </w:pPr>
            <w:r>
              <w:rPr>
                <w:rFonts w:ascii="Arial" w:cs="Arial" w:eastAsia="Arial" w:hAnsi="Arial"/>
                <w:sz w:val="3"/>
                <w:szCs w:val="3"/>
                <w:color w:val="FFFFFF"/>
              </w:rPr>
              <w:t>OUR COMPANY SECRETARY</w:t>
            </w:r>
          </w:p>
        </w:tc>
        <w:tc>
          <w:tcPr>
            <w:tcW w:w="432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Ms. Kwok had been the company secretary of the Company since September</w:t>
            </w:r>
          </w:p>
        </w:tc>
        <w:tc>
          <w:tcPr>
            <w:tcW w:w="0" w:type="dxa"/>
            <w:vAlign w:val="bottom"/>
          </w:tcPr>
          <w:p>
            <w:pPr>
              <w:spacing w:after="0"/>
              <w:rPr>
                <w:sz w:val="1"/>
                <w:szCs w:val="1"/>
                <w:color w:val="auto"/>
              </w:rPr>
            </w:pPr>
          </w:p>
        </w:tc>
      </w:tr>
      <w:tr>
        <w:trPr>
          <w:trHeight w:val="41"/>
        </w:trPr>
        <w:tc>
          <w:tcPr>
            <w:tcW w:w="7000" w:type="dxa"/>
            <w:vAlign w:val="bottom"/>
            <w:gridSpan w:val="2"/>
          </w:tcPr>
          <w:p>
            <w:pPr>
              <w:spacing w:after="0"/>
              <w:rPr>
                <w:sz w:val="20"/>
                <w:szCs w:val="20"/>
                <w:color w:val="auto"/>
              </w:rPr>
            </w:pPr>
            <w:r>
              <w:rPr>
                <w:rFonts w:ascii="Arial" w:cs="Arial" w:eastAsia="Arial" w:hAnsi="Arial"/>
                <w:sz w:val="3"/>
                <w:szCs w:val="3"/>
                <w:color w:val="FFFFFF"/>
              </w:rPr>
              <w:t>Ms. Kwok Yu Ching, aged 47, ceased to be the  ompany secretary of the Company on 28 February 2013. Prior to her</w:t>
            </w:r>
          </w:p>
        </w:tc>
        <w:tc>
          <w:tcPr>
            <w:tcW w:w="4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2009. She was  director of the Corporate Services Division at Tricor Services Limited. Ms. Kwok,  Chartered Secretaryresignation,isFellow of both The Hong Kong Institute of Chartered Secretaries and The Institute</w:t>
            </w:r>
          </w:p>
        </w:tc>
        <w:tc>
          <w:tcPr>
            <w:tcW w:w="0" w:type="dxa"/>
            <w:vAlign w:val="bottom"/>
          </w:tcPr>
          <w:p>
            <w:pPr>
              <w:spacing w:after="0"/>
              <w:rPr>
                <w:sz w:val="1"/>
                <w:szCs w:val="1"/>
                <w:color w:val="auto"/>
              </w:rPr>
            </w:pP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of Chartered Secretaries and Administrators. She has been prov ding professional services to companies listed on the Hong Kong Stock Exchange for over 20 years. Prior to joining Tricor Services Limited in</w:t>
            </w:r>
          </w:p>
        </w:tc>
        <w:tc>
          <w:tcPr>
            <w:tcW w:w="0" w:type="dxa"/>
            <w:vAlign w:val="bottom"/>
          </w:tcPr>
          <w:p>
            <w:pPr>
              <w:spacing w:after="0"/>
              <w:rPr>
                <w:sz w:val="1"/>
                <w:szCs w:val="1"/>
                <w:color w:val="auto"/>
              </w:rPr>
            </w:pPr>
          </w:p>
        </w:tc>
      </w:tr>
      <w:tr>
        <w:trPr>
          <w:trHeight w:val="41"/>
        </w:trPr>
        <w:tc>
          <w:tcPr>
            <w:tcW w:w="7000" w:type="dxa"/>
            <w:vAlign w:val="bottom"/>
            <w:gridSpan w:val="2"/>
          </w:tcPr>
          <w:p>
            <w:pPr>
              <w:spacing w:after="0"/>
              <w:rPr>
                <w:sz w:val="20"/>
                <w:szCs w:val="20"/>
                <w:color w:val="auto"/>
              </w:rPr>
            </w:pPr>
            <w:r>
              <w:rPr>
                <w:rFonts w:ascii="Arial" w:cs="Arial" w:eastAsia="Arial" w:hAnsi="Arial"/>
                <w:sz w:val="3"/>
                <w:szCs w:val="3"/>
                <w:color w:val="FFFFFF"/>
              </w:rPr>
              <w:t>2002, Ms. Kwok was the Senior Manager of Company Secretarial Services at Ernst &amp; Young and Tengis Limited in Hong Kong.</w:t>
            </w:r>
          </w:p>
        </w:tc>
        <w:tc>
          <w:tcPr>
            <w:tcW w:w="4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600" w:type="dxa"/>
            <w:vAlign w:val="bottom"/>
          </w:tcPr>
          <w:p>
            <w:pPr>
              <w:spacing w:after="0" w:line="80" w:lineRule="exact"/>
              <w:rPr>
                <w:sz w:val="20"/>
                <w:szCs w:val="20"/>
                <w:color w:val="auto"/>
              </w:rPr>
            </w:pPr>
            <w:r>
              <w:rPr>
                <w:rFonts w:ascii="Arial" w:cs="Arial" w:eastAsia="Arial" w:hAnsi="Arial"/>
                <w:sz w:val="9"/>
                <w:szCs w:val="9"/>
                <w:color w:val="FFFFFF"/>
              </w:rPr>
              <w:t>Ms. Ho Wing Tsz, Wendy,</w:t>
            </w:r>
          </w:p>
        </w:tc>
        <w:tc>
          <w:tcPr>
            <w:tcW w:w="9720" w:type="dxa"/>
            <w:vAlign w:val="bottom"/>
            <w:gridSpan w:val="2"/>
          </w:tcPr>
          <w:p>
            <w:pPr>
              <w:ind w:left="160"/>
              <w:spacing w:after="0" w:line="80" w:lineRule="exact"/>
              <w:rPr>
                <w:sz w:val="20"/>
                <w:szCs w:val="20"/>
                <w:color w:val="auto"/>
              </w:rPr>
            </w:pPr>
            <w:r>
              <w:rPr>
                <w:rFonts w:ascii="Arial" w:cs="Arial" w:eastAsia="Arial" w:hAnsi="Arial"/>
                <w:sz w:val="9"/>
                <w:szCs w:val="9"/>
                <w:color w:val="FFFFFF"/>
              </w:rPr>
              <w:t>43, has been appointed as the company secretary of the Company with eff ct from 28 February 2013. She is a senior manager of the Corporate Services Division at Tricor</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perscript"/>
        </w:rPr>
        <w:t>She</w:t>
      </w:r>
      <w:r>
        <w:rPr>
          <w:rFonts w:ascii="Arial" w:cs="Arial" w:eastAsia="Arial" w:hAnsi="Arial"/>
          <w:sz w:val="1"/>
          <w:szCs w:val="1"/>
          <w:color w:val="FFFFFF"/>
        </w:rPr>
        <w:t>ervices Limited. Ms. Ho isagedChartered Secretary and</w:t>
      </w:r>
      <w:r>
        <w:rPr>
          <w:rFonts w:ascii="Arial" w:cs="Arial" w:eastAsia="Arial" w:hAnsi="Arial"/>
          <w:sz w:val="1"/>
          <w:szCs w:val="1"/>
          <w:color w:val="FFFFFF"/>
          <w:vertAlign w:val="superscript"/>
        </w:rPr>
        <w:t>range</w:t>
      </w:r>
      <w:r>
        <w:rPr>
          <w:rFonts w:ascii="Arial" w:cs="Arial" w:eastAsia="Arial" w:hAnsi="Arial"/>
          <w:sz w:val="1"/>
          <w:szCs w:val="1"/>
          <w:color w:val="FFFFFF"/>
        </w:rPr>
        <w:t>Fellow of both The Hong Kong Institute of Chartered Secretaries and The Institute of Chartered Secretaries and Administrators in the United Kingdom.</w:t>
      </w:r>
    </w:p>
    <w:p>
      <w:pPr>
        <w:ind w:left="240"/>
        <w:spacing w:after="0"/>
        <w:tabs>
          <w:tab w:leader="none" w:pos="3220" w:val="left"/>
        </w:tabs>
        <w:rPr>
          <w:sz w:val="20"/>
          <w:szCs w:val="20"/>
          <w:color w:val="auto"/>
        </w:rPr>
      </w:pPr>
      <w:r>
        <w:rPr>
          <w:rFonts w:ascii="Arial" w:cs="Arial" w:eastAsia="Arial" w:hAnsi="Arial"/>
          <w:sz w:val="2"/>
          <w:szCs w:val="2"/>
          <w:color w:val="FFFFFF"/>
        </w:rPr>
        <w:t>has over 18 years’ of experience</w:t>
      </w:r>
      <w:r>
        <w:rPr>
          <w:rFonts w:ascii="Arial" w:cs="Arial" w:eastAsia="Arial" w:hAnsi="Arial"/>
          <w:sz w:val="4"/>
          <w:szCs w:val="4"/>
          <w:color w:val="FFFFFF"/>
          <w:vertAlign w:val="subscript"/>
        </w:rPr>
        <w:t>Exchange</w:t>
      </w:r>
      <w:r>
        <w:rPr>
          <w:rFonts w:ascii="Arial" w:cs="Arial" w:eastAsia="Arial" w:hAnsi="Arial"/>
          <w:sz w:val="2"/>
          <w:szCs w:val="2"/>
          <w:color w:val="FFFFFF"/>
        </w:rPr>
        <w:t>in diversifi ed</w:t>
      </w:r>
      <w:r>
        <w:rPr>
          <w:sz w:val="20"/>
          <w:szCs w:val="20"/>
          <w:color w:val="auto"/>
        </w:rPr>
        <w:tab/>
      </w:r>
      <w:r>
        <w:rPr>
          <w:rFonts w:ascii="Arial" w:cs="Arial" w:eastAsia="Arial" w:hAnsi="Arial"/>
          <w:sz w:val="3"/>
          <w:szCs w:val="3"/>
          <w:color w:val="FFFFFF"/>
        </w:rPr>
        <w:t>of corporate services and has been providing professional secretarial services to a number of companies and a listed Real Estate Investment Trust as</w:t>
      </w:r>
    </w:p>
    <w:p>
      <w:pPr>
        <w:spacing w:after="0"/>
        <w:tabs>
          <w:tab w:leader="none" w:pos="2220" w:val="left"/>
        </w:tabs>
        <w:rPr>
          <w:sz w:val="20"/>
          <w:szCs w:val="20"/>
          <w:color w:val="auto"/>
        </w:rPr>
      </w:pPr>
      <w:r>
        <w:rPr>
          <w:rFonts w:ascii="Arial" w:cs="Arial" w:eastAsia="Arial" w:hAnsi="Arial"/>
          <w:sz w:val="14"/>
          <w:szCs w:val="14"/>
          <w:color w:val="FFFFFF"/>
        </w:rPr>
        <w:t>listed on the Hong Kong Stock</w:t>
      </w:r>
      <w:r>
        <w:rPr>
          <w:sz w:val="20"/>
          <w:szCs w:val="20"/>
          <w:color w:val="auto"/>
        </w:rPr>
        <w:tab/>
      </w:r>
      <w:r>
        <w:rPr>
          <w:rFonts w:ascii="Arial" w:cs="Arial" w:eastAsia="Arial" w:hAnsi="Arial"/>
          <w:sz w:val="14"/>
          <w:szCs w:val="14"/>
          <w:color w:val="FFFFFF"/>
        </w:rPr>
        <w:t>.</w:t>
      </w:r>
    </w:p>
    <w:p>
      <w:pPr>
        <w:sectPr>
          <w:pgSz w:w="11900" w:h="16838" w:orient="portrait"/>
          <w:cols w:equalWidth="0" w:num="1">
            <w:col w:w="11320"/>
          </w:cols>
          <w:pgMar w:left="240" w:top="1440"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gridSpan w:val="2"/>
          </w:tcPr>
          <w:p>
            <w:pPr>
              <w:spacing w:after="0"/>
              <w:rPr>
                <w:sz w:val="20"/>
                <w:szCs w:val="20"/>
                <w:color w:val="auto"/>
              </w:rPr>
            </w:pPr>
            <w:r>
              <w:rPr>
                <w:rFonts w:ascii="Arial" w:cs="Arial" w:eastAsia="Arial" w:hAnsi="Arial"/>
                <w:sz w:val="14"/>
                <w:szCs w:val="14"/>
                <w:color w:val="FFFFFF"/>
              </w:rPr>
              <w:t>Annual Report 2012 37</w:t>
            </w:r>
          </w:p>
        </w:tc>
        <w:tc>
          <w:tcPr>
            <w:tcW w:w="186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18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Directors present their report together with the audited ? nancial statements of the Company and the Group for the year ended 31 December 2012.</w:t>
            </w: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PRINCIPAL ACTIVITIES AND SUBSIDIARIES</w:t>
            </w:r>
          </w:p>
        </w:tc>
        <w:tc>
          <w:tcPr>
            <w:tcW w:w="1860" w:type="dxa"/>
            <w:vAlign w:val="bottom"/>
          </w:tcPr>
          <w:p>
            <w:pPr>
              <w:spacing w:after="0"/>
              <w:rPr>
                <w:sz w:val="3"/>
                <w:szCs w:val="3"/>
                <w:color w:val="auto"/>
              </w:rPr>
            </w:pPr>
          </w:p>
        </w:tc>
        <w:tc>
          <w:tcPr>
            <w:tcW w:w="6720" w:type="dxa"/>
            <w:vAlign w:val="bottom"/>
            <w:vMerge w:val="restart"/>
          </w:tcPr>
          <w:p>
            <w:pPr>
              <w:ind w:left="120"/>
              <w:spacing w:after="0" w:line="81" w:lineRule="exact"/>
              <w:rPr>
                <w:sz w:val="20"/>
                <w:szCs w:val="20"/>
                <w:color w:val="auto"/>
              </w:rPr>
            </w:pPr>
            <w:r>
              <w:rPr>
                <w:rFonts w:ascii="Arial" w:cs="Arial" w:eastAsia="Arial" w:hAnsi="Arial"/>
                <w:sz w:val="9"/>
                <w:szCs w:val="9"/>
                <w:color w:val="FFFFFF"/>
              </w:rPr>
              <w:t>casino gaming and entertainment resort facilities in Macau. The Company is  holding company and our main operating</w:t>
            </w:r>
          </w:p>
        </w:tc>
        <w:tc>
          <w:tcPr>
            <w:tcW w:w="0" w:type="dxa"/>
            <w:vAlign w:val="bottom"/>
          </w:tcPr>
          <w:p>
            <w:pPr>
              <w:spacing w:after="0"/>
              <w:rPr>
                <w:sz w:val="1"/>
                <w:szCs w:val="1"/>
                <w:color w:val="auto"/>
              </w:rPr>
            </w:pPr>
          </w:p>
        </w:tc>
      </w:tr>
      <w:tr>
        <w:trPr>
          <w:trHeight w:val="41"/>
        </w:trPr>
        <w:tc>
          <w:tcPr>
            <w:tcW w:w="4680" w:type="dxa"/>
            <w:vAlign w:val="bottom"/>
            <w:gridSpan w:val="3"/>
          </w:tcPr>
          <w:p>
            <w:pPr>
              <w:spacing w:after="0"/>
              <w:rPr>
                <w:sz w:val="20"/>
                <w:szCs w:val="20"/>
                <w:color w:val="auto"/>
              </w:rPr>
            </w:pPr>
            <w:r>
              <w:rPr>
                <w:rFonts w:ascii="Arial" w:cs="Arial" w:eastAsia="Arial" w:hAnsi="Arial"/>
                <w:sz w:val="3"/>
                <w:szCs w:val="3"/>
                <w:color w:val="FFFFFF"/>
              </w:rPr>
              <w:t>The Company and the Group are  leading developer, owner and operator of</w:t>
            </w:r>
          </w:p>
        </w:tc>
        <w:tc>
          <w:tcPr>
            <w:tcW w:w="67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subsidiary, WRM, owns and operates the</w:t>
            </w:r>
          </w:p>
        </w:tc>
        <w:tc>
          <w:tcPr>
            <w:tcW w:w="8580" w:type="dxa"/>
            <w:vAlign w:val="bottom"/>
            <w:gridSpan w:val="2"/>
          </w:tcPr>
          <w:p>
            <w:pPr>
              <w:ind w:left="60"/>
              <w:spacing w:after="0"/>
              <w:rPr>
                <w:sz w:val="20"/>
                <w:szCs w:val="20"/>
                <w:color w:val="auto"/>
              </w:rPr>
            </w:pPr>
            <w:r>
              <w:rPr>
                <w:rFonts w:ascii="Arial" w:cs="Arial" w:eastAsia="Arial" w:hAnsi="Arial"/>
                <w:sz w:val="3"/>
                <w:szCs w:val="3"/>
                <w:color w:val="FFFFFF"/>
              </w:rPr>
              <w:t>casino resort “Wynn Macau”destinationMacau. A list of the Company’s subsidiaries, together with their places of incorporation, principal activities and particulars of</w:t>
            </w:r>
          </w:p>
        </w:tc>
        <w:tc>
          <w:tcPr>
            <w:tcW w:w="0" w:type="dxa"/>
            <w:vAlign w:val="bottom"/>
          </w:tcPr>
          <w:p>
            <w:pPr>
              <w:spacing w:after="0"/>
              <w:rPr>
                <w:sz w:val="1"/>
                <w:szCs w:val="1"/>
                <w:color w:val="auto"/>
              </w:rPr>
            </w:pPr>
          </w:p>
        </w:tc>
      </w:tr>
      <w:tr>
        <w:trPr>
          <w:trHeight w:val="41"/>
        </w:trPr>
        <w:tc>
          <w:tcPr>
            <w:tcW w:w="4680" w:type="dxa"/>
            <w:vAlign w:val="bottom"/>
            <w:gridSpan w:val="3"/>
          </w:tcPr>
          <w:p>
            <w:pPr>
              <w:spacing w:after="0"/>
              <w:rPr>
                <w:sz w:val="20"/>
                <w:szCs w:val="20"/>
                <w:color w:val="auto"/>
              </w:rPr>
            </w:pPr>
            <w:r>
              <w:rPr>
                <w:rFonts w:ascii="Arial" w:cs="Arial" w:eastAsia="Arial" w:hAnsi="Arial"/>
                <w:sz w:val="3"/>
                <w:szCs w:val="3"/>
                <w:color w:val="FFFFFF"/>
              </w:rPr>
              <w:t>their issued share/registered capital, is set destinationoutnote 13 to the Financial Statements.</w:t>
            </w: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20" w:type="dxa"/>
            <w:vAlign w:val="bottom"/>
            <w:gridSpan w:val="2"/>
          </w:tcPr>
          <w:p>
            <w:pPr>
              <w:spacing w:after="0"/>
              <w:rPr>
                <w:sz w:val="20"/>
                <w:szCs w:val="20"/>
                <w:color w:val="auto"/>
              </w:rPr>
            </w:pPr>
            <w:r>
              <w:rPr>
                <w:rFonts w:ascii="Arial" w:cs="Arial" w:eastAsia="Arial" w:hAnsi="Arial"/>
                <w:sz w:val="3"/>
                <w:szCs w:val="3"/>
                <w:color w:val="FFFFFF"/>
              </w:rPr>
              <w:t>FINANCIAL RESULTS</w:t>
            </w:r>
          </w:p>
        </w:tc>
        <w:tc>
          <w:tcPr>
            <w:tcW w:w="18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results of the Group for the year ended 31 December 2012 are set out in the consolidated statement of comprehensive income on page 76 of this Annual Report. The ? nancial highlights for the Group for the</w:t>
            </w:r>
          </w:p>
        </w:tc>
        <w:tc>
          <w:tcPr>
            <w:tcW w:w="0" w:type="dxa"/>
            <w:vAlign w:val="bottom"/>
          </w:tcPr>
          <w:p>
            <w:pPr>
              <w:spacing w:after="0"/>
              <w:rPr>
                <w:sz w:val="1"/>
                <w:szCs w:val="1"/>
                <w:color w:val="auto"/>
              </w:rPr>
            </w:pPr>
          </w:p>
        </w:tc>
      </w:tr>
      <w:tr>
        <w:trPr>
          <w:trHeight w:val="41"/>
        </w:trPr>
        <w:tc>
          <w:tcPr>
            <w:tcW w:w="4680" w:type="dxa"/>
            <w:vAlign w:val="bottom"/>
            <w:gridSpan w:val="3"/>
          </w:tcPr>
          <w:p>
            <w:pPr>
              <w:spacing w:after="0"/>
              <w:rPr>
                <w:sz w:val="20"/>
                <w:szCs w:val="20"/>
                <w:color w:val="auto"/>
              </w:rPr>
            </w:pPr>
            <w:r>
              <w:rPr>
                <w:rFonts w:ascii="Arial" w:cs="Arial" w:eastAsia="Arial" w:hAnsi="Arial"/>
                <w:sz w:val="3"/>
                <w:szCs w:val="3"/>
                <w:color w:val="FFFFFF"/>
              </w:rPr>
              <w:t>most recent ? ve years are set out on page 170 of this Annual Report.</w:t>
            </w: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60" w:type="dxa"/>
            <w:vAlign w:val="bottom"/>
          </w:tcPr>
          <w:p>
            <w:pPr>
              <w:spacing w:after="0"/>
              <w:rPr>
                <w:sz w:val="20"/>
                <w:szCs w:val="20"/>
                <w:color w:val="auto"/>
              </w:rPr>
            </w:pPr>
            <w:r>
              <w:rPr>
                <w:rFonts w:ascii="Arial" w:cs="Arial" w:eastAsia="Arial" w:hAnsi="Arial"/>
                <w:sz w:val="3"/>
                <w:szCs w:val="3"/>
                <w:color w:val="FFFFFF"/>
              </w:rPr>
              <w:t>RESERVES</w:t>
            </w: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6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Details of the movements in the reserves of the Company and reserves available for distribution to Shareholders as at 31 December 2012 are set out in note 23(b) to the Financial Statements. The distributable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reserves of the Company at 31 December 2012 are HK$14.2 billion. Movements in the reserves of the Group are refl ected in the consolidated statement of changes in equity.</w:t>
            </w:r>
          </w:p>
        </w:tc>
        <w:tc>
          <w:tcPr>
            <w:tcW w:w="0" w:type="dxa"/>
            <w:vAlign w:val="bottom"/>
          </w:tcPr>
          <w:p>
            <w:pPr>
              <w:spacing w:after="0"/>
              <w:rPr>
                <w:sz w:val="1"/>
                <w:szCs w:val="1"/>
                <w:color w:val="auto"/>
              </w:rPr>
            </w:pPr>
          </w:p>
        </w:tc>
      </w:tr>
      <w:tr>
        <w:trPr>
          <w:trHeight w:val="41"/>
        </w:trPr>
        <w:tc>
          <w:tcPr>
            <w:tcW w:w="1060" w:type="dxa"/>
            <w:vAlign w:val="bottom"/>
          </w:tcPr>
          <w:p>
            <w:pPr>
              <w:ind w:left="100"/>
              <w:spacing w:after="0"/>
              <w:rPr>
                <w:sz w:val="20"/>
                <w:szCs w:val="20"/>
                <w:color w:val="auto"/>
              </w:rPr>
            </w:pPr>
            <w:r>
              <w:rPr>
                <w:rFonts w:ascii="Arial" w:cs="Arial" w:eastAsia="Arial" w:hAnsi="Arial"/>
                <w:sz w:val="3"/>
                <w:szCs w:val="3"/>
                <w:color w:val="FFFFFF"/>
              </w:rPr>
              <w:t>IVIDENDS</w:t>
            </w:r>
          </w:p>
        </w:tc>
        <w:tc>
          <w:tcPr>
            <w:tcW w:w="10340" w:type="dxa"/>
            <w:vAlign w:val="bottom"/>
            <w:gridSpan w:val="3"/>
            <w:vMerge w:val="restart"/>
          </w:tcPr>
          <w:p>
            <w:pPr>
              <w:ind w:left="180"/>
              <w:spacing w:after="0"/>
              <w:rPr>
                <w:sz w:val="20"/>
                <w:szCs w:val="20"/>
                <w:color w:val="auto"/>
              </w:rPr>
            </w:pPr>
            <w:r>
              <w:rPr>
                <w:rFonts w:ascii="Arial" w:cs="Arial" w:eastAsia="Arial" w:hAnsi="Arial"/>
                <w:sz w:val="3"/>
                <w:szCs w:val="3"/>
                <w:color w:val="FFFFFF"/>
              </w:rPr>
              <w:t>31 December 2012, the Company did not pay any interim or special dividend.</w:t>
            </w:r>
          </w:p>
        </w:tc>
        <w:tc>
          <w:tcPr>
            <w:tcW w:w="0" w:type="dxa"/>
            <w:vAlign w:val="bottom"/>
          </w:tcPr>
          <w:p>
            <w:pPr>
              <w:spacing w:after="0"/>
              <w:rPr>
                <w:sz w:val="1"/>
                <w:szCs w:val="1"/>
                <w:color w:val="auto"/>
              </w:rPr>
            </w:pPr>
          </w:p>
        </w:tc>
      </w:tr>
      <w:tr>
        <w:trPr>
          <w:trHeight w:val="0"/>
        </w:trPr>
        <w:tc>
          <w:tcPr>
            <w:tcW w:w="1060" w:type="dxa"/>
            <w:vAlign w:val="bottom"/>
          </w:tcPr>
          <w:p>
            <w:pPr>
              <w:spacing w:after="0" w:line="80" w:lineRule="exact"/>
              <w:rPr>
                <w:sz w:val="20"/>
                <w:szCs w:val="20"/>
                <w:color w:val="auto"/>
              </w:rPr>
            </w:pPr>
            <w:r>
              <w:rPr>
                <w:rFonts w:ascii="Arial" w:cs="Arial" w:eastAsia="Arial" w:hAnsi="Arial"/>
                <w:sz w:val="9"/>
                <w:szCs w:val="9"/>
                <w:color w:val="FFFFFF"/>
              </w:rPr>
              <w:t>During the year</w:t>
            </w:r>
          </w:p>
        </w:tc>
        <w:tc>
          <w:tcPr>
            <w:tcW w:w="1034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80"/>
        <w:spacing w:after="0"/>
        <w:rPr>
          <w:sz w:val="20"/>
          <w:szCs w:val="20"/>
          <w:color w:val="auto"/>
        </w:rPr>
      </w:pPr>
      <w:r>
        <w:rPr>
          <w:rFonts w:ascii="Arial" w:cs="Arial" w:eastAsia="Arial" w:hAnsi="Arial"/>
          <w:sz w:val="3"/>
          <w:szCs w:val="3"/>
          <w:color w:val="FFFFFF"/>
        </w:rPr>
        <w:t>The Board has recommended that a ? nal dividend of HK$1.24 per Share be paid in respect of the year ended 31 December 2012. This recommendation has been incorporated in the fi nancial statements as an allocation of retained profi ts within the equity section of the consolidated statement of ? nancial position.</w:t>
      </w:r>
    </w:p>
    <w:p>
      <w:pPr>
        <w:spacing w:after="0" w:line="199" w:lineRule="auto"/>
        <w:rPr>
          <w:sz w:val="20"/>
          <w:szCs w:val="20"/>
          <w:color w:val="auto"/>
        </w:rPr>
      </w:pPr>
      <w:r>
        <w:rPr>
          <w:rFonts w:ascii="Arial" w:cs="Arial" w:eastAsia="Arial" w:hAnsi="Arial"/>
          <w:sz w:val="5"/>
          <w:szCs w:val="5"/>
          <w:color w:val="FFFFFF"/>
        </w:rPr>
        <w:t>PROPERTY AND EQUIPMENT</w:t>
      </w:r>
    </w:p>
    <w:p>
      <w:pPr>
        <w:spacing w:after="0"/>
        <w:rPr>
          <w:sz w:val="20"/>
          <w:szCs w:val="20"/>
          <w:color w:val="auto"/>
        </w:rPr>
      </w:pPr>
      <w:r>
        <w:rPr>
          <w:rFonts w:ascii="Arial" w:cs="Arial" w:eastAsia="Arial" w:hAnsi="Arial"/>
          <w:sz w:val="3"/>
          <w:szCs w:val="3"/>
          <w:color w:val="FFFFFF"/>
        </w:rPr>
        <w:t>Details of movements in property and equipment during the year are set out in note 8 to the Financial Statements.</w:t>
      </w:r>
    </w:p>
    <w:p>
      <w:pPr>
        <w:spacing w:after="0" w:line="194" w:lineRule="auto"/>
        <w:rPr>
          <w:sz w:val="20"/>
          <w:szCs w:val="20"/>
          <w:color w:val="auto"/>
        </w:rPr>
      </w:pPr>
      <w:r>
        <w:rPr>
          <w:rFonts w:ascii="Arial" w:cs="Arial" w:eastAsia="Arial" w:hAnsi="Arial"/>
          <w:sz w:val="5"/>
          <w:szCs w:val="5"/>
          <w:color w:val="FFFFFF"/>
        </w:rPr>
        <w:t>SHARE CAPITAL</w:t>
      </w:r>
    </w:p>
    <w:p>
      <w:pPr>
        <w:spacing w:after="0"/>
        <w:rPr>
          <w:sz w:val="20"/>
          <w:szCs w:val="20"/>
          <w:color w:val="auto"/>
        </w:rPr>
      </w:pPr>
      <w:r>
        <w:rPr>
          <w:rFonts w:ascii="Arial" w:cs="Arial" w:eastAsia="Arial" w:hAnsi="Arial"/>
          <w:sz w:val="14"/>
          <w:szCs w:val="14"/>
          <w:color w:val="FFFFFF"/>
        </w:rPr>
        <w:t>Details of the movements in share capital of the Company are set out in note 22 to the Financial Statements.</w:t>
      </w:r>
    </w:p>
    <w:p>
      <w:pPr>
        <w:sectPr>
          <w:pgSz w:w="11900" w:h="16838" w:orient="portrait"/>
          <w:cols w:equalWidth="0" w:num="1">
            <w:col w:w="11400"/>
          </w:cols>
          <w:pgMar w:left="240" w:top="1440" w:right="25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38 Wynn Macau, Limited</w:t>
      </w:r>
    </w:p>
    <w:p>
      <w:pPr>
        <w:spacing w:after="0"/>
        <w:rPr>
          <w:sz w:val="20"/>
          <w:szCs w:val="20"/>
          <w:color w:val="auto"/>
        </w:rPr>
      </w:pPr>
      <w:r>
        <w:rPr>
          <w:rFonts w:ascii="Arial" w:cs="Arial" w:eastAsia="Arial" w:hAnsi="Arial"/>
          <w:sz w:val="3"/>
          <w:szCs w:val="3"/>
          <w:color w:val="FFFFFF"/>
        </w:rPr>
        <w:t>Report of the Directors</w:t>
      </w:r>
    </w:p>
    <w:p>
      <w:pPr>
        <w:spacing w:after="0" w:line="194" w:lineRule="auto"/>
        <w:rPr>
          <w:sz w:val="20"/>
          <w:szCs w:val="20"/>
          <w:color w:val="auto"/>
        </w:rPr>
      </w:pPr>
      <w:r>
        <w:rPr>
          <w:rFonts w:ascii="Arial" w:cs="Arial" w:eastAsia="Arial" w:hAnsi="Arial"/>
          <w:sz w:val="5"/>
          <w:szCs w:val="5"/>
          <w:color w:val="FFFFFF"/>
        </w:rPr>
        <w:t>CHARITABLE CONTRIBUTIONS</w:t>
      </w:r>
    </w:p>
    <w:p>
      <w:pPr>
        <w:ind w:left="100"/>
        <w:spacing w:after="0" w:line="211" w:lineRule="auto"/>
        <w:rPr>
          <w:sz w:val="20"/>
          <w:szCs w:val="20"/>
          <w:color w:val="auto"/>
        </w:rPr>
      </w:pPr>
      <w:r>
        <w:rPr>
          <w:rFonts w:ascii="Arial" w:cs="Arial" w:eastAsia="Arial" w:hAnsi="Arial"/>
          <w:sz w:val="4"/>
          <w:szCs w:val="4"/>
          <w:color w:val="FFFFFF"/>
          <w:vertAlign w:val="superscript"/>
        </w:rPr>
        <w:t>IRECT</w:t>
      </w:r>
    </w:p>
    <w:p>
      <w:pPr>
        <w:spacing w:after="0" w:line="188" w:lineRule="auto"/>
        <w:rPr>
          <w:sz w:val="20"/>
          <w:szCs w:val="20"/>
          <w:color w:val="auto"/>
        </w:rPr>
      </w:pPr>
      <w:r>
        <w:rPr>
          <w:rFonts w:ascii="Arial" w:cs="Arial" w:eastAsia="Arial" w:hAnsi="Arial"/>
          <w:sz w:val="7"/>
          <w:szCs w:val="7"/>
          <w:color w:val="FFFFFF"/>
        </w:rPr>
        <w:t>Directorsuringthe</w:t>
      </w:r>
      <w:r>
        <w:rPr>
          <w:rFonts w:ascii="Arial" w:cs="Arial" w:eastAsia="Arial" w:hAnsi="Arial"/>
          <w:sz w:val="9"/>
          <w:szCs w:val="9"/>
          <w:color w:val="FFFFFF"/>
          <w:vertAlign w:val="superscript"/>
        </w:rPr>
        <w:t>ORS</w:t>
      </w:r>
      <w:r>
        <w:rPr>
          <w:rFonts w:ascii="Arial" w:cs="Arial" w:eastAsia="Arial" w:hAnsi="Arial"/>
          <w:sz w:val="7"/>
          <w:szCs w:val="7"/>
          <w:color w:val="FFFFFF"/>
        </w:rPr>
        <w:t>year ended 31 December 2012, the Group paid charitable contributions totaling HK$92.2 million.</w:t>
      </w:r>
    </w:p>
    <w:p>
      <w:pPr>
        <w:spacing w:after="0"/>
        <w:rPr>
          <w:sz w:val="20"/>
          <w:szCs w:val="20"/>
          <w:color w:val="auto"/>
        </w:rPr>
      </w:pPr>
      <w:r>
        <w:rPr>
          <w:rFonts w:ascii="Arial" w:cs="Arial" w:eastAsia="Arial" w:hAnsi="Arial"/>
          <w:sz w:val="3"/>
          <w:szCs w:val="3"/>
          <w:color w:val="FFFFFF"/>
        </w:rPr>
        <w:t>ExecutiveduringDirectors:the Year Ended 31 December 2012</w:t>
      </w:r>
    </w:p>
    <w:p>
      <w:pPr>
        <w:spacing w:after="0" w:line="6" w:lineRule="exact"/>
        <w:rPr>
          <w:sz w:val="20"/>
          <w:szCs w:val="20"/>
          <w:color w:val="auto"/>
        </w:rPr>
      </w:pPr>
    </w:p>
    <w:p>
      <w:pPr>
        <w:ind w:right="4560"/>
        <w:spacing w:after="0" w:line="187" w:lineRule="auto"/>
        <w:rPr>
          <w:sz w:val="20"/>
          <w:szCs w:val="20"/>
          <w:color w:val="auto"/>
        </w:rPr>
      </w:pPr>
      <w:r>
        <w:rPr>
          <w:rFonts w:ascii="Arial" w:cs="Arial" w:eastAsia="Arial" w:hAnsi="Arial"/>
          <w:sz w:val="9"/>
          <w:szCs w:val="9"/>
          <w:color w:val="FFFFFF"/>
        </w:rPr>
        <w:t>Mr. Stephen A. Wynn (also our Chairman, President and Chief Executive Of? cer) Ms. Linda Chen Mr. Ian Michael Coughlan Non-executive Directors:</w:t>
      </w:r>
    </w:p>
    <w:p>
      <w:pPr>
        <w:spacing w:after="0"/>
        <w:rPr>
          <w:sz w:val="20"/>
          <w:szCs w:val="20"/>
          <w:color w:val="auto"/>
        </w:rPr>
      </w:pPr>
      <w:r>
        <w:rPr>
          <w:rFonts w:ascii="Arial" w:cs="Arial" w:eastAsia="Arial" w:hAnsi="Arial"/>
          <w:sz w:val="3"/>
          <w:szCs w:val="3"/>
          <w:color w:val="FFFFFF"/>
        </w:rPr>
        <w:t>Mr. Marc D. Schorr*</w:t>
      </w:r>
    </w:p>
    <w:p>
      <w:pPr>
        <w:ind w:left="700"/>
        <w:spacing w:after="0" w:line="194" w:lineRule="auto"/>
        <w:rPr>
          <w:sz w:val="20"/>
          <w:szCs w:val="20"/>
          <w:color w:val="auto"/>
        </w:rPr>
      </w:pPr>
      <w:r>
        <w:rPr>
          <w:rFonts w:ascii="Arial" w:cs="Arial" w:eastAsia="Arial" w:hAnsi="Arial"/>
          <w:sz w:val="5"/>
          <w:szCs w:val="5"/>
          <w:color w:val="FFFFFF"/>
          <w:vertAlign w:val="superscript"/>
        </w:rPr>
        <w:t>non</w:t>
      </w:r>
    </w:p>
    <w:p>
      <w:pPr>
        <w:spacing w:after="0"/>
        <w:rPr>
          <w:sz w:val="20"/>
          <w:szCs w:val="20"/>
          <w:color w:val="auto"/>
        </w:rPr>
      </w:pPr>
      <w:r>
        <w:rPr>
          <w:rFonts w:ascii="Arial" w:cs="Arial" w:eastAsia="Arial" w:hAnsi="Arial"/>
          <w:sz w:val="3"/>
          <w:szCs w:val="3"/>
          <w:color w:val="FFFFFF"/>
        </w:rPr>
        <w:t>IndependentDr.AllanZeman-(alsoexecutiveourViceDirectors:-chairman) Mr. Kazuo Okada**</w:t>
      </w:r>
    </w:p>
    <w:p>
      <w:pPr>
        <w:spacing w:after="0" w:line="194" w:lineRule="auto"/>
        <w:rPr>
          <w:sz w:val="20"/>
          <w:szCs w:val="20"/>
          <w:color w:val="auto"/>
        </w:rPr>
      </w:pPr>
      <w:r>
        <w:rPr>
          <w:rFonts w:ascii="Arial" w:cs="Arial" w:eastAsia="Arial" w:hAnsi="Arial"/>
          <w:sz w:val="5"/>
          <w:szCs w:val="5"/>
          <w:color w:val="FFFFFF"/>
        </w:rPr>
        <w:t>Mr. Jeffrey Kin-fung Lam Mr. Bruce Rockowitz Mr. Nicholas Sallnow-Smith</w:t>
      </w:r>
    </w:p>
    <w:p>
      <w:pPr>
        <w:spacing w:after="0" w:line="211" w:lineRule="auto"/>
        <w:rPr>
          <w:sz w:val="20"/>
          <w:szCs w:val="20"/>
          <w:color w:val="auto"/>
        </w:rPr>
      </w:pPr>
      <w:r>
        <w:rPr>
          <w:rFonts w:ascii="Arial" w:cs="Arial" w:eastAsia="Arial" w:hAnsi="Arial"/>
          <w:sz w:val="4"/>
          <w:szCs w:val="4"/>
          <w:color w:val="FFFFFF"/>
          <w:vertAlign w:val="superscript"/>
        </w:rPr>
        <w:t>**</w:t>
      </w:r>
    </w:p>
    <w:p>
      <w:pPr>
        <w:ind w:left="100"/>
        <w:spacing w:after="0"/>
        <w:rPr>
          <w:sz w:val="20"/>
          <w:szCs w:val="20"/>
          <w:color w:val="auto"/>
        </w:rPr>
      </w:pPr>
      <w:r>
        <w:rPr>
          <w:rFonts w:ascii="Arial" w:cs="Arial" w:eastAsia="Arial" w:hAnsi="Arial"/>
          <w:sz w:val="3"/>
          <w:szCs w:val="3"/>
          <w:color w:val="FFFFFF"/>
        </w:rPr>
        <w:t>Mr.Mr.MarcKazuoD. OkadaSchorrceasedretired tofrombe athememberBoard ofonour28 MarchBoard on2013.24 FebruaryMr.Matthew2012.O. Maddox was appointed as a non-executive Director on 28 March 2013.</w:t>
      </w:r>
    </w:p>
    <w:p>
      <w:pPr>
        <w:spacing w:after="0" w:line="194" w:lineRule="auto"/>
        <w:rPr>
          <w:sz w:val="20"/>
          <w:szCs w:val="20"/>
          <w:color w:val="auto"/>
        </w:rPr>
      </w:pPr>
      <w:r>
        <w:rPr>
          <w:rFonts w:ascii="Arial" w:cs="Arial" w:eastAsia="Arial" w:hAnsi="Arial"/>
          <w:sz w:val="5"/>
          <w:szCs w:val="5"/>
          <w:color w:val="FFFFFF"/>
        </w:rPr>
        <w:t>Re-election of Directors</w:t>
      </w:r>
    </w:p>
    <w:p>
      <w:pPr>
        <w:spacing w:after="0"/>
        <w:rPr>
          <w:sz w:val="20"/>
          <w:szCs w:val="20"/>
          <w:color w:val="auto"/>
        </w:rPr>
      </w:pPr>
      <w:r>
        <w:rPr>
          <w:rFonts w:ascii="Arial" w:cs="Arial" w:eastAsia="Arial" w:hAnsi="Arial"/>
          <w:sz w:val="6"/>
          <w:szCs w:val="6"/>
          <w:color w:val="FFFFFF"/>
        </w:rPr>
        <w:t>In accordance with article 17.18 of the Company’s articles of association, one third of our Board will retire from offi ce by rotation at the forthcoming annual general meeting. The three directors who will retire by rotation are Ms. Linda Chen, one of our executive Directors, and Mr. Bruce Rockowitz and Mr. Jeffrey Kin-fung Lam, both independent non-executive Directors. All retiring directors, being eligible, will offer themselves for re-election at the forthcoming annual general meeting. In accordance with article 17.2 of the Company’s articles of association, Mr. Matthew O. Maddox, one of our non-executive Directors, having been appointed by the Board on 28 March 2013 and being eligible, will offer himself for re-election at the forthcoming annual general meeting.</w:t>
      </w:r>
    </w:p>
    <w:p>
      <w:pPr>
        <w:spacing w:after="0" w:line="192" w:lineRule="auto"/>
        <w:rPr>
          <w:sz w:val="20"/>
          <w:szCs w:val="20"/>
          <w:color w:val="auto"/>
        </w:rPr>
      </w:pPr>
      <w:r>
        <w:rPr>
          <w:rFonts w:ascii="Arial" w:cs="Arial" w:eastAsia="Arial" w:hAnsi="Arial"/>
          <w:sz w:val="7"/>
          <w:szCs w:val="7"/>
          <w:color w:val="FFFFFF"/>
        </w:rPr>
        <w:t>Directors’ Service Contracts</w:t>
      </w:r>
    </w:p>
    <w:p>
      <w:pPr>
        <w:spacing w:after="0" w:line="212" w:lineRule="auto"/>
        <w:rPr>
          <w:sz w:val="20"/>
          <w:szCs w:val="20"/>
          <w:color w:val="auto"/>
        </w:rPr>
      </w:pPr>
      <w:r>
        <w:rPr>
          <w:rFonts w:ascii="Arial" w:cs="Arial" w:eastAsia="Arial" w:hAnsi="Arial"/>
          <w:sz w:val="2"/>
          <w:szCs w:val="2"/>
          <w:color w:val="FFFFFF"/>
        </w:rPr>
        <w:t xml:space="preserve">None of the Directors proposed for </w:t>
      </w:r>
      <w:r>
        <w:rPr>
          <w:rFonts w:ascii="Arial" w:cs="Arial" w:eastAsia="Arial" w:hAnsi="Arial"/>
          <w:sz w:val="4"/>
          <w:szCs w:val="4"/>
          <w:color w:val="FFFFFF"/>
          <w:vertAlign w:val="subscript"/>
        </w:rPr>
        <w:t>compensation</w:t>
      </w:r>
      <w:r>
        <w:rPr>
          <w:rFonts w:ascii="Arial" w:cs="Arial" w:eastAsia="Arial" w:hAnsi="Arial"/>
          <w:sz w:val="2"/>
          <w:szCs w:val="2"/>
          <w:color w:val="FFFFFF"/>
        </w:rPr>
        <w:t>re-election the forthcoming annual general meeting has a service contract with the Company which is not determinable by the Company within one year without payment of</w:t>
      </w:r>
    </w:p>
    <w:p>
      <w:pPr>
        <w:spacing w:after="0"/>
        <w:tabs>
          <w:tab w:leader="none" w:pos="2640" w:val="left"/>
        </w:tabs>
        <w:rPr>
          <w:sz w:val="20"/>
          <w:szCs w:val="20"/>
          <w:color w:val="auto"/>
        </w:rPr>
      </w:pPr>
      <w:r>
        <w:rPr>
          <w:rFonts w:ascii="Arial" w:cs="Arial" w:eastAsia="Arial" w:hAnsi="Arial"/>
          <w:sz w:val="14"/>
          <w:szCs w:val="14"/>
          <w:color w:val="FFFFFF"/>
        </w:rPr>
        <w:t>compensation, other than statutory</w:t>
      </w:r>
      <w:r>
        <w:rPr>
          <w:sz w:val="20"/>
          <w:szCs w:val="20"/>
          <w:color w:val="auto"/>
        </w:rPr>
        <w:tab/>
      </w:r>
      <w:r>
        <w:rPr>
          <w:rFonts w:ascii="Arial" w:cs="Arial" w:eastAsia="Arial" w:hAnsi="Arial"/>
          <w:sz w:val="14"/>
          <w:szCs w:val="14"/>
          <w:color w:val="FFFFFF"/>
        </w:rPr>
        <w:t>.</w:t>
      </w:r>
    </w:p>
    <w:p>
      <w:pPr>
        <w:sectPr>
          <w:pgSz w:w="11900" w:h="16838" w:orient="portrait"/>
          <w:cols w:equalWidth="0" w:num="1">
            <w:col w:w="11380"/>
          </w:cols>
          <w:pgMar w:left="240" w:top="1440" w:right="27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AnnualReport ofReporttheDirectors201239</w:t>
      </w:r>
    </w:p>
    <w:p>
      <w:pPr>
        <w:ind w:left="100"/>
        <w:spacing w:after="0"/>
        <w:rPr>
          <w:sz w:val="20"/>
          <w:szCs w:val="20"/>
          <w:color w:val="auto"/>
        </w:rPr>
      </w:pPr>
      <w:r>
        <w:rPr>
          <w:rFonts w:ascii="Arial" w:cs="Arial" w:eastAsia="Arial" w:hAnsi="Arial"/>
          <w:sz w:val="3"/>
          <w:szCs w:val="3"/>
          <w:color w:val="FFFFFF"/>
        </w:rPr>
        <w:t>IRECTORS (CONTINUED)</w:t>
      </w:r>
    </w:p>
    <w:p>
      <w:pPr>
        <w:spacing w:after="0" w:line="181" w:lineRule="auto"/>
        <w:rPr>
          <w:sz w:val="20"/>
          <w:szCs w:val="20"/>
          <w:color w:val="auto"/>
        </w:rPr>
      </w:pPr>
      <w:r>
        <w:rPr>
          <w:rFonts w:ascii="Arial" w:cs="Arial" w:eastAsia="Arial" w:hAnsi="Arial"/>
          <w:sz w:val="10"/>
          <w:szCs w:val="10"/>
          <w:color w:val="FFFFFF"/>
        </w:rPr>
        <w:t>Detailsirectors’of theEmolumentsremuneration of the Directors (including Mr. Kazuo Okada*) are set out in note 26 to the Financial Statements. There has been no arrangement under which any Director has waived or agreed to</w:t>
      </w:r>
    </w:p>
    <w:p>
      <w:pPr>
        <w:spacing w:after="0"/>
        <w:rPr>
          <w:sz w:val="20"/>
          <w:szCs w:val="20"/>
          <w:color w:val="auto"/>
        </w:rPr>
      </w:pPr>
      <w:r>
        <w:rPr>
          <w:rFonts w:ascii="Arial" w:cs="Arial" w:eastAsia="Arial" w:hAnsi="Arial"/>
          <w:sz w:val="3"/>
          <w:szCs w:val="3"/>
          <w:color w:val="FFFFFF"/>
        </w:rPr>
        <w:t>waive any emoluments.</w:t>
      </w:r>
    </w:p>
    <w:p>
      <w:pPr>
        <w:spacing w:after="0" w:line="201" w:lineRule="auto"/>
        <w:rPr>
          <w:sz w:val="20"/>
          <w:szCs w:val="20"/>
          <w:color w:val="auto"/>
        </w:rPr>
      </w:pPr>
      <w:r>
        <w:rPr>
          <w:rFonts w:ascii="Arial" w:cs="Arial" w:eastAsia="Arial" w:hAnsi="Arial"/>
          <w:sz w:val="9"/>
          <w:szCs w:val="9"/>
          <w:color w:val="FFFFFF"/>
        </w:rPr>
        <w:t>TDirectors’theknowledgeInterestsofintheContractsBoard, thereandCompetingisnocontractBusinessesofsigni? cance in relation to the Group’s business subsisting at the end of the year or during the year ended 31 December 2012 in which the Group was a party</w:t>
      </w:r>
    </w:p>
    <w:p>
      <w:pPr>
        <w:spacing w:after="0"/>
        <w:rPr>
          <w:sz w:val="20"/>
          <w:szCs w:val="20"/>
          <w:color w:val="auto"/>
        </w:rPr>
      </w:pPr>
      <w:r>
        <w:rPr>
          <w:rFonts w:ascii="Arial" w:cs="Arial" w:eastAsia="Arial" w:hAnsi="Arial"/>
          <w:sz w:val="3"/>
          <w:szCs w:val="3"/>
          <w:color w:val="FFFFFF"/>
        </w:rPr>
        <w:t>and in which a Director (including Mr. Kazuo Okada*) was materially interested.</w:t>
      </w:r>
    </w:p>
    <w:p>
      <w:pPr>
        <w:spacing w:after="0" w:line="209" w:lineRule="auto"/>
        <w:rPr>
          <w:sz w:val="20"/>
          <w:szCs w:val="20"/>
          <w:color w:val="auto"/>
        </w:rPr>
      </w:pPr>
      <w:r>
        <w:rPr>
          <w:rFonts w:ascii="Arial" w:cs="Arial" w:eastAsia="Arial" w:hAnsi="Arial"/>
          <w:sz w:val="10"/>
          <w:szCs w:val="10"/>
          <w:color w:val="FFFFFF"/>
        </w:rPr>
        <w:t>*To the knowledgeMr.KazuoofOkadatheBoard,ceasednonetobeofaourmemberDirectorsofourhadBoardanyintereston24Februaryinanybusiness2012. in Macau which competed with our Company’s business during the year ended 31 December 2012.</w:t>
      </w:r>
    </w:p>
    <w:p>
      <w:pPr>
        <w:ind w:right="200"/>
        <w:spacing w:after="0"/>
        <w:rPr>
          <w:sz w:val="20"/>
          <w:szCs w:val="20"/>
          <w:color w:val="auto"/>
        </w:rPr>
      </w:pPr>
      <w:r>
        <w:rPr>
          <w:rFonts w:ascii="Arial" w:cs="Arial" w:eastAsia="Arial" w:hAnsi="Arial"/>
          <w:sz w:val="7"/>
          <w:szCs w:val="7"/>
          <w:color w:val="FFFFFF"/>
        </w:rPr>
        <w:t>DuringCONNECTEDtheyear TRANSACTIONSended31December 2012, the Group engaged in certain transactions with Wynn Resorts, Limited (its controlling shareholder) and Wynn Resorts, Limited’s subsidiaries (excluding the Group) (togetherResorts,the“WRL Group”) which constitute connected transactions under the Listing Rules.</w:t>
      </w:r>
    </w:p>
    <w:p>
      <w:pPr>
        <w:spacing w:after="0" w:line="41" w:lineRule="exact"/>
        <w:rPr>
          <w:sz w:val="20"/>
          <w:szCs w:val="20"/>
          <w:color w:val="auto"/>
        </w:rPr>
      </w:pPr>
    </w:p>
    <w:p>
      <w:pPr>
        <w:ind w:right="40"/>
        <w:spacing w:after="0"/>
        <w:rPr>
          <w:sz w:val="20"/>
          <w:szCs w:val="20"/>
          <w:color w:val="auto"/>
        </w:rPr>
      </w:pPr>
      <w:r>
        <w:rPr>
          <w:rFonts w:ascii="Arial" w:cs="Arial" w:eastAsia="Arial" w:hAnsi="Arial"/>
          <w:sz w:val="3"/>
          <w:szCs w:val="3"/>
          <w:color w:val="FFFFFF"/>
        </w:rPr>
        <w:t>(which,Wynn holdingLimitedmorethanisconsidered10%ofthea Company’“connectedHoldingsshareperson”capital,underistheasubstantialListingRulesshareholderbyvirtueandof it“connectedbeingthe holdingperson” companyoftheGroup)(an“associate”.PuGroupsuanttoasthedefiListingnedinRules,theListinganymemberRules)ofofWMtheWRLCaymanGroupHoldingsisalsoLimited I considered an “associate” of WM Cayman Limited I and a person” of the Group. Any transaction between the and the WRL Group is accordingly a connected transaction.</w:t>
      </w:r>
    </w:p>
    <w:p>
      <w:pPr>
        <w:spacing w:after="0" w:line="181" w:lineRule="auto"/>
        <w:rPr>
          <w:sz w:val="20"/>
          <w:szCs w:val="20"/>
          <w:color w:val="auto"/>
        </w:rPr>
      </w:pPr>
      <w:r>
        <w:rPr>
          <w:rFonts w:ascii="Arial" w:cs="Arial" w:eastAsia="Arial" w:hAnsi="Arial"/>
          <w:sz w:val="7"/>
          <w:szCs w:val="7"/>
          <w:color w:val="FFFFFF"/>
        </w:rPr>
        <w:t xml:space="preserve">During the </w:t>
      </w:r>
      <w:r>
        <w:rPr>
          <w:rFonts w:ascii="Arial" w:cs="Arial" w:eastAsia="Arial" w:hAnsi="Arial"/>
          <w:sz w:val="10"/>
          <w:szCs w:val="10"/>
          <w:color w:val="FFFFFF"/>
          <w:vertAlign w:val="subscript"/>
        </w:rPr>
        <w:t>disclosure</w:t>
      </w:r>
      <w:r>
        <w:rPr>
          <w:rFonts w:ascii="Arial" w:cs="Arial" w:eastAsia="Arial" w:hAnsi="Arial"/>
          <w:sz w:val="7"/>
          <w:szCs w:val="7"/>
          <w:color w:val="FFFFFF"/>
        </w:rPr>
        <w:t>yearendd 31 December 2012, the following non-exempt“connected transactions were in effect between the Group and the WRL Group, such transactions being subject to disclosure requirements</w:t>
      </w:r>
    </w:p>
    <w:p>
      <w:pPr>
        <w:spacing w:after="0"/>
        <w:tabs>
          <w:tab w:leader="none" w:pos="1160" w:val="left"/>
        </w:tabs>
        <w:rPr>
          <w:sz w:val="20"/>
          <w:szCs w:val="20"/>
          <w:color w:val="auto"/>
        </w:rPr>
      </w:pPr>
      <w:r>
        <w:rPr>
          <w:rFonts w:ascii="Arial" w:cs="Arial" w:eastAsia="Arial" w:hAnsi="Arial"/>
          <w:sz w:val="14"/>
          <w:szCs w:val="14"/>
          <w:color w:val="FFFFFF"/>
        </w:rPr>
        <w:t>(including</w:t>
      </w:r>
      <w:r>
        <w:rPr>
          <w:sz w:val="20"/>
          <w:szCs w:val="20"/>
          <w:color w:val="auto"/>
        </w:rPr>
        <w:tab/>
      </w:r>
      <w:r>
        <w:rPr>
          <w:rFonts w:ascii="Arial" w:cs="Arial" w:eastAsia="Arial" w:hAnsi="Arial"/>
          <w:sz w:val="14"/>
          <w:szCs w:val="14"/>
          <w:color w:val="FFFFFF"/>
        </w:rPr>
        <w:t>in this Annual Report) under the Listing Rules:</w:t>
      </w:r>
    </w:p>
    <w:p>
      <w:pPr>
        <w:sectPr>
          <w:pgSz w:w="11900" w:h="16838" w:orient="portrait"/>
          <w:cols w:equalWidth="0" w:num="1">
            <w:col w:w="11400"/>
          </w:cols>
          <w:pgMar w:left="240" w:top="1440" w:right="2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40 Wynn Macau, Limited</w:t>
      </w:r>
    </w:p>
    <w:p>
      <w:pPr>
        <w:spacing w:after="0" w:line="187" w:lineRule="auto"/>
        <w:rPr>
          <w:sz w:val="20"/>
          <w:szCs w:val="20"/>
          <w:color w:val="auto"/>
        </w:rPr>
      </w:pPr>
      <w:r>
        <w:rPr>
          <w:rFonts w:ascii="Arial" w:cs="Arial" w:eastAsia="Arial" w:hAnsi="Arial"/>
          <w:sz w:val="9"/>
          <w:szCs w:val="9"/>
          <w:color w:val="FFFFFF"/>
        </w:rPr>
        <w:t>Report of the Directors</w:t>
      </w:r>
    </w:p>
    <w:p>
      <w:pPr>
        <w:spacing w:after="0"/>
        <w:rPr>
          <w:sz w:val="20"/>
          <w:szCs w:val="20"/>
          <w:color w:val="auto"/>
        </w:rPr>
      </w:pPr>
      <w:r>
        <w:rPr>
          <w:rFonts w:ascii="Arial" w:cs="Arial" w:eastAsia="Arial" w:hAnsi="Arial"/>
          <w:sz w:val="3"/>
          <w:szCs w:val="3"/>
          <w:color w:val="FFFFFF"/>
        </w:rPr>
        <w:t>WorldwideCONNECTEDWynnTRANSACTIONSEmploymentFramework(CONTINUED)Agreements</w:t>
      </w:r>
    </w:p>
    <w:p>
      <w:pPr>
        <w:spacing w:after="0" w:line="6" w:lineRule="exact"/>
        <w:rPr>
          <w:sz w:val="20"/>
          <w:szCs w:val="20"/>
          <w:color w:val="auto"/>
        </w:rPr>
      </w:pPr>
    </w:p>
    <w:p>
      <w:pPr>
        <w:ind w:right="40"/>
        <w:spacing w:after="0" w:line="201" w:lineRule="auto"/>
        <w:rPr>
          <w:sz w:val="20"/>
          <w:szCs w:val="20"/>
          <w:color w:val="auto"/>
        </w:rPr>
      </w:pPr>
      <w:r>
        <w:rPr>
          <w:rFonts w:ascii="Arial" w:cs="Arial" w:eastAsia="Arial" w:hAnsi="Arial"/>
          <w:sz w:val="7"/>
          <w:szCs w:val="7"/>
          <w:color w:val="FFFFFF"/>
        </w:rPr>
        <w:t>Nature and purpose of transaction. On 19 September 2009, the Company and WRM each entered into an employment framework agreement with Worldwide Wynn, a wholly owned subsidiary of Wynn Resorts, Limited, under which Worldwide Wynn employed certain of the Group’s management personnel who are U.S. residents based in or to be based in Macau (“U.S. Resident Staff”) on the Group’s behalf and seconded them to the Group. Each U.S. Resident Staff has a formal employment agreement with the Group through the secondment. This arrangement was put in place to ensure that each U.S Resident Staff is, in addition to his or her employment with the Group, also employed by a U.S.-incorporated entity in order to allow him or her to continue to enjoy certain benefi ts relating to pension, personal income tax, and health and life insurance.</w:t>
      </w:r>
    </w:p>
    <w:p>
      <w:pPr>
        <w:spacing w:after="0" w:line="213" w:lineRule="auto"/>
        <w:rPr>
          <w:sz w:val="20"/>
          <w:szCs w:val="20"/>
          <w:color w:val="auto"/>
        </w:rPr>
      </w:pPr>
      <w:r>
        <w:rPr>
          <w:rFonts w:ascii="Arial" w:cs="Arial" w:eastAsia="Arial" w:hAnsi="Arial"/>
          <w:sz w:val="2"/>
          <w:szCs w:val="2"/>
          <w:color w:val="FFFFFF"/>
        </w:rPr>
        <w:t>Pricing. Under the employment framework agreements, Worldwide</w:t>
      </w:r>
      <w:r>
        <w:rPr>
          <w:rFonts w:ascii="Arial" w:cs="Arial" w:eastAsia="Arial" w:hAnsi="Arial"/>
          <w:sz w:val="4"/>
          <w:szCs w:val="4"/>
          <w:color w:val="FFFFFF"/>
          <w:vertAlign w:val="subscript"/>
        </w:rPr>
        <w:t>employee</w:t>
      </w:r>
      <w:r>
        <w:rPr>
          <w:rFonts w:ascii="Arial" w:cs="Arial" w:eastAsia="Arial" w:hAnsi="Arial"/>
          <w:sz w:val="2"/>
          <w:szCs w:val="2"/>
          <w:color w:val="FFFFFF"/>
        </w:rPr>
        <w:t>Wynn is to be reimbursed for the cost of the secondments (including salaries and bene? ts of the seconded employee) and is entitled to receive</w:t>
      </w:r>
    </w:p>
    <w:p>
      <w:pPr>
        <w:ind w:right="160"/>
        <w:spacing w:after="0" w:line="187" w:lineRule="auto"/>
        <w:rPr>
          <w:sz w:val="20"/>
          <w:szCs w:val="20"/>
          <w:color w:val="auto"/>
        </w:rPr>
      </w:pPr>
      <w:r>
        <w:rPr>
          <w:rFonts w:ascii="Arial" w:cs="Arial" w:eastAsia="Arial" w:hAnsi="Arial"/>
          <w:sz w:val="9"/>
          <w:szCs w:val="9"/>
          <w:color w:val="FFFFFF"/>
        </w:rPr>
        <w:t>a fee of 5% of the aggregate cost of the secondment of the during the secondment period, for its role in the employment arrangement. Approximately HK$137.0 million was charged to the Group by Worldwide Wynn under this arrangement during the year ended 31 December 2012.</w:t>
      </w:r>
    </w:p>
    <w:p>
      <w:pPr>
        <w:spacing w:after="0" w:line="181" w:lineRule="auto"/>
        <w:rPr>
          <w:sz w:val="20"/>
          <w:szCs w:val="20"/>
          <w:color w:val="auto"/>
        </w:rPr>
      </w:pPr>
      <w:r>
        <w:rPr>
          <w:rFonts w:ascii="Arial" w:cs="Arial" w:eastAsia="Arial" w:hAnsi="Arial"/>
          <w:sz w:val="6"/>
          <w:szCs w:val="6"/>
          <w:color w:val="FFFFFF"/>
        </w:rPr>
        <w:t>Term. The employment framework agreements had an initial term which expired on 31 December 2011. A waiver was granted by the Hong Kong Stock Exchange at the time of the Listing from the announcement requirements under the Listing Rules for the initial term. Pursuant to the terms therein, unless terminated by either party to the agreements by giving one month’s written notice in advance</w:t>
      </w:r>
      <w:r>
        <w:rPr>
          <w:rFonts w:ascii="Arial" w:cs="Arial" w:eastAsia="Arial" w:hAnsi="Arial"/>
          <w:sz w:val="7"/>
          <w:szCs w:val="7"/>
          <w:color w:val="FFFFFF"/>
          <w:vertAlign w:val="subscript"/>
        </w:rPr>
        <w:t>subsequent</w:t>
      </w:r>
      <w:r>
        <w:rPr>
          <w:rFonts w:ascii="Arial" w:cs="Arial" w:eastAsia="Arial" w:hAnsi="Arial"/>
          <w:sz w:val="6"/>
          <w:szCs w:val="6"/>
          <w:color w:val="FFFFFF"/>
        </w:rPr>
        <w:t xml:space="preserve">tothe </w:t>
      </w:r>
      <w:r>
        <w:rPr>
          <w:rFonts w:ascii="Arial" w:cs="Arial" w:eastAsia="Arial" w:hAnsi="Arial"/>
          <w:sz w:val="7"/>
          <w:szCs w:val="7"/>
          <w:color w:val="FFFFFF"/>
          <w:vertAlign w:val="subscript"/>
        </w:rPr>
        <w:t>renewal</w:t>
      </w:r>
      <w:r>
        <w:rPr>
          <w:rFonts w:ascii="Arial" w:cs="Arial" w:eastAsia="Arial" w:hAnsi="Arial"/>
          <w:sz w:val="6"/>
          <w:szCs w:val="6"/>
          <w:color w:val="FFFFFF"/>
        </w:rPr>
        <w:t>othparty</w:t>
      </w:r>
      <w:r>
        <w:rPr>
          <w:rFonts w:ascii="Arial" w:cs="Arial" w:eastAsia="Arial" w:hAnsi="Arial"/>
          <w:sz w:val="7"/>
          <w:szCs w:val="7"/>
          <w:color w:val="FFFFFF"/>
          <w:vertAlign w:val="subscript"/>
        </w:rPr>
        <w:t>term,</w:t>
      </w:r>
      <w:r>
        <w:rPr>
          <w:rFonts w:ascii="Arial" w:cs="Arial" w:eastAsia="Arial" w:hAnsi="Arial"/>
          <w:sz w:val="6"/>
          <w:szCs w:val="6"/>
          <w:color w:val="FFFFFF"/>
        </w:rPr>
        <w:t>and subject to compliance with the Listing Rules requirements, or, alternatively, any waivers obtained from strict compliance with such requirements, upon expiration of the initial term or</w:t>
      </w:r>
    </w:p>
    <w:p>
      <w:pPr>
        <w:ind w:right="100" w:firstLine="776"/>
        <w:spacing w:after="0"/>
        <w:rPr>
          <w:sz w:val="20"/>
          <w:szCs w:val="20"/>
          <w:color w:val="auto"/>
        </w:rPr>
      </w:pPr>
      <w:r>
        <w:rPr>
          <w:rFonts w:ascii="Arial" w:cs="Arial" w:eastAsia="Arial" w:hAnsi="Arial"/>
          <w:sz w:val="5"/>
          <w:szCs w:val="5"/>
          <w:color w:val="FFFFFF"/>
        </w:rPr>
        <w:t>the agreements are automatically renewed for a further term of three years each time (or for such other period as may be permitted under the Listing Rules). In compliance with the Listing Rules, the Company announced on 6 December 2011 the renewal of these agreements for a further term of three years upon the expiry of the initial term and the respective annual caps set for the years ending</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FFFFFF"/>
        </w:rPr>
        <w:t>31 December 2012, 2013 and 2014.</w:t>
      </w:r>
    </w:p>
    <w:p>
      <w:pPr>
        <w:sectPr>
          <w:pgSz w:w="11900" w:h="16838" w:orient="portrait"/>
          <w:cols w:equalWidth="0" w:num="1">
            <w:col w:w="11380"/>
          </w:cols>
          <w:pgMar w:left="240" w:top="1440" w:right="27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20"/>
                <w:szCs w:val="20"/>
                <w:color w:val="auto"/>
              </w:rPr>
            </w:pPr>
            <w:r>
              <w:rPr>
                <w:rFonts w:ascii="Arial" w:cs="Arial" w:eastAsia="Arial" w:hAnsi="Arial"/>
                <w:sz w:val="14"/>
                <w:szCs w:val="14"/>
                <w:color w:val="FFFFFF"/>
              </w:rPr>
              <w:t>Annual Report 2012 41</w:t>
            </w: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14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CONNECTED TRANSACTIONS (CONTINUED)</w:t>
            </w:r>
          </w:p>
        </w:tc>
        <w:tc>
          <w:tcPr>
            <w:tcW w:w="14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Marketing and Secondment Services Framework Agreements</w:t>
            </w:r>
          </w:p>
        </w:tc>
        <w:tc>
          <w:tcPr>
            <w:tcW w:w="5780" w:type="dxa"/>
            <w:vAlign w:val="bottom"/>
            <w:gridSpan w:val="3"/>
            <w:vMerge w:val="restart"/>
          </w:tcPr>
          <w:p>
            <w:pPr>
              <w:jc w:val="right"/>
              <w:ind w:right="343"/>
              <w:spacing w:after="0" w:line="81" w:lineRule="exact"/>
              <w:rPr>
                <w:sz w:val="20"/>
                <w:szCs w:val="20"/>
                <w:color w:val="auto"/>
              </w:rPr>
            </w:pPr>
            <w:r>
              <w:rPr>
                <w:rFonts w:ascii="Arial" w:cs="Arial" w:eastAsia="Arial" w:hAnsi="Arial"/>
                <w:sz w:val="9"/>
                <w:szCs w:val="9"/>
                <w:color w:val="FFFFFF"/>
              </w:rPr>
              <w:t>marketing and secondment service framework agreement with WIML, an af? liate of Wynn Resorts,</w:t>
            </w: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Nature and purpose of transaction. On 19 September 2009, the Company and WRM each entered into</w:t>
            </w:r>
          </w:p>
        </w:tc>
        <w:tc>
          <w:tcPr>
            <w:tcW w:w="578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Limited. Pursuant to the agreements, WIML will (1) provide, directly and through its authorized agents,</w:t>
            </w:r>
          </w:p>
        </w:tc>
        <w:tc>
          <w:tcPr>
            <w:tcW w:w="1440" w:type="dxa"/>
            <w:vAlign w:val="bottom"/>
          </w:tcPr>
          <w:p>
            <w:pPr>
              <w:ind w:left="620"/>
              <w:spacing w:after="0"/>
              <w:rPr>
                <w:sz w:val="20"/>
                <w:szCs w:val="20"/>
                <w:color w:val="auto"/>
              </w:rPr>
            </w:pPr>
            <w:r>
              <w:rPr>
                <w:rFonts w:ascii="Arial" w:cs="Arial" w:eastAsia="Arial" w:hAnsi="Arial"/>
                <w:sz w:val="3"/>
                <w:szCs w:val="3"/>
                <w:color w:val="FFFFFF"/>
              </w:rPr>
              <w:t>services to WR</w:t>
            </w:r>
          </w:p>
        </w:tc>
        <w:tc>
          <w:tcPr>
            <w:tcW w:w="1680" w:type="dxa"/>
            <w:vAlign w:val="bottom"/>
          </w:tcPr>
          <w:p>
            <w:pPr>
              <w:ind w:left="120"/>
              <w:spacing w:after="0"/>
              <w:rPr>
                <w:sz w:val="20"/>
                <w:szCs w:val="20"/>
                <w:color w:val="auto"/>
              </w:rPr>
            </w:pPr>
            <w:r>
              <w:rPr>
                <w:rFonts w:ascii="Arial" w:cs="Arial" w:eastAsia="Arial" w:hAnsi="Arial"/>
                <w:sz w:val="3"/>
                <w:szCs w:val="3"/>
                <w:color w:val="FFFFFF"/>
              </w:rPr>
              <w:t>, including the development,</w:t>
            </w:r>
          </w:p>
        </w:tc>
        <w:tc>
          <w:tcPr>
            <w:tcW w:w="2660" w:type="dxa"/>
            <w:vAlign w:val="bottom"/>
          </w:tcPr>
          <w:p>
            <w:pPr>
              <w:jc w:val="right"/>
              <w:spacing w:after="0"/>
              <w:rPr>
                <w:sz w:val="20"/>
                <w:szCs w:val="20"/>
                <w:color w:val="auto"/>
              </w:rPr>
            </w:pPr>
            <w:r>
              <w:rPr>
                <w:rFonts w:ascii="Arial" w:cs="Arial" w:eastAsia="Arial" w:hAnsi="Arial"/>
                <w:sz w:val="3"/>
                <w:szCs w:val="3"/>
                <w:color w:val="FFFFFF"/>
              </w:rPr>
              <w:t>and operation of an international</w:t>
            </w:r>
          </w:p>
        </w:tc>
        <w:tc>
          <w:tcPr>
            <w:tcW w:w="0" w:type="dxa"/>
            <w:vAlign w:val="bottom"/>
          </w:tcPr>
          <w:p>
            <w:pPr>
              <w:spacing w:after="0"/>
              <w:rPr>
                <w:sz w:val="1"/>
                <w:szCs w:val="1"/>
                <w:color w:val="auto"/>
              </w:rPr>
            </w:pPr>
          </w:p>
        </w:tc>
      </w:tr>
      <w:tr>
        <w:trPr>
          <w:trHeight w:val="41"/>
        </w:trPr>
        <w:tc>
          <w:tcPr>
            <w:tcW w:w="7060" w:type="dxa"/>
            <w:vAlign w:val="bottom"/>
            <w:gridSpan w:val="2"/>
          </w:tcPr>
          <w:p>
            <w:pPr>
              <w:spacing w:after="0"/>
              <w:rPr>
                <w:sz w:val="20"/>
                <w:szCs w:val="20"/>
                <w:color w:val="auto"/>
              </w:rPr>
            </w:pPr>
            <w:r>
              <w:rPr>
                <w:rFonts w:ascii="Arial" w:cs="Arial" w:eastAsia="Arial" w:hAnsi="Arial"/>
                <w:sz w:val="3"/>
                <w:szCs w:val="3"/>
                <w:color w:val="FFFFFF"/>
              </w:rPr>
              <w:t>promotional and marketing plan for WRM’ casino resorts, and (2) employ certain non-Macau residents basedmarketingor to be based in</w:t>
            </w:r>
          </w:p>
        </w:tc>
        <w:tc>
          <w:tcPr>
            <w:tcW w:w="1680" w:type="dxa"/>
            <w:vAlign w:val="bottom"/>
          </w:tcPr>
          <w:p>
            <w:pPr>
              <w:spacing w:after="0"/>
              <w:rPr>
                <w:sz w:val="20"/>
                <w:szCs w:val="20"/>
                <w:color w:val="auto"/>
              </w:rPr>
            </w:pPr>
            <w:r>
              <w:rPr>
                <w:rFonts w:ascii="Arial" w:cs="Arial" w:eastAsia="Arial" w:hAnsi="Arial"/>
                <w:sz w:val="3"/>
                <w:szCs w:val="3"/>
                <w:color w:val="FFFFFF"/>
              </w:rPr>
              <w:t>Macau (“Foreign Resident</w:t>
            </w:r>
          </w:p>
        </w:tc>
        <w:tc>
          <w:tcPr>
            <w:tcW w:w="2660" w:type="dxa"/>
            <w:vAlign w:val="bottom"/>
          </w:tcPr>
          <w:p>
            <w:pPr>
              <w:jc w:val="right"/>
              <w:spacing w:after="0"/>
              <w:rPr>
                <w:sz w:val="20"/>
                <w:szCs w:val="20"/>
                <w:color w:val="auto"/>
              </w:rPr>
            </w:pPr>
            <w:r>
              <w:rPr>
                <w:rFonts w:ascii="Arial" w:cs="Arial" w:eastAsia="Arial" w:hAnsi="Arial"/>
                <w:sz w:val="3"/>
                <w:szCs w:val="3"/>
                <w:color w:val="FFFFFF"/>
              </w:rPr>
              <w:t>f”)implementationtheGroup’s behalf and second the Foreign</w:t>
            </w:r>
          </w:p>
        </w:tc>
        <w:tc>
          <w:tcPr>
            <w:tcW w:w="0" w:type="dxa"/>
            <w:vAlign w:val="bottom"/>
          </w:tcPr>
          <w:p>
            <w:pPr>
              <w:spacing w:after="0"/>
              <w:rPr>
                <w:sz w:val="1"/>
                <w:szCs w:val="1"/>
                <w:color w:val="auto"/>
              </w:rPr>
            </w:pPr>
          </w:p>
        </w:tc>
      </w:tr>
      <w:tr>
        <w:trPr>
          <w:trHeight w:val="41"/>
        </w:trPr>
        <w:tc>
          <w:tcPr>
            <w:tcW w:w="5620" w:type="dxa"/>
            <w:vAlign w:val="bottom"/>
          </w:tcPr>
          <w:p>
            <w:pPr>
              <w:spacing w:after="0"/>
              <w:rPr>
                <w:sz w:val="20"/>
                <w:szCs w:val="20"/>
                <w:color w:val="auto"/>
              </w:rPr>
            </w:pPr>
            <w:r>
              <w:rPr>
                <w:rFonts w:ascii="Arial" w:cs="Arial" w:eastAsia="Arial" w:hAnsi="Arial"/>
                <w:sz w:val="3"/>
                <w:szCs w:val="3"/>
                <w:color w:val="FFFFFF"/>
              </w:rPr>
              <w:t>Resident Staff to the Group. Marketing efforts conducted through  uniform marketing plan for all</w:t>
            </w:r>
          </w:p>
        </w:tc>
        <w:tc>
          <w:tcPr>
            <w:tcW w:w="5780" w:type="dxa"/>
            <w:vAlign w:val="bottom"/>
            <w:gridSpan w:val="3"/>
          </w:tcPr>
          <w:p>
            <w:pPr>
              <w:jc w:val="right"/>
              <w:ind w:right="383"/>
              <w:spacing w:after="0"/>
              <w:rPr>
                <w:sz w:val="20"/>
                <w:szCs w:val="20"/>
                <w:color w:val="auto"/>
              </w:rPr>
            </w:pPr>
            <w:r>
              <w:rPr>
                <w:rFonts w:ascii="Arial" w:cs="Arial" w:eastAsia="Arial" w:hAnsi="Arial"/>
                <w:sz w:val="3"/>
                <w:szCs w:val="3"/>
                <w:color w:val="FFFFFF"/>
              </w:rPr>
              <w:t>resorts bearing the “WYNN” brand name ensure thatStafconsistent image and style will be adopted</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globally. The secondment arrangement was put in place to ensure that each Foreign Resident Staff is,casinoaddition to his or her employment with the Group, employed by an appropriate offshore entity in order to</w:t>
            </w:r>
          </w:p>
        </w:tc>
        <w:tc>
          <w:tcPr>
            <w:tcW w:w="0" w:type="dxa"/>
            <w:vAlign w:val="bottom"/>
          </w:tcPr>
          <w:p>
            <w:pPr>
              <w:spacing w:after="0"/>
              <w:rPr>
                <w:sz w:val="1"/>
                <w:szCs w:val="1"/>
                <w:color w:val="auto"/>
              </w:rPr>
            </w:pPr>
          </w:p>
        </w:tc>
      </w:tr>
      <w:tr>
        <w:trPr>
          <w:trHeight w:val="41"/>
        </w:trPr>
        <w:tc>
          <w:tcPr>
            <w:tcW w:w="7060" w:type="dxa"/>
            <w:vAlign w:val="bottom"/>
            <w:gridSpan w:val="2"/>
          </w:tcPr>
          <w:p>
            <w:pPr>
              <w:spacing w:after="0"/>
              <w:rPr>
                <w:sz w:val="20"/>
                <w:szCs w:val="20"/>
                <w:color w:val="auto"/>
              </w:rPr>
            </w:pPr>
            <w:r>
              <w:rPr>
                <w:rFonts w:ascii="Arial" w:cs="Arial" w:eastAsia="Arial" w:hAnsi="Arial"/>
                <w:sz w:val="3"/>
                <w:szCs w:val="3"/>
                <w:color w:val="FFFFFF"/>
              </w:rPr>
              <w:t>allow him or her to continue to enjoy certain benefi ts relating to pension, personal income tax, and health and life insurance.</w:t>
            </w:r>
          </w:p>
        </w:tc>
        <w:tc>
          <w:tcPr>
            <w:tcW w:w="1680" w:type="dxa"/>
            <w:vAlign w:val="bottom"/>
          </w:tcPr>
          <w:p>
            <w:pPr>
              <w:spacing w:after="0"/>
              <w:rPr>
                <w:sz w:val="3"/>
                <w:szCs w:val="3"/>
                <w:color w:val="auto"/>
              </w:rPr>
            </w:pPr>
          </w:p>
        </w:tc>
        <w:tc>
          <w:tcPr>
            <w:tcW w:w="2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Pricing. Under the marketing and secondment service framework agreements, the fee for the services provided by WIML is based on a cost and expense reimbursement basis plus  fee of 5% of the aggregate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costs and expenses incurred by WIML in the performance of its services. Approximately HK$31.3 million was charged to the Group by WIML under this arrangement during the year ended 31 December 2012.</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Term. The marketing and secondment services framework agreements had an initial term which expired on 31 December 2011. A waiver was granted by the Hong Kong Stock Exchange at the time of the Listing</w:t>
            </w:r>
          </w:p>
        </w:tc>
        <w:tc>
          <w:tcPr>
            <w:tcW w:w="0" w:type="dxa"/>
            <w:vAlign w:val="bottom"/>
          </w:tcPr>
          <w:p>
            <w:pPr>
              <w:spacing w:after="0"/>
              <w:rPr>
                <w:sz w:val="1"/>
                <w:szCs w:val="1"/>
                <w:color w:val="auto"/>
              </w:rPr>
            </w:pPr>
          </w:p>
        </w:tc>
      </w:tr>
      <w:tr>
        <w:trPr>
          <w:trHeight w:val="0"/>
        </w:trPr>
        <w:tc>
          <w:tcPr>
            <w:tcW w:w="5620" w:type="dxa"/>
            <w:vAlign w:val="bottom"/>
          </w:tcPr>
          <w:p>
            <w:pPr>
              <w:spacing w:after="0" w:line="80" w:lineRule="exact"/>
              <w:rPr>
                <w:sz w:val="20"/>
                <w:szCs w:val="20"/>
                <w:color w:val="auto"/>
              </w:rPr>
            </w:pPr>
            <w:r>
              <w:rPr>
                <w:rFonts w:ascii="Arial" w:cs="Arial" w:eastAsia="Arial" w:hAnsi="Arial"/>
                <w:sz w:val="9"/>
                <w:szCs w:val="9"/>
                <w:color w:val="FFFFFF"/>
              </w:rPr>
              <w:t>from the announcement requirements under the Listing Rules for the initial term. Pursuant to the terms</w:t>
            </w:r>
          </w:p>
        </w:tc>
        <w:tc>
          <w:tcPr>
            <w:tcW w:w="5780" w:type="dxa"/>
            <w:vAlign w:val="bottom"/>
            <w:gridSpan w:val="3"/>
          </w:tcPr>
          <w:p>
            <w:pPr>
              <w:jc w:val="right"/>
              <w:ind w:right="563"/>
              <w:spacing w:after="0" w:line="80" w:lineRule="exact"/>
              <w:rPr>
                <w:sz w:val="20"/>
                <w:szCs w:val="20"/>
                <w:color w:val="auto"/>
              </w:rPr>
            </w:pPr>
            <w:r>
              <w:rPr>
                <w:rFonts w:ascii="Arial" w:cs="Arial" w:eastAsia="Arial" w:hAnsi="Arial"/>
                <w:sz w:val="9"/>
                <w:szCs w:val="9"/>
                <w:color w:val="FFFFFF"/>
              </w:rPr>
              <w:t>unless terminated by either party to the agreements by giving one month’s written notice</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advance to the other party</w:t>
      </w:r>
      <w:r>
        <w:rPr>
          <w:rFonts w:ascii="Arial" w:cs="Arial" w:eastAsia="Arial" w:hAnsi="Arial"/>
          <w:sz w:val="1"/>
          <w:szCs w:val="1"/>
          <w:color w:val="FFFFFF"/>
          <w:vertAlign w:val="superscript"/>
        </w:rPr>
        <w:t>term,</w:t>
      </w:r>
      <w:r>
        <w:rPr>
          <w:rFonts w:ascii="Arial" w:cs="Arial" w:eastAsia="Arial" w:hAnsi="Arial"/>
          <w:sz w:val="1"/>
          <w:szCs w:val="1"/>
          <w:color w:val="FFFFFF"/>
        </w:rPr>
        <w:t>and subject to compliance with the Listing Rules requirements, or, alternativelytherein,any waivers obtained from strict compliance with such requirements, upon expiration of the initial term</w:t>
      </w:r>
    </w:p>
    <w:p>
      <w:pPr>
        <w:ind w:right="160"/>
        <w:spacing w:after="0" w:line="187" w:lineRule="auto"/>
        <w:rPr>
          <w:sz w:val="20"/>
          <w:szCs w:val="20"/>
          <w:color w:val="auto"/>
        </w:rPr>
      </w:pPr>
      <w:r>
        <w:rPr>
          <w:rFonts w:ascii="Arial" w:cs="Arial" w:eastAsia="Arial" w:hAnsi="Arial"/>
          <w:sz w:val="9"/>
          <w:szCs w:val="9"/>
          <w:color w:val="FFFFFF"/>
        </w:rPr>
        <w:t>or subsequent renewal the agreements are automatically renewed for a further term of three years each time (or for such other period as may be permitted under the Listing Rules). In compliance with the Listing Rules, the Company announced on</w:t>
      </w:r>
    </w:p>
    <w:p>
      <w:pPr>
        <w:spacing w:after="0"/>
        <w:rPr>
          <w:sz w:val="20"/>
          <w:szCs w:val="20"/>
          <w:color w:val="auto"/>
        </w:rPr>
      </w:pPr>
      <w:r>
        <w:rPr>
          <w:rFonts w:ascii="Arial" w:cs="Arial" w:eastAsia="Arial" w:hAnsi="Arial"/>
          <w:sz w:val="12"/>
          <w:szCs w:val="12"/>
          <w:color w:val="FFFFFF"/>
        </w:rPr>
        <w:t>6 December 2011 the renewal of these agreements for a further term of three years upon the expiry of the initial term and the respective annual caps set for the years ending 31 December 2012, 2013 and 2014.</w:t>
      </w:r>
    </w:p>
    <w:p>
      <w:pPr>
        <w:sectPr>
          <w:pgSz w:w="11900" w:h="16838" w:orient="portrait"/>
          <w:cols w:equalWidth="0" w:num="1">
            <w:col w:w="11420"/>
          </w:cols>
          <w:pgMar w:left="240" w:top="1440" w:right="23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20"/>
                <w:szCs w:val="20"/>
                <w:color w:val="auto"/>
              </w:rPr>
            </w:pPr>
            <w:r>
              <w:rPr>
                <w:rFonts w:ascii="Arial" w:cs="Arial" w:eastAsia="Arial" w:hAnsi="Arial"/>
                <w:sz w:val="14"/>
                <w:szCs w:val="14"/>
                <w:color w:val="FFFFFF"/>
              </w:rPr>
              <w:t>42 Wynn Macau, Limited</w:t>
            </w:r>
          </w:p>
        </w:tc>
        <w:tc>
          <w:tcPr>
            <w:tcW w:w="5320" w:type="dxa"/>
            <w:vAlign w:val="bottom"/>
          </w:tcPr>
          <w:p>
            <w:pPr>
              <w:spacing w:after="0"/>
              <w:rPr>
                <w:sz w:val="14"/>
                <w:szCs w:val="14"/>
                <w:color w:val="auto"/>
              </w:rPr>
            </w:pPr>
          </w:p>
        </w:tc>
      </w:tr>
      <w:tr>
        <w:trPr>
          <w:trHeight w:val="41"/>
        </w:trPr>
        <w:tc>
          <w:tcPr>
            <w:tcW w:w="606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5320" w:type="dxa"/>
            <w:vAlign w:val="bottom"/>
          </w:tcPr>
          <w:p>
            <w:pPr>
              <w:spacing w:after="0"/>
              <w:rPr>
                <w:sz w:val="3"/>
                <w:szCs w:val="3"/>
                <w:color w:val="auto"/>
              </w:rPr>
            </w:pPr>
          </w:p>
        </w:tc>
      </w:tr>
      <w:tr>
        <w:trPr>
          <w:trHeight w:val="41"/>
        </w:trPr>
        <w:tc>
          <w:tcPr>
            <w:tcW w:w="6060" w:type="dxa"/>
            <w:vAlign w:val="bottom"/>
          </w:tcPr>
          <w:p>
            <w:pPr>
              <w:spacing w:after="0"/>
              <w:rPr>
                <w:sz w:val="20"/>
                <w:szCs w:val="20"/>
                <w:color w:val="auto"/>
              </w:rPr>
            </w:pPr>
            <w:r>
              <w:rPr>
                <w:rFonts w:ascii="Arial" w:cs="Arial" w:eastAsia="Arial" w:hAnsi="Arial"/>
                <w:sz w:val="3"/>
                <w:szCs w:val="3"/>
                <w:color w:val="FFFFFF"/>
              </w:rPr>
              <w:t>CONNECTED TRANSACTIONS (CONTINUED)</w:t>
            </w:r>
          </w:p>
        </w:tc>
        <w:tc>
          <w:tcPr>
            <w:tcW w:w="5320" w:type="dxa"/>
            <w:vAlign w:val="bottom"/>
          </w:tcPr>
          <w:p>
            <w:pPr>
              <w:spacing w:after="0"/>
              <w:rPr>
                <w:sz w:val="3"/>
                <w:szCs w:val="3"/>
                <w:color w:val="auto"/>
              </w:rPr>
            </w:pPr>
          </w:p>
        </w:tc>
      </w:tr>
      <w:tr>
        <w:trPr>
          <w:trHeight w:val="41"/>
        </w:trPr>
        <w:tc>
          <w:tcPr>
            <w:tcW w:w="6060" w:type="dxa"/>
            <w:vAlign w:val="bottom"/>
          </w:tcPr>
          <w:p>
            <w:pPr>
              <w:spacing w:after="0"/>
              <w:rPr>
                <w:sz w:val="20"/>
                <w:szCs w:val="20"/>
                <w:color w:val="auto"/>
              </w:rPr>
            </w:pPr>
            <w:r>
              <w:rPr>
                <w:rFonts w:ascii="Arial" w:cs="Arial" w:eastAsia="Arial" w:hAnsi="Arial"/>
                <w:sz w:val="3"/>
                <w:szCs w:val="3"/>
                <w:color w:val="FFFFFF"/>
              </w:rPr>
              <w:t>Design Services Framework Agreement</w:t>
            </w:r>
          </w:p>
        </w:tc>
        <w:tc>
          <w:tcPr>
            <w:tcW w:w="5320" w:type="dxa"/>
            <w:vAlign w:val="bottom"/>
          </w:tcPr>
          <w:p>
            <w:pPr>
              <w:spacing w:after="0"/>
              <w:rPr>
                <w:sz w:val="3"/>
                <w:szCs w:val="3"/>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Nature and purpose of transaction. On 19 September 2009, WRM entered into a design services framework agreement with Wynn Design &amp; Development, a subsidiary of Wynn Resorts, Limited, under which</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Wynn Design &amp; Development would provide design services for WRM’s projects in Macau, including the development, design and construction oversight of Encore and the further development of Wynn</w:t>
            </w:r>
          </w:p>
        </w:tc>
      </w:tr>
      <w:tr>
        <w:trPr>
          <w:trHeight w:val="41"/>
        </w:trPr>
        <w:tc>
          <w:tcPr>
            <w:tcW w:w="6060" w:type="dxa"/>
            <w:vAlign w:val="bottom"/>
          </w:tcPr>
          <w:p>
            <w:pPr>
              <w:spacing w:after="0"/>
              <w:rPr>
                <w:sz w:val="20"/>
                <w:szCs w:val="20"/>
                <w:color w:val="auto"/>
              </w:rPr>
            </w:pPr>
            <w:r>
              <w:rPr>
                <w:rFonts w:ascii="Arial" w:cs="Arial" w:eastAsia="Arial" w:hAnsi="Arial"/>
                <w:sz w:val="3"/>
                <w:szCs w:val="3"/>
                <w:color w:val="FFFFFF"/>
              </w:rPr>
              <w:t>Macau.</w:t>
            </w:r>
          </w:p>
        </w:tc>
        <w:tc>
          <w:tcPr>
            <w:tcW w:w="5320" w:type="dxa"/>
            <w:vAlign w:val="bottom"/>
          </w:tcPr>
          <w:p>
            <w:pPr>
              <w:spacing w:after="0"/>
              <w:rPr>
                <w:sz w:val="3"/>
                <w:szCs w:val="3"/>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Pricing. Under the design services ramework agreement, the fee for the services provided by Wynn Design &amp; Development is based on a cost and expense reimbursement basis incurred by Wynn Design &amp;</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Development in the performance of its service. Approximately HK$70.6 million was charged to WRM by Wynn Design &amp; Development under this arrangement during the year ended 31 December 2012.</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Term. The design services framework agreement had an initial term which expired on 31 December 2011. A waiver was granted by the Hong Kong Stock Exchange at the time of the Listing from the</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announcement requirements under the Listing Rules for the initial term. Pursuant to the terms therein, unless terminated by either party to the agreements by giving one month’s written notice in advance to the</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oth  party and subject to compliance with the Listing Rules requirements, or, alternatively, any waivers obtained from strict compliance with such requirements, upon expiration of the initial term or subsequent</w:t>
            </w:r>
          </w:p>
        </w:tc>
      </w:tr>
      <w:tr>
        <w:trPr>
          <w:trHeight w:val="0"/>
        </w:trPr>
        <w:tc>
          <w:tcPr>
            <w:tcW w:w="6060" w:type="dxa"/>
            <w:vAlign w:val="bottom"/>
          </w:tcPr>
          <w:p>
            <w:pPr>
              <w:spacing w:after="0" w:line="80" w:lineRule="exact"/>
              <w:rPr>
                <w:sz w:val="20"/>
                <w:szCs w:val="20"/>
                <w:color w:val="auto"/>
              </w:rPr>
            </w:pPr>
            <w:r>
              <w:rPr>
                <w:rFonts w:ascii="Arial" w:cs="Arial" w:eastAsia="Arial" w:hAnsi="Arial"/>
                <w:sz w:val="9"/>
                <w:szCs w:val="9"/>
                <w:color w:val="FFFFFF"/>
              </w:rPr>
              <w:t>renew l term, the agreement is automatically renewed for a further term of three years each time (or for such</w:t>
            </w:r>
          </w:p>
        </w:tc>
        <w:tc>
          <w:tcPr>
            <w:tcW w:w="5320" w:type="dxa"/>
            <w:vAlign w:val="bottom"/>
          </w:tcPr>
          <w:p>
            <w:pPr>
              <w:ind w:left="160"/>
              <w:spacing w:after="0" w:line="80" w:lineRule="exact"/>
              <w:rPr>
                <w:sz w:val="20"/>
                <w:szCs w:val="20"/>
                <w:color w:val="auto"/>
              </w:rPr>
            </w:pPr>
            <w:r>
              <w:rPr>
                <w:rFonts w:ascii="Arial" w:cs="Arial" w:eastAsia="Arial" w:hAnsi="Arial"/>
                <w:sz w:val="9"/>
                <w:szCs w:val="9"/>
                <w:color w:val="FFFFFF"/>
              </w:rPr>
              <w:t>period as may be permitted under the Listing Rules). In compliance with the Listing Rules, the</w:t>
            </w:r>
          </w:p>
        </w:tc>
      </w:tr>
    </w:tbl>
    <w:p>
      <w:pPr>
        <w:ind w:right="140"/>
        <w:spacing w:after="0"/>
        <w:rPr>
          <w:sz w:val="20"/>
          <w:szCs w:val="20"/>
          <w:color w:val="auto"/>
        </w:rPr>
      </w:pPr>
      <w:r>
        <w:rPr>
          <w:rFonts w:ascii="Arial" w:cs="Arial" w:eastAsia="Arial" w:hAnsi="Arial"/>
          <w:sz w:val="10"/>
          <w:szCs w:val="10"/>
          <w:color w:val="FFFFFF"/>
        </w:rPr>
        <w:t>Company announced on 6 December 2011 the renewal of the agreement for a further term of three years uponotherexpiry of the initial term and the respective annual caps set for the years ending 31 December 2012, 2013 and 2014.</w:t>
      </w:r>
    </w:p>
    <w:p>
      <w:pPr>
        <w:sectPr>
          <w:pgSz w:w="11900" w:h="16838" w:orient="portrait"/>
          <w:cols w:equalWidth="0" w:num="1">
            <w:col w:w="11380"/>
          </w:cols>
          <w:pgMar w:left="240" w:top="1440" w:right="27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gridSpan w:val="2"/>
          </w:tcPr>
          <w:p>
            <w:pPr>
              <w:spacing w:after="0"/>
              <w:rPr>
                <w:sz w:val="20"/>
                <w:szCs w:val="20"/>
                <w:color w:val="auto"/>
              </w:rPr>
            </w:pPr>
            <w:r>
              <w:rPr>
                <w:rFonts w:ascii="Arial" w:cs="Arial" w:eastAsia="Arial" w:hAnsi="Arial"/>
                <w:sz w:val="14"/>
                <w:szCs w:val="14"/>
                <w:color w:val="FFFFFF"/>
              </w:rPr>
              <w:t>Annual Report 2012 43</w:t>
            </w:r>
          </w:p>
        </w:tc>
        <w:tc>
          <w:tcPr>
            <w:tcW w:w="9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22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9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220" w:type="dxa"/>
            <w:vAlign w:val="bottom"/>
            <w:gridSpan w:val="2"/>
          </w:tcPr>
          <w:p>
            <w:pPr>
              <w:ind w:left="100"/>
              <w:spacing w:after="0"/>
              <w:rPr>
                <w:sz w:val="20"/>
                <w:szCs w:val="20"/>
                <w:color w:val="auto"/>
              </w:rPr>
            </w:pPr>
            <w:r>
              <w:rPr>
                <w:rFonts w:ascii="Arial" w:cs="Arial" w:eastAsia="Arial" w:hAnsi="Arial"/>
                <w:sz w:val="3"/>
                <w:szCs w:val="3"/>
                <w:color w:val="FFFFFF"/>
              </w:rPr>
              <w:t>ONNECTED TRANSACTIONS (CONTINUED)</w:t>
            </w:r>
          </w:p>
        </w:tc>
        <w:tc>
          <w:tcPr>
            <w:tcW w:w="920" w:type="dxa"/>
            <w:vAlign w:val="bottom"/>
          </w:tcPr>
          <w:p>
            <w:pPr>
              <w:spacing w:after="0"/>
              <w:rPr>
                <w:sz w:val="3"/>
                <w:szCs w:val="3"/>
                <w:color w:val="auto"/>
              </w:rPr>
            </w:pPr>
          </w:p>
        </w:tc>
        <w:tc>
          <w:tcPr>
            <w:tcW w:w="2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Corporate</w:t>
            </w:r>
          </w:p>
        </w:tc>
        <w:tc>
          <w:tcPr>
            <w:tcW w:w="7640" w:type="dxa"/>
            <w:vAlign w:val="bottom"/>
          </w:tcPr>
          <w:p>
            <w:pPr>
              <w:spacing w:after="0"/>
              <w:rPr>
                <w:sz w:val="20"/>
                <w:szCs w:val="20"/>
                <w:color w:val="auto"/>
              </w:rPr>
            </w:pPr>
            <w:r>
              <w:rPr>
                <w:rFonts w:ascii="Arial" w:cs="Arial" w:eastAsia="Arial" w:hAnsi="Arial"/>
                <w:sz w:val="3"/>
                <w:szCs w:val="3"/>
                <w:color w:val="FFFFFF"/>
              </w:rPr>
              <w:t>Allocation Agreements</w:t>
            </w:r>
          </w:p>
        </w:tc>
        <w:tc>
          <w:tcPr>
            <w:tcW w:w="3180" w:type="dxa"/>
            <w:vAlign w:val="bottom"/>
            <w:gridSpan w:val="2"/>
            <w:vMerge w:val="restart"/>
          </w:tcPr>
          <w:p>
            <w:pPr>
              <w:ind w:left="420"/>
              <w:spacing w:after="0" w:line="81" w:lineRule="exact"/>
              <w:rPr>
                <w:sz w:val="20"/>
                <w:szCs w:val="20"/>
                <w:color w:val="auto"/>
              </w:rPr>
            </w:pPr>
            <w:r>
              <w:rPr>
                <w:rFonts w:ascii="Arial" w:cs="Arial" w:eastAsia="Arial" w:hAnsi="Arial"/>
                <w:sz w:val="9"/>
                <w:szCs w:val="9"/>
                <w:color w:val="FFFFFF"/>
              </w:rPr>
              <w:t>corporate allocation agreement, respectively, with</w:t>
            </w:r>
          </w:p>
        </w:tc>
        <w:tc>
          <w:tcPr>
            <w:tcW w:w="0" w:type="dxa"/>
            <w:vAlign w:val="bottom"/>
          </w:tcPr>
          <w:p>
            <w:pPr>
              <w:spacing w:after="0"/>
              <w:rPr>
                <w:sz w:val="1"/>
                <w:szCs w:val="1"/>
                <w:color w:val="auto"/>
              </w:rPr>
            </w:pPr>
          </w:p>
        </w:tc>
      </w:tr>
      <w:tr>
        <w:trPr>
          <w:trHeight w:val="41"/>
        </w:trPr>
        <w:tc>
          <w:tcPr>
            <w:tcW w:w="8220" w:type="dxa"/>
            <w:vAlign w:val="bottom"/>
            <w:gridSpan w:val="2"/>
          </w:tcPr>
          <w:p>
            <w:pPr>
              <w:spacing w:after="0"/>
              <w:rPr>
                <w:sz w:val="20"/>
                <w:szCs w:val="20"/>
                <w:color w:val="auto"/>
              </w:rPr>
            </w:pPr>
            <w:r>
              <w:rPr>
                <w:rFonts w:ascii="Arial" w:cs="Arial" w:eastAsia="Arial" w:hAnsi="Arial"/>
                <w:sz w:val="3"/>
                <w:szCs w:val="3"/>
                <w:color w:val="FFFFFF"/>
              </w:rPr>
              <w:t>Nature and purpose of transaction. On 19 September 2009, the Company and WRM entered into a corporate allocation agreement and an amended and</w:t>
            </w:r>
          </w:p>
        </w:tc>
        <w:tc>
          <w:tcPr>
            <w:tcW w:w="31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Wynn</w:t>
            </w:r>
          </w:p>
        </w:tc>
        <w:tc>
          <w:tcPr>
            <w:tcW w:w="10820" w:type="dxa"/>
            <w:vAlign w:val="bottom"/>
            <w:gridSpan w:val="3"/>
          </w:tcPr>
          <w:p>
            <w:pPr>
              <w:ind w:left="260"/>
              <w:spacing w:after="0"/>
              <w:rPr>
                <w:sz w:val="20"/>
                <w:szCs w:val="20"/>
                <w:color w:val="auto"/>
              </w:rPr>
            </w:pPr>
            <w:r>
              <w:rPr>
                <w:rFonts w:ascii="Arial" w:cs="Arial" w:eastAsia="Arial" w:hAnsi="Arial"/>
                <w:sz w:val="3"/>
                <w:szCs w:val="3"/>
                <w:color w:val="FFFFFF"/>
              </w:rPr>
              <w:t>Limited. Under the respective agreements, Wynn Resorts, Limited: (1) provides the Company and WRM with access to its employees inrestatednumber of non-gaming d partments, including corporate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treasuryResorts,legal, ? nancial accounting and audit, corporate risk management and information systems, for the purposes of ensuring that the Company and WRM each comply with the reporting, legal, tax,</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accounting and disclosure requirements that are applicable to NASDAQ-listed Wynn Resorts, Limited and Wynn Resorts, Limited’s subsidiaries (including the Group), and (2) allows the Company and WRM to</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use aircraft assets owned by Wynn Resorts, Limited or Wynn Resorts, Limited’s subsidiaries (other than the Group). Similarly, the Company and WRM had reciprocal arrangements to allow Wynn Resorts,</w:t>
            </w:r>
          </w:p>
        </w:tc>
        <w:tc>
          <w:tcPr>
            <w:tcW w:w="0" w:type="dxa"/>
            <w:vAlign w:val="bottom"/>
          </w:tcPr>
          <w:p>
            <w:pPr>
              <w:spacing w:after="0"/>
              <w:rPr>
                <w:sz w:val="1"/>
                <w:szCs w:val="1"/>
                <w:color w:val="auto"/>
              </w:rPr>
            </w:pPr>
          </w:p>
        </w:tc>
      </w:tr>
      <w:tr>
        <w:trPr>
          <w:trHeight w:val="41"/>
        </w:trPr>
        <w:tc>
          <w:tcPr>
            <w:tcW w:w="9140" w:type="dxa"/>
            <w:vAlign w:val="bottom"/>
            <w:gridSpan w:val="3"/>
          </w:tcPr>
          <w:p>
            <w:pPr>
              <w:spacing w:after="0"/>
              <w:rPr>
                <w:sz w:val="20"/>
                <w:szCs w:val="20"/>
                <w:color w:val="auto"/>
              </w:rPr>
            </w:pPr>
            <w:r>
              <w:rPr>
                <w:rFonts w:ascii="Arial" w:cs="Arial" w:eastAsia="Arial" w:hAnsi="Arial"/>
                <w:sz w:val="3"/>
                <w:szCs w:val="3"/>
                <w:color w:val="FFFFFF"/>
              </w:rPr>
              <w:t>Limited or Wynn Resorts, Limited’s subsidiaries (other than the Group) to use any aircraft assets that they could own in the future and to have access to the services of</w:t>
            </w:r>
          </w:p>
        </w:tc>
        <w:tc>
          <w:tcPr>
            <w:tcW w:w="2260" w:type="dxa"/>
            <w:vAlign w:val="bottom"/>
          </w:tcPr>
          <w:p>
            <w:pPr>
              <w:ind w:left="140"/>
              <w:spacing w:after="0"/>
              <w:rPr>
                <w:sz w:val="20"/>
                <w:szCs w:val="20"/>
                <w:color w:val="auto"/>
              </w:rPr>
            </w:pPr>
            <w:r>
              <w:rPr>
                <w:rFonts w:ascii="Arial" w:cs="Arial" w:eastAsia="Arial" w:hAnsi="Arial"/>
                <w:sz w:val="3"/>
                <w:szCs w:val="3"/>
                <w:color w:val="FFFFFF"/>
              </w:rPr>
              <w:t>of its respective employees provided</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that such services do not materially interfere with such employee’s obligations to and responsibilities with the Group. No aircraft assets are currently owned by the Company or WRM.</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Pricing. Under the corporate allocation agreements, the annual fee for the services (other than for the use of the aircraft assets) provided by Wynn Resorts, Limited is based on an allocation of the actual</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proportion of Wynn Resorts, Limited’ annual corporate departments’ costs (including salaries and benefi ts for such employees during the period in which such services are rendered) and overhead expense</w:t>
            </w:r>
          </w:p>
        </w:tc>
        <w:tc>
          <w:tcPr>
            <w:tcW w:w="0" w:type="dxa"/>
            <w:vAlign w:val="bottom"/>
          </w:tcPr>
          <w:p>
            <w:pPr>
              <w:spacing w:after="0"/>
              <w:rPr>
                <w:sz w:val="1"/>
                <w:szCs w:val="1"/>
                <w:color w:val="auto"/>
              </w:rPr>
            </w:pPr>
          </w:p>
        </w:tc>
      </w:tr>
      <w:tr>
        <w:trPr>
          <w:trHeight w:val="41"/>
        </w:trPr>
        <w:tc>
          <w:tcPr>
            <w:tcW w:w="8220" w:type="dxa"/>
            <w:vAlign w:val="bottom"/>
            <w:gridSpan w:val="2"/>
          </w:tcPr>
          <w:p>
            <w:pPr>
              <w:spacing w:after="0"/>
              <w:rPr>
                <w:sz w:val="20"/>
                <w:szCs w:val="20"/>
                <w:color w:val="auto"/>
              </w:rPr>
            </w:pPr>
            <w:r>
              <w:rPr>
                <w:rFonts w:ascii="Arial" w:cs="Arial" w:eastAsia="Arial" w:hAnsi="Arial"/>
                <w:sz w:val="3"/>
                <w:szCs w:val="3"/>
                <w:color w:val="FFFFFF"/>
              </w:rPr>
              <w:t>related to the prov sion of the services, and in any event, such annual fee shall not exceed 50% of the aggregate annual corporate departments’ costs</w:t>
            </w:r>
          </w:p>
        </w:tc>
        <w:tc>
          <w:tcPr>
            <w:tcW w:w="3180" w:type="dxa"/>
            <w:vAlign w:val="bottom"/>
            <w:gridSpan w:val="2"/>
          </w:tcPr>
          <w:p>
            <w:pPr>
              <w:ind w:left="40"/>
              <w:spacing w:after="0"/>
              <w:rPr>
                <w:sz w:val="20"/>
                <w:szCs w:val="20"/>
                <w:color w:val="auto"/>
              </w:rPr>
            </w:pPr>
            <w:r>
              <w:rPr>
                <w:rFonts w:ascii="Arial" w:cs="Arial" w:eastAsia="Arial" w:hAnsi="Arial"/>
                <w:sz w:val="3"/>
                <w:szCs w:val="3"/>
                <w:color w:val="FFFFFF"/>
              </w:rPr>
              <w:t>overhead expense incurred by Wynn Resorts, Limited</w:t>
            </w:r>
          </w:p>
        </w:tc>
        <w:tc>
          <w:tcPr>
            <w:tcW w:w="0" w:type="dxa"/>
            <w:vAlign w:val="bottom"/>
          </w:tcPr>
          <w:p>
            <w:pPr>
              <w:spacing w:after="0"/>
              <w:rPr>
                <w:sz w:val="1"/>
                <w:szCs w:val="1"/>
                <w:color w:val="auto"/>
              </w:rPr>
            </w:pPr>
          </w:p>
        </w:tc>
      </w:tr>
      <w:tr>
        <w:trPr>
          <w:trHeight w:val="41"/>
        </w:trPr>
        <w:tc>
          <w:tcPr>
            <w:tcW w:w="11400" w:type="dxa"/>
            <w:vAlign w:val="bottom"/>
            <w:gridSpan w:val="4"/>
          </w:tcPr>
          <w:p>
            <w:pPr>
              <w:ind w:left="400"/>
              <w:spacing w:after="0"/>
              <w:rPr>
                <w:sz w:val="20"/>
                <w:szCs w:val="20"/>
                <w:color w:val="auto"/>
              </w:rPr>
            </w:pPr>
            <w:r>
              <w:rPr>
                <w:rFonts w:ascii="Arial" w:cs="Arial" w:eastAsia="Arial" w:hAnsi="Arial"/>
                <w:sz w:val="3"/>
                <w:szCs w:val="3"/>
                <w:color w:val="FFFFFF"/>
              </w:rPr>
              <w:t>any fi nancial year. For services provided by employees of the Company and WRM, Wynn Resorts, Limited shall pay for the services based onand cost (including salaries and bene? ts for such employees</w:t>
            </w:r>
          </w:p>
        </w:tc>
        <w:tc>
          <w:tcPr>
            <w:tcW w:w="0" w:type="dxa"/>
            <w:vAlign w:val="bottom"/>
          </w:tcPr>
          <w:p>
            <w:pPr>
              <w:spacing w:after="0"/>
              <w:rPr>
                <w:sz w:val="1"/>
                <w:szCs w:val="1"/>
                <w:color w:val="auto"/>
              </w:rPr>
            </w:pPr>
          </w:p>
        </w:tc>
      </w:tr>
      <w:tr>
        <w:trPr>
          <w:trHeight w:val="0"/>
        </w:trPr>
        <w:tc>
          <w:tcPr>
            <w:tcW w:w="580" w:type="dxa"/>
            <w:vAlign w:val="bottom"/>
          </w:tcPr>
          <w:p>
            <w:pPr>
              <w:spacing w:after="0" w:line="80" w:lineRule="exact"/>
              <w:rPr>
                <w:sz w:val="20"/>
                <w:szCs w:val="20"/>
                <w:color w:val="auto"/>
              </w:rPr>
            </w:pPr>
            <w:r>
              <w:rPr>
                <w:rFonts w:ascii="Arial" w:cs="Arial" w:eastAsia="Arial" w:hAnsi="Arial"/>
                <w:sz w:val="9"/>
                <w:szCs w:val="9"/>
                <w:color w:val="FFFFFF"/>
              </w:rPr>
              <w:t>during the</w:t>
            </w:r>
          </w:p>
        </w:tc>
        <w:tc>
          <w:tcPr>
            <w:tcW w:w="7640" w:type="dxa"/>
            <w:vAlign w:val="bottom"/>
          </w:tcPr>
          <w:p>
            <w:pPr>
              <w:ind w:left="140"/>
              <w:spacing w:after="0" w:line="80" w:lineRule="exact"/>
              <w:rPr>
                <w:sz w:val="20"/>
                <w:szCs w:val="20"/>
                <w:color w:val="auto"/>
              </w:rPr>
            </w:pPr>
            <w:r>
              <w:rPr>
                <w:rFonts w:ascii="Arial" w:cs="Arial" w:eastAsia="Arial" w:hAnsi="Arial"/>
                <w:sz w:val="9"/>
                <w:szCs w:val="9"/>
                <w:color w:val="FFFFFF"/>
              </w:rPr>
              <w:t>riod when such services are being rendered) and expense reimbursement basis.</w:t>
            </w:r>
          </w:p>
        </w:tc>
        <w:tc>
          <w:tcPr>
            <w:tcW w:w="9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right="20"/>
        <w:spacing w:after="0" w:line="217" w:lineRule="auto"/>
        <w:rPr>
          <w:sz w:val="20"/>
          <w:szCs w:val="20"/>
          <w:color w:val="auto"/>
        </w:rPr>
      </w:pPr>
      <w:r>
        <w:rPr>
          <w:rFonts w:ascii="Arial" w:cs="Arial" w:eastAsia="Arial" w:hAnsi="Arial"/>
          <w:sz w:val="2"/>
          <w:szCs w:val="2"/>
          <w:color w:val="FFFFFF"/>
        </w:rPr>
        <w:t xml:space="preserve">Approximately HK$165.1 million was charged to WRM by Wynn Resorts, Limited during the year ended 31 December 2012 for Wynn Resorts, Limited’s services. Approximately HK$19.2 million was charged </w:t>
      </w:r>
      <w:r>
        <w:rPr>
          <w:rFonts w:ascii="Arial" w:cs="Arial" w:eastAsia="Arial" w:hAnsi="Arial"/>
          <w:sz w:val="4"/>
          <w:szCs w:val="4"/>
          <w:color w:val="FFFFFF"/>
          <w:vertAlign w:val="superscript"/>
        </w:rPr>
        <w:t>the</w:t>
      </w:r>
      <w:r>
        <w:rPr>
          <w:rFonts w:ascii="Arial" w:cs="Arial" w:eastAsia="Arial" w:hAnsi="Arial"/>
          <w:sz w:val="2"/>
          <w:szCs w:val="2"/>
          <w:color w:val="FFFFFF"/>
        </w:rPr>
        <w:t>the Group by Wynn Resorts, Limited during the</w:t>
      </w:r>
      <w:r>
        <w:rPr>
          <w:rFonts w:ascii="Arial" w:cs="Arial" w:eastAsia="Arial" w:hAnsi="Arial"/>
          <w:sz w:val="4"/>
          <w:szCs w:val="4"/>
          <w:color w:val="FFFFFF"/>
          <w:vertAlign w:val="superscript"/>
        </w:rPr>
        <w:t>the</w:t>
      </w:r>
      <w:r>
        <w:rPr>
          <w:rFonts w:ascii="Arial" w:cs="Arial" w:eastAsia="Arial" w:hAnsi="Arial"/>
          <w:sz w:val="2"/>
          <w:szCs w:val="2"/>
          <w:color w:val="FFFFFF"/>
        </w:rPr>
        <w:t>yar ended 31 December 2012 for the use of aircraft assets. For the same periods, Wynn Resorts, Limited or Wynn Resorts, Limited’s subsidiaries (other than</w:t>
      </w:r>
    </w:p>
    <w:p>
      <w:pPr>
        <w:ind w:left="200"/>
        <w:spacing w:after="0"/>
        <w:tabs>
          <w:tab w:leader="none" w:pos="2900" w:val="left"/>
        </w:tabs>
        <w:rPr>
          <w:sz w:val="20"/>
          <w:szCs w:val="20"/>
          <w:color w:val="auto"/>
        </w:rPr>
      </w:pPr>
      <w:r>
        <w:rPr>
          <w:rFonts w:ascii="Arial" w:cs="Arial" w:eastAsia="Arial" w:hAnsi="Arial"/>
          <w:sz w:val="14"/>
          <w:szCs w:val="14"/>
          <w:color w:val="FFFFFF"/>
        </w:rPr>
        <w:t>Group) did not require WRM’s services under</w:t>
      </w:r>
      <w:r>
        <w:rPr>
          <w:sz w:val="20"/>
          <w:szCs w:val="20"/>
          <w:color w:val="auto"/>
        </w:rPr>
        <w:tab/>
      </w:r>
      <w:r>
        <w:rPr>
          <w:rFonts w:ascii="Arial" w:cs="Arial" w:eastAsia="Arial" w:hAnsi="Arial"/>
          <w:sz w:val="12"/>
          <w:szCs w:val="12"/>
          <w:color w:val="FFFFFF"/>
        </w:rPr>
        <w:t>reciprocal arrangement.</w:t>
      </w:r>
    </w:p>
    <w:p>
      <w:pPr>
        <w:sectPr>
          <w:pgSz w:w="11900" w:h="16838" w:orient="portrait"/>
          <w:cols w:equalWidth="0" w:num="1">
            <w:col w:w="11400"/>
          </w:cols>
          <w:pgMar w:left="240" w:top="1440" w:right="25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20"/>
                <w:szCs w:val="20"/>
                <w:color w:val="auto"/>
              </w:rPr>
            </w:pPr>
            <w:r>
              <w:rPr>
                <w:rFonts w:ascii="Arial" w:cs="Arial" w:eastAsia="Arial" w:hAnsi="Arial"/>
                <w:sz w:val="14"/>
                <w:szCs w:val="14"/>
                <w:color w:val="FFFFFF"/>
                <w:w w:val="97"/>
              </w:rPr>
              <w:t>44 Wynn Macau, Limited</w:t>
            </w:r>
          </w:p>
        </w:tc>
        <w:tc>
          <w:tcPr>
            <w:tcW w:w="2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25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60" w:type="dxa"/>
            <w:vAlign w:val="bottom"/>
            <w:gridSpan w:val="2"/>
          </w:tcPr>
          <w:p>
            <w:pPr>
              <w:ind w:left="100"/>
              <w:spacing w:after="0"/>
              <w:rPr>
                <w:sz w:val="20"/>
                <w:szCs w:val="20"/>
                <w:color w:val="auto"/>
              </w:rPr>
            </w:pPr>
            <w:r>
              <w:rPr>
                <w:rFonts w:ascii="Arial" w:cs="Arial" w:eastAsia="Arial" w:hAnsi="Arial"/>
                <w:sz w:val="3"/>
                <w:szCs w:val="3"/>
                <w:color w:val="FFFFFF"/>
              </w:rPr>
              <w:t>ONNECTED TRANSACTIONS (CONTINUED)</w:t>
            </w:r>
          </w:p>
        </w:tc>
        <w:tc>
          <w:tcPr>
            <w:tcW w:w="28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60" w:type="dxa"/>
            <w:vAlign w:val="bottom"/>
            <w:gridSpan w:val="2"/>
          </w:tcPr>
          <w:p>
            <w:pPr>
              <w:spacing w:after="0"/>
              <w:rPr>
                <w:sz w:val="20"/>
                <w:szCs w:val="20"/>
                <w:color w:val="auto"/>
              </w:rPr>
            </w:pPr>
            <w:r>
              <w:rPr>
                <w:rFonts w:ascii="Arial" w:cs="Arial" w:eastAsia="Arial" w:hAnsi="Arial"/>
                <w:sz w:val="3"/>
                <w:szCs w:val="3"/>
                <w:color w:val="FFFFFF"/>
              </w:rPr>
              <w:t>Corporate Allocation Agreements (continued)</w:t>
            </w:r>
          </w:p>
        </w:tc>
        <w:tc>
          <w:tcPr>
            <w:tcW w:w="2840" w:type="dxa"/>
            <w:vAlign w:val="bottom"/>
          </w:tcPr>
          <w:p>
            <w:pPr>
              <w:spacing w:after="0"/>
              <w:rPr>
                <w:sz w:val="3"/>
                <w:szCs w:val="3"/>
                <w:color w:val="auto"/>
              </w:rPr>
            </w:pPr>
          </w:p>
        </w:tc>
        <w:tc>
          <w:tcPr>
            <w:tcW w:w="450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31 December 2017. A waiver from the announcement requirements, as required</w:t>
            </w:r>
          </w:p>
        </w:tc>
        <w:tc>
          <w:tcPr>
            <w:tcW w:w="0" w:type="dxa"/>
            <w:vAlign w:val="bottom"/>
          </w:tcPr>
          <w:p>
            <w:pPr>
              <w:spacing w:after="0"/>
              <w:rPr>
                <w:sz w:val="1"/>
                <w:szCs w:val="1"/>
                <w:color w:val="auto"/>
              </w:rPr>
            </w:pPr>
          </w:p>
        </w:tc>
      </w:tr>
      <w:tr>
        <w:trPr>
          <w:trHeight w:val="41"/>
        </w:trPr>
        <w:tc>
          <w:tcPr>
            <w:tcW w:w="6900" w:type="dxa"/>
            <w:vAlign w:val="bottom"/>
            <w:gridSpan w:val="3"/>
          </w:tcPr>
          <w:p>
            <w:pPr>
              <w:spacing w:after="0"/>
              <w:rPr>
                <w:sz w:val="20"/>
                <w:szCs w:val="20"/>
                <w:color w:val="auto"/>
              </w:rPr>
            </w:pPr>
            <w:r>
              <w:rPr>
                <w:rFonts w:ascii="Arial" w:cs="Arial" w:eastAsia="Arial" w:hAnsi="Arial"/>
                <w:sz w:val="3"/>
                <w:szCs w:val="3"/>
                <w:color w:val="FFFFFF"/>
              </w:rPr>
              <w:t>Term. The corporate allocation agreements entered into by each of the Company and WRM with Wynn Resorts, Limited expire</w:t>
            </w:r>
          </w:p>
        </w:tc>
        <w:tc>
          <w:tcPr>
            <w:tcW w:w="4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900" w:type="dxa"/>
            <w:vAlign w:val="bottom"/>
            <w:gridSpan w:val="3"/>
          </w:tcPr>
          <w:p>
            <w:pPr>
              <w:spacing w:after="0"/>
              <w:rPr>
                <w:sz w:val="20"/>
                <w:szCs w:val="20"/>
                <w:color w:val="auto"/>
              </w:rPr>
            </w:pPr>
            <w:r>
              <w:rPr>
                <w:rFonts w:ascii="Arial" w:cs="Arial" w:eastAsia="Arial" w:hAnsi="Arial"/>
                <w:sz w:val="3"/>
                <w:szCs w:val="3"/>
                <w:color w:val="FFFFFF"/>
              </w:rPr>
              <w:t>under the Listing Rules, for the initial term of the agreements, which will exp re on 31 December 2017 has been granted by the</w:t>
            </w:r>
          </w:p>
        </w:tc>
        <w:tc>
          <w:tcPr>
            <w:tcW w:w="4500" w:type="dxa"/>
            <w:vAlign w:val="bottom"/>
          </w:tcPr>
          <w:p>
            <w:pPr>
              <w:spacing w:after="0"/>
              <w:rPr>
                <w:sz w:val="20"/>
                <w:szCs w:val="20"/>
                <w:color w:val="auto"/>
              </w:rPr>
            </w:pPr>
            <w:r>
              <w:rPr>
                <w:rFonts w:ascii="Arial" w:cs="Arial" w:eastAsia="Arial" w:hAnsi="Arial"/>
                <w:sz w:val="3"/>
                <w:szCs w:val="3"/>
                <w:color w:val="FFFFFF"/>
              </w:rPr>
              <w:t>Hong Kong Stock Exchange. Subject to compliance with Listing Rules</w:t>
            </w:r>
          </w:p>
        </w:tc>
        <w:tc>
          <w:tcPr>
            <w:tcW w:w="0" w:type="dxa"/>
            <w:vAlign w:val="bottom"/>
          </w:tcPr>
          <w:p>
            <w:pPr>
              <w:spacing w:after="0"/>
              <w:rPr>
                <w:sz w:val="1"/>
                <w:szCs w:val="1"/>
                <w:color w:val="auto"/>
              </w:rPr>
            </w:pPr>
          </w:p>
        </w:tc>
      </w:tr>
      <w:tr>
        <w:trPr>
          <w:trHeight w:val="41"/>
        </w:trPr>
        <w:tc>
          <w:tcPr>
            <w:tcW w:w="11400" w:type="dxa"/>
            <w:vAlign w:val="bottom"/>
            <w:gridSpan w:val="4"/>
          </w:tcPr>
          <w:p>
            <w:pPr>
              <w:ind w:left="740"/>
              <w:spacing w:after="0"/>
              <w:rPr>
                <w:sz w:val="20"/>
                <w:szCs w:val="20"/>
                <w:color w:val="auto"/>
              </w:rPr>
            </w:pPr>
            <w:r>
              <w:rPr>
                <w:rFonts w:ascii="Arial" w:cs="Arial" w:eastAsia="Arial" w:hAnsi="Arial"/>
                <w:sz w:val="3"/>
                <w:szCs w:val="3"/>
                <w:color w:val="FFFFFF"/>
              </w:rPr>
              <w:t>or, alternatively, any waivers obtained from strict compliance with such requirements, upon expiration of the initial term or subsequent renewal term, each agreement is automatically renewed for a</w:t>
            </w:r>
          </w:p>
        </w:tc>
        <w:tc>
          <w:tcPr>
            <w:tcW w:w="0" w:type="dxa"/>
            <w:vAlign w:val="bottom"/>
          </w:tcPr>
          <w:p>
            <w:pPr>
              <w:spacing w:after="0"/>
              <w:rPr>
                <w:sz w:val="1"/>
                <w:szCs w:val="1"/>
                <w:color w:val="auto"/>
              </w:rPr>
            </w:pPr>
          </w:p>
        </w:tc>
      </w:tr>
      <w:tr>
        <w:trPr>
          <w:trHeight w:val="41"/>
        </w:trPr>
        <w:tc>
          <w:tcPr>
            <w:tcW w:w="1520" w:type="dxa"/>
            <w:vAlign w:val="bottom"/>
          </w:tcPr>
          <w:p>
            <w:pPr>
              <w:spacing w:after="0"/>
              <w:rPr>
                <w:sz w:val="20"/>
                <w:szCs w:val="20"/>
                <w:color w:val="auto"/>
              </w:rPr>
            </w:pPr>
            <w:r>
              <w:rPr>
                <w:rFonts w:ascii="Arial" w:cs="Arial" w:eastAsia="Arial" w:hAnsi="Arial"/>
                <w:sz w:val="3"/>
                <w:szCs w:val="3"/>
                <w:color w:val="FFFFFF"/>
              </w:rPr>
              <w:t>requirementsthr-yearterm (or such</w:t>
            </w:r>
          </w:p>
        </w:tc>
        <w:tc>
          <w:tcPr>
            <w:tcW w:w="2540" w:type="dxa"/>
            <w:vAlign w:val="bottom"/>
          </w:tcPr>
          <w:p>
            <w:pPr>
              <w:ind w:left="140"/>
              <w:spacing w:after="0"/>
              <w:rPr>
                <w:sz w:val="20"/>
                <w:szCs w:val="20"/>
                <w:color w:val="auto"/>
              </w:rPr>
            </w:pPr>
            <w:r>
              <w:rPr>
                <w:rFonts w:ascii="Arial" w:cs="Arial" w:eastAsia="Arial" w:hAnsi="Arial"/>
                <w:sz w:val="3"/>
                <w:szCs w:val="3"/>
                <w:color w:val="FFFFFF"/>
              </w:rPr>
              <w:t>period permitted under the Listing Rules).</w:t>
            </w:r>
          </w:p>
        </w:tc>
        <w:tc>
          <w:tcPr>
            <w:tcW w:w="28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60" w:type="dxa"/>
            <w:vAlign w:val="bottom"/>
            <w:gridSpan w:val="2"/>
          </w:tcPr>
          <w:p>
            <w:pPr>
              <w:spacing w:after="0"/>
              <w:rPr>
                <w:sz w:val="20"/>
                <w:szCs w:val="20"/>
                <w:color w:val="auto"/>
              </w:rPr>
            </w:pPr>
            <w:r>
              <w:rPr>
                <w:rFonts w:ascii="Arial" w:cs="Arial" w:eastAsia="Arial" w:hAnsi="Arial"/>
                <w:sz w:val="3"/>
                <w:szCs w:val="3"/>
                <w:color w:val="FFFFFF"/>
              </w:rPr>
              <w:t>Intellectual Property LiceotherAgreements</w:t>
            </w:r>
          </w:p>
        </w:tc>
        <w:tc>
          <w:tcPr>
            <w:tcW w:w="2840" w:type="dxa"/>
            <w:vAlign w:val="bottom"/>
          </w:tcPr>
          <w:p>
            <w:pPr>
              <w:spacing w:after="0"/>
              <w:rPr>
                <w:sz w:val="3"/>
                <w:szCs w:val="3"/>
                <w:color w:val="auto"/>
              </w:rPr>
            </w:pPr>
          </w:p>
        </w:tc>
        <w:tc>
          <w:tcPr>
            <w:tcW w:w="4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Nature and purpose of transaction. On 19 September 2009, the Company and WRM entered into an intellectual property license agreement and an amended and restated intellectual property license agreement,</w:t>
            </w:r>
          </w:p>
        </w:tc>
        <w:tc>
          <w:tcPr>
            <w:tcW w:w="0" w:type="dxa"/>
            <w:vAlign w:val="bottom"/>
          </w:tcPr>
          <w:p>
            <w:pPr>
              <w:spacing w:after="0"/>
              <w:rPr>
                <w:sz w:val="1"/>
                <w:szCs w:val="1"/>
                <w:color w:val="auto"/>
              </w:rPr>
            </w:pPr>
          </w:p>
        </w:tc>
      </w:tr>
      <w:tr>
        <w:trPr>
          <w:trHeight w:val="0"/>
        </w:trPr>
        <w:tc>
          <w:tcPr>
            <w:tcW w:w="4060" w:type="dxa"/>
            <w:vAlign w:val="bottom"/>
            <w:gridSpan w:val="2"/>
          </w:tcPr>
          <w:p>
            <w:pPr>
              <w:spacing w:after="0" w:line="80" w:lineRule="exact"/>
              <w:rPr>
                <w:sz w:val="20"/>
                <w:szCs w:val="20"/>
                <w:color w:val="auto"/>
              </w:rPr>
            </w:pPr>
            <w:r>
              <w:rPr>
                <w:rFonts w:ascii="Arial" w:cs="Arial" w:eastAsia="Arial" w:hAnsi="Arial"/>
                <w:sz w:val="9"/>
                <w:szCs w:val="9"/>
                <w:color w:val="FFFFFF"/>
              </w:rPr>
              <w:t>respectively, with Wynn Resorts, Limited and Wynn Resorts Holdings,</w:t>
            </w:r>
          </w:p>
        </w:tc>
        <w:tc>
          <w:tcPr>
            <w:tcW w:w="7340" w:type="dxa"/>
            <w:vAlign w:val="bottom"/>
            <w:gridSpan w:val="2"/>
          </w:tcPr>
          <w:p>
            <w:pPr>
              <w:ind w:left="140"/>
              <w:spacing w:after="0" w:line="80" w:lineRule="exact"/>
              <w:rPr>
                <w:sz w:val="20"/>
                <w:szCs w:val="20"/>
                <w:color w:val="auto"/>
              </w:rPr>
            </w:pPr>
            <w:r>
              <w:rPr>
                <w:rFonts w:ascii="Arial" w:cs="Arial" w:eastAsia="Arial" w:hAnsi="Arial"/>
                <w:sz w:val="9"/>
                <w:szCs w:val="9"/>
                <w:color w:val="FFFFFF"/>
              </w:rPr>
              <w:t>a subsidiary of Wynn Resorts, Limited. Under the respective agreements, Wynn Resorts, Limited and Wynn Resorts Holdings, LLC</w:t>
            </w:r>
          </w:p>
        </w:tc>
        <w:tc>
          <w:tcPr>
            <w:tcW w:w="0" w:type="dxa"/>
            <w:vAlign w:val="bottom"/>
          </w:tcPr>
          <w:p>
            <w:pPr>
              <w:spacing w:after="0" w:line="20" w:lineRule="exact"/>
              <w:rPr>
                <w:sz w:val="1"/>
                <w:szCs w:val="1"/>
                <w:color w:val="auto"/>
              </w:rPr>
            </w:pPr>
          </w:p>
        </w:tc>
      </w:tr>
    </w:tbl>
    <w:p>
      <w:pPr>
        <w:jc w:val="both"/>
        <w:spacing w:after="0"/>
        <w:rPr>
          <w:sz w:val="20"/>
          <w:szCs w:val="20"/>
          <w:color w:val="auto"/>
        </w:rPr>
      </w:pPr>
      <w:r>
        <w:rPr>
          <w:rFonts w:ascii="Arial" w:cs="Arial" w:eastAsia="Arial" w:hAnsi="Arial"/>
          <w:sz w:val="3"/>
          <w:szCs w:val="3"/>
          <w:color w:val="FFFFFF"/>
        </w:rPr>
        <w:t>grant the Company and WRM the license to use certain intellectual propertyLLC, including certain trademarks, domain names, “WYNN” related trademarks, copyrights and service marks in connection with a variety of goods and services. These marks include “WYNN MACAU” and “ENCORE” as well as trademarks of the Chinese characters representing “WYNN.”</w:t>
      </w:r>
    </w:p>
    <w:p>
      <w:pPr>
        <w:spacing w:after="0" w:line="7" w:lineRule="exact"/>
        <w:rPr>
          <w:sz w:val="20"/>
          <w:szCs w:val="20"/>
          <w:color w:val="auto"/>
        </w:rPr>
      </w:pPr>
    </w:p>
    <w:p>
      <w:pPr>
        <w:jc w:val="both"/>
        <w:ind w:left="440" w:right="20" w:hanging="423"/>
        <w:spacing w:after="0"/>
        <w:rPr>
          <w:sz w:val="20"/>
          <w:szCs w:val="20"/>
          <w:color w:val="auto"/>
        </w:rPr>
      </w:pPr>
      <w:r>
        <w:rPr>
          <w:rFonts w:ascii="Arial" w:cs="Arial" w:eastAsia="Arial" w:hAnsi="Arial"/>
          <w:sz w:val="7"/>
          <w:szCs w:val="7"/>
          <w:color w:val="FFFFFF"/>
          <w:vertAlign w:val="subscript"/>
        </w:rPr>
        <w:t>million</w:t>
      </w:r>
      <w:r>
        <w:rPr>
          <w:rFonts w:ascii="Arial" w:cs="Arial" w:eastAsia="Arial" w:hAnsi="Arial"/>
          <w:sz w:val="6"/>
          <w:szCs w:val="6"/>
          <w:color w:val="FFFFFF"/>
        </w:rPr>
        <w:t>Pricng. Under the intellectual property license agreements, the license fee payable to Wynn Resorts Holdings, LLC equals the greater of (1) 3% of the intellectual property gross monthly revenues, or (2) US$1.5 (approximately HK$11.6 million) per month. License fees payable to Wynn Resorts Holdings, LLC were calculated based on 3% of intellectual property gross monthly revenues given such revenues</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7"/>
          <w:szCs w:val="7"/>
          <w:color w:val="FFFFFF"/>
        </w:rPr>
        <w:t>justifi ed payments in excess of US$1.5 million (approximately HK$11.6 million) per month. Gross revenues for the year ended 31 December 2012 were HK$38.0 billion and approximately HK$1,141.2 million was charged by Wynn Resorts, Limited to WRM under this arrangement during the year ended 31 December 2012.</w:t>
      </w:r>
    </w:p>
    <w:p>
      <w:pPr>
        <w:spacing w:after="0" w:line="1" w:lineRule="exact"/>
        <w:rPr>
          <w:sz w:val="20"/>
          <w:szCs w:val="20"/>
          <w:color w:val="auto"/>
        </w:rPr>
      </w:pPr>
    </w:p>
    <w:p>
      <w:pPr>
        <w:ind w:right="20"/>
        <w:spacing w:after="0" w:line="187" w:lineRule="auto"/>
        <w:rPr>
          <w:sz w:val="20"/>
          <w:szCs w:val="20"/>
          <w:color w:val="auto"/>
        </w:rPr>
      </w:pPr>
      <w:r>
        <w:rPr>
          <w:rFonts w:ascii="Arial" w:cs="Arial" w:eastAsia="Arial" w:hAnsi="Arial"/>
          <w:sz w:val="9"/>
          <w:szCs w:val="9"/>
          <w:color w:val="FFFFFF"/>
        </w:rPr>
        <w:t>Term. The intellectual property license agreements entered into by each of the Company and WRM with Wynn Resorts, Limited and Wynn Resorts Holdings, LLC have a perpetual term but may be terminated in the following circumstances:</w:t>
      </w:r>
    </w:p>
    <w:p>
      <w:pPr>
        <w:spacing w:after="0"/>
        <w:rPr>
          <w:sz w:val="20"/>
          <w:szCs w:val="20"/>
          <w:color w:val="auto"/>
        </w:rPr>
      </w:pPr>
      <w:r>
        <w:rPr>
          <w:rFonts w:ascii="Arial" w:cs="Arial" w:eastAsia="Arial" w:hAnsi="Arial"/>
          <w:sz w:val="14"/>
          <w:szCs w:val="14"/>
          <w:color w:val="FFFFFF"/>
        </w:rPr>
        <w:t>(1) Wynn Resorts, Limited ceases to hold or have the right to exercise more than 50% of the voting rights to the Shares in the Company or WRM;</w:t>
      </w:r>
    </w:p>
    <w:p>
      <w:pPr>
        <w:sectPr>
          <w:pgSz w:w="11900" w:h="16838" w:orient="portrait"/>
          <w:cols w:equalWidth="0" w:num="1">
            <w:col w:w="11420"/>
          </w:cols>
          <w:pgMar w:left="240" w:top="1440" w:right="23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20"/>
                <w:szCs w:val="20"/>
                <w:color w:val="auto"/>
              </w:rPr>
            </w:pPr>
            <w:r>
              <w:rPr>
                <w:rFonts w:ascii="Arial" w:cs="Arial" w:eastAsia="Arial" w:hAnsi="Arial"/>
                <w:sz w:val="14"/>
                <w:szCs w:val="14"/>
                <w:color w:val="FFFFFF"/>
                <w:w w:val="88"/>
              </w:rPr>
              <w:t>Annual Report 2012 45</w:t>
            </w:r>
          </w:p>
        </w:tc>
        <w:tc>
          <w:tcPr>
            <w:tcW w:w="9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9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0" w:type="dxa"/>
            <w:vAlign w:val="bottom"/>
            <w:gridSpan w:val="2"/>
          </w:tcPr>
          <w:p>
            <w:pPr>
              <w:spacing w:after="0"/>
              <w:rPr>
                <w:sz w:val="20"/>
                <w:szCs w:val="20"/>
                <w:color w:val="auto"/>
              </w:rPr>
            </w:pPr>
            <w:r>
              <w:rPr>
                <w:rFonts w:ascii="Arial" w:cs="Arial" w:eastAsia="Arial" w:hAnsi="Arial"/>
                <w:sz w:val="3"/>
                <w:szCs w:val="3"/>
                <w:color w:val="FFFFFF"/>
              </w:rPr>
              <w:t>CONNECTED TRANSACTIONS (CONTINUED)</w:t>
            </w: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0" w:type="dxa"/>
            <w:vAlign w:val="bottom"/>
            <w:gridSpan w:val="2"/>
          </w:tcPr>
          <w:p>
            <w:pPr>
              <w:spacing w:after="0"/>
              <w:rPr>
                <w:sz w:val="20"/>
                <w:szCs w:val="20"/>
                <w:color w:val="auto"/>
              </w:rPr>
            </w:pPr>
            <w:r>
              <w:rPr>
                <w:rFonts w:ascii="Arial" w:cs="Arial" w:eastAsia="Arial" w:hAnsi="Arial"/>
                <w:sz w:val="3"/>
                <w:szCs w:val="3"/>
                <w:color w:val="FFFFFF"/>
              </w:rPr>
              <w:t>Intellectual Property License Agreements (continued)</w:t>
            </w: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(2) there is a material breach of, or non-compliance with the terms of, the relevant intellectual property license agreement by the Company, WRM or any relevant members of the Group that are authorized to use</w:t>
            </w:r>
          </w:p>
        </w:tc>
        <w:tc>
          <w:tcPr>
            <w:tcW w:w="0" w:type="dxa"/>
            <w:vAlign w:val="bottom"/>
          </w:tcPr>
          <w:p>
            <w:pPr>
              <w:spacing w:after="0"/>
              <w:rPr>
                <w:sz w:val="1"/>
                <w:szCs w:val="1"/>
                <w:color w:val="auto"/>
              </w:rPr>
            </w:pPr>
          </w:p>
        </w:tc>
      </w:tr>
      <w:tr>
        <w:trPr>
          <w:trHeight w:val="41"/>
        </w:trPr>
        <w:tc>
          <w:tcPr>
            <w:tcW w:w="1300" w:type="dxa"/>
            <w:vAlign w:val="bottom"/>
          </w:tcPr>
          <w:p>
            <w:pPr>
              <w:spacing w:after="0"/>
              <w:rPr>
                <w:sz w:val="20"/>
                <w:szCs w:val="20"/>
                <w:color w:val="auto"/>
              </w:rPr>
            </w:pPr>
            <w:r>
              <w:rPr>
                <w:rFonts w:ascii="Arial" w:cs="Arial" w:eastAsia="Arial" w:hAnsi="Arial"/>
                <w:sz w:val="3"/>
                <w:szCs w:val="3"/>
                <w:color w:val="FFFFFF"/>
              </w:rPr>
              <w:t>the licensed</w:t>
            </w:r>
          </w:p>
        </w:tc>
        <w:tc>
          <w:tcPr>
            <w:tcW w:w="9100" w:type="dxa"/>
            <w:vAlign w:val="bottom"/>
          </w:tcPr>
          <w:p>
            <w:pPr>
              <w:ind w:left="20"/>
              <w:spacing w:after="0"/>
              <w:rPr>
                <w:sz w:val="20"/>
                <w:szCs w:val="20"/>
                <w:color w:val="auto"/>
              </w:rPr>
            </w:pPr>
            <w:r>
              <w:rPr>
                <w:rFonts w:ascii="Arial" w:cs="Arial" w:eastAsia="Arial" w:hAnsi="Arial"/>
                <w:sz w:val="3"/>
                <w:szCs w:val="3"/>
                <w:color w:val="FFFFFF"/>
              </w:rPr>
              <w:t>property rights (“Relevant Subsidiaries”); or</w:t>
            </w:r>
          </w:p>
        </w:tc>
        <w:tc>
          <w:tcPr>
            <w:tcW w:w="980" w:type="dxa"/>
            <w:vAlign w:val="bottom"/>
            <w:vMerge w:val="restart"/>
          </w:tcPr>
          <w:p>
            <w:pPr>
              <w:ind w:left="280"/>
              <w:spacing w:after="0"/>
              <w:rPr>
                <w:sz w:val="20"/>
                <w:szCs w:val="20"/>
                <w:color w:val="auto"/>
              </w:rPr>
            </w:pPr>
            <w:r>
              <w:rPr>
                <w:rFonts w:ascii="Arial" w:cs="Arial" w:eastAsia="Arial" w:hAnsi="Arial"/>
                <w:sz w:val="3"/>
                <w:szCs w:val="3"/>
                <w:color w:val="FFFFFF"/>
              </w:rPr>
              <w:t>, WRM or</w:t>
            </w:r>
          </w:p>
        </w:tc>
        <w:tc>
          <w:tcPr>
            <w:tcW w:w="0" w:type="dxa"/>
            <w:vAlign w:val="bottom"/>
          </w:tcPr>
          <w:p>
            <w:pPr>
              <w:spacing w:after="0"/>
              <w:rPr>
                <w:sz w:val="1"/>
                <w:szCs w:val="1"/>
                <w:color w:val="auto"/>
              </w:rPr>
            </w:pPr>
          </w:p>
        </w:tc>
      </w:tr>
      <w:tr>
        <w:trPr>
          <w:trHeight w:val="0"/>
        </w:trPr>
        <w:tc>
          <w:tcPr>
            <w:tcW w:w="10400" w:type="dxa"/>
            <w:vAlign w:val="bottom"/>
            <w:gridSpan w:val="2"/>
          </w:tcPr>
          <w:p>
            <w:pPr>
              <w:spacing w:after="0" w:line="80" w:lineRule="exact"/>
              <w:rPr>
                <w:sz w:val="20"/>
                <w:szCs w:val="20"/>
                <w:color w:val="auto"/>
              </w:rPr>
            </w:pPr>
            <w:r>
              <w:rPr>
                <w:rFonts w:ascii="Arial" w:cs="Arial" w:eastAsia="Arial" w:hAnsi="Arial"/>
                <w:sz w:val="9"/>
                <w:szCs w:val="9"/>
                <w:color w:val="FFFFFF"/>
              </w:rPr>
              <w:t>(3) (I)(i) thereintellectualissuspension or revocation of privileged gaming licenses issued by governmental authorities, or (ii) Wynn Resorts Holdings, LLC,   good faith, deems that the acts of the</w:t>
            </w: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60"/>
        <w:spacing w:after="0" w:line="217" w:lineRule="auto"/>
        <w:rPr>
          <w:sz w:val="20"/>
          <w:szCs w:val="20"/>
          <w:color w:val="auto"/>
        </w:rPr>
      </w:pPr>
      <w:r>
        <w:rPr>
          <w:rFonts w:ascii="Arial" w:cs="Arial" w:eastAsia="Arial" w:hAnsi="Arial"/>
          <w:sz w:val="2"/>
          <w:szCs w:val="2"/>
          <w:color w:val="FFFFFF"/>
        </w:rPr>
        <w:t>any Relevant Subsidiary jeopardizes any such privileged gaming licenses or gaming business activities of Wynn Resorts, Limited, Wynn Resorts Holdings, LLC or its affi liates (in each case,Company“Relevant Event”); and (II) the Relevant Event continues for 30 consecutive days after written notice of the occurrence of the Relevant Event has been provided to the Company</w:t>
      </w:r>
      <w:r>
        <w:rPr>
          <w:rFonts w:ascii="Arial" w:cs="Arial" w:eastAsia="Arial" w:hAnsi="Arial"/>
          <w:sz w:val="4"/>
          <w:szCs w:val="4"/>
          <w:color w:val="FFFFFF"/>
          <w:vertAlign w:val="subscript"/>
        </w:rPr>
        <w:t>Holdings,</w:t>
      </w:r>
      <w:r>
        <w:rPr>
          <w:rFonts w:ascii="Arial" w:cs="Arial" w:eastAsia="Arial" w:hAnsi="Arial"/>
          <w:sz w:val="2"/>
          <w:szCs w:val="2"/>
          <w:color w:val="FFFFFF"/>
        </w:rPr>
        <w:t>WRM or the Relevant Subsidiaries, as the</w:t>
      </w:r>
    </w:p>
    <w:p>
      <w:pPr>
        <w:ind w:left="600" w:right="520" w:hanging="595"/>
        <w:spacing w:after="0" w:line="187" w:lineRule="auto"/>
        <w:rPr>
          <w:sz w:val="20"/>
          <w:szCs w:val="20"/>
          <w:color w:val="auto"/>
        </w:rPr>
      </w:pPr>
      <w:r>
        <w:rPr>
          <w:rFonts w:ascii="Arial" w:cs="Arial" w:eastAsia="Arial" w:hAnsi="Arial"/>
          <w:sz w:val="27"/>
          <w:szCs w:val="27"/>
          <w:color w:val="FFFFFF"/>
          <w:vertAlign w:val="subscript"/>
        </w:rPr>
        <w:t>agreement</w:t>
      </w:r>
      <w:r>
        <w:rPr>
          <w:rFonts w:ascii="Arial" w:cs="Arial" w:eastAsia="Arial" w:hAnsi="Arial"/>
          <w:sz w:val="14"/>
          <w:szCs w:val="14"/>
          <w:color w:val="FFFFFF"/>
        </w:rPr>
        <w:t>casemaybe. Prior written consent of the Company, WRM or the Relevant Subsidiaries, as the case may be, is required if Wynn Resorts, Limited or Wynn Resorts</w:t>
      </w:r>
      <w:r>
        <w:rPr>
          <w:sz w:val="20"/>
          <w:szCs w:val="20"/>
          <w:color w:val="auto"/>
        </w:rPr>
        <w:t xml:space="preserve"> </w:t>
      </w:r>
      <w:r>
        <w:rPr>
          <w:rFonts w:ascii="Arial" w:cs="Arial" w:eastAsia="Arial" w:hAnsi="Arial"/>
          <w:sz w:val="9"/>
          <w:szCs w:val="9"/>
          <w:color w:val="FFFFFF"/>
        </w:rPr>
        <w:t>LLC seeks to terminate any that grants Wynn Resorts Holdings, LLC the intellectual property rights.</w:t>
      </w:r>
    </w:p>
    <w:p>
      <w:pPr>
        <w:ind w:right="180"/>
        <w:spacing w:after="0" w:line="190" w:lineRule="auto"/>
        <w:rPr>
          <w:sz w:val="20"/>
          <w:szCs w:val="20"/>
          <w:color w:val="auto"/>
        </w:rPr>
      </w:pPr>
      <w:r>
        <w:rPr>
          <w:rFonts w:ascii="Arial" w:cs="Arial" w:eastAsia="Arial" w:hAnsi="Arial"/>
          <w:sz w:val="11"/>
          <w:szCs w:val="11"/>
          <w:color w:val="FFFFFF"/>
        </w:rPr>
        <w:t>A waiver from the announcement and independent shareholders’ approval requirements, as required under the Listing Rules, for the initial term of the agreements, which will expire on 26 June 2022 has been granted by the Hong Kong Stock Exchange.</w:t>
      </w:r>
    </w:p>
    <w:p>
      <w:pPr>
        <w:sectPr>
          <w:pgSz w:w="11900" w:h="16838" w:orient="portrait"/>
          <w:cols w:equalWidth="0" w:num="1">
            <w:col w:w="11380"/>
          </w:cols>
          <w:pgMar w:left="240" w:top="1440" w:right="279" w:bottom="1440" w:gutter="0" w:footer="0" w:header="0"/>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gridSpan w:val="3"/>
          </w:tcPr>
          <w:p>
            <w:pPr>
              <w:spacing w:after="0"/>
              <w:rPr>
                <w:sz w:val="20"/>
                <w:szCs w:val="20"/>
                <w:color w:val="auto"/>
              </w:rPr>
            </w:pPr>
            <w:r>
              <w:rPr>
                <w:rFonts w:ascii="Arial" w:cs="Arial" w:eastAsia="Arial" w:hAnsi="Arial"/>
                <w:sz w:val="14"/>
                <w:szCs w:val="14"/>
                <w:color w:val="FFFFFF"/>
              </w:rPr>
              <w:t>46 Wynn Macau, Limited</w:t>
            </w:r>
          </w:p>
        </w:tc>
        <w:tc>
          <w:tcPr>
            <w:tcW w:w="9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260" w:type="dxa"/>
            <w:vAlign w:val="bottom"/>
            <w:gridSpan w:val="3"/>
          </w:tcPr>
          <w:p>
            <w:pPr>
              <w:spacing w:after="0"/>
              <w:rPr>
                <w:sz w:val="20"/>
                <w:szCs w:val="20"/>
                <w:color w:val="auto"/>
              </w:rPr>
            </w:pPr>
            <w:r>
              <w:rPr>
                <w:rFonts w:ascii="Arial" w:cs="Arial" w:eastAsia="Arial" w:hAnsi="Arial"/>
                <w:sz w:val="3"/>
                <w:szCs w:val="3"/>
                <w:color w:val="FFFFFF"/>
              </w:rPr>
              <w:t>Report of the Directors</w:t>
            </w: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CONNECTED TRANSACTIONS (CONTINUED)</w:t>
            </w:r>
          </w:p>
        </w:tc>
        <w:tc>
          <w:tcPr>
            <w:tcW w:w="0" w:type="dxa"/>
            <w:vAlign w:val="bottom"/>
          </w:tcPr>
          <w:p>
            <w:pPr>
              <w:spacing w:after="0"/>
              <w:rPr>
                <w:sz w:val="1"/>
                <w:szCs w:val="1"/>
                <w:color w:val="auto"/>
              </w:rPr>
            </w:pPr>
          </w:p>
        </w:tc>
      </w:tr>
      <w:tr>
        <w:trPr>
          <w:trHeight w:val="41"/>
        </w:trPr>
        <w:tc>
          <w:tcPr>
            <w:tcW w:w="580" w:type="dxa"/>
            <w:vAlign w:val="bottom"/>
            <w:gridSpan w:val="2"/>
          </w:tcPr>
          <w:p>
            <w:pPr>
              <w:spacing w:after="0"/>
              <w:rPr>
                <w:sz w:val="20"/>
                <w:szCs w:val="20"/>
                <w:color w:val="auto"/>
              </w:rPr>
            </w:pPr>
            <w:r>
              <w:rPr>
                <w:rFonts w:ascii="Arial" w:cs="Arial" w:eastAsia="Arial" w:hAnsi="Arial"/>
                <w:sz w:val="3"/>
                <w:szCs w:val="3"/>
                <w:color w:val="FFFFFF"/>
              </w:rPr>
              <w:t>Summary</w:t>
            </w:r>
          </w:p>
        </w:tc>
        <w:tc>
          <w:tcPr>
            <w:tcW w:w="1680" w:type="dxa"/>
            <w:vAlign w:val="bottom"/>
          </w:tcPr>
          <w:p>
            <w:pPr>
              <w:spacing w:after="0"/>
              <w:rPr>
                <w:sz w:val="3"/>
                <w:szCs w:val="3"/>
                <w:color w:val="auto"/>
              </w:rPr>
            </w:pPr>
          </w:p>
        </w:tc>
        <w:tc>
          <w:tcPr>
            <w:tcW w:w="9080" w:type="dxa"/>
            <w:vAlign w:val="bottom"/>
            <w:vMerge w:val="restart"/>
          </w:tcPr>
          <w:p>
            <w:pPr>
              <w:spacing w:after="0" w:line="81" w:lineRule="exact"/>
              <w:rPr>
                <w:sz w:val="20"/>
                <w:szCs w:val="20"/>
                <w:color w:val="auto"/>
              </w:rPr>
            </w:pPr>
            <w:r>
              <w:rPr>
                <w:rFonts w:ascii="Arial" w:cs="Arial" w:eastAsia="Arial" w:hAnsi="Arial"/>
                <w:sz w:val="9"/>
                <w:szCs w:val="9"/>
                <w:color w:val="FFFFFF"/>
              </w:rPr>
              <w:t>during the year ended 31 December 2012, the annual caps for the year ended 31 December 2012, and the annual caps for the years ending 31 December 2013 and 2014,</w:t>
            </w:r>
          </w:p>
        </w:tc>
        <w:tc>
          <w:tcPr>
            <w:tcW w:w="0" w:type="dxa"/>
            <w:vAlign w:val="bottom"/>
          </w:tcPr>
          <w:p>
            <w:pPr>
              <w:spacing w:after="0"/>
              <w:rPr>
                <w:sz w:val="1"/>
                <w:szCs w:val="1"/>
                <w:color w:val="auto"/>
              </w:rPr>
            </w:pPr>
          </w:p>
        </w:tc>
      </w:tr>
      <w:tr>
        <w:trPr>
          <w:trHeight w:val="41"/>
        </w:trPr>
        <w:tc>
          <w:tcPr>
            <w:tcW w:w="2260" w:type="dxa"/>
            <w:vAlign w:val="bottom"/>
            <w:gridSpan w:val="3"/>
          </w:tcPr>
          <w:p>
            <w:pPr>
              <w:spacing w:after="0"/>
              <w:rPr>
                <w:sz w:val="20"/>
                <w:szCs w:val="20"/>
                <w:color w:val="auto"/>
              </w:rPr>
            </w:pPr>
            <w:r>
              <w:rPr>
                <w:rFonts w:ascii="Arial" w:cs="Arial" w:eastAsia="Arial" w:hAnsi="Arial"/>
                <w:sz w:val="3"/>
                <w:szCs w:val="3"/>
                <w:color w:val="FFFFFF"/>
              </w:rPr>
              <w:t>The aggregate amount paid by the</w:t>
            </w:r>
          </w:p>
        </w:tc>
        <w:tc>
          <w:tcPr>
            <w:tcW w:w="9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and where applicable, each year endsGroupto 2017, in respect of the discloseable continuing connected transactions are set out in detail below.</w:t>
            </w:r>
          </w:p>
        </w:tc>
        <w:tc>
          <w:tcPr>
            <w:tcW w:w="0" w:type="dxa"/>
            <w:vAlign w:val="bottom"/>
          </w:tcPr>
          <w:p>
            <w:pPr>
              <w:spacing w:after="0"/>
              <w:rPr>
                <w:sz w:val="1"/>
                <w:szCs w:val="1"/>
                <w:color w:val="auto"/>
              </w:rPr>
            </w:pPr>
          </w:p>
        </w:tc>
      </w:tr>
      <w:tr>
        <w:trPr>
          <w:trHeight w:val="41"/>
        </w:trPr>
        <w:tc>
          <w:tcPr>
            <w:tcW w:w="2260" w:type="dxa"/>
            <w:vAlign w:val="bottom"/>
            <w:gridSpan w:val="3"/>
          </w:tcPr>
          <w:p>
            <w:pPr>
              <w:ind w:left="100"/>
              <w:spacing w:after="0"/>
              <w:rPr>
                <w:sz w:val="20"/>
                <w:szCs w:val="20"/>
                <w:color w:val="auto"/>
              </w:rPr>
            </w:pPr>
            <w:r>
              <w:rPr>
                <w:rFonts w:ascii="Arial" w:cs="Arial" w:eastAsia="Arial" w:hAnsi="Arial"/>
                <w:sz w:val="3"/>
                <w:szCs w:val="3"/>
                <w:color w:val="FFFFFF"/>
              </w:rPr>
              <w:t>nnual Cap Tables</w:t>
            </w: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 w:type="dxa"/>
            <w:vAlign w:val="bottom"/>
            <w:gridSpan w:val="2"/>
          </w:tcPr>
          <w:p>
            <w:pPr>
              <w:spacing w:after="0"/>
              <w:rPr>
                <w:sz w:val="20"/>
                <w:szCs w:val="20"/>
                <w:color w:val="auto"/>
              </w:rPr>
            </w:pPr>
            <w:r>
              <w:rPr>
                <w:rFonts w:ascii="Arial" w:cs="Arial" w:eastAsia="Arial" w:hAnsi="Arial"/>
                <w:sz w:val="3"/>
                <w:szCs w:val="3"/>
                <w:color w:val="FFFFFF"/>
              </w:rPr>
              <w:t>Aggregate</w:t>
            </w:r>
          </w:p>
        </w:tc>
        <w:tc>
          <w:tcPr>
            <w:tcW w:w="1680" w:type="dxa"/>
            <w:vAlign w:val="bottom"/>
            <w:vMerge w:val="restart"/>
          </w:tcPr>
          <w:p>
            <w:pPr>
              <w:spacing w:after="0" w:line="81" w:lineRule="exact"/>
              <w:rPr>
                <w:sz w:val="20"/>
                <w:szCs w:val="20"/>
                <w:color w:val="auto"/>
              </w:rPr>
            </w:pPr>
            <w:r>
              <w:rPr>
                <w:rFonts w:ascii="Arial" w:cs="Arial" w:eastAsia="Arial" w:hAnsi="Arial"/>
                <w:sz w:val="9"/>
                <w:szCs w:val="9"/>
                <w:color w:val="FFFFFF"/>
              </w:rPr>
              <w:t>id to</w:t>
            </w: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amount</w:t>
            </w:r>
          </w:p>
        </w:tc>
        <w:tc>
          <w:tcPr>
            <w:tcW w:w="14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gridSpan w:val="3"/>
          </w:tcPr>
          <w:p>
            <w:pPr>
              <w:spacing w:after="0"/>
              <w:rPr>
                <w:sz w:val="20"/>
                <w:szCs w:val="20"/>
                <w:color w:val="auto"/>
              </w:rPr>
            </w:pPr>
            <w:r>
              <w:rPr>
                <w:rFonts w:ascii="Arial" w:cs="Arial" w:eastAsia="Arial" w:hAnsi="Arial"/>
                <w:sz w:val="3"/>
                <w:szCs w:val="3"/>
                <w:color w:val="FFFFFF"/>
              </w:rPr>
              <w:t>counter party for Annual Cap for</w:t>
            </w: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Discloseable continuing the year ended the year ended Annual Cap for</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connected transactions 31 December 31 December the year ended 31 December(1)</w:t>
            </w:r>
          </w:p>
        </w:tc>
        <w:tc>
          <w:tcPr>
            <w:tcW w:w="0" w:type="dxa"/>
            <w:vAlign w:val="bottom"/>
          </w:tcPr>
          <w:p>
            <w:pPr>
              <w:spacing w:after="0"/>
              <w:rPr>
                <w:sz w:val="1"/>
                <w:szCs w:val="1"/>
                <w:color w:val="auto"/>
              </w:rPr>
            </w:pPr>
          </w:p>
        </w:tc>
      </w:tr>
      <w:tr>
        <w:trPr>
          <w:trHeight w:val="41"/>
        </w:trPr>
        <w:tc>
          <w:tcPr>
            <w:tcW w:w="2260" w:type="dxa"/>
            <w:vAlign w:val="bottom"/>
            <w:gridSpan w:val="3"/>
          </w:tcPr>
          <w:p>
            <w:pPr>
              <w:spacing w:after="0"/>
              <w:rPr>
                <w:sz w:val="20"/>
                <w:szCs w:val="20"/>
                <w:color w:val="auto"/>
              </w:rPr>
            </w:pPr>
            <w:r>
              <w:rPr>
                <w:rFonts w:ascii="Arial" w:cs="Arial" w:eastAsia="Arial" w:hAnsi="Arial"/>
                <w:sz w:val="3"/>
                <w:szCs w:val="3"/>
                <w:color w:val="FFFFFF"/>
              </w:rPr>
              <w:t>2012 2012 2013 2014</w:t>
            </w: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gridSpan w:val="3"/>
          </w:tcPr>
          <w:p>
            <w:pPr>
              <w:spacing w:after="0"/>
              <w:rPr>
                <w:sz w:val="20"/>
                <w:szCs w:val="20"/>
                <w:color w:val="auto"/>
              </w:rPr>
            </w:pPr>
            <w:r>
              <w:rPr>
                <w:rFonts w:ascii="Arial" w:cs="Arial" w:eastAsia="Arial" w:hAnsi="Arial"/>
                <w:sz w:val="3"/>
                <w:szCs w:val="3"/>
                <w:color w:val="FFFFFF"/>
              </w:rPr>
              <w:t>HK$ US$ HK$ US$ HK$ US$ HK$ US$</w:t>
            </w: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gridSpan w:val="3"/>
          </w:tcPr>
          <w:p>
            <w:pPr>
              <w:spacing w:after="0"/>
              <w:rPr>
                <w:sz w:val="20"/>
                <w:szCs w:val="20"/>
                <w:color w:val="auto"/>
              </w:rPr>
            </w:pPr>
            <w:r>
              <w:rPr>
                <w:rFonts w:ascii="Arial" w:cs="Arial" w:eastAsia="Arial" w:hAnsi="Arial"/>
                <w:sz w:val="3"/>
                <w:szCs w:val="3"/>
                <w:color w:val="FFFFFF"/>
              </w:rPr>
              <w:t>(in millions)</w:t>
            </w: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gridSpan w:val="3"/>
          </w:tcPr>
          <w:p>
            <w:pPr>
              <w:spacing w:after="0"/>
              <w:rPr>
                <w:sz w:val="20"/>
                <w:szCs w:val="20"/>
                <w:color w:val="auto"/>
              </w:rPr>
            </w:pPr>
            <w:r>
              <w:rPr>
                <w:rFonts w:ascii="Arial" w:cs="Arial" w:eastAsia="Arial" w:hAnsi="Arial"/>
                <w:sz w:val="3"/>
                <w:szCs w:val="3"/>
                <w:color w:val="FFFFFF"/>
              </w:rPr>
              <w:t>1. Worldwide Wynn</w:t>
            </w: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gridSpan w:val="3"/>
          </w:tcPr>
          <w:p>
            <w:pPr>
              <w:spacing w:after="0"/>
              <w:rPr>
                <w:sz w:val="20"/>
                <w:szCs w:val="20"/>
                <w:color w:val="auto"/>
              </w:rPr>
            </w:pPr>
            <w:r>
              <w:rPr>
                <w:rFonts w:ascii="Arial" w:cs="Arial" w:eastAsia="Arial" w:hAnsi="Arial"/>
                <w:sz w:val="3"/>
                <w:szCs w:val="3"/>
                <w:color w:val="FFFFFF"/>
              </w:rPr>
              <w:t>Employment Framework</w:t>
            </w: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Agreements 137.0 17. 7 139.5 17. 9 153.2 19.7 177.2 22.8</w:t>
            </w:r>
          </w:p>
        </w:tc>
        <w:tc>
          <w:tcPr>
            <w:tcW w:w="0" w:type="dxa"/>
            <w:vAlign w:val="bottom"/>
          </w:tcPr>
          <w:p>
            <w:pPr>
              <w:spacing w:after="0"/>
              <w:rPr>
                <w:sz w:val="1"/>
                <w:szCs w:val="1"/>
                <w:color w:val="auto"/>
              </w:rPr>
            </w:pPr>
          </w:p>
        </w:tc>
      </w:tr>
      <w:tr>
        <w:trPr>
          <w:trHeight w:val="41"/>
        </w:trPr>
        <w:tc>
          <w:tcPr>
            <w:tcW w:w="580" w:type="dxa"/>
            <w:vAlign w:val="bottom"/>
            <w:gridSpan w:val="2"/>
          </w:tcPr>
          <w:p>
            <w:pPr>
              <w:spacing w:after="0"/>
              <w:rPr>
                <w:sz w:val="20"/>
                <w:szCs w:val="20"/>
                <w:color w:val="auto"/>
              </w:rPr>
            </w:pPr>
            <w:r>
              <w:rPr>
                <w:rFonts w:ascii="Arial" w:cs="Arial" w:eastAsia="Arial" w:hAnsi="Arial"/>
                <w:sz w:val="3"/>
                <w:szCs w:val="3"/>
                <w:color w:val="FFFFFF"/>
              </w:rPr>
              <w:t>2. Marketi</w:t>
            </w:r>
          </w:p>
        </w:tc>
        <w:tc>
          <w:tcPr>
            <w:tcW w:w="1680" w:type="dxa"/>
            <w:vAlign w:val="bottom"/>
          </w:tcPr>
          <w:p>
            <w:pPr>
              <w:ind w:left="60"/>
              <w:spacing w:after="0"/>
              <w:rPr>
                <w:sz w:val="20"/>
                <w:szCs w:val="20"/>
                <w:color w:val="auto"/>
              </w:rPr>
            </w:pPr>
            <w:r>
              <w:rPr>
                <w:rFonts w:ascii="Arial" w:cs="Arial" w:eastAsia="Arial" w:hAnsi="Arial"/>
                <w:sz w:val="3"/>
                <w:szCs w:val="3"/>
                <w:color w:val="FFFFFF"/>
              </w:rPr>
              <w:t>g and</w:t>
            </w: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gridSpan w:val="3"/>
          </w:tcPr>
          <w:p>
            <w:pPr>
              <w:spacing w:after="0"/>
              <w:rPr>
                <w:sz w:val="20"/>
                <w:szCs w:val="20"/>
                <w:color w:val="auto"/>
              </w:rPr>
            </w:pPr>
            <w:r>
              <w:rPr>
                <w:rFonts w:ascii="Arial" w:cs="Arial" w:eastAsia="Arial" w:hAnsi="Arial"/>
                <w:sz w:val="3"/>
                <w:szCs w:val="3"/>
                <w:color w:val="FFFFFF"/>
              </w:rPr>
              <w:t>Secondment Services</w:t>
            </w: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Framework Agreements 31.3 4.0 58.3 7.5 64.1 8.2 70.5 9.1</w:t>
            </w:r>
          </w:p>
        </w:tc>
        <w:tc>
          <w:tcPr>
            <w:tcW w:w="0" w:type="dxa"/>
            <w:vAlign w:val="bottom"/>
          </w:tcPr>
          <w:p>
            <w:pPr>
              <w:spacing w:after="0"/>
              <w:rPr>
                <w:sz w:val="1"/>
                <w:szCs w:val="1"/>
                <w:color w:val="auto"/>
              </w:rPr>
            </w:pPr>
          </w:p>
        </w:tc>
      </w:tr>
      <w:tr>
        <w:trPr>
          <w:trHeight w:val="41"/>
        </w:trPr>
        <w:tc>
          <w:tcPr>
            <w:tcW w:w="2260" w:type="dxa"/>
            <w:vAlign w:val="bottom"/>
            <w:gridSpan w:val="3"/>
          </w:tcPr>
          <w:p>
            <w:pPr>
              <w:spacing w:after="0"/>
              <w:rPr>
                <w:sz w:val="20"/>
                <w:szCs w:val="20"/>
                <w:color w:val="auto"/>
              </w:rPr>
            </w:pPr>
            <w:r>
              <w:rPr>
                <w:rFonts w:ascii="Arial" w:cs="Arial" w:eastAsia="Arial" w:hAnsi="Arial"/>
                <w:sz w:val="3"/>
                <w:szCs w:val="3"/>
                <w:color w:val="FFFFFF"/>
              </w:rPr>
              <w:t>3. Design Services</w:t>
            </w:r>
          </w:p>
        </w:tc>
        <w:tc>
          <w:tcPr>
            <w:tcW w:w="9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Framework Agreement 70.6 9.1 78.7 10.1 84.4 10.8 78.8 10.1</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Note:</w:t>
            </w:r>
          </w:p>
        </w:tc>
        <w:tc>
          <w:tcPr>
            <w:tcW w:w="10900" w:type="dxa"/>
            <w:vAlign w:val="bottom"/>
            <w:gridSpan w:val="3"/>
            <w:vMerge w:val="restart"/>
          </w:tcPr>
          <w:p>
            <w:pPr>
              <w:ind w:left="20"/>
              <w:spacing w:after="0"/>
              <w:rPr>
                <w:sz w:val="20"/>
                <w:szCs w:val="20"/>
                <w:color w:val="auto"/>
              </w:rPr>
            </w:pPr>
            <w:r>
              <w:rPr>
                <w:rFonts w:ascii="Arial" w:cs="Arial" w:eastAsia="Arial" w:hAnsi="Arial"/>
                <w:sz w:val="14"/>
                <w:szCs w:val="14"/>
                <w:color w:val="FFFFFF"/>
              </w:rPr>
              <w:t>The applicable annual cap will be the higher of the US$ limit and HK$ limit.</w:t>
            </w:r>
          </w:p>
        </w:tc>
        <w:tc>
          <w:tcPr>
            <w:tcW w:w="0" w:type="dxa"/>
            <w:vAlign w:val="bottom"/>
          </w:tcPr>
          <w:p>
            <w:pPr>
              <w:spacing w:after="0"/>
              <w:rPr>
                <w:sz w:val="1"/>
                <w:szCs w:val="1"/>
                <w:color w:val="auto"/>
              </w:rPr>
            </w:pPr>
          </w:p>
        </w:tc>
      </w:tr>
      <w:tr>
        <w:trPr>
          <w:trHeight w:val="172"/>
        </w:trPr>
        <w:tc>
          <w:tcPr>
            <w:tcW w:w="440" w:type="dxa"/>
            <w:vAlign w:val="bottom"/>
          </w:tcPr>
          <w:p>
            <w:pPr>
              <w:spacing w:after="0"/>
              <w:rPr>
                <w:sz w:val="20"/>
                <w:szCs w:val="20"/>
                <w:color w:val="auto"/>
              </w:rPr>
            </w:pPr>
            <w:r>
              <w:rPr>
                <w:rFonts w:ascii="Arial" w:cs="Arial" w:eastAsia="Arial" w:hAnsi="Arial"/>
                <w:sz w:val="14"/>
                <w:szCs w:val="14"/>
                <w:color w:val="FFFFFF"/>
              </w:rPr>
              <w:t>(1)</w:t>
            </w:r>
          </w:p>
        </w:tc>
        <w:tc>
          <w:tcPr>
            <w:tcW w:w="10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1440" w:right="319" w:bottom="1440" w:gutter="0" w:footer="0" w:header="0"/>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3"/>
          </w:tcPr>
          <w:p>
            <w:pPr>
              <w:spacing w:after="0"/>
              <w:rPr>
                <w:sz w:val="20"/>
                <w:szCs w:val="20"/>
                <w:color w:val="auto"/>
              </w:rPr>
            </w:pPr>
            <w:r>
              <w:rPr>
                <w:rFonts w:ascii="Arial" w:cs="Arial" w:eastAsia="Arial" w:hAnsi="Arial"/>
                <w:sz w:val="14"/>
                <w:szCs w:val="14"/>
                <w:color w:val="FFFFFF"/>
              </w:rPr>
              <w:t>Annual Report 2012 47</w:t>
            </w:r>
          </w:p>
        </w:tc>
        <w:tc>
          <w:tcPr>
            <w:tcW w:w="218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spacing w:after="0"/>
              <w:rPr>
                <w:sz w:val="20"/>
                <w:szCs w:val="20"/>
                <w:color w:val="auto"/>
              </w:rPr>
            </w:pPr>
            <w:r>
              <w:rPr>
                <w:rFonts w:ascii="Arial" w:cs="Arial" w:eastAsia="Arial" w:hAnsi="Arial"/>
                <w:sz w:val="3"/>
                <w:szCs w:val="3"/>
                <w:color w:val="FFFFFF"/>
              </w:rPr>
              <w:t>Report of the Directors</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0" w:type="dxa"/>
            <w:vAlign w:val="bottom"/>
            <w:gridSpan w:val="4"/>
          </w:tcPr>
          <w:p>
            <w:pPr>
              <w:spacing w:after="0"/>
              <w:rPr>
                <w:sz w:val="20"/>
                <w:szCs w:val="20"/>
                <w:color w:val="auto"/>
              </w:rPr>
            </w:pPr>
            <w:r>
              <w:rPr>
                <w:rFonts w:ascii="Arial" w:cs="Arial" w:eastAsia="Arial" w:hAnsi="Arial"/>
                <w:sz w:val="3"/>
                <w:szCs w:val="3"/>
                <w:color w:val="FFFFFF"/>
              </w:rPr>
              <w:t>CONNECTED TRANSACTIONS (CONTINUED)</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spacing w:after="0"/>
              <w:rPr>
                <w:sz w:val="20"/>
                <w:szCs w:val="20"/>
                <w:color w:val="auto"/>
              </w:rPr>
            </w:pPr>
            <w:r>
              <w:rPr>
                <w:rFonts w:ascii="Arial" w:cs="Arial" w:eastAsia="Arial" w:hAnsi="Arial"/>
                <w:sz w:val="3"/>
                <w:szCs w:val="3"/>
                <w:color w:val="FFFFFF"/>
              </w:rPr>
              <w:t>Summary (continued)</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ind w:left="100"/>
              <w:spacing w:after="0"/>
              <w:rPr>
                <w:sz w:val="20"/>
                <w:szCs w:val="20"/>
                <w:color w:val="auto"/>
              </w:rPr>
            </w:pPr>
            <w:r>
              <w:rPr>
                <w:rFonts w:ascii="Arial" w:cs="Arial" w:eastAsia="Arial" w:hAnsi="Arial"/>
                <w:sz w:val="3"/>
                <w:szCs w:val="3"/>
                <w:color w:val="FFFFFF"/>
              </w:rPr>
              <w:t>nnual Cap Tables (continued)</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0" w:type="dxa"/>
            <w:vAlign w:val="bottom"/>
            <w:gridSpan w:val="2"/>
          </w:tcPr>
          <w:p>
            <w:pPr>
              <w:spacing w:after="0"/>
              <w:rPr>
                <w:sz w:val="20"/>
                <w:szCs w:val="20"/>
                <w:color w:val="auto"/>
              </w:rPr>
            </w:pPr>
            <w:r>
              <w:rPr>
                <w:rFonts w:ascii="Arial" w:cs="Arial" w:eastAsia="Arial" w:hAnsi="Arial"/>
                <w:sz w:val="3"/>
                <w:szCs w:val="3"/>
                <w:color w:val="FFFFFF"/>
              </w:rPr>
              <w:t>Aggregate</w:t>
            </w:r>
          </w:p>
        </w:tc>
        <w:tc>
          <w:tcPr>
            <w:tcW w:w="1240" w:type="dxa"/>
            <w:vAlign w:val="bottom"/>
            <w:vMerge w:val="restart"/>
          </w:tcPr>
          <w:p>
            <w:pPr>
              <w:spacing w:after="0" w:line="81" w:lineRule="exact"/>
              <w:rPr>
                <w:sz w:val="20"/>
                <w:szCs w:val="20"/>
                <w:color w:val="auto"/>
              </w:rPr>
            </w:pPr>
            <w:r>
              <w:rPr>
                <w:rFonts w:ascii="Arial" w:cs="Arial" w:eastAsia="Arial" w:hAnsi="Arial"/>
                <w:sz w:val="9"/>
                <w:szCs w:val="9"/>
                <w:color w:val="FFFFFF"/>
              </w:rPr>
              <w:t>id to</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amount</w:t>
            </w:r>
          </w:p>
        </w:tc>
        <w:tc>
          <w:tcPr>
            <w:tcW w:w="1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spacing w:after="0"/>
              <w:rPr>
                <w:sz w:val="20"/>
                <w:szCs w:val="20"/>
                <w:color w:val="auto"/>
              </w:rPr>
            </w:pPr>
            <w:r>
              <w:rPr>
                <w:rFonts w:ascii="Arial" w:cs="Arial" w:eastAsia="Arial" w:hAnsi="Arial"/>
                <w:sz w:val="3"/>
                <w:szCs w:val="3"/>
                <w:color w:val="FFFFFF"/>
              </w:rPr>
              <w:t>counter party for Annual Cap for</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0" w:type="dxa"/>
            <w:vAlign w:val="bottom"/>
            <w:gridSpan w:val="4"/>
          </w:tcPr>
          <w:p>
            <w:pPr>
              <w:spacing w:after="0"/>
              <w:rPr>
                <w:sz w:val="20"/>
                <w:szCs w:val="20"/>
                <w:color w:val="auto"/>
              </w:rPr>
            </w:pPr>
            <w:r>
              <w:rPr>
                <w:rFonts w:ascii="Arial" w:cs="Arial" w:eastAsia="Arial" w:hAnsi="Arial"/>
                <w:sz w:val="3"/>
                <w:szCs w:val="3"/>
                <w:color w:val="FFFFFF"/>
              </w:rPr>
              <w:t>Discloseable continuing the year ended the year ended</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520" w:type="dxa"/>
            <w:vAlign w:val="bottom"/>
            <w:gridSpan w:val="5"/>
          </w:tcPr>
          <w:p>
            <w:pPr>
              <w:spacing w:after="0"/>
              <w:rPr>
                <w:sz w:val="20"/>
                <w:szCs w:val="20"/>
                <w:color w:val="auto"/>
              </w:rPr>
            </w:pPr>
            <w:r>
              <w:rPr>
                <w:rFonts w:ascii="Arial" w:cs="Arial" w:eastAsia="Arial" w:hAnsi="Arial"/>
                <w:sz w:val="3"/>
                <w:szCs w:val="3"/>
                <w:color w:val="FFFFFF"/>
              </w:rPr>
              <w:t>connected transactions 31 December 31 December Annual Cap for the year ending 31 December(1)</w:t>
            </w:r>
          </w:p>
        </w:tc>
        <w:tc>
          <w:tcPr>
            <w:tcW w:w="0" w:type="dxa"/>
            <w:vAlign w:val="bottom"/>
          </w:tcPr>
          <w:p>
            <w:pPr>
              <w:spacing w:after="0"/>
              <w:rPr>
                <w:sz w:val="1"/>
                <w:szCs w:val="1"/>
                <w:color w:val="auto"/>
              </w:rPr>
            </w:pPr>
          </w:p>
        </w:tc>
      </w:tr>
      <w:tr>
        <w:trPr>
          <w:trHeight w:val="41"/>
        </w:trPr>
        <w:tc>
          <w:tcPr>
            <w:tcW w:w="4000" w:type="dxa"/>
            <w:vAlign w:val="bottom"/>
            <w:gridSpan w:val="4"/>
          </w:tcPr>
          <w:p>
            <w:pPr>
              <w:spacing w:after="0"/>
              <w:rPr>
                <w:sz w:val="20"/>
                <w:szCs w:val="20"/>
                <w:color w:val="auto"/>
              </w:rPr>
            </w:pPr>
            <w:r>
              <w:rPr>
                <w:rFonts w:ascii="Arial" w:cs="Arial" w:eastAsia="Arial" w:hAnsi="Arial"/>
                <w:sz w:val="3"/>
                <w:szCs w:val="3"/>
                <w:color w:val="FFFFFF"/>
              </w:rPr>
              <w:t>2012 2012 2013 2014 2015 2016 2017</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0" w:type="dxa"/>
            <w:vAlign w:val="bottom"/>
            <w:gridSpan w:val="4"/>
          </w:tcPr>
          <w:p>
            <w:pPr>
              <w:spacing w:after="0"/>
              <w:rPr>
                <w:sz w:val="20"/>
                <w:szCs w:val="20"/>
                <w:color w:val="auto"/>
              </w:rPr>
            </w:pPr>
            <w:r>
              <w:rPr>
                <w:rFonts w:ascii="Arial" w:cs="Arial" w:eastAsia="Arial" w:hAnsi="Arial"/>
                <w:sz w:val="3"/>
                <w:szCs w:val="3"/>
                <w:color w:val="FFFFFF"/>
              </w:rPr>
              <w:t>HK$ US$ HK$ US$ HK$ US$ HK$ US$ HK$ US$ HK$ US$ HK$ US$</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spacing w:after="0"/>
              <w:rPr>
                <w:sz w:val="20"/>
                <w:szCs w:val="20"/>
                <w:color w:val="auto"/>
              </w:rPr>
            </w:pPr>
            <w:r>
              <w:rPr>
                <w:rFonts w:ascii="Arial" w:cs="Arial" w:eastAsia="Arial" w:hAnsi="Arial"/>
                <w:sz w:val="3"/>
                <w:szCs w:val="3"/>
                <w:color w:val="FFFFFF"/>
              </w:rPr>
              <w:t>(in millions)</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spacing w:after="0"/>
              <w:rPr>
                <w:sz w:val="20"/>
                <w:szCs w:val="20"/>
                <w:color w:val="auto"/>
              </w:rPr>
            </w:pPr>
            <w:r>
              <w:rPr>
                <w:rFonts w:ascii="Arial" w:cs="Arial" w:eastAsia="Arial" w:hAnsi="Arial"/>
                <w:sz w:val="3"/>
                <w:szCs w:val="3"/>
                <w:color w:val="FFFFFF"/>
              </w:rPr>
              <w:t>4. Corporate Allocation</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spacing w:after="0"/>
              <w:rPr>
                <w:sz w:val="20"/>
                <w:szCs w:val="20"/>
                <w:color w:val="auto"/>
              </w:rPr>
            </w:pPr>
            <w:r>
              <w:rPr>
                <w:rFonts w:ascii="Arial" w:cs="Arial" w:eastAsia="Arial" w:hAnsi="Arial"/>
                <w:sz w:val="3"/>
                <w:szCs w:val="3"/>
                <w:color w:val="FFFFFF"/>
              </w:rPr>
              <w:t>Agreements</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w:t>
            </w:r>
          </w:p>
        </w:tc>
        <w:tc>
          <w:tcPr>
            <w:tcW w:w="1380" w:type="dxa"/>
            <w:vAlign w:val="bottom"/>
            <w:gridSpan w:val="2"/>
          </w:tcPr>
          <w:p>
            <w:pPr>
              <w:ind w:left="20"/>
              <w:spacing w:after="0"/>
              <w:rPr>
                <w:sz w:val="20"/>
                <w:szCs w:val="20"/>
                <w:color w:val="auto"/>
              </w:rPr>
            </w:pPr>
            <w:r>
              <w:rPr>
                <w:rFonts w:ascii="Arial" w:cs="Arial" w:eastAsia="Arial" w:hAnsi="Arial"/>
                <w:sz w:val="3"/>
                <w:szCs w:val="3"/>
                <w:color w:val="FFFFFF"/>
              </w:rPr>
              <w:t>Wynn Resorts,</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820" w:type="dxa"/>
            <w:vAlign w:val="bottom"/>
            <w:gridSpan w:val="3"/>
          </w:tcPr>
          <w:p>
            <w:pPr>
              <w:spacing w:after="0" w:line="54" w:lineRule="exact"/>
              <w:rPr>
                <w:sz w:val="20"/>
                <w:szCs w:val="20"/>
                <w:color w:val="auto"/>
              </w:rPr>
            </w:pPr>
            <w:r>
              <w:rPr>
                <w:rFonts w:ascii="Arial" w:cs="Arial" w:eastAsia="Arial" w:hAnsi="Arial"/>
                <w:sz w:val="6"/>
                <w:szCs w:val="6"/>
                <w:color w:val="FFFFFF"/>
              </w:rPr>
              <w:t>Limited providing</w:t>
            </w:r>
          </w:p>
        </w:tc>
        <w:tc>
          <w:tcPr>
            <w:tcW w:w="2180" w:type="dxa"/>
            <w:vAlign w:val="bottom"/>
          </w:tcPr>
          <w:p>
            <w:pPr>
              <w:spacing w:after="0"/>
              <w:rPr>
                <w:sz w:val="4"/>
                <w:szCs w:val="4"/>
                <w:color w:val="auto"/>
              </w:rPr>
            </w:pPr>
          </w:p>
        </w:tc>
        <w:tc>
          <w:tcPr>
            <w:tcW w:w="6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0520" w:type="dxa"/>
            <w:vAlign w:val="bottom"/>
            <w:gridSpan w:val="5"/>
          </w:tcPr>
          <w:p>
            <w:pPr>
              <w:spacing w:after="0"/>
              <w:rPr>
                <w:sz w:val="20"/>
                <w:szCs w:val="20"/>
                <w:color w:val="auto"/>
              </w:rPr>
            </w:pPr>
            <w:r>
              <w:rPr>
                <w:rFonts w:ascii="Arial" w:cs="Arial" w:eastAsia="Arial" w:hAnsi="Arial"/>
                <w:sz w:val="3"/>
                <w:szCs w:val="3"/>
                <w:color w:val="FFFFFF"/>
              </w:rPr>
              <w:t>the services to us 184.3 23.8 197.5 25.5 212.3 27.4 228.3 29.5 245.4 31.7 263.8 34.0 276.8 35.7</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w:t>
            </w:r>
          </w:p>
        </w:tc>
        <w:tc>
          <w:tcPr>
            <w:tcW w:w="1380" w:type="dxa"/>
            <w:vAlign w:val="bottom"/>
            <w:gridSpan w:val="2"/>
          </w:tcPr>
          <w:p>
            <w:pPr>
              <w:ind w:left="20"/>
              <w:spacing w:after="0"/>
              <w:rPr>
                <w:sz w:val="20"/>
                <w:szCs w:val="20"/>
                <w:color w:val="auto"/>
              </w:rPr>
            </w:pPr>
            <w:r>
              <w:rPr>
                <w:rFonts w:ascii="Arial" w:cs="Arial" w:eastAsia="Arial" w:hAnsi="Arial"/>
                <w:sz w:val="3"/>
                <w:szCs w:val="3"/>
                <w:color w:val="FFFFFF"/>
              </w:rPr>
              <w:t>Our Group</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820" w:type="dxa"/>
            <w:vAlign w:val="bottom"/>
            <w:gridSpan w:val="3"/>
          </w:tcPr>
          <w:p>
            <w:pPr>
              <w:spacing w:after="0" w:line="54" w:lineRule="exact"/>
              <w:rPr>
                <w:sz w:val="20"/>
                <w:szCs w:val="20"/>
                <w:color w:val="auto"/>
              </w:rPr>
            </w:pPr>
            <w:r>
              <w:rPr>
                <w:rFonts w:ascii="Arial" w:cs="Arial" w:eastAsia="Arial" w:hAnsi="Arial"/>
                <w:sz w:val="6"/>
                <w:szCs w:val="6"/>
                <w:color w:val="FFFFFF"/>
              </w:rPr>
              <w:t>providing the</w:t>
            </w:r>
          </w:p>
        </w:tc>
        <w:tc>
          <w:tcPr>
            <w:tcW w:w="2180" w:type="dxa"/>
            <w:vAlign w:val="bottom"/>
          </w:tcPr>
          <w:p>
            <w:pPr>
              <w:spacing w:after="0"/>
              <w:rPr>
                <w:sz w:val="4"/>
                <w:szCs w:val="4"/>
                <w:color w:val="auto"/>
              </w:rPr>
            </w:pPr>
          </w:p>
        </w:tc>
        <w:tc>
          <w:tcPr>
            <w:tcW w:w="6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spacing w:after="0"/>
              <w:rPr>
                <w:sz w:val="20"/>
                <w:szCs w:val="20"/>
                <w:color w:val="auto"/>
              </w:rPr>
            </w:pPr>
            <w:r>
              <w:rPr>
                <w:rFonts w:ascii="Arial" w:cs="Arial" w:eastAsia="Arial" w:hAnsi="Arial"/>
                <w:sz w:val="3"/>
                <w:szCs w:val="3"/>
                <w:color w:val="FFFFFF"/>
              </w:rPr>
              <w:t>services to</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spacing w:after="0"/>
              <w:rPr>
                <w:sz w:val="20"/>
                <w:szCs w:val="20"/>
                <w:color w:val="auto"/>
              </w:rPr>
            </w:pPr>
            <w:r>
              <w:rPr>
                <w:rFonts w:ascii="Arial" w:cs="Arial" w:eastAsia="Arial" w:hAnsi="Arial"/>
                <w:sz w:val="3"/>
                <w:szCs w:val="3"/>
                <w:color w:val="FFFFFF"/>
              </w:rPr>
              <w:t>Wynn Resorts,</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000" w:type="dxa"/>
            <w:vAlign w:val="bottom"/>
            <w:gridSpan w:val="4"/>
          </w:tcPr>
          <w:p>
            <w:pPr>
              <w:spacing w:after="0"/>
              <w:rPr>
                <w:sz w:val="20"/>
                <w:szCs w:val="20"/>
                <w:color w:val="auto"/>
              </w:rPr>
            </w:pPr>
            <w:r>
              <w:rPr>
                <w:rFonts w:ascii="Arial" w:cs="Arial" w:eastAsia="Arial" w:hAnsi="Arial"/>
                <w:sz w:val="3"/>
                <w:szCs w:val="3"/>
                <w:color w:val="FFFFFF"/>
              </w:rPr>
              <w:t>Limited — — 18.6 2.4 18.6 2.4 18.6 2.4 18.6 2.4 18.6 2.4 18.6 2.4</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gridSpan w:val="3"/>
          </w:tcPr>
          <w:p>
            <w:pPr>
              <w:spacing w:after="0"/>
              <w:rPr>
                <w:sz w:val="20"/>
                <w:szCs w:val="20"/>
                <w:color w:val="auto"/>
              </w:rPr>
            </w:pPr>
            <w:r>
              <w:rPr>
                <w:rFonts w:ascii="Arial" w:cs="Arial" w:eastAsia="Arial" w:hAnsi="Arial"/>
                <w:sz w:val="3"/>
                <w:szCs w:val="3"/>
                <w:color w:val="FFFFFF"/>
              </w:rPr>
              <w:t>5. Intellectual Property</w:t>
            </w:r>
          </w:p>
        </w:tc>
        <w:tc>
          <w:tcPr>
            <w:tcW w:w="218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520" w:type="dxa"/>
            <w:vAlign w:val="bottom"/>
            <w:gridSpan w:val="5"/>
          </w:tcPr>
          <w:p>
            <w:pPr>
              <w:spacing w:after="0"/>
              <w:rPr>
                <w:sz w:val="20"/>
                <w:szCs w:val="20"/>
                <w:color w:val="auto"/>
              </w:rPr>
            </w:pPr>
            <w:r>
              <w:rPr>
                <w:rFonts w:ascii="Arial" w:cs="Arial" w:eastAsia="Arial" w:hAnsi="Arial"/>
                <w:sz w:val="3"/>
                <w:szCs w:val="3"/>
                <w:color w:val="FFFFFF"/>
              </w:rPr>
              <w:t>License Agreements 1,141.2 147.1 The higher of (1) 3% of the intellectual property gross monthly revenues; or (2) US$1.5 million per month.</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Note:</w:t>
            </w:r>
          </w:p>
        </w:tc>
        <w:tc>
          <w:tcPr>
            <w:tcW w:w="10080" w:type="dxa"/>
            <w:vAlign w:val="bottom"/>
            <w:gridSpan w:val="4"/>
            <w:vMerge w:val="restart"/>
          </w:tcPr>
          <w:p>
            <w:pPr>
              <w:ind w:left="20"/>
              <w:spacing w:after="0" w:line="81" w:lineRule="exact"/>
              <w:rPr>
                <w:sz w:val="20"/>
                <w:szCs w:val="20"/>
                <w:color w:val="auto"/>
              </w:rPr>
            </w:pPr>
            <w:r>
              <w:rPr>
                <w:rFonts w:ascii="Arial" w:cs="Arial" w:eastAsia="Arial" w:hAnsi="Arial"/>
                <w:sz w:val="9"/>
                <w:szCs w:val="9"/>
                <w:color w:val="FFFFFF"/>
              </w:rPr>
              <w:t>The applicable annual cap will be the higher of the US$ limit and HK$ limit.</w:t>
            </w:r>
          </w:p>
        </w:tc>
        <w:tc>
          <w:tcPr>
            <w:tcW w:w="0" w:type="dxa"/>
            <w:vAlign w:val="bottom"/>
          </w:tcPr>
          <w:p>
            <w:pPr>
              <w:spacing w:after="0"/>
              <w:rPr>
                <w:sz w:val="1"/>
                <w:szCs w:val="1"/>
                <w:color w:val="auto"/>
              </w:rPr>
            </w:pPr>
          </w:p>
        </w:tc>
      </w:tr>
      <w:tr>
        <w:trPr>
          <w:trHeight w:val="41"/>
        </w:trPr>
        <w:tc>
          <w:tcPr>
            <w:tcW w:w="440" w:type="dxa"/>
            <w:vAlign w:val="bottom"/>
          </w:tcPr>
          <w:p>
            <w:pPr>
              <w:spacing w:after="0"/>
              <w:rPr>
                <w:sz w:val="20"/>
                <w:szCs w:val="20"/>
                <w:color w:val="auto"/>
              </w:rPr>
            </w:pPr>
            <w:r>
              <w:rPr>
                <w:rFonts w:ascii="Arial" w:cs="Arial" w:eastAsia="Arial" w:hAnsi="Arial"/>
                <w:sz w:val="3"/>
                <w:szCs w:val="3"/>
                <w:color w:val="FFFFFF"/>
              </w:rPr>
              <w:t>(1)</w:t>
            </w:r>
          </w:p>
        </w:tc>
        <w:tc>
          <w:tcPr>
            <w:tcW w:w="100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820" w:type="dxa"/>
            <w:vAlign w:val="bottom"/>
            <w:gridSpan w:val="3"/>
          </w:tcPr>
          <w:p>
            <w:pPr>
              <w:spacing w:after="0" w:line="67" w:lineRule="exact"/>
              <w:rPr>
                <w:sz w:val="20"/>
                <w:szCs w:val="20"/>
                <w:color w:val="auto"/>
              </w:rPr>
            </w:pPr>
            <w:r>
              <w:rPr>
                <w:rFonts w:ascii="Arial" w:cs="Arial" w:eastAsia="Arial" w:hAnsi="Arial"/>
                <w:sz w:val="7"/>
                <w:szCs w:val="7"/>
                <w:color w:val="FFFFFF"/>
              </w:rPr>
              <w:t>Under Chapter 14A of the</w:t>
            </w:r>
          </w:p>
        </w:tc>
        <w:tc>
          <w:tcPr>
            <w:tcW w:w="2180" w:type="dxa"/>
            <w:vAlign w:val="bottom"/>
          </w:tcPr>
          <w:p>
            <w:pPr>
              <w:ind w:left="40"/>
              <w:spacing w:after="0" w:line="67" w:lineRule="exact"/>
              <w:rPr>
                <w:sz w:val="20"/>
                <w:szCs w:val="20"/>
                <w:color w:val="auto"/>
              </w:rPr>
            </w:pPr>
            <w:r>
              <w:rPr>
                <w:rFonts w:ascii="Arial" w:cs="Arial" w:eastAsia="Arial" w:hAnsi="Arial"/>
                <w:sz w:val="7"/>
                <w:szCs w:val="7"/>
                <w:color w:val="FFFFFF"/>
              </w:rPr>
              <w:t>Rules, the above transactions</w:t>
            </w:r>
          </w:p>
        </w:tc>
        <w:tc>
          <w:tcPr>
            <w:tcW w:w="6520" w:type="dxa"/>
            <w:vAlign w:val="bottom"/>
          </w:tcPr>
          <w:p>
            <w:pPr>
              <w:ind w:left="40"/>
              <w:spacing w:after="0" w:line="67" w:lineRule="exact"/>
              <w:rPr>
                <w:sz w:val="20"/>
                <w:szCs w:val="20"/>
                <w:color w:val="auto"/>
              </w:rPr>
            </w:pPr>
            <w:r>
              <w:rPr>
                <w:rFonts w:ascii="Arial" w:cs="Arial" w:eastAsia="Arial" w:hAnsi="Arial"/>
                <w:sz w:val="7"/>
                <w:szCs w:val="7"/>
                <w:color w:val="FFFFFF"/>
              </w:rPr>
              <w:t>non-exempt continuing connected transactions of the Group and require disclosure in the annual report of the Company.</w:t>
            </w:r>
          </w:p>
        </w:tc>
        <w:tc>
          <w:tcPr>
            <w:tcW w:w="0" w:type="dxa"/>
            <w:vAlign w:val="bottom"/>
          </w:tcPr>
          <w:p>
            <w:pPr>
              <w:spacing w:after="0" w:line="20" w:lineRule="exact"/>
              <w:rPr>
                <w:sz w:val="1"/>
                <w:szCs w:val="1"/>
                <w:color w:val="auto"/>
              </w:rPr>
            </w:pPr>
          </w:p>
        </w:tc>
      </w:tr>
    </w:tbl>
    <w:p>
      <w:pPr>
        <w:spacing w:after="0"/>
        <w:tabs>
          <w:tab w:leader="none" w:pos="8600" w:val="left"/>
        </w:tabs>
        <w:rPr>
          <w:sz w:val="20"/>
          <w:szCs w:val="20"/>
          <w:color w:val="auto"/>
        </w:rPr>
      </w:pPr>
      <w:r>
        <w:rPr>
          <w:rFonts w:ascii="Arial" w:cs="Arial" w:eastAsia="Arial" w:hAnsi="Arial"/>
          <w:sz w:val="2"/>
          <w:szCs w:val="2"/>
          <w:color w:val="FFFFFF"/>
        </w:rPr>
        <w:t>Ernst &amp; Young, the Company’Listingauditors, were engaged to reportconstitutetheGroup’s continuing connected transactions in accordance with Hong Kong Standard</w:t>
      </w:r>
      <w:r>
        <w:rPr>
          <w:sz w:val="20"/>
          <w:szCs w:val="20"/>
          <w:color w:val="auto"/>
        </w:rPr>
        <w:tab/>
      </w:r>
      <w:r>
        <w:rPr>
          <w:rFonts w:ascii="Arial" w:cs="Arial" w:eastAsia="Arial" w:hAnsi="Arial"/>
          <w:sz w:val="2"/>
          <w:szCs w:val="2"/>
          <w:color w:val="FFFFFF"/>
        </w:rPr>
        <w:t>Assurance Engagements 3000</w:t>
      </w:r>
    </w:p>
    <w:p>
      <w:pPr>
        <w:spacing w:after="0"/>
        <w:rPr>
          <w:sz w:val="20"/>
          <w:szCs w:val="20"/>
          <w:color w:val="auto"/>
        </w:rPr>
      </w:pPr>
      <w:r>
        <w:rPr>
          <w:rFonts w:ascii="Arial" w:cs="Arial" w:eastAsia="Arial" w:hAnsi="Arial"/>
          <w:sz w:val="9"/>
          <w:szCs w:val="9"/>
          <w:color w:val="FFFFFF"/>
        </w:rPr>
        <w:t>Assurance Engagements Other Than Audits or Reviews of Historical Financial Information and with reference to Practice Note 740 Auditor’s Letter on Continuing Connected Transactions under the Hong Kong Listing Rules issued by the Hong Kong Institute of Certi? ed Public Accountants. Ernst &amp; Young have issued their unquali? ed letter containing their ? ndings and conclusions in respect of the continuing connected transactions disclosed above by the Group in accordance with Rule 14A.38 of the Listing Rules. A copy of the auditors’ letter has been provided by the Company to the Hong Kong Stock Exchange. In addition, all of the non-exempted continuing connected transactions of the Company disclosed herein constitute related party transactions set out in note 28 to the Financial Statements.</w:t>
      </w:r>
    </w:p>
    <w:p>
      <w:pPr>
        <w:sectPr>
          <w:pgSz w:w="11900" w:h="16838" w:orient="portrait"/>
          <w:cols w:equalWidth="0" w:num="1">
            <w:col w:w="11380"/>
          </w:cols>
          <w:pgMar w:left="240" w:top="1440" w:right="279" w:bottom="1440" w:gutter="0" w:footer="0" w:header="0"/>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Arial" w:cs="Arial" w:eastAsia="Arial" w:hAnsi="Arial"/>
                <w:sz w:val="14"/>
                <w:szCs w:val="14"/>
                <w:color w:val="FFFFFF"/>
              </w:rPr>
              <w:t>48 Wynn Macau, Limited</w:t>
            </w:r>
          </w:p>
        </w:tc>
        <w:tc>
          <w:tcPr>
            <w:tcW w:w="7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20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7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0" w:type="dxa"/>
            <w:vAlign w:val="bottom"/>
            <w:gridSpan w:val="2"/>
          </w:tcPr>
          <w:p>
            <w:pPr>
              <w:spacing w:after="0"/>
              <w:rPr>
                <w:sz w:val="20"/>
                <w:szCs w:val="20"/>
                <w:color w:val="auto"/>
              </w:rPr>
            </w:pPr>
            <w:r>
              <w:rPr>
                <w:rFonts w:ascii="Arial" w:cs="Arial" w:eastAsia="Arial" w:hAnsi="Arial"/>
                <w:sz w:val="3"/>
                <w:szCs w:val="3"/>
                <w:color w:val="FFFFFF"/>
              </w:rPr>
              <w:t>CONNECTED TRANSACTIONS (CONTINUED)</w:t>
            </w:r>
          </w:p>
        </w:tc>
        <w:tc>
          <w:tcPr>
            <w:tcW w:w="7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0" w:type="dxa"/>
            <w:vAlign w:val="bottom"/>
            <w:gridSpan w:val="2"/>
          </w:tcPr>
          <w:p>
            <w:pPr>
              <w:spacing w:after="0"/>
              <w:rPr>
                <w:sz w:val="20"/>
                <w:szCs w:val="20"/>
                <w:color w:val="auto"/>
              </w:rPr>
            </w:pPr>
            <w:r>
              <w:rPr>
                <w:rFonts w:ascii="Arial" w:cs="Arial" w:eastAsia="Arial" w:hAnsi="Arial"/>
                <w:sz w:val="3"/>
                <w:szCs w:val="3"/>
                <w:color w:val="FFFFFF"/>
              </w:rPr>
              <w:t>Summary (continued)</w:t>
            </w:r>
          </w:p>
        </w:tc>
        <w:tc>
          <w:tcPr>
            <w:tcW w:w="7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independent non-executive Directors of the Company have reviewed these transactions and the independent auditors’ report and confi rmed that the non-exempt continuing connected transactions have been</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entered</w:t>
            </w:r>
          </w:p>
        </w:tc>
        <w:tc>
          <w:tcPr>
            <w:tcW w:w="378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into:the ordinary and usual course of business of the Company;</w:t>
            </w:r>
          </w:p>
        </w:tc>
        <w:tc>
          <w:tcPr>
            <w:tcW w:w="7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(a)</w:t>
            </w:r>
          </w:p>
        </w:tc>
        <w:tc>
          <w:tcPr>
            <w:tcW w:w="3780" w:type="dxa"/>
            <w:vAlign w:val="bottom"/>
            <w:vMerge w:val="continue"/>
          </w:tcPr>
          <w:p>
            <w:pPr>
              <w:spacing w:after="0"/>
              <w:rPr>
                <w:sz w:val="3"/>
                <w:szCs w:val="3"/>
                <w:color w:val="auto"/>
              </w:rPr>
            </w:pPr>
          </w:p>
        </w:tc>
        <w:tc>
          <w:tcPr>
            <w:tcW w:w="7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360" w:type="dxa"/>
            <w:vAlign w:val="bottom"/>
            <w:gridSpan w:val="3"/>
          </w:tcPr>
          <w:p>
            <w:pPr>
              <w:ind w:left="60"/>
              <w:spacing w:after="0" w:line="54" w:lineRule="exact"/>
              <w:rPr>
                <w:sz w:val="20"/>
                <w:szCs w:val="20"/>
                <w:color w:val="auto"/>
              </w:rPr>
            </w:pPr>
            <w:r>
              <w:rPr>
                <w:rFonts w:ascii="Arial" w:cs="Arial" w:eastAsia="Arial" w:hAnsi="Arial"/>
                <w:sz w:val="6"/>
                <w:szCs w:val="6"/>
                <w:color w:val="FFFFFF"/>
              </w:rPr>
              <w:t>b) either on normal commercial terms or, on terms no less favourable to the Company than the terms available to and from (as appropriate) independent third parties; and</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(c) in accordance with the relevant agreement on terms that are fair and reasonable and in the interests of the Shareholders of the Company as a whole.</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Directors con? rm that the Company has complied with the disclosure requirements in accordance with Chapter 14A of the Listing Rules.</w:t>
            </w:r>
          </w:p>
        </w:tc>
        <w:tc>
          <w:tcPr>
            <w:tcW w:w="0" w:type="dxa"/>
            <w:vAlign w:val="bottom"/>
          </w:tcPr>
          <w:p>
            <w:pPr>
              <w:spacing w:after="0"/>
              <w:rPr>
                <w:sz w:val="1"/>
                <w:szCs w:val="1"/>
                <w:color w:val="auto"/>
              </w:rPr>
            </w:pPr>
          </w:p>
        </w:tc>
      </w:tr>
      <w:tr>
        <w:trPr>
          <w:trHeight w:val="41"/>
        </w:trPr>
        <w:tc>
          <w:tcPr>
            <w:tcW w:w="4200" w:type="dxa"/>
            <w:vAlign w:val="bottom"/>
            <w:gridSpan w:val="2"/>
          </w:tcPr>
          <w:p>
            <w:pPr>
              <w:spacing w:after="0"/>
              <w:rPr>
                <w:sz w:val="20"/>
                <w:szCs w:val="20"/>
                <w:color w:val="auto"/>
              </w:rPr>
            </w:pPr>
            <w:r>
              <w:rPr>
                <w:rFonts w:ascii="Arial" w:cs="Arial" w:eastAsia="Arial" w:hAnsi="Arial"/>
                <w:sz w:val="3"/>
                <w:szCs w:val="3"/>
                <w:color w:val="FFFFFF"/>
              </w:rPr>
              <w:t>MANAGEMENT CONTRACTS</w:t>
            </w:r>
          </w:p>
        </w:tc>
        <w:tc>
          <w:tcPr>
            <w:tcW w:w="7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No contracts concerning the management and administration of the whole or any substantial part of the business of the Company were entered into or existed for the year ended 31 December 2012.</w:t>
            </w:r>
          </w:p>
        </w:tc>
        <w:tc>
          <w:tcPr>
            <w:tcW w:w="0" w:type="dxa"/>
            <w:vAlign w:val="bottom"/>
          </w:tcPr>
          <w:p>
            <w:pPr>
              <w:spacing w:after="0"/>
              <w:rPr>
                <w:sz w:val="1"/>
                <w:szCs w:val="1"/>
                <w:color w:val="auto"/>
              </w:rPr>
            </w:pPr>
          </w:p>
        </w:tc>
      </w:tr>
      <w:tr>
        <w:trPr>
          <w:trHeight w:val="41"/>
        </w:trPr>
        <w:tc>
          <w:tcPr>
            <w:tcW w:w="4200" w:type="dxa"/>
            <w:vAlign w:val="bottom"/>
            <w:gridSpan w:val="2"/>
          </w:tcPr>
          <w:p>
            <w:pPr>
              <w:spacing w:after="0"/>
              <w:rPr>
                <w:sz w:val="20"/>
                <w:szCs w:val="20"/>
                <w:color w:val="auto"/>
              </w:rPr>
            </w:pPr>
            <w:r>
              <w:rPr>
                <w:rFonts w:ascii="Arial" w:cs="Arial" w:eastAsia="Arial" w:hAnsi="Arial"/>
                <w:sz w:val="3"/>
                <w:szCs w:val="3"/>
                <w:color w:val="FFFFFF"/>
              </w:rPr>
              <w:t>MAJOR CLIENTS AND SUPPLIERS</w:t>
            </w:r>
          </w:p>
        </w:tc>
        <w:tc>
          <w:tcPr>
            <w:tcW w:w="7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Our clients are individual players and our ? ve largest clients, together, generate substantially less than 30% of the Group’ total operating revenues for the year ended 31 December 2012.</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We depend on our suppliers to provide us with products and services such as security and surveillance systems, retail goods, gaming equipment and accessories, ferry tickets, food and beverage products and</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construction and other administrative services. In 2012, our fi ve largest suppliers were Rolex (Hong Kong) Limited, Leighton Contractors (Asia) Limited, Companhia de Electricidade de Macau — CEM,</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Leighton China State Joint Venture and Pat Davie (Macau) Ltd, which accounted for approximately 13%, 13%, 7%, 4% and 3% of our total purchases, respectively.</w:t>
            </w:r>
          </w:p>
        </w:tc>
        <w:tc>
          <w:tcPr>
            <w:tcW w:w="0" w:type="dxa"/>
            <w:vAlign w:val="bottom"/>
          </w:tcPr>
          <w:p>
            <w:pPr>
              <w:spacing w:after="0"/>
              <w:rPr>
                <w:sz w:val="1"/>
                <w:szCs w:val="1"/>
                <w:color w:val="auto"/>
              </w:rPr>
            </w:pPr>
          </w:p>
        </w:tc>
      </w:tr>
      <w:tr>
        <w:trPr>
          <w:trHeight w:val="41"/>
        </w:trPr>
        <w:tc>
          <w:tcPr>
            <w:tcW w:w="4200" w:type="dxa"/>
            <w:vAlign w:val="bottom"/>
            <w:gridSpan w:val="2"/>
          </w:tcPr>
          <w:p>
            <w:pPr>
              <w:spacing w:after="0"/>
              <w:rPr>
                <w:sz w:val="20"/>
                <w:szCs w:val="20"/>
                <w:color w:val="auto"/>
              </w:rPr>
            </w:pPr>
            <w:r>
              <w:rPr>
                <w:rFonts w:ascii="Arial" w:cs="Arial" w:eastAsia="Arial" w:hAnsi="Arial"/>
                <w:sz w:val="3"/>
                <w:szCs w:val="3"/>
                <w:color w:val="FFFFFF"/>
              </w:rPr>
              <w:t>Save as disclosed, to the knowledge of the Board, none of our Directors</w:t>
            </w:r>
          </w:p>
        </w:tc>
        <w:tc>
          <w:tcPr>
            <w:tcW w:w="7160" w:type="dxa"/>
            <w:vAlign w:val="bottom"/>
          </w:tcPr>
          <w:p>
            <w:pPr>
              <w:ind w:left="300"/>
              <w:spacing w:after="0"/>
              <w:rPr>
                <w:sz w:val="20"/>
                <w:szCs w:val="20"/>
                <w:color w:val="auto"/>
              </w:rPr>
            </w:pPr>
            <w:r>
              <w:rPr>
                <w:rFonts w:ascii="Arial" w:cs="Arial" w:eastAsia="Arial" w:hAnsi="Arial"/>
                <w:sz w:val="3"/>
                <w:szCs w:val="3"/>
                <w:color w:val="FFFFFF"/>
              </w:rPr>
              <w:t>Mr. Kazuo Okada*), their respective associates or any of our Shareholders (which to the knowledge of the Directors own more</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than 5% of the Company’s issued share capital) had any material interest(includinganyof our top fi ve suppliers or single largest supplier in 2012.</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20"/>
                <w:szCs w:val="20"/>
                <w:color w:val="auto"/>
              </w:rPr>
            </w:pPr>
            <w:r>
              <w:rPr>
                <w:rFonts w:ascii="Arial" w:cs="Arial" w:eastAsia="Arial" w:hAnsi="Arial"/>
                <w:sz w:val="14"/>
                <w:szCs w:val="14"/>
                <w:color w:val="FFFFFF"/>
              </w:rPr>
              <w:t>*</w:t>
            </w:r>
          </w:p>
        </w:tc>
        <w:tc>
          <w:tcPr>
            <w:tcW w:w="10940" w:type="dxa"/>
            <w:vAlign w:val="bottom"/>
            <w:gridSpan w:val="2"/>
          </w:tcPr>
          <w:p>
            <w:pPr>
              <w:ind w:left="40"/>
              <w:spacing w:after="0"/>
              <w:rPr>
                <w:sz w:val="20"/>
                <w:szCs w:val="20"/>
                <w:color w:val="auto"/>
              </w:rPr>
            </w:pPr>
            <w:r>
              <w:rPr>
                <w:rFonts w:ascii="Arial" w:cs="Arial" w:eastAsia="Arial" w:hAnsi="Arial"/>
                <w:sz w:val="14"/>
                <w:szCs w:val="14"/>
                <w:color w:val="FFFFFF"/>
              </w:rPr>
              <w:t>Mr. Kazuo Okada ceased to be a member of our Board on 24 February 2012.</w:t>
            </w:r>
          </w:p>
        </w:tc>
        <w:tc>
          <w:tcPr>
            <w:tcW w:w="0" w:type="dxa"/>
            <w:vAlign w:val="bottom"/>
          </w:tcPr>
          <w:p>
            <w:pPr>
              <w:spacing w:after="0"/>
              <w:rPr>
                <w:sz w:val="1"/>
                <w:szCs w:val="1"/>
                <w:color w:val="auto"/>
              </w:rPr>
            </w:pPr>
          </w:p>
        </w:tc>
      </w:tr>
    </w:tbl>
    <w:p>
      <w:pPr>
        <w:sectPr>
          <w:pgSz w:w="11900" w:h="16838" w:orient="portrait"/>
          <w:cols w:equalWidth="0" w:num="1">
            <w:col w:w="11360"/>
          </w:cols>
          <w:pgMar w:left="240" w:top="1440" w:right="29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AnnualReport ofReporttheDirectors201249</w:t>
      </w:r>
    </w:p>
    <w:p>
      <w:pPr>
        <w:ind w:right="60"/>
        <w:spacing w:after="0" w:line="181" w:lineRule="auto"/>
        <w:rPr>
          <w:sz w:val="20"/>
          <w:szCs w:val="20"/>
          <w:color w:val="auto"/>
        </w:rPr>
      </w:pPr>
      <w:r>
        <w:rPr>
          <w:rFonts w:ascii="Arial" w:cs="Arial" w:eastAsia="Arial" w:hAnsi="Arial"/>
          <w:sz w:val="7"/>
          <w:szCs w:val="7"/>
          <w:color w:val="FFFFFF"/>
        </w:rPr>
        <w:t>CORPORATIONDIRECTORS’AND CHIEF EXECUTIVES’ INTEREST AND SHORT POSITIONS IN THE SHARES, UNDERLYING SHARES AND DEBENTURES OF THE COMPANY AND ANY ASSOCIATED As at 31 December 2012, the intereswithinsand short positions of each Director and chief executive of the Company (being Mr. Stephen A. Wynn) in the Shares, underlying Shares and debentures of the Company or</w:t>
      </w:r>
    </w:p>
    <w:p>
      <w:pPr>
        <w:ind w:left="11180"/>
        <w:spacing w:after="0"/>
        <w:rPr>
          <w:sz w:val="20"/>
          <w:szCs w:val="20"/>
          <w:color w:val="auto"/>
        </w:rPr>
      </w:pPr>
      <w:r>
        <w:rPr>
          <w:rFonts w:ascii="Arial" w:cs="Arial" w:eastAsia="Arial" w:hAnsi="Arial"/>
          <w:sz w:val="1"/>
          <w:szCs w:val="1"/>
          <w:color w:val="FFFFFF"/>
        </w:rPr>
        <w:t>ofanytheof SFOitsassociated(includingcorporationsinterestsand short thepositionsmeaningwhichofPartthe XV of theorSFOchiefwhichexecutive(a)wereistakenrequiredordeemedtobenoti?tohaveed tounderthe CompanysuchprovisionsandtheofHongtheSFO);Kong(b)StockwereExchange pursuantpursuanttotoDivisionssection3527andof the8ofSFO,Part XV</w:t>
      </w:r>
    </w:p>
    <w:p>
      <w:pPr>
        <w:ind w:right="100"/>
        <w:spacing w:after="0" w:line="187" w:lineRule="auto"/>
        <w:rPr>
          <w:sz w:val="20"/>
          <w:szCs w:val="20"/>
          <w:color w:val="auto"/>
        </w:rPr>
      </w:pPr>
      <w:r>
        <w:rPr>
          <w:rFonts w:ascii="Arial" w:cs="Arial" w:eastAsia="Arial" w:hAnsi="Arial"/>
          <w:sz w:val="9"/>
          <w:szCs w:val="9"/>
          <w:color w:val="FFFFFF"/>
        </w:rPr>
        <w:t>be entered in the register maintained by the Company referredDirectortherein; (c) were required, pursuant to the Model Code contained in the Listing Rules, to be noti?required,tothe Company and the Hong Kong Stock Exchange; or (d) were disclosed according to the knowledge of the Directors were as follows: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Personal Family Corporate Other Number Percentage of</w:t>
      </w:r>
    </w:p>
    <w:p>
      <w:pPr>
        <w:spacing w:after="0" w:line="194" w:lineRule="auto"/>
        <w:rPr>
          <w:sz w:val="20"/>
          <w:szCs w:val="20"/>
          <w:color w:val="auto"/>
        </w:rPr>
      </w:pPr>
      <w:r>
        <w:rPr>
          <w:rFonts w:ascii="Arial" w:cs="Arial" w:eastAsia="Arial" w:hAnsi="Arial"/>
          <w:sz w:val="5"/>
          <w:szCs w:val="5"/>
          <w:color w:val="FFFFFF"/>
          <w:vertAlign w:val="superscript"/>
        </w:rPr>
        <w:t>Nicholas</w:t>
      </w:r>
    </w:p>
    <w:p>
      <w:pPr>
        <w:ind w:left="100"/>
        <w:spacing w:after="0"/>
        <w:rPr>
          <w:sz w:val="20"/>
          <w:szCs w:val="20"/>
          <w:color w:val="auto"/>
        </w:rPr>
      </w:pPr>
      <w:r>
        <w:rPr>
          <w:rFonts w:ascii="Arial" w:cs="Arial" w:eastAsia="Arial" w:hAnsi="Arial"/>
          <w:sz w:val="3"/>
          <w:szCs w:val="3"/>
          <w:color w:val="FFFFFF"/>
        </w:rPr>
        <w:t>ame of DirectorSallnow-NameSmith ofWynnCorporationMacau, LimitedInterest —Interest10,000Interest—— Interest10,000 0.00%ofShares Shareholding</w:t>
      </w:r>
    </w:p>
    <w:p>
      <w:pPr>
        <w:spacing w:after="0" w:line="194" w:lineRule="auto"/>
        <w:rPr>
          <w:sz w:val="20"/>
          <w:szCs w:val="20"/>
          <w:color w:val="auto"/>
        </w:rPr>
      </w:pPr>
      <w:r>
        <w:rPr>
          <w:rFonts w:ascii="Arial" w:cs="Arial" w:eastAsia="Arial" w:hAnsi="Arial"/>
          <w:sz w:val="5"/>
          <w:szCs w:val="5"/>
          <w:color w:val="FFFFFF"/>
          <w:vertAlign w:val="superscript"/>
        </w:rPr>
        <w:t>(Note</w:t>
      </w:r>
    </w:p>
    <w:p>
      <w:pPr>
        <w:ind w:left="60"/>
        <w:spacing w:after="0" w:line="188" w:lineRule="auto"/>
        <w:rPr>
          <w:sz w:val="20"/>
          <w:szCs w:val="20"/>
          <w:color w:val="auto"/>
        </w:rPr>
      </w:pPr>
      <w:r>
        <w:rPr>
          <w:rFonts w:ascii="Arial" w:cs="Arial" w:eastAsia="Arial" w:hAnsi="Arial"/>
          <w:sz w:val="9"/>
          <w:szCs w:val="9"/>
          <w:color w:val="FFFFFF"/>
        </w:rPr>
        <w:t>Long 1)Position)(Note1)(Long Position)</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540,000LongPosition)———(Long540,000Position)—</w:t>
      </w:r>
    </w:p>
    <w:p>
      <w:pPr>
        <w:ind w:left="340"/>
        <w:spacing w:after="0" w:line="188" w:lineRule="auto"/>
        <w:rPr>
          <w:sz w:val="20"/>
          <w:szCs w:val="20"/>
          <w:color w:val="auto"/>
        </w:rPr>
      </w:pPr>
      <w:r>
        <w:rPr>
          <w:rFonts w:ascii="Arial" w:cs="Arial" w:eastAsia="Arial" w:hAnsi="Arial"/>
          <w:sz w:val="9"/>
          <w:szCs w:val="9"/>
          <w:color w:val="FFFFFF"/>
        </w:rPr>
        <w:t>1) (Note 1)</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BruceLong RockowitzPosition)(LongWynnPosition)Macau, Limited 50,000 — — — 50,000 0.00%</w:t>
      </w:r>
    </w:p>
    <w:p>
      <w:pPr>
        <w:ind w:left="340"/>
        <w:spacing w:after="0" w:line="188" w:lineRule="auto"/>
        <w:rPr>
          <w:sz w:val="20"/>
          <w:szCs w:val="20"/>
          <w:color w:val="auto"/>
        </w:rPr>
      </w:pPr>
      <w:r>
        <w:rPr>
          <w:rFonts w:ascii="Arial" w:cs="Arial" w:eastAsia="Arial" w:hAnsi="Arial"/>
          <w:sz w:val="9"/>
          <w:szCs w:val="9"/>
          <w:color w:val="FFFFFF"/>
        </w:rPr>
        <w:t>2) (Note 2)</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490,000LongPosition)———(Long490,000Position)—</w:t>
      </w:r>
    </w:p>
    <w:p>
      <w:pPr>
        <w:ind w:left="340"/>
        <w:spacing w:after="0" w:line="188" w:lineRule="auto"/>
        <w:rPr>
          <w:sz w:val="20"/>
          <w:szCs w:val="20"/>
          <w:color w:val="auto"/>
        </w:rPr>
      </w:pPr>
      <w:r>
        <w:rPr>
          <w:rFonts w:ascii="Arial" w:cs="Arial" w:eastAsia="Arial" w:hAnsi="Arial"/>
          <w:sz w:val="9"/>
          <w:szCs w:val="9"/>
          <w:color w:val="FFFFFF"/>
        </w:rPr>
        <w:t>2) (Note 2)</w:t>
      </w:r>
    </w:p>
    <w:p>
      <w:pPr>
        <w:spacing w:after="0" w:line="212"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JeffreyLongPosition)Kin-fung(LongLam WynnPosition)Macau, Limited 540,000 — — — 540,000 —</w:t>
      </w:r>
    </w:p>
    <w:p>
      <w:pPr>
        <w:ind w:left="340"/>
        <w:spacing w:after="0" w:line="188" w:lineRule="auto"/>
        <w:rPr>
          <w:sz w:val="20"/>
          <w:szCs w:val="20"/>
          <w:color w:val="auto"/>
        </w:rPr>
      </w:pPr>
      <w:r>
        <w:rPr>
          <w:rFonts w:ascii="Arial" w:cs="Arial" w:eastAsia="Arial" w:hAnsi="Arial"/>
          <w:sz w:val="9"/>
          <w:szCs w:val="9"/>
          <w:color w:val="FFFFFF"/>
        </w:rPr>
        <w:t>3) (Note 3)</w:t>
      </w:r>
    </w:p>
    <w:p>
      <w:pPr>
        <w:spacing w:after="0" w:line="187" w:lineRule="auto"/>
        <w:rPr>
          <w:sz w:val="20"/>
          <w:szCs w:val="20"/>
          <w:color w:val="auto"/>
        </w:rPr>
      </w:pPr>
      <w:r>
        <w:rPr>
          <w:rFonts w:ascii="Arial" w:cs="Arial" w:eastAsia="Arial" w:hAnsi="Arial"/>
          <w:sz w:val="9"/>
          <w:szCs w:val="9"/>
          <w:color w:val="FFFFFF"/>
        </w:rPr>
        <w:t>(LongStephenPosition)A.Wynn(LongWynnPosition)Resorts, Limited 10,026,708 — — — 10,026,708 9.94%</w:t>
      </w:r>
    </w:p>
    <w:p>
      <w:pPr>
        <w:spacing w:after="0" w:line="213"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IanLongMichaelPosition)Coughlan(Long WynnPosition)Resorts, Limited 10,000 — — — 10,000 0.01%</w:t>
      </w:r>
    </w:p>
    <w:p>
      <w:pPr>
        <w:ind w:left="340"/>
        <w:spacing w:after="0" w:line="188" w:lineRule="auto"/>
        <w:rPr>
          <w:sz w:val="20"/>
          <w:szCs w:val="20"/>
          <w:color w:val="auto"/>
        </w:rPr>
      </w:pPr>
      <w:r>
        <w:rPr>
          <w:rFonts w:ascii="Arial" w:cs="Arial" w:eastAsia="Arial" w:hAnsi="Arial"/>
          <w:sz w:val="9"/>
          <w:szCs w:val="9"/>
          <w:color w:val="FFFFFF"/>
        </w:rPr>
        <w:t>4) (Note 4)</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50,000LongPosition)——— (Long50,000Position)—</w:t>
      </w:r>
    </w:p>
    <w:p>
      <w:pPr>
        <w:ind w:left="340"/>
        <w:spacing w:after="0" w:line="188" w:lineRule="auto"/>
        <w:rPr>
          <w:sz w:val="20"/>
          <w:szCs w:val="20"/>
          <w:color w:val="auto"/>
        </w:rPr>
      </w:pPr>
      <w:r>
        <w:rPr>
          <w:rFonts w:ascii="Arial" w:cs="Arial" w:eastAsia="Arial" w:hAnsi="Arial"/>
          <w:sz w:val="9"/>
          <w:szCs w:val="9"/>
          <w:color w:val="FFFFFF"/>
        </w:rPr>
        <w:t>4) (Note 4)</w:t>
      </w:r>
    </w:p>
    <w:p>
      <w:pPr>
        <w:spacing w:after="0" w:line="211"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LindaLong ChenPosition)Wynn(LongResorts,Position)Limited 184,600 — — 184,600 0.18%</w:t>
      </w:r>
    </w:p>
    <w:p>
      <w:pPr>
        <w:ind w:left="340"/>
        <w:spacing w:after="0" w:line="188" w:lineRule="auto"/>
        <w:rPr>
          <w:sz w:val="20"/>
          <w:szCs w:val="20"/>
          <w:color w:val="auto"/>
        </w:rPr>
      </w:pPr>
      <w:r>
        <w:rPr>
          <w:rFonts w:ascii="Arial" w:cs="Arial" w:eastAsia="Arial" w:hAnsi="Arial"/>
          <w:sz w:val="9"/>
          <w:szCs w:val="9"/>
          <w:color w:val="FFFFFF"/>
        </w:rPr>
        <w:t>5) (Note 5)</w:t>
      </w:r>
    </w:p>
    <w:p>
      <w:pPr>
        <w:spacing w:after="0" w:line="212" w:lineRule="auto"/>
        <w:rPr>
          <w:sz w:val="20"/>
          <w:szCs w:val="20"/>
          <w:color w:val="auto"/>
        </w:rPr>
      </w:pPr>
      <w:r>
        <w:rPr>
          <w:rFonts w:ascii="Arial" w:cs="Arial" w:eastAsia="Arial" w:hAnsi="Arial"/>
          <w:sz w:val="4"/>
          <w:szCs w:val="4"/>
          <w:color w:val="FFFFFF"/>
          <w:vertAlign w:val="superscript"/>
        </w:rPr>
        <w:t>(Note</w:t>
      </w:r>
      <w:r>
        <w:rPr>
          <w:rFonts w:ascii="Arial" w:cs="Arial" w:eastAsia="Arial" w:hAnsi="Arial"/>
          <w:sz w:val="2"/>
          <w:szCs w:val="2"/>
          <w:color w:val="FFFFFF"/>
        </w:rPr>
        <w:t>385,000LongPosition)———(Long385,000Position)—</w:t>
      </w:r>
    </w:p>
    <w:p>
      <w:pPr>
        <w:ind w:left="340"/>
        <w:spacing w:after="0"/>
        <w:rPr>
          <w:sz w:val="20"/>
          <w:szCs w:val="20"/>
          <w:color w:val="auto"/>
        </w:rPr>
      </w:pPr>
      <w:r>
        <w:rPr>
          <w:rFonts w:ascii="Arial" w:cs="Arial" w:eastAsia="Arial" w:hAnsi="Arial"/>
          <w:sz w:val="14"/>
          <w:szCs w:val="14"/>
          <w:color w:val="FFFFFF"/>
        </w:rPr>
        <w:t>5) (Note 5)</w:t>
      </w:r>
    </w:p>
    <w:p>
      <w:pPr>
        <w:sectPr>
          <w:pgSz w:w="11900" w:h="16838" w:orient="portrait"/>
          <w:cols w:equalWidth="0" w:num="1">
            <w:col w:w="11380"/>
          </w:cols>
          <w:pgMar w:left="240" w:top="1440" w:right="279" w:bottom="1440" w:gutter="0" w:footer="0" w:header="0"/>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gridSpan w:val="2"/>
          </w:tcPr>
          <w:p>
            <w:pPr>
              <w:spacing w:after="0"/>
              <w:rPr>
                <w:sz w:val="20"/>
                <w:szCs w:val="20"/>
                <w:color w:val="auto"/>
              </w:rPr>
            </w:pPr>
            <w:r>
              <w:rPr>
                <w:rFonts w:ascii="Arial" w:cs="Arial" w:eastAsia="Arial" w:hAnsi="Arial"/>
                <w:sz w:val="14"/>
                <w:szCs w:val="14"/>
                <w:color w:val="FFFFFF"/>
              </w:rPr>
              <w:t>50 Wynn Macau, Limited</w:t>
            </w:r>
          </w:p>
        </w:tc>
        <w:tc>
          <w:tcPr>
            <w:tcW w:w="5560" w:type="dxa"/>
            <w:vAlign w:val="bottom"/>
          </w:tcPr>
          <w:p>
            <w:pPr>
              <w:spacing w:after="0"/>
              <w:rPr>
                <w:sz w:val="14"/>
                <w:szCs w:val="14"/>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5560" w:type="dxa"/>
            <w:vAlign w:val="bottom"/>
          </w:tcPr>
          <w:p>
            <w:pPr>
              <w:spacing w:after="0"/>
              <w:rPr>
                <w:sz w:val="3"/>
                <w:szCs w:val="3"/>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DIRECTORS’ AND CHIEF EXECUTIVES’ INTEREST AND SHORT POSITIONS IN THE</w:t>
            </w:r>
          </w:p>
        </w:tc>
        <w:tc>
          <w:tcPr>
            <w:tcW w:w="5560" w:type="dxa"/>
            <w:vAlign w:val="bottom"/>
          </w:tcPr>
          <w:p>
            <w:pPr>
              <w:spacing w:after="0"/>
              <w:rPr>
                <w:sz w:val="3"/>
                <w:szCs w:val="3"/>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SHARES, UNDERLYING SHARES AND DEBENTURES OF THE COMPANY AND ANY</w:t>
            </w:r>
          </w:p>
        </w:tc>
        <w:tc>
          <w:tcPr>
            <w:tcW w:w="5560" w:type="dxa"/>
            <w:vAlign w:val="bottom"/>
          </w:tcPr>
          <w:p>
            <w:pPr>
              <w:spacing w:after="0"/>
              <w:rPr>
                <w:sz w:val="3"/>
                <w:szCs w:val="3"/>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ASSOCIATED CORPORATION (CONTINUED)</w:t>
            </w:r>
          </w:p>
        </w:tc>
        <w:tc>
          <w:tcPr>
            <w:tcW w:w="5560" w:type="dxa"/>
            <w:vAlign w:val="bottom"/>
          </w:tcPr>
          <w:p>
            <w:pPr>
              <w:spacing w:after="0"/>
              <w:rPr>
                <w:sz w:val="3"/>
                <w:szCs w:val="3"/>
                <w:color w:val="auto"/>
              </w:rPr>
            </w:pP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Total Approximate</w:t>
            </w:r>
          </w:p>
        </w:tc>
        <w:tc>
          <w:tcPr>
            <w:tcW w:w="4680" w:type="dxa"/>
            <w:vAlign w:val="bottom"/>
          </w:tcPr>
          <w:p>
            <w:pPr>
              <w:spacing w:after="0"/>
              <w:rPr>
                <w:sz w:val="3"/>
                <w:szCs w:val="3"/>
                <w:color w:val="auto"/>
              </w:rPr>
            </w:pPr>
          </w:p>
        </w:tc>
        <w:tc>
          <w:tcPr>
            <w:tcW w:w="5560" w:type="dxa"/>
            <w:vAlign w:val="bottom"/>
          </w:tcPr>
          <w:p>
            <w:pPr>
              <w:spacing w:after="0"/>
              <w:rPr>
                <w:sz w:val="3"/>
                <w:szCs w:val="3"/>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Personal Family Corporate Other Number Percentage of</w:t>
            </w:r>
          </w:p>
        </w:tc>
        <w:tc>
          <w:tcPr>
            <w:tcW w:w="5560" w:type="dxa"/>
            <w:vAlign w:val="bottom"/>
          </w:tcPr>
          <w:p>
            <w:pPr>
              <w:spacing w:after="0"/>
              <w:rPr>
                <w:sz w:val="3"/>
                <w:szCs w:val="3"/>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Name of Director Name of Corporation Interest Interest Interest Interest of Shares Shareholding</w:t>
            </w:r>
          </w:p>
        </w:tc>
        <w:tc>
          <w:tcPr>
            <w:tcW w:w="5560" w:type="dxa"/>
            <w:vAlign w:val="bottom"/>
          </w:tcPr>
          <w:p>
            <w:pPr>
              <w:spacing w:after="0"/>
              <w:rPr>
                <w:sz w:val="3"/>
                <w:szCs w:val="3"/>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Allan Zeman Wynn Macau, Limited 540,000 — — — 540,000 —</w:t>
            </w:r>
          </w:p>
        </w:tc>
        <w:tc>
          <w:tcPr>
            <w:tcW w:w="5560" w:type="dxa"/>
            <w:vAlign w:val="bottom"/>
          </w:tcPr>
          <w:p>
            <w:pPr>
              <w:spacing w:after="0"/>
              <w:rPr>
                <w:sz w:val="3"/>
                <w:szCs w:val="3"/>
                <w:color w:val="auto"/>
              </w:rPr>
            </w:pPr>
          </w:p>
        </w:tc>
      </w:tr>
      <w:tr>
        <w:trPr>
          <w:trHeight w:val="41"/>
        </w:trPr>
        <w:tc>
          <w:tcPr>
            <w:tcW w:w="5720" w:type="dxa"/>
            <w:vAlign w:val="bottom"/>
            <w:gridSpan w:val="2"/>
          </w:tcPr>
          <w:p>
            <w:pPr>
              <w:ind w:left="60"/>
              <w:spacing w:after="0"/>
              <w:rPr>
                <w:sz w:val="20"/>
                <w:szCs w:val="20"/>
                <w:color w:val="auto"/>
              </w:rPr>
            </w:pPr>
            <w:r>
              <w:rPr>
                <w:rFonts w:ascii="Arial" w:cs="Arial" w:eastAsia="Arial" w:hAnsi="Arial"/>
                <w:sz w:val="3"/>
                <w:szCs w:val="3"/>
                <w:color w:val="FFFFFF"/>
              </w:rPr>
              <w:t>Long Position) (Long Position)</w:t>
            </w:r>
          </w:p>
        </w:tc>
        <w:tc>
          <w:tcPr>
            <w:tcW w:w="5560" w:type="dxa"/>
            <w:vAlign w:val="bottom"/>
          </w:tcPr>
          <w:p>
            <w:pPr>
              <w:spacing w:after="0"/>
              <w:rPr>
                <w:sz w:val="3"/>
                <w:szCs w:val="3"/>
                <w:color w:val="auto"/>
              </w:rPr>
            </w:pP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(Note 6) (Note 6)</w:t>
            </w:r>
          </w:p>
        </w:tc>
        <w:tc>
          <w:tcPr>
            <w:tcW w:w="4680" w:type="dxa"/>
            <w:vAlign w:val="bottom"/>
          </w:tcPr>
          <w:p>
            <w:pPr>
              <w:spacing w:after="0"/>
              <w:rPr>
                <w:sz w:val="3"/>
                <w:szCs w:val="3"/>
                <w:color w:val="auto"/>
              </w:rPr>
            </w:pPr>
          </w:p>
        </w:tc>
        <w:tc>
          <w:tcPr>
            <w:tcW w:w="5560" w:type="dxa"/>
            <w:vAlign w:val="bottom"/>
          </w:tcPr>
          <w:p>
            <w:pPr>
              <w:spacing w:after="0"/>
              <w:rPr>
                <w:sz w:val="3"/>
                <w:szCs w:val="3"/>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Wynn Resorts, Limited 7,500 — — — 7,500 0.01%</w:t>
            </w:r>
          </w:p>
        </w:tc>
        <w:tc>
          <w:tcPr>
            <w:tcW w:w="5560" w:type="dxa"/>
            <w:vAlign w:val="bottom"/>
          </w:tcPr>
          <w:p>
            <w:pPr>
              <w:spacing w:after="0"/>
              <w:rPr>
                <w:sz w:val="3"/>
                <w:szCs w:val="3"/>
                <w:color w:val="auto"/>
              </w:rPr>
            </w:pPr>
          </w:p>
        </w:tc>
      </w:tr>
      <w:tr>
        <w:trPr>
          <w:trHeight w:val="41"/>
        </w:trPr>
        <w:tc>
          <w:tcPr>
            <w:tcW w:w="5720" w:type="dxa"/>
            <w:vAlign w:val="bottom"/>
            <w:gridSpan w:val="2"/>
          </w:tcPr>
          <w:p>
            <w:pPr>
              <w:ind w:left="60"/>
              <w:spacing w:after="0"/>
              <w:rPr>
                <w:sz w:val="20"/>
                <w:szCs w:val="20"/>
                <w:color w:val="auto"/>
              </w:rPr>
            </w:pPr>
            <w:r>
              <w:rPr>
                <w:rFonts w:ascii="Arial" w:cs="Arial" w:eastAsia="Arial" w:hAnsi="Arial"/>
                <w:sz w:val="3"/>
                <w:szCs w:val="3"/>
                <w:color w:val="FFFFFF"/>
              </w:rPr>
              <w:t>Long Position) (Long Position)</w:t>
            </w:r>
          </w:p>
        </w:tc>
        <w:tc>
          <w:tcPr>
            <w:tcW w:w="5560" w:type="dxa"/>
            <w:vAlign w:val="bottom"/>
          </w:tcPr>
          <w:p>
            <w:pPr>
              <w:spacing w:after="0"/>
              <w:rPr>
                <w:sz w:val="3"/>
                <w:szCs w:val="3"/>
                <w:color w:val="auto"/>
              </w:rPr>
            </w:pP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(Note 6) (Note 6)</w:t>
            </w:r>
          </w:p>
        </w:tc>
        <w:tc>
          <w:tcPr>
            <w:tcW w:w="4680" w:type="dxa"/>
            <w:vAlign w:val="bottom"/>
          </w:tcPr>
          <w:p>
            <w:pPr>
              <w:spacing w:after="0"/>
              <w:rPr>
                <w:sz w:val="3"/>
                <w:szCs w:val="3"/>
                <w:color w:val="auto"/>
              </w:rPr>
            </w:pPr>
          </w:p>
        </w:tc>
        <w:tc>
          <w:tcPr>
            <w:tcW w:w="5560" w:type="dxa"/>
            <w:vAlign w:val="bottom"/>
          </w:tcPr>
          <w:p>
            <w:pPr>
              <w:spacing w:after="0"/>
              <w:rPr>
                <w:sz w:val="3"/>
                <w:szCs w:val="3"/>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37,796 — — — 37,796 —</w:t>
            </w:r>
          </w:p>
        </w:tc>
        <w:tc>
          <w:tcPr>
            <w:tcW w:w="5560" w:type="dxa"/>
            <w:vAlign w:val="bottom"/>
          </w:tcPr>
          <w:p>
            <w:pPr>
              <w:spacing w:after="0"/>
              <w:rPr>
                <w:sz w:val="3"/>
                <w:szCs w:val="3"/>
                <w:color w:val="auto"/>
              </w:rPr>
            </w:pPr>
          </w:p>
        </w:tc>
      </w:tr>
      <w:tr>
        <w:trPr>
          <w:trHeight w:val="41"/>
        </w:trPr>
        <w:tc>
          <w:tcPr>
            <w:tcW w:w="5720" w:type="dxa"/>
            <w:vAlign w:val="bottom"/>
            <w:gridSpan w:val="2"/>
          </w:tcPr>
          <w:p>
            <w:pPr>
              <w:ind w:left="60"/>
              <w:spacing w:after="0"/>
              <w:rPr>
                <w:sz w:val="20"/>
                <w:szCs w:val="20"/>
                <w:color w:val="auto"/>
              </w:rPr>
            </w:pPr>
            <w:r>
              <w:rPr>
                <w:rFonts w:ascii="Arial" w:cs="Arial" w:eastAsia="Arial" w:hAnsi="Arial"/>
                <w:sz w:val="3"/>
                <w:szCs w:val="3"/>
                <w:color w:val="FFFFFF"/>
              </w:rPr>
              <w:t>Long Position) (Long Position)</w:t>
            </w:r>
          </w:p>
        </w:tc>
        <w:tc>
          <w:tcPr>
            <w:tcW w:w="5560" w:type="dxa"/>
            <w:vAlign w:val="bottom"/>
          </w:tcPr>
          <w:p>
            <w:pPr>
              <w:spacing w:after="0"/>
              <w:rPr>
                <w:sz w:val="3"/>
                <w:szCs w:val="3"/>
                <w:color w:val="auto"/>
              </w:rPr>
            </w:pP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(Note 6) (Note 6)</w:t>
            </w:r>
          </w:p>
        </w:tc>
        <w:tc>
          <w:tcPr>
            <w:tcW w:w="4680" w:type="dxa"/>
            <w:vAlign w:val="bottom"/>
          </w:tcPr>
          <w:p>
            <w:pPr>
              <w:spacing w:after="0"/>
              <w:rPr>
                <w:sz w:val="3"/>
                <w:szCs w:val="3"/>
                <w:color w:val="auto"/>
              </w:rPr>
            </w:pPr>
          </w:p>
        </w:tc>
        <w:tc>
          <w:tcPr>
            <w:tcW w:w="5560" w:type="dxa"/>
            <w:vAlign w:val="bottom"/>
          </w:tcPr>
          <w:p>
            <w:pPr>
              <w:spacing w:after="0"/>
              <w:rPr>
                <w:sz w:val="3"/>
                <w:szCs w:val="3"/>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Marc D. Schorr Wynn Resorts, Limited 250,000 — — — 250,000 0.25%</w:t>
            </w:r>
          </w:p>
        </w:tc>
        <w:tc>
          <w:tcPr>
            <w:tcW w:w="5560" w:type="dxa"/>
            <w:vAlign w:val="bottom"/>
          </w:tcPr>
          <w:p>
            <w:pPr>
              <w:spacing w:after="0"/>
              <w:rPr>
                <w:sz w:val="3"/>
                <w:szCs w:val="3"/>
                <w:color w:val="auto"/>
              </w:rPr>
            </w:pPr>
          </w:p>
        </w:tc>
      </w:tr>
      <w:tr>
        <w:trPr>
          <w:trHeight w:val="41"/>
        </w:trPr>
        <w:tc>
          <w:tcPr>
            <w:tcW w:w="5720" w:type="dxa"/>
            <w:vAlign w:val="bottom"/>
            <w:gridSpan w:val="2"/>
          </w:tcPr>
          <w:p>
            <w:pPr>
              <w:ind w:left="60"/>
              <w:spacing w:after="0"/>
              <w:rPr>
                <w:sz w:val="20"/>
                <w:szCs w:val="20"/>
                <w:color w:val="auto"/>
              </w:rPr>
            </w:pPr>
            <w:r>
              <w:rPr>
                <w:rFonts w:ascii="Arial" w:cs="Arial" w:eastAsia="Arial" w:hAnsi="Arial"/>
                <w:sz w:val="3"/>
                <w:szCs w:val="3"/>
                <w:color w:val="FFFFFF"/>
              </w:rPr>
              <w:t>Long Position) (Long Position)</w:t>
            </w:r>
          </w:p>
        </w:tc>
        <w:tc>
          <w:tcPr>
            <w:tcW w:w="5560" w:type="dxa"/>
            <w:vAlign w:val="bottom"/>
          </w:tcPr>
          <w:p>
            <w:pPr>
              <w:spacing w:after="0"/>
              <w:rPr>
                <w:sz w:val="3"/>
                <w:szCs w:val="3"/>
                <w:color w:val="auto"/>
              </w:rPr>
            </w:pP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(Note 7) (Note 7)</w:t>
            </w:r>
          </w:p>
        </w:tc>
        <w:tc>
          <w:tcPr>
            <w:tcW w:w="4680" w:type="dxa"/>
            <w:vAlign w:val="bottom"/>
          </w:tcPr>
          <w:p>
            <w:pPr>
              <w:spacing w:after="0"/>
              <w:rPr>
                <w:sz w:val="3"/>
                <w:szCs w:val="3"/>
                <w:color w:val="auto"/>
              </w:rPr>
            </w:pPr>
          </w:p>
        </w:tc>
        <w:tc>
          <w:tcPr>
            <w:tcW w:w="5560" w:type="dxa"/>
            <w:vAlign w:val="bottom"/>
          </w:tcPr>
          <w:p>
            <w:pPr>
              <w:spacing w:after="0"/>
              <w:rPr>
                <w:sz w:val="3"/>
                <w:szCs w:val="3"/>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350,000 — — — 350,000 —</w:t>
            </w:r>
          </w:p>
        </w:tc>
        <w:tc>
          <w:tcPr>
            <w:tcW w:w="5560" w:type="dxa"/>
            <w:vAlign w:val="bottom"/>
          </w:tcPr>
          <w:p>
            <w:pPr>
              <w:spacing w:after="0"/>
              <w:rPr>
                <w:sz w:val="3"/>
                <w:szCs w:val="3"/>
                <w:color w:val="auto"/>
              </w:rPr>
            </w:pPr>
          </w:p>
        </w:tc>
      </w:tr>
      <w:tr>
        <w:trPr>
          <w:trHeight w:val="41"/>
        </w:trPr>
        <w:tc>
          <w:tcPr>
            <w:tcW w:w="5720" w:type="dxa"/>
            <w:vAlign w:val="bottom"/>
            <w:gridSpan w:val="2"/>
          </w:tcPr>
          <w:p>
            <w:pPr>
              <w:ind w:left="60"/>
              <w:spacing w:after="0"/>
              <w:rPr>
                <w:sz w:val="20"/>
                <w:szCs w:val="20"/>
                <w:color w:val="auto"/>
              </w:rPr>
            </w:pPr>
            <w:r>
              <w:rPr>
                <w:rFonts w:ascii="Arial" w:cs="Arial" w:eastAsia="Arial" w:hAnsi="Arial"/>
                <w:sz w:val="3"/>
                <w:szCs w:val="3"/>
                <w:color w:val="FFFFFF"/>
              </w:rPr>
              <w:t>Long Position) (Long Position)</w:t>
            </w:r>
          </w:p>
        </w:tc>
        <w:tc>
          <w:tcPr>
            <w:tcW w:w="5560" w:type="dxa"/>
            <w:vAlign w:val="bottom"/>
          </w:tcPr>
          <w:p>
            <w:pPr>
              <w:spacing w:after="0"/>
              <w:rPr>
                <w:sz w:val="3"/>
                <w:szCs w:val="3"/>
                <w:color w:val="auto"/>
              </w:rPr>
            </w:pP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(Note 7) (Note 7)</w:t>
            </w:r>
          </w:p>
        </w:tc>
        <w:tc>
          <w:tcPr>
            <w:tcW w:w="4680" w:type="dxa"/>
            <w:vAlign w:val="bottom"/>
          </w:tcPr>
          <w:p>
            <w:pPr>
              <w:spacing w:after="0"/>
              <w:rPr>
                <w:sz w:val="3"/>
                <w:szCs w:val="3"/>
                <w:color w:val="auto"/>
              </w:rPr>
            </w:pPr>
          </w:p>
        </w:tc>
        <w:tc>
          <w:tcPr>
            <w:tcW w:w="5560" w:type="dxa"/>
            <w:vAlign w:val="bottom"/>
          </w:tcPr>
          <w:p>
            <w:pPr>
              <w:spacing w:after="0"/>
              <w:rPr>
                <w:sz w:val="3"/>
                <w:szCs w:val="3"/>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Matthew O. Maddox Wynn Resorts, Limited 86,355 — — — 86,355 0.09%</w:t>
            </w:r>
          </w:p>
        </w:tc>
        <w:tc>
          <w:tcPr>
            <w:tcW w:w="5560" w:type="dxa"/>
            <w:vAlign w:val="bottom"/>
          </w:tcPr>
          <w:p>
            <w:pPr>
              <w:spacing w:after="0"/>
              <w:rPr>
                <w:sz w:val="3"/>
                <w:szCs w:val="3"/>
                <w:color w:val="auto"/>
              </w:rPr>
            </w:pPr>
          </w:p>
        </w:tc>
      </w:tr>
      <w:tr>
        <w:trPr>
          <w:trHeight w:val="41"/>
        </w:trPr>
        <w:tc>
          <w:tcPr>
            <w:tcW w:w="5720" w:type="dxa"/>
            <w:vAlign w:val="bottom"/>
            <w:gridSpan w:val="2"/>
          </w:tcPr>
          <w:p>
            <w:pPr>
              <w:ind w:left="60"/>
              <w:spacing w:after="0"/>
              <w:rPr>
                <w:sz w:val="20"/>
                <w:szCs w:val="20"/>
                <w:color w:val="auto"/>
              </w:rPr>
            </w:pPr>
            <w:r>
              <w:rPr>
                <w:rFonts w:ascii="Arial" w:cs="Arial" w:eastAsia="Arial" w:hAnsi="Arial"/>
                <w:sz w:val="3"/>
                <w:szCs w:val="3"/>
                <w:color w:val="FFFFFF"/>
              </w:rPr>
              <w:t>Long Position) (Long Position)</w:t>
            </w:r>
          </w:p>
        </w:tc>
        <w:tc>
          <w:tcPr>
            <w:tcW w:w="5560" w:type="dxa"/>
            <w:vAlign w:val="bottom"/>
          </w:tcPr>
          <w:p>
            <w:pPr>
              <w:spacing w:after="0"/>
              <w:rPr>
                <w:sz w:val="3"/>
                <w:szCs w:val="3"/>
                <w:color w:val="auto"/>
              </w:rPr>
            </w:pP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(Note 8) (Note 8)</w:t>
            </w:r>
          </w:p>
        </w:tc>
        <w:tc>
          <w:tcPr>
            <w:tcW w:w="4680" w:type="dxa"/>
            <w:vAlign w:val="bottom"/>
          </w:tcPr>
          <w:p>
            <w:pPr>
              <w:spacing w:after="0"/>
              <w:rPr>
                <w:sz w:val="3"/>
                <w:szCs w:val="3"/>
                <w:color w:val="auto"/>
              </w:rPr>
            </w:pPr>
          </w:p>
        </w:tc>
        <w:tc>
          <w:tcPr>
            <w:tcW w:w="5560" w:type="dxa"/>
            <w:vAlign w:val="bottom"/>
          </w:tcPr>
          <w:p>
            <w:pPr>
              <w:spacing w:after="0"/>
              <w:rPr>
                <w:sz w:val="3"/>
                <w:szCs w:val="3"/>
                <w:color w:val="auto"/>
              </w:rPr>
            </w:pP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385,000 — — — 385,000 —</w:t>
            </w:r>
          </w:p>
        </w:tc>
        <w:tc>
          <w:tcPr>
            <w:tcW w:w="5560" w:type="dxa"/>
            <w:vAlign w:val="bottom"/>
          </w:tcPr>
          <w:p>
            <w:pPr>
              <w:spacing w:after="0"/>
              <w:rPr>
                <w:sz w:val="3"/>
                <w:szCs w:val="3"/>
                <w:color w:val="auto"/>
              </w:rPr>
            </w:pPr>
          </w:p>
        </w:tc>
      </w:tr>
      <w:tr>
        <w:trPr>
          <w:trHeight w:val="41"/>
        </w:trPr>
        <w:tc>
          <w:tcPr>
            <w:tcW w:w="5720" w:type="dxa"/>
            <w:vAlign w:val="bottom"/>
            <w:gridSpan w:val="2"/>
          </w:tcPr>
          <w:p>
            <w:pPr>
              <w:ind w:left="60"/>
              <w:spacing w:after="0"/>
              <w:rPr>
                <w:sz w:val="20"/>
                <w:szCs w:val="20"/>
                <w:color w:val="auto"/>
              </w:rPr>
            </w:pPr>
            <w:r>
              <w:rPr>
                <w:rFonts w:ascii="Arial" w:cs="Arial" w:eastAsia="Arial" w:hAnsi="Arial"/>
                <w:sz w:val="3"/>
                <w:szCs w:val="3"/>
                <w:color w:val="FFFFFF"/>
              </w:rPr>
              <w:t>Long Position) (Long Position)</w:t>
            </w:r>
          </w:p>
        </w:tc>
        <w:tc>
          <w:tcPr>
            <w:tcW w:w="5560" w:type="dxa"/>
            <w:vAlign w:val="bottom"/>
          </w:tcPr>
          <w:p>
            <w:pPr>
              <w:spacing w:after="0"/>
              <w:rPr>
                <w:sz w:val="3"/>
                <w:szCs w:val="3"/>
                <w:color w:val="auto"/>
              </w:rPr>
            </w:pP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(Note 8) (Note 8)</w:t>
            </w:r>
          </w:p>
        </w:tc>
        <w:tc>
          <w:tcPr>
            <w:tcW w:w="4680" w:type="dxa"/>
            <w:vAlign w:val="bottom"/>
          </w:tcPr>
          <w:p>
            <w:pPr>
              <w:spacing w:after="0"/>
              <w:rPr>
                <w:sz w:val="3"/>
                <w:szCs w:val="3"/>
                <w:color w:val="auto"/>
              </w:rPr>
            </w:pPr>
          </w:p>
        </w:tc>
        <w:tc>
          <w:tcPr>
            <w:tcW w:w="5560" w:type="dxa"/>
            <w:vAlign w:val="bottom"/>
          </w:tcPr>
          <w:p>
            <w:pPr>
              <w:spacing w:after="0"/>
              <w:rPr>
                <w:sz w:val="3"/>
                <w:szCs w:val="3"/>
                <w:color w:val="auto"/>
              </w:rPr>
            </w:pP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Notes:</w:t>
            </w:r>
          </w:p>
        </w:tc>
        <w:tc>
          <w:tcPr>
            <w:tcW w:w="4680" w:type="dxa"/>
            <w:vAlign w:val="bottom"/>
          </w:tcPr>
          <w:p>
            <w:pPr>
              <w:spacing w:after="0"/>
              <w:rPr>
                <w:sz w:val="3"/>
                <w:szCs w:val="3"/>
                <w:color w:val="auto"/>
              </w:rPr>
            </w:pPr>
          </w:p>
        </w:tc>
        <w:tc>
          <w:tcPr>
            <w:tcW w:w="5560" w:type="dxa"/>
            <w:vAlign w:val="bottom"/>
          </w:tcPr>
          <w:p>
            <w:pPr>
              <w:spacing w:after="0"/>
              <w:rPr>
                <w:sz w:val="3"/>
                <w:szCs w:val="3"/>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(1) Mr. Nicholas Sallnow-Smith’s spouse, Ms. Lora Sallnow-Smith, was interested in 10,000 Shares. Mr. Nicholas Sallnow-Smith is deemed to be interested in the 10,000 Shares held by his spouse under the</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SFO. Pursuant to the Company’s share option scheme, share options for 540,000 Shares have been granted to Mr. Nicholas Sallnow-Smith. As at 28 March 2013, share options for 170,000 Shares have vested.</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(2) Mr. Bruce Rockowitz holds (i) 50,000 shares in his personal capacity; and (ii) share options for 490,000 Shares under the Company’s share option scheme. As at 28 March 2013, share options for 120,000</w:t>
            </w:r>
          </w:p>
        </w:tc>
      </w:tr>
      <w:tr>
        <w:trPr>
          <w:trHeight w:val="41"/>
        </w:trPr>
        <w:tc>
          <w:tcPr>
            <w:tcW w:w="5720" w:type="dxa"/>
            <w:vAlign w:val="bottom"/>
            <w:gridSpan w:val="2"/>
          </w:tcPr>
          <w:p>
            <w:pPr>
              <w:spacing w:after="0"/>
              <w:rPr>
                <w:sz w:val="20"/>
                <w:szCs w:val="20"/>
                <w:color w:val="auto"/>
              </w:rPr>
            </w:pPr>
            <w:r>
              <w:rPr>
                <w:rFonts w:ascii="Arial" w:cs="Arial" w:eastAsia="Arial" w:hAnsi="Arial"/>
                <w:sz w:val="3"/>
                <w:szCs w:val="3"/>
                <w:color w:val="FFFFFF"/>
              </w:rPr>
              <w:t>Shares have vested.</w:t>
            </w:r>
          </w:p>
        </w:tc>
        <w:tc>
          <w:tcPr>
            <w:tcW w:w="5560" w:type="dxa"/>
            <w:vAlign w:val="bottom"/>
          </w:tcPr>
          <w:p>
            <w:pPr>
              <w:spacing w:after="0"/>
              <w:rPr>
                <w:sz w:val="3"/>
                <w:szCs w:val="3"/>
                <w:color w:val="auto"/>
              </w:rPr>
            </w:pPr>
          </w:p>
        </w:tc>
      </w:tr>
      <w:tr>
        <w:trPr>
          <w:trHeight w:val="41"/>
        </w:trPr>
        <w:tc>
          <w:tcPr>
            <w:tcW w:w="1040" w:type="dxa"/>
            <w:vAlign w:val="bottom"/>
          </w:tcPr>
          <w:p>
            <w:pPr>
              <w:ind w:left="60"/>
              <w:spacing w:after="0"/>
              <w:rPr>
                <w:sz w:val="20"/>
                <w:szCs w:val="20"/>
                <w:color w:val="auto"/>
              </w:rPr>
            </w:pPr>
            <w:r>
              <w:rPr>
                <w:rFonts w:ascii="Arial" w:cs="Arial" w:eastAsia="Arial" w:hAnsi="Arial"/>
                <w:sz w:val="3"/>
                <w:szCs w:val="3"/>
                <w:color w:val="FFFFFF"/>
              </w:rPr>
              <w:t>3)</w:t>
            </w:r>
          </w:p>
        </w:tc>
        <w:tc>
          <w:tcPr>
            <w:tcW w:w="10240" w:type="dxa"/>
            <w:vAlign w:val="bottom"/>
            <w:gridSpan w:val="2"/>
          </w:tcPr>
          <w:p>
            <w:pPr>
              <w:spacing w:after="0"/>
              <w:rPr>
                <w:sz w:val="20"/>
                <w:szCs w:val="20"/>
                <w:color w:val="auto"/>
              </w:rPr>
            </w:pPr>
            <w:r>
              <w:rPr>
                <w:rFonts w:ascii="Arial" w:cs="Arial" w:eastAsia="Arial" w:hAnsi="Arial"/>
                <w:sz w:val="3"/>
                <w:szCs w:val="3"/>
                <w:color w:val="FFFFFF"/>
              </w:rPr>
              <w:t>Company’s share option scheme, share options for 540,000 Shares have been granted to Mr. Jeffrey Kin-fung Lam. As at 28 March 2013, share options for 170,000 Shares have vested.</w:t>
            </w:r>
          </w:p>
        </w:tc>
      </w:tr>
      <w:tr>
        <w:trPr>
          <w:trHeight w:val="41"/>
        </w:trPr>
        <w:tc>
          <w:tcPr>
            <w:tcW w:w="1040" w:type="dxa"/>
            <w:vAlign w:val="bottom"/>
          </w:tcPr>
          <w:p>
            <w:pPr>
              <w:spacing w:after="0"/>
              <w:rPr>
                <w:sz w:val="20"/>
                <w:szCs w:val="20"/>
                <w:color w:val="auto"/>
              </w:rPr>
            </w:pPr>
            <w:r>
              <w:rPr>
                <w:rFonts w:ascii="Arial" w:cs="Arial" w:eastAsia="Arial" w:hAnsi="Arial"/>
                <w:sz w:val="3"/>
                <w:szCs w:val="3"/>
                <w:color w:val="FFFFFF"/>
              </w:rPr>
              <w:t>(4) Pursuant to the</w:t>
            </w:r>
          </w:p>
        </w:tc>
        <w:tc>
          <w:tcPr>
            <w:tcW w:w="10240" w:type="dxa"/>
            <w:vAlign w:val="bottom"/>
            <w:gridSpan w:val="2"/>
          </w:tcPr>
          <w:p>
            <w:pPr>
              <w:spacing w:after="0"/>
              <w:rPr>
                <w:sz w:val="20"/>
                <w:szCs w:val="20"/>
                <w:color w:val="auto"/>
              </w:rPr>
            </w:pPr>
            <w:r>
              <w:rPr>
                <w:rFonts w:ascii="Arial" w:cs="Arial" w:eastAsia="Arial" w:hAnsi="Arial"/>
                <w:sz w:val="3"/>
                <w:szCs w:val="3"/>
                <w:color w:val="FFFFFF"/>
              </w:rPr>
              <w:t>2002 Stock Incentive Plan of Wynn Resorts, Limit d (the “Stock Plan”), Mr. Ian Michael Coughlan holds (i) 10,000 shares in common stock of Wynn Resorts, Limited; and (ii) 50,000 stock</w:t>
            </w:r>
          </w:p>
        </w:tc>
      </w:tr>
      <w:tr>
        <w:trPr>
          <w:trHeight w:val="0"/>
        </w:trPr>
        <w:tc>
          <w:tcPr>
            <w:tcW w:w="5720" w:type="dxa"/>
            <w:vAlign w:val="bottom"/>
            <w:gridSpan w:val="2"/>
          </w:tcPr>
          <w:p>
            <w:pPr>
              <w:spacing w:after="0" w:line="80" w:lineRule="exact"/>
              <w:rPr>
                <w:sz w:val="20"/>
                <w:szCs w:val="20"/>
                <w:color w:val="auto"/>
              </w:rPr>
            </w:pPr>
            <w:r>
              <w:rPr>
                <w:rFonts w:ascii="Arial" w:cs="Arial" w:eastAsia="Arial" w:hAnsi="Arial"/>
                <w:sz w:val="9"/>
                <w:szCs w:val="9"/>
                <w:color w:val="FFFFFF"/>
              </w:rPr>
              <w:t>options in the common stock of Wynn Resorts, Limited of which share options for 15,000 shares have</w:t>
            </w:r>
          </w:p>
        </w:tc>
        <w:tc>
          <w:tcPr>
            <w:tcW w:w="5560" w:type="dxa"/>
            <w:vAlign w:val="bottom"/>
          </w:tcPr>
          <w:p>
            <w:pPr>
              <w:jc w:val="right"/>
              <w:ind w:right="5295"/>
              <w:spacing w:after="0" w:line="80" w:lineRule="exact"/>
              <w:rPr>
                <w:sz w:val="20"/>
                <w:szCs w:val="20"/>
                <w:color w:val="auto"/>
              </w:rPr>
            </w:pPr>
            <w:r>
              <w:rPr>
                <w:rFonts w:ascii="Arial" w:cs="Arial" w:eastAsia="Arial" w:hAnsi="Arial"/>
                <w:sz w:val="9"/>
                <w:szCs w:val="9"/>
                <w:color w:val="FFFFFF"/>
              </w:rPr>
              <w:t>.</w:t>
            </w:r>
          </w:p>
        </w:tc>
      </w:tr>
    </w:tbl>
    <w:p>
      <w:pPr>
        <w:jc w:val="both"/>
        <w:spacing w:after="0"/>
        <w:rPr>
          <w:sz w:val="20"/>
          <w:szCs w:val="20"/>
          <w:color w:val="auto"/>
        </w:rPr>
      </w:pPr>
      <w:r>
        <w:rPr>
          <w:rFonts w:ascii="Arial" w:cs="Arial" w:eastAsia="Arial" w:hAnsi="Arial"/>
          <w:sz w:val="9"/>
          <w:szCs w:val="9"/>
          <w:color w:val="FFFFFF"/>
        </w:rPr>
        <w:t>(5) Pursuant to the Stock Plan, Ms. Linda Chen holds (i) 100,000 non-vested shares; and (ii) 385,000 unvested stock options in the common stock of Wynn Resorts, Limited. 84,600 shares in the common stock of Wynn Resorts, Limited are held by Ms. Linda Chen personally.</w:t>
      </w:r>
    </w:p>
    <w:p>
      <w:pPr>
        <w:sectPr>
          <w:pgSz w:w="11900" w:h="16838" w:orient="portrait"/>
          <w:cols w:equalWidth="0" w:num="1">
            <w:col w:w="11300"/>
          </w:cols>
          <w:pgMar w:left="240" w:top="1440" w:right="35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20"/>
                <w:szCs w:val="20"/>
                <w:color w:val="auto"/>
              </w:rPr>
            </w:pPr>
            <w:r>
              <w:rPr>
                <w:rFonts w:ascii="Arial" w:cs="Arial" w:eastAsia="Arial" w:hAnsi="Arial"/>
                <w:sz w:val="14"/>
                <w:szCs w:val="14"/>
                <w:color w:val="FFFFFF"/>
              </w:rPr>
              <w:t>Annual Report 2012 51</w:t>
            </w:r>
          </w:p>
        </w:tc>
        <w:tc>
          <w:tcPr>
            <w:tcW w:w="6300" w:type="dxa"/>
            <w:vAlign w:val="bottom"/>
          </w:tcPr>
          <w:p>
            <w:pPr>
              <w:spacing w:after="0"/>
              <w:rPr>
                <w:sz w:val="14"/>
                <w:szCs w:val="14"/>
                <w:color w:val="auto"/>
              </w:rPr>
            </w:pPr>
          </w:p>
        </w:tc>
      </w:tr>
      <w:tr>
        <w:trPr>
          <w:trHeight w:val="41"/>
        </w:trPr>
        <w:tc>
          <w:tcPr>
            <w:tcW w:w="498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6300" w:type="dxa"/>
            <w:vAlign w:val="bottom"/>
          </w:tcPr>
          <w:p>
            <w:pPr>
              <w:spacing w:after="0"/>
              <w:rPr>
                <w:sz w:val="3"/>
                <w:szCs w:val="3"/>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DIRECTORS’ AND CHIEF EXECUTIVES’ INTEREST AND SHORT POSITIONS IN THE SHARES, UNDERLYING SHARES AND DEBENTURES OF THE COMPANY AND ANY ASSOCIATED</w:t>
            </w:r>
          </w:p>
        </w:tc>
      </w:tr>
      <w:tr>
        <w:trPr>
          <w:trHeight w:val="41"/>
        </w:trPr>
        <w:tc>
          <w:tcPr>
            <w:tcW w:w="4980" w:type="dxa"/>
            <w:vAlign w:val="bottom"/>
          </w:tcPr>
          <w:p>
            <w:pPr>
              <w:spacing w:after="0"/>
              <w:rPr>
                <w:sz w:val="20"/>
                <w:szCs w:val="20"/>
                <w:color w:val="auto"/>
              </w:rPr>
            </w:pPr>
            <w:r>
              <w:rPr>
                <w:rFonts w:ascii="Arial" w:cs="Arial" w:eastAsia="Arial" w:hAnsi="Arial"/>
                <w:sz w:val="3"/>
                <w:szCs w:val="3"/>
                <w:color w:val="FFFFFF"/>
              </w:rPr>
              <w:t>CORPORATION (CONTINUED)</w:t>
            </w:r>
          </w:p>
        </w:tc>
        <w:tc>
          <w:tcPr>
            <w:tcW w:w="6300" w:type="dxa"/>
            <w:vAlign w:val="bottom"/>
          </w:tcPr>
          <w:p>
            <w:pPr>
              <w:spacing w:after="0"/>
              <w:rPr>
                <w:sz w:val="3"/>
                <w:szCs w:val="3"/>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(6) Pursuant to the Company’s stock option scheme, share options for 540,000 Shares have been granted to Dr. Allan Zeman. Pursuant to the Stock Plan, Dr. Allan Zeman holds (i) 7,500 shares in the common</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stock of Wynn Resorts, Limited; and (ii) 37,796 stock options in the common stock of Wynn Resorts, Limited, of which stock options for 37,796 shares have vested. As at 28 March 2013, share options for</w:t>
            </w:r>
          </w:p>
        </w:tc>
      </w:tr>
      <w:tr>
        <w:trPr>
          <w:trHeight w:val="41"/>
        </w:trPr>
        <w:tc>
          <w:tcPr>
            <w:tcW w:w="4980" w:type="dxa"/>
            <w:vAlign w:val="bottom"/>
          </w:tcPr>
          <w:p>
            <w:pPr>
              <w:spacing w:after="0"/>
              <w:rPr>
                <w:sz w:val="20"/>
                <w:szCs w:val="20"/>
                <w:color w:val="auto"/>
              </w:rPr>
            </w:pPr>
            <w:r>
              <w:rPr>
                <w:rFonts w:ascii="Arial" w:cs="Arial" w:eastAsia="Arial" w:hAnsi="Arial"/>
                <w:sz w:val="3"/>
                <w:szCs w:val="3"/>
                <w:color w:val="FFFFFF"/>
              </w:rPr>
              <w:t>170,000 Shares have vested.</w:t>
            </w:r>
          </w:p>
        </w:tc>
        <w:tc>
          <w:tcPr>
            <w:tcW w:w="6300" w:type="dxa"/>
            <w:vAlign w:val="bottom"/>
          </w:tcPr>
          <w:p>
            <w:pPr>
              <w:spacing w:after="0"/>
              <w:rPr>
                <w:sz w:val="3"/>
                <w:szCs w:val="3"/>
                <w:color w:val="auto"/>
              </w:rPr>
            </w:pP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(7) Pursuant to the Stock Plan, Mr. Marc D. Schorr holds (i) 250,000 nonvested shares; and (ii) 350,000 unvested stock options in the common stock of Wynn Resorts, Limited. As of 23 February 2013, 50,000</w:t>
            </w:r>
          </w:p>
        </w:tc>
      </w:tr>
      <w:tr>
        <w:trPr>
          <w:trHeight w:val="41"/>
        </w:trPr>
        <w:tc>
          <w:tcPr>
            <w:tcW w:w="11280" w:type="dxa"/>
            <w:vAlign w:val="bottom"/>
            <w:gridSpan w:val="2"/>
          </w:tcPr>
          <w:p>
            <w:pPr>
              <w:spacing w:after="0"/>
              <w:rPr>
                <w:sz w:val="20"/>
                <w:szCs w:val="20"/>
                <w:color w:val="auto"/>
              </w:rPr>
            </w:pPr>
            <w:r>
              <w:rPr>
                <w:rFonts w:ascii="Arial" w:cs="Arial" w:eastAsia="Arial" w:hAnsi="Arial"/>
                <w:sz w:val="3"/>
                <w:szCs w:val="3"/>
                <w:color w:val="FFFFFF"/>
              </w:rPr>
              <w:t>non-vested shares vested and became 50,000 shares in common stock of Wynn Resorts, Limited of which 29,025 shares are held by Mr. Marc. D. Schorr personally and Mr. Marc D. Schorr ceased to be</w:t>
            </w:r>
          </w:p>
        </w:tc>
      </w:tr>
      <w:tr>
        <w:trPr>
          <w:trHeight w:val="0"/>
        </w:trPr>
        <w:tc>
          <w:tcPr>
            <w:tcW w:w="4980" w:type="dxa"/>
            <w:vAlign w:val="bottom"/>
          </w:tcPr>
          <w:p>
            <w:pPr>
              <w:spacing w:after="0" w:line="80" w:lineRule="exact"/>
              <w:rPr>
                <w:sz w:val="20"/>
                <w:szCs w:val="20"/>
                <w:color w:val="auto"/>
              </w:rPr>
            </w:pPr>
            <w:r>
              <w:rPr>
                <w:rFonts w:ascii="Arial" w:cs="Arial" w:eastAsia="Arial" w:hAnsi="Arial"/>
                <w:sz w:val="9"/>
                <w:szCs w:val="9"/>
                <w:color w:val="FFFFFF"/>
              </w:rPr>
              <w:t>interested in 20,975 shares (further details set out under Model Code in the Corporate</w:t>
            </w:r>
          </w:p>
        </w:tc>
        <w:tc>
          <w:tcPr>
            <w:tcW w:w="6300" w:type="dxa"/>
            <w:vAlign w:val="bottom"/>
          </w:tcPr>
          <w:p>
            <w:pPr>
              <w:ind w:left="360"/>
              <w:spacing w:after="0" w:line="80" w:lineRule="exact"/>
              <w:rPr>
                <w:sz w:val="20"/>
                <w:szCs w:val="20"/>
                <w:color w:val="auto"/>
              </w:rPr>
            </w:pPr>
            <w:r>
              <w:rPr>
                <w:rFonts w:ascii="Arial" w:cs="Arial" w:eastAsia="Arial" w:hAnsi="Arial"/>
                <w:sz w:val="9"/>
                <w:szCs w:val="9"/>
                <w:color w:val="FFFFFF"/>
              </w:rPr>
              <w:t>Report).</w:t>
            </w:r>
          </w:p>
        </w:tc>
      </w:tr>
    </w:tbl>
    <w:p>
      <w:pPr>
        <w:ind w:left="560" w:hanging="558"/>
        <w:spacing w:after="0" w:line="217" w:lineRule="auto"/>
        <w:rPr>
          <w:sz w:val="20"/>
          <w:szCs w:val="20"/>
          <w:color w:val="auto"/>
        </w:rPr>
      </w:pPr>
      <w:r>
        <w:rPr>
          <w:rFonts w:ascii="Arial" w:cs="Arial" w:eastAsia="Arial" w:hAnsi="Arial"/>
          <w:sz w:val="4"/>
          <w:szCs w:val="4"/>
          <w:color w:val="FFFFFF"/>
          <w:vertAlign w:val="subscript"/>
        </w:rPr>
        <w:t>aggregate</w:t>
      </w:r>
      <w:r>
        <w:rPr>
          <w:rFonts w:ascii="Arial" w:cs="Arial" w:eastAsia="Arial" w:hAnsi="Arial"/>
          <w:sz w:val="2"/>
          <w:szCs w:val="2"/>
          <w:color w:val="FFFFFF"/>
        </w:rPr>
        <w:t>(8)As28 March 2013 (the date on which Mr. Matthew O. Maddox was appointed asGovernancenon-executive Director), pursuant to the Stock Plan, Mr. Maddox held (i) vested and unvested stock options relating to an of 385,000 shares; (ii) 50,000 non-vested shares; and (iii) 36,355 shares, in the common stock of Wynn Resorts, Limited.</w:t>
      </w:r>
    </w:p>
    <w:p>
      <w:pPr>
        <w:spacing w:after="0"/>
        <w:rPr>
          <w:sz w:val="20"/>
          <w:szCs w:val="20"/>
          <w:color w:val="auto"/>
        </w:rPr>
      </w:pPr>
      <w:r>
        <w:rPr>
          <w:rFonts w:ascii="Arial" w:cs="Arial" w:eastAsia="Arial" w:hAnsi="Arial"/>
          <w:sz w:val="3"/>
          <w:szCs w:val="3"/>
          <w:color w:val="FFFFFF"/>
        </w:rPr>
        <w:t>SUBSTANTIAL SHAREHOLDERS’ INTERESTS AND SHORT POSITIONS IN THE SHARES AND UNDERLYING SHARES OF THE COMPANY</w:t>
      </w:r>
    </w:p>
    <w:p>
      <w:pPr>
        <w:spacing w:after="0" w:line="6" w:lineRule="exact"/>
        <w:rPr>
          <w:sz w:val="20"/>
          <w:szCs w:val="20"/>
          <w:color w:val="auto"/>
        </w:rPr>
      </w:pPr>
    </w:p>
    <w:p>
      <w:pPr>
        <w:ind w:right="140"/>
        <w:spacing w:after="0" w:line="198" w:lineRule="auto"/>
        <w:rPr>
          <w:sz w:val="20"/>
          <w:szCs w:val="20"/>
          <w:color w:val="auto"/>
        </w:rPr>
      </w:pPr>
      <w:r>
        <w:rPr>
          <w:rFonts w:ascii="Arial" w:cs="Arial" w:eastAsia="Arial" w:hAnsi="Arial"/>
          <w:sz w:val="7"/>
          <w:szCs w:val="7"/>
          <w:color w:val="FFFFFF"/>
        </w:rPr>
        <w:t xml:space="preserve">The register of substantial shareholders required to be kept by the Company under section 336 of Part XV of the SFO shows that as at 31 December 2012, the Company had been notifi ed of the </w:t>
      </w:r>
      <w:r>
        <w:rPr>
          <w:rFonts w:ascii="Arial" w:cs="Arial" w:eastAsia="Arial" w:hAnsi="Arial"/>
          <w:sz w:val="10"/>
          <w:szCs w:val="10"/>
          <w:color w:val="FFFFFF"/>
          <w:vertAlign w:val="subscript"/>
        </w:rPr>
        <w:t>following</w:t>
      </w:r>
      <w:r>
        <w:rPr>
          <w:rFonts w:ascii="Arial" w:cs="Arial" w:eastAsia="Arial" w:hAnsi="Arial"/>
          <w:sz w:val="7"/>
          <w:szCs w:val="7"/>
          <w:color w:val="FFFFFF"/>
        </w:rPr>
        <w:t xml:space="preserve"> substantial shareholders’ interests and short positions in the shares and underlying shares of the Company, being interests of 5% or more of the Company’s issued share capital. These interests are addition to those disclosed above in respect of the Directors and chief executives of the Company.</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PercentageSharesofHKof$0.001 each in the Company</w:t>
      </w:r>
    </w:p>
    <w:p>
      <w:pPr>
        <w:spacing w:after="0" w:line="181" w:lineRule="auto"/>
        <w:rPr>
          <w:sz w:val="20"/>
          <w:szCs w:val="20"/>
          <w:color w:val="auto"/>
        </w:rPr>
      </w:pPr>
      <w:r>
        <w:rPr>
          <w:rFonts w:ascii="Arial" w:cs="Arial" w:eastAsia="Arial" w:hAnsi="Arial"/>
          <w:sz w:val="10"/>
          <w:szCs w:val="10"/>
          <w:color w:val="FFFFFF"/>
        </w:rPr>
        <w:t>the issued share</w:t>
      </w:r>
    </w:p>
    <w:p>
      <w:pPr>
        <w:spacing w:after="0" w:line="188" w:lineRule="auto"/>
        <w:rPr>
          <w:sz w:val="20"/>
          <w:szCs w:val="20"/>
          <w:color w:val="auto"/>
        </w:rPr>
      </w:pPr>
      <w:r>
        <w:rPr>
          <w:rFonts w:ascii="Arial" w:cs="Arial" w:eastAsia="Arial" w:hAnsi="Arial"/>
          <w:sz w:val="9"/>
          <w:szCs w:val="9"/>
          <w:color w:val="FFFFFF"/>
        </w:rPr>
        <w:t>NameCapacity/NatureNumberofInterestofcapitalSharesof theCompany</w:t>
      </w:r>
    </w:p>
    <w:p>
      <w:pPr>
        <w:spacing w:after="0" w:line="188" w:lineRule="auto"/>
        <w:rPr>
          <w:sz w:val="20"/>
          <w:szCs w:val="20"/>
          <w:color w:val="auto"/>
        </w:rPr>
      </w:pPr>
      <w:r>
        <w:rPr>
          <w:rFonts w:ascii="Arial" w:cs="Arial" w:eastAsia="Arial" w:hAnsi="Arial"/>
          <w:sz w:val="9"/>
          <w:szCs w:val="9"/>
          <w:color w:val="FFFFFF"/>
        </w:rPr>
        <w:t>(NoteWMCayman1)(LongHoldingsPosition)Limited I Bene?cial interest 3,750,000,000 72.29%</w:t>
      </w:r>
    </w:p>
    <w:p>
      <w:pPr>
        <w:spacing w:after="0" w:line="188" w:lineRule="auto"/>
        <w:rPr>
          <w:sz w:val="20"/>
          <w:szCs w:val="20"/>
          <w:color w:val="auto"/>
        </w:rPr>
      </w:pPr>
      <w:r>
        <w:rPr>
          <w:rFonts w:ascii="Arial" w:cs="Arial" w:eastAsia="Arial" w:hAnsi="Arial"/>
          <w:sz w:val="9"/>
          <w:szCs w:val="9"/>
          <w:color w:val="FFFFFF"/>
        </w:rPr>
        <w:t>corporation(LongWynnGroupAsia,Position)Inc.(Note 1) Interest of a controlled 3,750,000,000 72.29%</w:t>
      </w:r>
    </w:p>
    <w:p>
      <w:pPr>
        <w:spacing w:after="0" w:line="188" w:lineRule="auto"/>
        <w:rPr>
          <w:sz w:val="20"/>
          <w:szCs w:val="20"/>
          <w:color w:val="auto"/>
        </w:rPr>
      </w:pPr>
      <w:r>
        <w:rPr>
          <w:rFonts w:ascii="Arial" w:cs="Arial" w:eastAsia="Arial" w:hAnsi="Arial"/>
          <w:sz w:val="9"/>
          <w:szCs w:val="9"/>
          <w:color w:val="FFFFFF"/>
        </w:rPr>
        <w:t>corporation(LongWynnResorts,LimitedPosition)(Note 1) Interest of a controlled 3,750,000,000 72.29%</w:t>
      </w:r>
    </w:p>
    <w:p>
      <w:pPr>
        <w:spacing w:after="0"/>
        <w:rPr>
          <w:sz w:val="20"/>
          <w:szCs w:val="20"/>
          <w:color w:val="auto"/>
        </w:rPr>
      </w:pPr>
      <w:r>
        <w:rPr>
          <w:rFonts w:ascii="Arial" w:cs="Arial" w:eastAsia="Arial" w:hAnsi="Arial"/>
          <w:sz w:val="3"/>
          <w:szCs w:val="3"/>
          <w:color w:val="FFFFFF"/>
        </w:rPr>
        <w:t>Inc.The (NoteCapital2)Groupcorporation(LongCompanies, Position)Interestof a controlled 280,996,400 5.42%</w:t>
      </w:r>
    </w:p>
    <w:p>
      <w:pPr>
        <w:spacing w:after="0" w:line="194" w:lineRule="auto"/>
        <w:rPr>
          <w:sz w:val="20"/>
          <w:szCs w:val="20"/>
          <w:color w:val="auto"/>
        </w:rPr>
      </w:pPr>
      <w:r>
        <w:rPr>
          <w:rFonts w:ascii="Arial" w:cs="Arial" w:eastAsia="Arial" w:hAnsi="Arial"/>
          <w:sz w:val="5"/>
          <w:szCs w:val="5"/>
          <w:color w:val="FFFFFF"/>
          <w:vertAlign w:val="superscript"/>
        </w:rPr>
        <w:t>Company</w:t>
      </w:r>
    </w:p>
    <w:p>
      <w:pPr>
        <w:ind w:left="100"/>
        <w:spacing w:after="0"/>
        <w:rPr>
          <w:sz w:val="20"/>
          <w:szCs w:val="20"/>
          <w:color w:val="auto"/>
        </w:rPr>
      </w:pPr>
      <w:r>
        <w:rPr>
          <w:rFonts w:ascii="Arial" w:cs="Arial" w:eastAsia="Arial" w:hAnsi="Arial"/>
          <w:sz w:val="14"/>
          <w:szCs w:val="14"/>
          <w:color w:val="FFFFFF"/>
        </w:rPr>
        <w:t>apital Research(Note2)(LongandManagementPosition) Investment manager 260,352,400 5.02%</w:t>
      </w:r>
    </w:p>
    <w:p>
      <w:pPr>
        <w:sectPr>
          <w:pgSz w:w="11900" w:h="16838" w:orient="portrait"/>
          <w:cols w:equalWidth="0" w:num="1">
            <w:col w:w="11420"/>
          </w:cols>
          <w:pgMar w:left="240" w:top="1440" w:right="23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20"/>
                <w:szCs w:val="20"/>
                <w:color w:val="auto"/>
              </w:rPr>
            </w:pPr>
            <w:r>
              <w:rPr>
                <w:rFonts w:ascii="Arial" w:cs="Arial" w:eastAsia="Arial" w:hAnsi="Arial"/>
                <w:sz w:val="14"/>
                <w:szCs w:val="14"/>
                <w:color w:val="FFFFFF"/>
                <w:w w:val="99"/>
              </w:rPr>
              <w:t>52 Wynn Macau, Limited</w:t>
            </w:r>
          </w:p>
        </w:tc>
        <w:tc>
          <w:tcPr>
            <w:tcW w:w="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560" w:type="dxa"/>
            <w:vAlign w:val="bottom"/>
          </w:tcPr>
          <w:p>
            <w:pPr>
              <w:spacing w:after="0"/>
              <w:rPr>
                <w:sz w:val="20"/>
                <w:szCs w:val="20"/>
                <w:color w:val="auto"/>
              </w:rPr>
            </w:pPr>
            <w:r>
              <w:rPr>
                <w:rFonts w:ascii="Arial" w:cs="Arial" w:eastAsia="Arial" w:hAnsi="Arial"/>
                <w:sz w:val="3"/>
                <w:szCs w:val="3"/>
                <w:color w:val="FFFFFF"/>
              </w:rPr>
              <w:t>Report of the Directors</w:t>
            </w:r>
          </w:p>
        </w:tc>
        <w:tc>
          <w:tcPr>
            <w:tcW w:w="9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5"/>
          </w:tcPr>
          <w:p>
            <w:pPr>
              <w:spacing w:after="0"/>
              <w:rPr>
                <w:sz w:val="20"/>
                <w:szCs w:val="20"/>
                <w:color w:val="auto"/>
              </w:rPr>
            </w:pPr>
            <w:r>
              <w:rPr>
                <w:rFonts w:ascii="Arial" w:cs="Arial" w:eastAsia="Arial" w:hAnsi="Arial"/>
                <w:sz w:val="3"/>
                <w:szCs w:val="3"/>
                <w:color w:val="FFFFFF"/>
              </w:rPr>
              <w:t>SUBSTANTIAL SHAREHOLDERS’ INTERESTS AND SHORT POSITIONS IN THE SHARES AND UNDERLYING SHARES OF THE COMPANY (CONTINUED)</w:t>
            </w:r>
          </w:p>
        </w:tc>
        <w:tc>
          <w:tcPr>
            <w:tcW w:w="0" w:type="dxa"/>
            <w:vAlign w:val="bottom"/>
          </w:tcPr>
          <w:p>
            <w:pPr>
              <w:spacing w:after="0"/>
              <w:rPr>
                <w:sz w:val="1"/>
                <w:szCs w:val="1"/>
                <w:color w:val="auto"/>
              </w:rPr>
            </w:pPr>
          </w:p>
        </w:tc>
      </w:tr>
      <w:tr>
        <w:trPr>
          <w:trHeight w:val="41"/>
        </w:trPr>
        <w:tc>
          <w:tcPr>
            <w:tcW w:w="1560" w:type="dxa"/>
            <w:vAlign w:val="bottom"/>
          </w:tcPr>
          <w:p>
            <w:pPr>
              <w:spacing w:after="0"/>
              <w:rPr>
                <w:sz w:val="20"/>
                <w:szCs w:val="20"/>
                <w:color w:val="auto"/>
              </w:rPr>
            </w:pPr>
            <w:r>
              <w:rPr>
                <w:rFonts w:ascii="Arial" w:cs="Arial" w:eastAsia="Arial" w:hAnsi="Arial"/>
                <w:sz w:val="3"/>
                <w:szCs w:val="3"/>
                <w:color w:val="FFFFFF"/>
              </w:rPr>
              <w:t>Note:</w:t>
            </w:r>
          </w:p>
        </w:tc>
        <w:tc>
          <w:tcPr>
            <w:tcW w:w="9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5"/>
          </w:tcPr>
          <w:p>
            <w:pPr>
              <w:spacing w:after="0"/>
              <w:rPr>
                <w:sz w:val="20"/>
                <w:szCs w:val="20"/>
                <w:color w:val="auto"/>
              </w:rPr>
            </w:pPr>
            <w:r>
              <w:rPr>
                <w:rFonts w:ascii="Arial" w:cs="Arial" w:eastAsia="Arial" w:hAnsi="Arial"/>
                <w:sz w:val="3"/>
                <w:szCs w:val="3"/>
                <w:color w:val="FFFFFF"/>
              </w:rPr>
              <w:t>(1) WM Cayman Holdings Limited I is a wholly owned subsidiary of Wynn Group Asia, Inc., which in turn is wholly owned by Wynn Resorts, Limited. Therefore Wynn Group Asia, Inc. and Wynn Resorts,</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Limited are deemed or taken to be interested in 3,750,000,000 Shares which</w:t>
            </w:r>
          </w:p>
        </w:tc>
        <w:tc>
          <w:tcPr>
            <w:tcW w:w="3620" w:type="dxa"/>
            <w:vAlign w:val="bottom"/>
          </w:tcPr>
          <w:p>
            <w:pPr>
              <w:ind w:left="220"/>
              <w:spacing w:after="0"/>
              <w:rPr>
                <w:sz w:val="20"/>
                <w:szCs w:val="20"/>
                <w:color w:val="auto"/>
              </w:rPr>
            </w:pPr>
            <w:r>
              <w:rPr>
                <w:rFonts w:ascii="Arial" w:cs="Arial" w:eastAsia="Arial" w:hAnsi="Arial"/>
                <w:sz w:val="3"/>
                <w:szCs w:val="3"/>
                <w:color w:val="FFFFFF"/>
              </w:rPr>
              <w:t>bene? cially owned by WM Cayman Holdings Limited I.</w:t>
            </w:r>
          </w:p>
        </w:tc>
        <w:tc>
          <w:tcPr>
            <w:tcW w:w="3520" w:type="dxa"/>
            <w:vAlign w:val="bottom"/>
            <w:vMerge w:val="restart"/>
          </w:tcPr>
          <w:p>
            <w:pPr>
              <w:ind w:left="340"/>
              <w:spacing w:after="0" w:line="81" w:lineRule="exact"/>
              <w:rPr>
                <w:sz w:val="20"/>
                <w:szCs w:val="20"/>
                <w:color w:val="auto"/>
              </w:rPr>
            </w:pPr>
            <w:r>
              <w:rPr>
                <w:rFonts w:ascii="Arial" w:cs="Arial" w:eastAsia="Arial" w:hAnsi="Arial"/>
                <w:sz w:val="9"/>
                <w:szCs w:val="9"/>
                <w:color w:val="FFFFFF"/>
              </w:rPr>
              <w:t>namely Capital Research and Management Company and</w:t>
            </w:r>
          </w:p>
        </w:tc>
        <w:tc>
          <w:tcPr>
            <w:tcW w:w="0" w:type="dxa"/>
            <w:vAlign w:val="bottom"/>
          </w:tcPr>
          <w:p>
            <w:pPr>
              <w:spacing w:after="0"/>
              <w:rPr>
                <w:sz w:val="1"/>
                <w:szCs w:val="1"/>
                <w:color w:val="auto"/>
              </w:rPr>
            </w:pPr>
          </w:p>
        </w:tc>
      </w:tr>
      <w:tr>
        <w:trPr>
          <w:trHeight w:val="41"/>
        </w:trPr>
        <w:tc>
          <w:tcPr>
            <w:tcW w:w="4140" w:type="dxa"/>
            <w:vAlign w:val="bottom"/>
            <w:gridSpan w:val="3"/>
          </w:tcPr>
          <w:p>
            <w:pPr>
              <w:spacing w:after="0"/>
              <w:rPr>
                <w:sz w:val="20"/>
                <w:szCs w:val="20"/>
                <w:color w:val="auto"/>
              </w:rPr>
            </w:pPr>
            <w:r>
              <w:rPr>
                <w:rFonts w:ascii="Arial" w:cs="Arial" w:eastAsia="Arial" w:hAnsi="Arial"/>
                <w:sz w:val="3"/>
                <w:szCs w:val="3"/>
                <w:color w:val="FFFFFF"/>
              </w:rPr>
              <w:t>(2) The Capital Group Companies, Inc. is deemed interested in 280,996,400</w:t>
            </w:r>
          </w:p>
        </w:tc>
        <w:tc>
          <w:tcPr>
            <w:tcW w:w="3620" w:type="dxa"/>
            <w:vAlign w:val="bottom"/>
          </w:tcPr>
          <w:p>
            <w:pPr>
              <w:spacing w:after="0"/>
              <w:rPr>
                <w:sz w:val="20"/>
                <w:szCs w:val="20"/>
                <w:color w:val="auto"/>
              </w:rPr>
            </w:pPr>
            <w:r>
              <w:rPr>
                <w:rFonts w:ascii="Arial" w:cs="Arial" w:eastAsia="Arial" w:hAnsi="Arial"/>
                <w:sz w:val="3"/>
                <w:szCs w:val="3"/>
                <w:color w:val="FFFFFF"/>
              </w:rPr>
              <w:t>Shares, comprised of the Shares held by two wholly-owned</w:t>
            </w:r>
          </w:p>
        </w:tc>
        <w:tc>
          <w:tcPr>
            <w:tcW w:w="35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560" w:type="dxa"/>
            <w:vAlign w:val="bottom"/>
          </w:tcPr>
          <w:p>
            <w:pPr>
              <w:spacing w:after="0"/>
              <w:rPr>
                <w:sz w:val="20"/>
                <w:szCs w:val="20"/>
                <w:color w:val="auto"/>
              </w:rPr>
            </w:pPr>
            <w:r>
              <w:rPr>
                <w:rFonts w:ascii="Arial" w:cs="Arial" w:eastAsia="Arial" w:hAnsi="Arial"/>
                <w:sz w:val="3"/>
                <w:szCs w:val="3"/>
                <w:color w:val="FFFFFF"/>
              </w:rPr>
              <w:t>Capital Group</w:t>
            </w:r>
          </w:p>
        </w:tc>
        <w:tc>
          <w:tcPr>
            <w:tcW w:w="9720" w:type="dxa"/>
            <w:vAlign w:val="bottom"/>
            <w:gridSpan w:val="4"/>
          </w:tcPr>
          <w:p>
            <w:pPr>
              <w:spacing w:after="0"/>
              <w:rPr>
                <w:sz w:val="20"/>
                <w:szCs w:val="20"/>
                <w:color w:val="auto"/>
              </w:rPr>
            </w:pPr>
            <w:r>
              <w:rPr>
                <w:rFonts w:ascii="Arial" w:cs="Arial" w:eastAsia="Arial" w:hAnsi="Arial"/>
                <w:sz w:val="3"/>
                <w:szCs w:val="3"/>
                <w:color w:val="FFFFFF"/>
              </w:rPr>
              <w:t>Inc. (which is deemed interested in the Company through the Shares held by Capital Guardian Trust Companysubsidiaries,CapitalInternational, Inc., Capital International Limited and Capital</w:t>
            </w:r>
          </w:p>
        </w:tc>
        <w:tc>
          <w:tcPr>
            <w:tcW w:w="0" w:type="dxa"/>
            <w:vAlign w:val="bottom"/>
          </w:tcPr>
          <w:p>
            <w:pPr>
              <w:spacing w:after="0"/>
              <w:rPr>
                <w:sz w:val="1"/>
                <w:szCs w:val="1"/>
                <w:color w:val="auto"/>
              </w:rPr>
            </w:pPr>
          </w:p>
        </w:tc>
      </w:tr>
      <w:tr>
        <w:trPr>
          <w:trHeight w:val="41"/>
        </w:trPr>
        <w:tc>
          <w:tcPr>
            <w:tcW w:w="1560" w:type="dxa"/>
            <w:vAlign w:val="bottom"/>
          </w:tcPr>
          <w:p>
            <w:pPr>
              <w:spacing w:after="0"/>
              <w:rPr>
                <w:sz w:val="20"/>
                <w:szCs w:val="20"/>
                <w:color w:val="auto"/>
              </w:rPr>
            </w:pPr>
            <w:r>
              <w:rPr>
                <w:rFonts w:ascii="Arial" w:cs="Arial" w:eastAsia="Arial" w:hAnsi="Arial"/>
                <w:sz w:val="3"/>
                <w:szCs w:val="3"/>
                <w:color w:val="FFFFFF"/>
              </w:rPr>
              <w:t>International Sarl,International,eachwh</w:t>
            </w:r>
          </w:p>
        </w:tc>
        <w:tc>
          <w:tcPr>
            <w:tcW w:w="6200" w:type="dxa"/>
            <w:vAlign w:val="bottom"/>
            <w:gridSpan w:val="3"/>
          </w:tcPr>
          <w:p>
            <w:pPr>
              <w:ind w:left="60"/>
              <w:spacing w:after="0"/>
              <w:rPr>
                <w:sz w:val="20"/>
                <w:szCs w:val="20"/>
                <w:color w:val="auto"/>
              </w:rPr>
            </w:pPr>
            <w:r>
              <w:rPr>
                <w:rFonts w:ascii="Arial" w:cs="Arial" w:eastAsia="Arial" w:hAnsi="Arial"/>
                <w:sz w:val="3"/>
                <w:szCs w:val="3"/>
                <w:color w:val="FFFFFF"/>
              </w:rPr>
              <w:t>lly owned subsidiary of Capital Group International, Inc.).</w:t>
            </w: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5"/>
          </w:tcPr>
          <w:p>
            <w:pPr>
              <w:spacing w:after="0"/>
              <w:rPr>
                <w:sz w:val="20"/>
                <w:szCs w:val="20"/>
                <w:color w:val="auto"/>
              </w:rPr>
            </w:pPr>
            <w:r>
              <w:rPr>
                <w:rFonts w:ascii="Arial" w:cs="Arial" w:eastAsia="Arial" w:hAnsi="Arial"/>
                <w:sz w:val="3"/>
                <w:szCs w:val="3"/>
                <w:color w:val="FFFFFF"/>
              </w:rPr>
              <w:t>Save as disclosed above, according to the register kept by the Company under Section 336 of the SFO, there was no other person who had an interest or short positions in the Shares or underlying Shares of the</w:t>
            </w:r>
          </w:p>
        </w:tc>
        <w:tc>
          <w:tcPr>
            <w:tcW w:w="0" w:type="dxa"/>
            <w:vAlign w:val="bottom"/>
          </w:tcPr>
          <w:p>
            <w:pPr>
              <w:spacing w:after="0"/>
              <w:rPr>
                <w:sz w:val="1"/>
                <w:szCs w:val="1"/>
                <w:color w:val="auto"/>
              </w:rPr>
            </w:pPr>
          </w:p>
        </w:tc>
      </w:tr>
      <w:tr>
        <w:trPr>
          <w:trHeight w:val="41"/>
        </w:trPr>
        <w:tc>
          <w:tcPr>
            <w:tcW w:w="2500" w:type="dxa"/>
            <w:vAlign w:val="bottom"/>
            <w:gridSpan w:val="2"/>
          </w:tcPr>
          <w:p>
            <w:pPr>
              <w:spacing w:after="0"/>
              <w:rPr>
                <w:sz w:val="20"/>
                <w:szCs w:val="20"/>
                <w:color w:val="auto"/>
              </w:rPr>
            </w:pPr>
            <w:r>
              <w:rPr>
                <w:rFonts w:ascii="Arial" w:cs="Arial" w:eastAsia="Arial" w:hAnsi="Arial"/>
                <w:sz w:val="3"/>
                <w:szCs w:val="3"/>
                <w:color w:val="FFFFFF"/>
              </w:rPr>
              <w:t>Company as at 31 December 2012.</w:t>
            </w:r>
          </w:p>
        </w:tc>
        <w:tc>
          <w:tcPr>
            <w:tcW w:w="16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00" w:type="dxa"/>
            <w:vAlign w:val="bottom"/>
            <w:gridSpan w:val="2"/>
          </w:tcPr>
          <w:p>
            <w:pPr>
              <w:spacing w:after="0"/>
              <w:rPr>
                <w:sz w:val="20"/>
                <w:szCs w:val="20"/>
                <w:color w:val="auto"/>
              </w:rPr>
            </w:pPr>
            <w:r>
              <w:rPr>
                <w:rFonts w:ascii="Arial" w:cs="Arial" w:eastAsia="Arial" w:hAnsi="Arial"/>
                <w:sz w:val="3"/>
                <w:szCs w:val="3"/>
                <w:color w:val="FFFFFF"/>
              </w:rPr>
              <w:t>REMUNERATION POLICY</w:t>
            </w:r>
          </w:p>
        </w:tc>
        <w:tc>
          <w:tcPr>
            <w:tcW w:w="16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5"/>
          </w:tcPr>
          <w:p>
            <w:pPr>
              <w:spacing w:after="0"/>
              <w:rPr>
                <w:sz w:val="20"/>
                <w:szCs w:val="20"/>
                <w:color w:val="auto"/>
              </w:rPr>
            </w:pPr>
            <w:r>
              <w:rPr>
                <w:rFonts w:ascii="Arial" w:cs="Arial" w:eastAsia="Arial" w:hAnsi="Arial"/>
                <w:sz w:val="3"/>
                <w:szCs w:val="3"/>
                <w:color w:val="FFFFFF"/>
              </w:rPr>
              <w:t>As at 31 December 2012, the Group had approximately 7,000 full-time equivalent employees. Employees of the Group are selected, remunerated and promoted on the basis of their merit, quali? cations,</w:t>
            </w:r>
          </w:p>
        </w:tc>
        <w:tc>
          <w:tcPr>
            <w:tcW w:w="0" w:type="dxa"/>
            <w:vAlign w:val="bottom"/>
          </w:tcPr>
          <w:p>
            <w:pPr>
              <w:spacing w:after="0"/>
              <w:rPr>
                <w:sz w:val="1"/>
                <w:szCs w:val="1"/>
                <w:color w:val="auto"/>
              </w:rPr>
            </w:pPr>
          </w:p>
        </w:tc>
      </w:tr>
      <w:tr>
        <w:trPr>
          <w:trHeight w:val="41"/>
        </w:trPr>
        <w:tc>
          <w:tcPr>
            <w:tcW w:w="2500" w:type="dxa"/>
            <w:vAlign w:val="bottom"/>
            <w:gridSpan w:val="2"/>
          </w:tcPr>
          <w:p>
            <w:pPr>
              <w:spacing w:after="0"/>
              <w:rPr>
                <w:sz w:val="20"/>
                <w:szCs w:val="20"/>
                <w:color w:val="auto"/>
              </w:rPr>
            </w:pPr>
            <w:r>
              <w:rPr>
                <w:rFonts w:ascii="Arial" w:cs="Arial" w:eastAsia="Arial" w:hAnsi="Arial"/>
                <w:sz w:val="3"/>
                <w:szCs w:val="3"/>
                <w:color w:val="FFFFFF"/>
              </w:rPr>
              <w:t>competence and contribution to the Group.</w:t>
            </w:r>
          </w:p>
        </w:tc>
        <w:tc>
          <w:tcPr>
            <w:tcW w:w="1640" w:type="dxa"/>
            <w:vAlign w:val="bottom"/>
          </w:tcPr>
          <w:p>
            <w:pPr>
              <w:spacing w:after="0"/>
              <w:rPr>
                <w:sz w:val="3"/>
                <w:szCs w:val="3"/>
                <w:color w:val="auto"/>
              </w:rPr>
            </w:pPr>
          </w:p>
        </w:tc>
        <w:tc>
          <w:tcPr>
            <w:tcW w:w="3620" w:type="dxa"/>
            <w:vAlign w:val="bottom"/>
          </w:tcPr>
          <w:p>
            <w:pPr>
              <w:spacing w:after="0"/>
              <w:rPr>
                <w:sz w:val="3"/>
                <w:szCs w:val="3"/>
                <w:color w:val="auto"/>
              </w:rPr>
            </w:pPr>
          </w:p>
        </w:tc>
        <w:tc>
          <w:tcPr>
            <w:tcW w:w="3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80" w:type="dxa"/>
            <w:vAlign w:val="bottom"/>
            <w:gridSpan w:val="5"/>
          </w:tcPr>
          <w:p>
            <w:pPr>
              <w:spacing w:after="0"/>
              <w:rPr>
                <w:sz w:val="20"/>
                <w:szCs w:val="20"/>
                <w:color w:val="auto"/>
              </w:rPr>
            </w:pPr>
            <w:r>
              <w:rPr>
                <w:rFonts w:ascii="Arial" w:cs="Arial" w:eastAsia="Arial" w:hAnsi="Arial"/>
                <w:sz w:val="3"/>
                <w:szCs w:val="3"/>
                <w:color w:val="FFFFFF"/>
              </w:rPr>
              <w:t>Compensation of key executives of the Group is determined by the Company’s remuneration committee which reviews and determines executives’ compensation based on the Group’s performance and the</w:t>
            </w:r>
          </w:p>
        </w:tc>
        <w:tc>
          <w:tcPr>
            <w:tcW w:w="0" w:type="dxa"/>
            <w:vAlign w:val="bottom"/>
          </w:tcPr>
          <w:p>
            <w:pPr>
              <w:spacing w:after="0"/>
              <w:rPr>
                <w:sz w:val="1"/>
                <w:szCs w:val="1"/>
                <w:color w:val="auto"/>
              </w:rPr>
            </w:pPr>
          </w:p>
        </w:tc>
      </w:tr>
      <w:tr>
        <w:trPr>
          <w:trHeight w:val="0"/>
        </w:trPr>
        <w:tc>
          <w:tcPr>
            <w:tcW w:w="2500" w:type="dxa"/>
            <w:vAlign w:val="bottom"/>
            <w:gridSpan w:val="2"/>
          </w:tcPr>
          <w:p>
            <w:pPr>
              <w:spacing w:after="0" w:line="80" w:lineRule="exact"/>
              <w:rPr>
                <w:sz w:val="20"/>
                <w:szCs w:val="20"/>
                <w:color w:val="auto"/>
              </w:rPr>
            </w:pPr>
            <w:r>
              <w:rPr>
                <w:rFonts w:ascii="Arial" w:cs="Arial" w:eastAsia="Arial" w:hAnsi="Arial"/>
                <w:sz w:val="9"/>
                <w:szCs w:val="9"/>
                <w:color w:val="FFFFFF"/>
              </w:rPr>
              <w:t>executives’ respective contributions to the</w:t>
            </w:r>
          </w:p>
        </w:tc>
        <w:tc>
          <w:tcPr>
            <w:tcW w:w="1640" w:type="dxa"/>
            <w:vAlign w:val="bottom"/>
          </w:tcPr>
          <w:p>
            <w:pPr>
              <w:jc w:val="right"/>
              <w:ind w:right="1395"/>
              <w:spacing w:after="0" w:line="80" w:lineRule="exact"/>
              <w:rPr>
                <w:sz w:val="20"/>
                <w:szCs w:val="20"/>
                <w:color w:val="auto"/>
              </w:rPr>
            </w:pPr>
            <w:r>
              <w:rPr>
                <w:rFonts w:ascii="Arial" w:cs="Arial" w:eastAsia="Arial" w:hAnsi="Arial"/>
                <w:sz w:val="9"/>
                <w:szCs w:val="9"/>
                <w:color w:val="FFFFFF"/>
              </w:rPr>
              <w:t>.</w:t>
            </w:r>
          </w:p>
        </w:tc>
        <w:tc>
          <w:tcPr>
            <w:tcW w:w="36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auto"/>
        <w:rPr>
          <w:sz w:val="20"/>
          <w:szCs w:val="20"/>
          <w:color w:val="auto"/>
        </w:rPr>
      </w:pPr>
      <w:r>
        <w:rPr>
          <w:rFonts w:ascii="Arial" w:cs="Arial" w:eastAsia="Arial" w:hAnsi="Arial"/>
          <w:sz w:val="14"/>
          <w:szCs w:val="14"/>
          <w:color w:val="FFFFFF"/>
        </w:rPr>
        <w:t>The Company also has a provident fund setGroupfor its employees and a share options scheme. Further details on the Company’s share options scheme are set out below.</w:t>
      </w:r>
    </w:p>
    <w:p>
      <w:pPr>
        <w:sectPr>
          <w:pgSz w:w="11900" w:h="16838" w:orient="portrait"/>
          <w:cols w:equalWidth="0" w:num="1">
            <w:col w:w="11280"/>
          </w:cols>
          <w:pgMar w:left="240" w:top="1440" w:right="379" w:bottom="1440" w:gutter="0" w:footer="0" w:header="0"/>
        </w:sectPr>
      </w:pPr>
    </w:p>
    <w:bookmarkStart w:id="58" w:name="page59"/>
    <w:bookmarkEnd w:id="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tcPr>
          <w:p>
            <w:pPr>
              <w:spacing w:after="0"/>
              <w:rPr>
                <w:sz w:val="20"/>
                <w:szCs w:val="20"/>
                <w:color w:val="auto"/>
              </w:rPr>
            </w:pPr>
            <w:r>
              <w:rPr>
                <w:rFonts w:ascii="Arial" w:cs="Arial" w:eastAsia="Arial" w:hAnsi="Arial"/>
                <w:sz w:val="14"/>
                <w:szCs w:val="14"/>
                <w:color w:val="FFFFFF"/>
              </w:rPr>
              <w:t>Annual Report 2012 53</w:t>
            </w:r>
          </w:p>
        </w:tc>
        <w:tc>
          <w:tcPr>
            <w:tcW w:w="1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360" w:type="dxa"/>
            <w:vAlign w:val="bottom"/>
          </w:tcPr>
          <w:p>
            <w:pPr>
              <w:spacing w:after="0"/>
              <w:rPr>
                <w:sz w:val="14"/>
                <w:szCs w:val="14"/>
                <w:color w:val="auto"/>
              </w:rPr>
            </w:pP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Report of the Directors</w:t>
            </w:r>
          </w:p>
        </w:tc>
        <w:tc>
          <w:tcPr>
            <w:tcW w:w="1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SHARE OPTION SCHEME</w:t>
            </w:r>
          </w:p>
        </w:tc>
        <w:tc>
          <w:tcPr>
            <w:tcW w:w="1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Company approved the adoption of a share option scheme on 16 September 2009 with the implementation of the scheme conditional   the Company’s listing on the Hong Kong Stock Exchange. The</w:t>
            </w:r>
          </w:p>
        </w:tc>
      </w:tr>
      <w:tr>
        <w:trPr>
          <w:trHeight w:val="41"/>
        </w:trPr>
        <w:tc>
          <w:tcPr>
            <w:tcW w:w="3060" w:type="dxa"/>
            <w:vAlign w:val="bottom"/>
            <w:gridSpan w:val="3"/>
          </w:tcPr>
          <w:p>
            <w:pPr>
              <w:spacing w:after="0"/>
              <w:rPr>
                <w:sz w:val="20"/>
                <w:szCs w:val="20"/>
                <w:color w:val="auto"/>
              </w:rPr>
            </w:pPr>
            <w:r>
              <w:rPr>
                <w:rFonts w:ascii="Arial" w:cs="Arial" w:eastAsia="Arial" w:hAnsi="Arial"/>
                <w:sz w:val="3"/>
                <w:szCs w:val="3"/>
                <w:color w:val="FFFFFF"/>
              </w:rPr>
              <w:t>purpose of the share option scheme is to reward</w:t>
            </w:r>
          </w:p>
        </w:tc>
        <w:tc>
          <w:tcPr>
            <w:tcW w:w="1960" w:type="dxa"/>
            <w:vAlign w:val="bottom"/>
          </w:tcPr>
          <w:p>
            <w:pPr>
              <w:ind w:left="260"/>
              <w:spacing w:after="0"/>
              <w:rPr>
                <w:sz w:val="20"/>
                <w:szCs w:val="20"/>
                <w:color w:val="auto"/>
              </w:rPr>
            </w:pPr>
            <w:r>
              <w:rPr>
                <w:rFonts w:ascii="Arial" w:cs="Arial" w:eastAsia="Arial" w:hAnsi="Arial"/>
                <w:sz w:val="3"/>
                <w:szCs w:val="3"/>
                <w:color w:val="FFFFFF"/>
              </w:rPr>
              <w:t>which may include Directors</w:t>
            </w:r>
          </w:p>
        </w:tc>
        <w:tc>
          <w:tcPr>
            <w:tcW w:w="6360" w:type="dxa"/>
            <w:vAlign w:val="bottom"/>
          </w:tcPr>
          <w:p>
            <w:pPr>
              <w:ind w:left="120"/>
              <w:spacing w:after="0"/>
              <w:rPr>
                <w:sz w:val="20"/>
                <w:szCs w:val="20"/>
                <w:color w:val="auto"/>
              </w:rPr>
            </w:pPr>
            <w:r>
              <w:rPr>
                <w:rFonts w:ascii="Arial" w:cs="Arial" w:eastAsia="Arial" w:hAnsi="Arial"/>
                <w:sz w:val="3"/>
                <w:szCs w:val="3"/>
                <w:color w:val="FFFFFF"/>
              </w:rPr>
              <w:t>employees of the Group, who have contributed to the Group and to encourage them to work towards enhancing the</w:t>
            </w:r>
          </w:p>
        </w:tc>
      </w:tr>
      <w:tr>
        <w:trPr>
          <w:trHeight w:val="41"/>
        </w:trPr>
        <w:tc>
          <w:tcPr>
            <w:tcW w:w="940" w:type="dxa"/>
            <w:vAlign w:val="bottom"/>
          </w:tcPr>
          <w:p>
            <w:pPr>
              <w:spacing w:after="0"/>
              <w:rPr>
                <w:sz w:val="20"/>
                <w:szCs w:val="20"/>
                <w:color w:val="auto"/>
              </w:rPr>
            </w:pPr>
            <w:r>
              <w:rPr>
                <w:rFonts w:ascii="Arial" w:cs="Arial" w:eastAsia="Arial" w:hAnsi="Arial"/>
                <w:sz w:val="3"/>
                <w:szCs w:val="3"/>
                <w:color w:val="FFFFFF"/>
              </w:rPr>
              <w:t>value of the</w:t>
            </w:r>
          </w:p>
        </w:tc>
        <w:tc>
          <w:tcPr>
            <w:tcW w:w="10440" w:type="dxa"/>
            <w:vAlign w:val="bottom"/>
            <w:gridSpan w:val="4"/>
          </w:tcPr>
          <w:p>
            <w:pPr>
              <w:ind w:left="300"/>
              <w:spacing w:after="0"/>
              <w:rPr>
                <w:sz w:val="20"/>
                <w:szCs w:val="20"/>
                <w:color w:val="auto"/>
              </w:rPr>
            </w:pPr>
            <w:r>
              <w:rPr>
                <w:rFonts w:ascii="Arial" w:cs="Arial" w:eastAsia="Arial" w:hAnsi="Arial"/>
                <w:sz w:val="3"/>
                <w:szCs w:val="3"/>
                <w:color w:val="FFFFFF"/>
              </w:rPr>
              <w:t>and its Shares for the benefiparticipants,oftheCompany and its Shareholders asand whole. The options granted under the scheme do not give immediate ownership of the underlying Shares as they</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require paymentCompanyofsubscription price which is based on the then prevailing market price of the Shares.</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D ring the year ended 31 December 2012, share options for a total of 760,000 Shares were granted (2011: 400,000 Shares). A summary of the terms of the share option scheme is set out below:</w:t>
            </w:r>
          </w:p>
        </w:tc>
      </w:tr>
      <w:tr>
        <w:trPr>
          <w:trHeight w:val="41"/>
        </w:trPr>
        <w:tc>
          <w:tcPr>
            <w:tcW w:w="3060" w:type="dxa"/>
            <w:vAlign w:val="bottom"/>
            <w:gridSpan w:val="3"/>
          </w:tcPr>
          <w:p>
            <w:pPr>
              <w:spacing w:after="0"/>
              <w:rPr>
                <w:sz w:val="20"/>
                <w:szCs w:val="20"/>
                <w:color w:val="auto"/>
              </w:rPr>
            </w:pPr>
            <w:r>
              <w:rPr>
                <w:rFonts w:ascii="Arial" w:cs="Arial" w:eastAsia="Arial" w:hAnsi="Arial"/>
                <w:sz w:val="3"/>
                <w:szCs w:val="3"/>
                <w:color w:val="FFFFFF"/>
              </w:rPr>
              <w:t>Number of Shares Available for Issue under the Scheme</w:t>
            </w:r>
          </w:p>
        </w:tc>
        <w:tc>
          <w:tcPr>
            <w:tcW w:w="196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A maximum of 518.75 million Shares have been reserved for issuance under the share option scheme, representing 10.0% in nominal amount in the aggregate of Shares in issue as at the date of this Annual</w:t>
            </w:r>
          </w:p>
        </w:tc>
      </w:tr>
      <w:tr>
        <w:trPr>
          <w:trHeight w:val="41"/>
        </w:trPr>
        <w:tc>
          <w:tcPr>
            <w:tcW w:w="940" w:type="dxa"/>
            <w:vAlign w:val="bottom"/>
          </w:tcPr>
          <w:p>
            <w:pPr>
              <w:spacing w:after="0"/>
              <w:rPr>
                <w:sz w:val="20"/>
                <w:szCs w:val="20"/>
                <w:color w:val="auto"/>
              </w:rPr>
            </w:pPr>
            <w:r>
              <w:rPr>
                <w:rFonts w:ascii="Arial" w:cs="Arial" w:eastAsia="Arial" w:hAnsi="Arial"/>
                <w:sz w:val="3"/>
                <w:szCs w:val="3"/>
                <w:color w:val="FFFFFF"/>
              </w:rPr>
              <w:t>Report.</w:t>
            </w: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3060" w:type="dxa"/>
            <w:vAlign w:val="bottom"/>
            <w:gridSpan w:val="3"/>
          </w:tcPr>
          <w:p>
            <w:pPr>
              <w:spacing w:after="0"/>
              <w:rPr>
                <w:sz w:val="20"/>
                <w:szCs w:val="20"/>
                <w:color w:val="auto"/>
              </w:rPr>
            </w:pPr>
            <w:r>
              <w:rPr>
                <w:rFonts w:ascii="Arial" w:cs="Arial" w:eastAsia="Arial" w:hAnsi="Arial"/>
                <w:sz w:val="3"/>
                <w:szCs w:val="3"/>
                <w:color w:val="FFFFFF"/>
              </w:rPr>
              <w:t>Maximum Entitlement of Participant</w:t>
            </w:r>
          </w:p>
        </w:tc>
        <w:tc>
          <w:tcPr>
            <w:tcW w:w="196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maximum number of Shares issued and to be issued upon exercise of the share options granted to each participant under the s a e option scheme (including both exercised and outstanding share options) in</w:t>
            </w: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any 12-month period shall not (when aggregated with any Shares subject to share options granted during such period under any other share option schemes of the Company other than those share options granted</w:t>
            </w:r>
          </w:p>
        </w:tc>
      </w:tr>
      <w:tr>
        <w:trPr>
          <w:trHeight w:val="41"/>
        </w:trPr>
        <w:tc>
          <w:tcPr>
            <w:tcW w:w="1960" w:type="dxa"/>
            <w:vAlign w:val="bottom"/>
            <w:gridSpan w:val="2"/>
          </w:tcPr>
          <w:p>
            <w:pPr>
              <w:spacing w:after="0"/>
              <w:rPr>
                <w:sz w:val="20"/>
                <w:szCs w:val="20"/>
                <w:color w:val="auto"/>
              </w:rPr>
            </w:pPr>
            <w:r>
              <w:rPr>
                <w:rFonts w:ascii="Arial" w:cs="Arial" w:eastAsia="Arial" w:hAnsi="Arial"/>
                <w:sz w:val="3"/>
                <w:szCs w:val="3"/>
                <w:color w:val="FFFFFF"/>
              </w:rPr>
              <w:t>pursuant to speci? c approval by the</w:t>
            </w:r>
          </w:p>
        </w:tc>
        <w:tc>
          <w:tcPr>
            <w:tcW w:w="9420" w:type="dxa"/>
            <w:vAlign w:val="bottom"/>
            <w:gridSpan w:val="3"/>
          </w:tcPr>
          <w:p>
            <w:pPr>
              <w:ind w:left="760"/>
              <w:spacing w:after="0"/>
              <w:rPr>
                <w:sz w:val="20"/>
                <w:szCs w:val="20"/>
                <w:color w:val="auto"/>
              </w:rPr>
            </w:pPr>
            <w:r>
              <w:rPr>
                <w:rFonts w:ascii="Arial" w:cs="Arial" w:eastAsia="Arial" w:hAnsi="Arial"/>
                <w:sz w:val="3"/>
                <w:szCs w:val="3"/>
                <w:color w:val="FFFFFF"/>
              </w:rPr>
              <w:t>in  general meeting) exceed one percent of the Shares in issue for the time being.</w:t>
            </w:r>
          </w:p>
        </w:tc>
      </w:tr>
      <w:tr>
        <w:trPr>
          <w:trHeight w:val="0"/>
        </w:trPr>
        <w:tc>
          <w:tcPr>
            <w:tcW w:w="1960" w:type="dxa"/>
            <w:vAlign w:val="bottom"/>
            <w:gridSpan w:val="2"/>
          </w:tcPr>
          <w:p>
            <w:pPr>
              <w:spacing w:after="0" w:line="80" w:lineRule="exact"/>
              <w:rPr>
                <w:sz w:val="20"/>
                <w:szCs w:val="20"/>
                <w:color w:val="auto"/>
              </w:rPr>
            </w:pPr>
            <w:r>
              <w:rPr>
                <w:rFonts w:ascii="Arial" w:cs="Arial" w:eastAsia="Arial" w:hAnsi="Arial"/>
                <w:sz w:val="9"/>
                <w:szCs w:val="9"/>
                <w:color w:val="FFFFFF"/>
              </w:rPr>
              <w:t>Where any further grant of share</w:t>
            </w:r>
          </w:p>
        </w:tc>
        <w:tc>
          <w:tcPr>
            <w:tcW w:w="1100" w:type="dxa"/>
            <w:vAlign w:val="bottom"/>
          </w:tcPr>
          <w:p>
            <w:pPr>
              <w:ind w:left="20"/>
              <w:spacing w:after="0" w:line="80" w:lineRule="exact"/>
              <w:rPr>
                <w:sz w:val="20"/>
                <w:szCs w:val="20"/>
                <w:color w:val="auto"/>
              </w:rPr>
            </w:pPr>
            <w:r>
              <w:rPr>
                <w:rFonts w:ascii="Arial" w:cs="Arial" w:eastAsia="Arial" w:hAnsi="Arial"/>
                <w:sz w:val="9"/>
                <w:szCs w:val="9"/>
                <w:color w:val="FFFFFF"/>
              </w:rPr>
              <w:t>Shareholdersparticipantto</w:t>
            </w:r>
          </w:p>
        </w:tc>
        <w:tc>
          <w:tcPr>
            <w:tcW w:w="8320" w:type="dxa"/>
            <w:vAlign w:val="bottom"/>
            <w:gridSpan w:val="2"/>
          </w:tcPr>
          <w:p>
            <w:pPr>
              <w:ind w:left="20"/>
              <w:spacing w:after="0" w:line="80" w:lineRule="exact"/>
              <w:rPr>
                <w:sz w:val="20"/>
                <w:szCs w:val="20"/>
                <w:color w:val="auto"/>
              </w:rPr>
            </w:pPr>
            <w:r>
              <w:rPr>
                <w:rFonts w:ascii="Arial" w:cs="Arial" w:eastAsia="Arial" w:hAnsi="Arial"/>
                <w:sz w:val="9"/>
                <w:szCs w:val="9"/>
                <w:color w:val="FFFFFF"/>
              </w:rPr>
              <w:t>would result in the Shares issued and to be issued upon exercise of all share options granted and to be granted to such person (including exercised,</w:t>
            </w:r>
          </w:p>
        </w:tc>
      </w:tr>
    </w:tbl>
    <w:p>
      <w:pPr>
        <w:ind w:left="580" w:right="220" w:hanging="580"/>
        <w:spacing w:after="0"/>
        <w:rPr>
          <w:sz w:val="20"/>
          <w:szCs w:val="20"/>
          <w:color w:val="auto"/>
        </w:rPr>
      </w:pPr>
      <w:r>
        <w:rPr>
          <w:rFonts w:ascii="Arial" w:cs="Arial" w:eastAsia="Arial" w:hAnsi="Arial"/>
          <w:sz w:val="10"/>
          <w:szCs w:val="10"/>
          <w:color w:val="FFFFFF"/>
          <w:vertAlign w:val="subscript"/>
        </w:rPr>
        <w:t>separately</w:t>
      </w:r>
      <w:r>
        <w:rPr>
          <w:rFonts w:ascii="Arial" w:cs="Arial" w:eastAsia="Arial" w:hAnsi="Arial"/>
          <w:sz w:val="7"/>
          <w:szCs w:val="7"/>
          <w:color w:val="FFFFFF"/>
        </w:rPr>
        <w:t>cancelldand outstanding share options) in the 12-month period up to and including the date of such further grant representing in aggregate over one percent of the Shares in issue, such further grant must be approved by Shareholders in general meeting with such participant and his associates abstaining from voting.</w:t>
      </w:r>
    </w:p>
    <w:p>
      <w:pPr>
        <w:sectPr>
          <w:pgSz w:w="11900" w:h="16838" w:orient="portrait"/>
          <w:cols w:equalWidth="0" w:num="1">
            <w:col w:w="11380"/>
          </w:cols>
          <w:pgMar w:left="240" w:top="1440" w:right="27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54ReportWynnof Macau,theDirectorsLimited</w:t>
      </w:r>
    </w:p>
    <w:p>
      <w:pPr>
        <w:spacing w:after="0"/>
        <w:rPr>
          <w:sz w:val="20"/>
          <w:szCs w:val="20"/>
          <w:color w:val="auto"/>
        </w:rPr>
      </w:pPr>
      <w:r>
        <w:rPr>
          <w:rFonts w:ascii="Arial" w:cs="Arial" w:eastAsia="Arial" w:hAnsi="Arial"/>
          <w:sz w:val="3"/>
          <w:szCs w:val="3"/>
          <w:color w:val="FFFFFF"/>
        </w:rPr>
        <w:t>SHARE OPTION SCHEME (CONTINUED)</w:t>
      </w:r>
    </w:p>
    <w:p>
      <w:pPr>
        <w:spacing w:after="0" w:line="181" w:lineRule="auto"/>
        <w:rPr>
          <w:sz w:val="20"/>
          <w:szCs w:val="20"/>
          <w:color w:val="auto"/>
        </w:rPr>
      </w:pPr>
      <w:r>
        <w:rPr>
          <w:rFonts w:ascii="Arial" w:cs="Arial" w:eastAsia="Arial" w:hAnsi="Arial"/>
          <w:sz w:val="10"/>
          <w:szCs w:val="10"/>
          <w:color w:val="FFFFFF"/>
        </w:rPr>
        <w:t>SubjectExercisetoPeriodanyrestrictions applicable under the Listing Rules and notwithstanding the terms of grant thereof, a share option may be exercised by the grantee in accordance with the terms of the share option</w:t>
      </w:r>
    </w:p>
    <w:p>
      <w:pPr>
        <w:ind w:right="60"/>
        <w:spacing w:after="0" w:line="181" w:lineRule="auto"/>
        <w:rPr>
          <w:sz w:val="20"/>
          <w:szCs w:val="20"/>
          <w:color w:val="auto"/>
        </w:rPr>
      </w:pPr>
      <w:r>
        <w:rPr>
          <w:rFonts w:ascii="Arial" w:cs="Arial" w:eastAsia="Arial" w:hAnsi="Arial"/>
          <w:sz w:val="7"/>
          <w:szCs w:val="7"/>
          <w:color w:val="FFFFFF"/>
        </w:rPr>
        <w:t>dateschemeon whichatany ittimeisgranted.duringtheTheperiodminimumtobeperioddeterminedwhichand anoti?shareedoptionbythemustBoardbe toheldeachbeforegranteeitcanat thebe exercisedtimeofmakingisdeterminedanoffer andofthenoti?granted ofbyatheshareBoardoptionstoeachwhichgrantee.shall not expire later than 10 years from the Payment on Acceptance of Share Option</w:t>
      </w:r>
    </w:p>
    <w:p>
      <w:pPr>
        <w:ind w:left="10280"/>
        <w:spacing w:after="0" w:line="2" w:lineRule="auto"/>
        <w:rPr>
          <w:sz w:val="20"/>
          <w:szCs w:val="20"/>
          <w:color w:val="auto"/>
        </w:rPr>
      </w:pPr>
      <w:r>
        <w:rPr>
          <w:rFonts w:ascii="Arial" w:cs="Arial" w:eastAsia="Arial" w:hAnsi="Arial"/>
          <w:sz w:val="1"/>
          <w:szCs w:val="1"/>
          <w:color w:val="FFFFFF"/>
        </w:rPr>
        <w:t>DeterminationAnamountof HKof$1.00 mustPricebe paid as consideration for the grant of a share option and such payment must be made within 28 days from the date the share option grant offer is made by the Board.</w:t>
      </w:r>
    </w:p>
    <w:p>
      <w:pPr>
        <w:spacing w:after="0" w:line="188" w:lineRule="auto"/>
        <w:rPr>
          <w:sz w:val="20"/>
          <w:szCs w:val="20"/>
          <w:color w:val="auto"/>
        </w:rPr>
      </w:pPr>
      <w:r>
        <w:rPr>
          <w:rFonts w:ascii="Arial" w:cs="Arial" w:eastAsia="Arial" w:hAnsi="Arial"/>
          <w:sz w:val="9"/>
          <w:szCs w:val="9"/>
          <w:color w:val="FFFFFF"/>
        </w:rPr>
        <w:t>The exercise priceExercisedetermined by the Board in its absolute discretion but in any event shall not be less than the higher of:</w:t>
      </w:r>
    </w:p>
    <w:p>
      <w:pPr>
        <w:spacing w:after="0" w:line="211" w:lineRule="auto"/>
        <w:rPr>
          <w:sz w:val="20"/>
          <w:szCs w:val="20"/>
          <w:color w:val="auto"/>
        </w:rPr>
      </w:pPr>
      <w:r>
        <w:rPr>
          <w:rFonts w:ascii="Arial" w:cs="Arial" w:eastAsia="Arial" w:hAnsi="Arial"/>
          <w:sz w:val="4"/>
          <w:szCs w:val="4"/>
          <w:color w:val="FFFFFF"/>
          <w:vertAlign w:val="subscript"/>
        </w:rPr>
        <w:t>(ii)</w:t>
      </w:r>
      <w:r>
        <w:rPr>
          <w:rFonts w:ascii="Arial" w:cs="Arial" w:eastAsia="Arial" w:hAnsi="Arial"/>
          <w:sz w:val="2"/>
          <w:szCs w:val="2"/>
          <w:color w:val="FFFFFF"/>
        </w:rPr>
        <w:t>the closing price of the Shares as stated in the daily quotations sheets issued by the Hong Kong Stock Exchange on the date of the granting of the share option which must be a business day</w:t>
      </w:r>
      <w:r>
        <w:rPr>
          <w:rFonts w:ascii="Arial" w:cs="Arial" w:eastAsia="Arial" w:hAnsi="Arial"/>
          <w:sz w:val="4"/>
          <w:szCs w:val="4"/>
          <w:color w:val="FFFFFF"/>
          <w:vertAlign w:val="subscript"/>
        </w:rPr>
        <w:t>granting</w:t>
      </w:r>
      <w:r>
        <w:rPr>
          <w:rFonts w:ascii="Arial" w:cs="Arial" w:eastAsia="Arial" w:hAnsi="Arial"/>
          <w:sz w:val="2"/>
          <w:szCs w:val="2"/>
          <w:color w:val="FFFFFF"/>
        </w:rPr>
        <w:t>Hong Kong;</w:t>
      </w:r>
    </w:p>
    <w:p>
      <w:pPr>
        <w:ind w:firstLine="199"/>
        <w:spacing w:after="0" w:line="230" w:lineRule="auto"/>
        <w:rPr>
          <w:sz w:val="20"/>
          <w:szCs w:val="20"/>
          <w:color w:val="auto"/>
        </w:rPr>
      </w:pPr>
      <w:r>
        <w:rPr>
          <w:rFonts w:ascii="Arial" w:cs="Arial" w:eastAsia="Arial" w:hAnsi="Arial"/>
          <w:sz w:val="11"/>
          <w:szCs w:val="11"/>
          <w:color w:val="FFFFFF"/>
        </w:rPr>
        <w:t>the average closing price of the Shares as stated in the daily quotations sheets issued by the Hong Kong Stock Exchange for the ? ve business days immediately preceding the date of the of the share option; and</w:t>
      </w:r>
    </w:p>
    <w:p>
      <w:pPr>
        <w:spacing w:after="0" w:line="213" w:lineRule="auto"/>
        <w:rPr>
          <w:sz w:val="20"/>
          <w:szCs w:val="20"/>
          <w:color w:val="auto"/>
        </w:rPr>
      </w:pPr>
      <w:r>
        <w:rPr>
          <w:rFonts w:ascii="Arial" w:cs="Arial" w:eastAsia="Arial" w:hAnsi="Arial"/>
          <w:sz w:val="2"/>
          <w:szCs w:val="2"/>
          <w:color w:val="FFFFFF"/>
        </w:rPr>
        <w:t>(i</w:t>
      </w:r>
      <w:r>
        <w:rPr>
          <w:rFonts w:ascii="Arial" w:cs="Arial" w:eastAsia="Arial" w:hAnsi="Arial"/>
          <w:sz w:val="4"/>
          <w:szCs w:val="4"/>
          <w:color w:val="FFFFFF"/>
          <w:vertAlign w:val="subscript"/>
        </w:rPr>
        <w:t>Life</w:t>
      </w:r>
      <w:r>
        <w:rPr>
          <w:rFonts w:ascii="Arial" w:cs="Arial" w:eastAsia="Arial" w:hAnsi="Arial"/>
          <w:sz w:val="2"/>
          <w:szCs w:val="2"/>
          <w:color w:val="FFFFFF"/>
        </w:rPr>
        <w:t>i) theof thenominalShare valueOptionof SchemetheShares.</w:t>
      </w:r>
    </w:p>
    <w:p>
      <w:pPr>
        <w:spacing w:after="0"/>
        <w:rPr>
          <w:sz w:val="20"/>
          <w:szCs w:val="20"/>
          <w:color w:val="auto"/>
        </w:rPr>
      </w:pPr>
      <w:r>
        <w:rPr>
          <w:rFonts w:ascii="Arial" w:cs="Arial" w:eastAsia="Arial" w:hAnsi="Arial"/>
          <w:sz w:val="14"/>
          <w:szCs w:val="14"/>
          <w:color w:val="FFFFFF"/>
        </w:rPr>
        <w:t>The Company’s share option scheme is effective for a period of 10 years from 16 September 2009.</w:t>
      </w:r>
    </w:p>
    <w:p>
      <w:pPr>
        <w:sectPr>
          <w:pgSz w:w="11900" w:h="16838" w:orient="portrait"/>
          <w:cols w:equalWidth="0" w:num="1">
            <w:col w:w="11340"/>
          </w:cols>
          <w:pgMar w:left="240" w:top="1440" w:right="31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55</w:t>
      </w:r>
    </w:p>
    <w:p>
      <w:pPr>
        <w:spacing w:after="0"/>
        <w:rPr>
          <w:sz w:val="20"/>
          <w:szCs w:val="20"/>
          <w:color w:val="auto"/>
        </w:rPr>
      </w:pPr>
      <w:r>
        <w:rPr>
          <w:rFonts w:ascii="Arial" w:cs="Arial" w:eastAsia="Arial" w:hAnsi="Arial"/>
          <w:sz w:val="3"/>
          <w:szCs w:val="3"/>
          <w:color w:val="FFFFFF"/>
        </w:rPr>
        <w:t>Report of the Directors</w:t>
      </w:r>
    </w:p>
    <w:p>
      <w:pPr>
        <w:spacing w:after="0" w:line="194" w:lineRule="auto"/>
        <w:rPr>
          <w:sz w:val="20"/>
          <w:szCs w:val="20"/>
          <w:color w:val="auto"/>
        </w:rPr>
      </w:pPr>
      <w:r>
        <w:rPr>
          <w:rFonts w:ascii="Arial" w:cs="Arial" w:eastAsia="Arial" w:hAnsi="Arial"/>
          <w:sz w:val="5"/>
          <w:szCs w:val="5"/>
          <w:color w:val="FFFFFF"/>
        </w:rPr>
        <w:t>SHARE OPTION SCHEME (CONTINUED)</w:t>
      </w:r>
    </w:p>
    <w:p>
      <w:pPr>
        <w:spacing w:after="0"/>
        <w:rPr>
          <w:sz w:val="20"/>
          <w:szCs w:val="20"/>
          <w:color w:val="auto"/>
        </w:rPr>
      </w:pPr>
      <w:r>
        <w:rPr>
          <w:rFonts w:ascii="Arial" w:cs="Arial" w:eastAsia="Arial" w:hAnsi="Arial"/>
          <w:sz w:val="3"/>
          <w:szCs w:val="3"/>
          <w:color w:val="FFFFFF"/>
        </w:rPr>
        <w:t>2012 Share Option Grants</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The following table discloses movements in the Company’s share options outstanding during the year ended 31 December 2012. Other details of the scheme are disclosed in note 24 to the Financial Statements. Number of share options</w:t>
      </w:r>
    </w:p>
    <w:p>
      <w:pPr>
        <w:spacing w:after="0" w:line="188" w:lineRule="auto"/>
        <w:rPr>
          <w:sz w:val="20"/>
          <w:szCs w:val="20"/>
          <w:color w:val="auto"/>
        </w:rPr>
      </w:pPr>
      <w:r>
        <w:rPr>
          <w:rFonts w:ascii="Arial" w:cs="Arial" w:eastAsia="Arial" w:hAnsi="Arial"/>
          <w:sz w:val="7"/>
          <w:szCs w:val="7"/>
          <w:color w:val="FFFFFF"/>
        </w:rPr>
        <w:t>Expired/</w:t>
      </w:r>
      <w:r>
        <w:rPr>
          <w:rFonts w:ascii="Arial" w:cs="Arial" w:eastAsia="Arial" w:hAnsi="Arial"/>
          <w:sz w:val="9"/>
          <w:szCs w:val="9"/>
          <w:color w:val="FFFFFF"/>
          <w:vertAlign w:val="superscript"/>
        </w:rPr>
        <w:t>ercise</w:t>
      </w:r>
    </w:p>
    <w:p>
      <w:pPr>
        <w:spacing w:after="0"/>
        <w:rPr>
          <w:sz w:val="20"/>
          <w:szCs w:val="20"/>
          <w:color w:val="auto"/>
        </w:rPr>
      </w:pPr>
      <w:r>
        <w:rPr>
          <w:rFonts w:ascii="Arial" w:cs="Arial" w:eastAsia="Arial" w:hAnsi="Arial"/>
          <w:sz w:val="3"/>
          <w:szCs w:val="3"/>
          <w:color w:val="FFFFFF"/>
        </w:rPr>
        <w:t>lapsed/ shareprice of</w:t>
      </w:r>
    </w:p>
    <w:p>
      <w:pPr>
        <w:spacing w:after="0" w:line="194" w:lineRule="auto"/>
        <w:rPr>
          <w:sz w:val="20"/>
          <w:szCs w:val="20"/>
          <w:color w:val="auto"/>
        </w:rPr>
      </w:pPr>
      <w:r>
        <w:rPr>
          <w:rFonts w:ascii="Arial" w:cs="Arial" w:eastAsia="Arial" w:hAnsi="Arial"/>
          <w:sz w:val="5"/>
          <w:szCs w:val="5"/>
          <w:color w:val="FFFFFF"/>
        </w:rPr>
        <w:t>At Granted Exercised canceled At 31 Date of grant options</w:t>
      </w:r>
    </w:p>
    <w:p>
      <w:pPr>
        <w:spacing w:after="0" w:line="197" w:lineRule="auto"/>
        <w:tabs>
          <w:tab w:leader="none" w:pos="440" w:val="left"/>
        </w:tabs>
        <w:rPr>
          <w:sz w:val="20"/>
          <w:szCs w:val="20"/>
          <w:color w:val="auto"/>
        </w:rPr>
      </w:pPr>
      <w:r>
        <w:rPr>
          <w:rFonts w:ascii="Arial" w:cs="Arial" w:eastAsia="Arial" w:hAnsi="Arial"/>
          <w:sz w:val="10"/>
          <w:szCs w:val="10"/>
          <w:color w:val="FFFFFF"/>
        </w:rPr>
        <w:t>1</w:t>
      </w:r>
      <w:r>
        <w:rPr>
          <w:sz w:val="20"/>
          <w:szCs w:val="20"/>
          <w:color w:val="auto"/>
        </w:rPr>
        <w:tab/>
      </w:r>
      <w:r>
        <w:rPr>
          <w:rFonts w:ascii="Arial" w:cs="Arial" w:eastAsia="Arial" w:hAnsi="Arial"/>
          <w:sz w:val="10"/>
          <w:szCs w:val="10"/>
          <w:color w:val="FFFFFF"/>
        </w:rPr>
        <w:t>January during during during December of share Exercise period of per Share</w:t>
      </w:r>
    </w:p>
    <w:p>
      <w:pPr>
        <w:spacing w:after="0"/>
        <w:rPr>
          <w:sz w:val="20"/>
          <w:szCs w:val="20"/>
          <w:color w:val="auto"/>
        </w:rPr>
      </w:pPr>
      <w:r>
        <w:rPr>
          <w:rFonts w:ascii="Arial" w:cs="Arial" w:eastAsia="Arial" w:hAnsi="Arial"/>
          <w:sz w:val="3"/>
          <w:szCs w:val="3"/>
          <w:color w:val="FFFFFF"/>
        </w:rPr>
        <w:t>Dr.NameAllanof DirectorZeman250,0002012the—year— —the250,000yearthe 25yearMarch20122010options25 Marchshareoptions(HK201110.92$)</w:t>
      </w:r>
    </w:p>
    <w:p>
      <w:pPr>
        <w:spacing w:after="0" w:line="181" w:lineRule="auto"/>
        <w:rPr>
          <w:sz w:val="20"/>
          <w:szCs w:val="20"/>
          <w:color w:val="auto"/>
        </w:rPr>
      </w:pPr>
      <w:r>
        <w:rPr>
          <w:rFonts w:ascii="Arial" w:cs="Arial" w:eastAsia="Arial" w:hAnsi="Arial"/>
          <w:sz w:val="10"/>
          <w:szCs w:val="10"/>
          <w:color w:val="FFFFFF"/>
        </w:rPr>
        <w:t>to 24 March 2020</w:t>
      </w:r>
    </w:p>
    <w:p>
      <w:pPr>
        <w:spacing w:after="0" w:line="188" w:lineRule="auto"/>
        <w:rPr>
          <w:sz w:val="20"/>
          <w:szCs w:val="20"/>
          <w:color w:val="auto"/>
        </w:rPr>
      </w:pPr>
      <w:r>
        <w:rPr>
          <w:rFonts w:ascii="Arial" w:cs="Arial" w:eastAsia="Arial" w:hAnsi="Arial"/>
          <w:sz w:val="9"/>
          <w:szCs w:val="9"/>
          <w:color w:val="FFFFFF"/>
        </w:rPr>
        <w:t>to100,00016May—2021—— 100,000 17 May 2011 17 May 2012 25.96</w:t>
      </w:r>
    </w:p>
    <w:p>
      <w:pPr>
        <w:spacing w:after="0"/>
        <w:rPr>
          <w:sz w:val="20"/>
          <w:szCs w:val="20"/>
          <w:color w:val="auto"/>
        </w:rPr>
      </w:pPr>
      <w:r>
        <w:rPr>
          <w:rFonts w:ascii="Arial" w:cs="Arial" w:eastAsia="Arial" w:hAnsi="Arial"/>
          <w:sz w:val="3"/>
          <w:szCs w:val="3"/>
          <w:color w:val="FFFFFF"/>
        </w:rPr>
        <w:t>to— 4190,000(1)June2022 — — 190,000 5 June 2012 5 June 2013 19.04</w:t>
      </w:r>
    </w:p>
    <w:p>
      <w:pPr>
        <w:spacing w:after="0" w:line="181" w:lineRule="auto"/>
        <w:rPr>
          <w:sz w:val="20"/>
          <w:szCs w:val="20"/>
          <w:color w:val="auto"/>
        </w:rPr>
      </w:pPr>
      <w:r>
        <w:rPr>
          <w:rFonts w:ascii="Arial" w:cs="Arial" w:eastAsia="Arial" w:hAnsi="Arial"/>
          <w:sz w:val="10"/>
          <w:szCs w:val="10"/>
          <w:color w:val="FFFFFF"/>
        </w:rPr>
        <w:t>350,000 190,000 — — 540,000</w:t>
      </w:r>
    </w:p>
    <w:p>
      <w:pPr>
        <w:spacing w:after="0" w:line="188" w:lineRule="auto"/>
        <w:rPr>
          <w:sz w:val="20"/>
          <w:szCs w:val="20"/>
          <w:color w:val="auto"/>
        </w:rPr>
      </w:pPr>
      <w:r>
        <w:rPr>
          <w:rFonts w:ascii="Arial" w:cs="Arial" w:eastAsia="Arial" w:hAnsi="Arial"/>
          <w:sz w:val="9"/>
          <w:szCs w:val="9"/>
          <w:color w:val="FFFFFF"/>
        </w:rPr>
        <w:t>SallnowMr.Nicholas-Smith250,000to24March—— 2020—250,000 25 March 2010 25 March 2011 10.92</w:t>
      </w:r>
    </w:p>
    <w:p>
      <w:pPr>
        <w:spacing w:after="0" w:line="188" w:lineRule="auto"/>
        <w:rPr>
          <w:sz w:val="20"/>
          <w:szCs w:val="20"/>
          <w:color w:val="auto"/>
        </w:rPr>
      </w:pPr>
      <w:r>
        <w:rPr>
          <w:rFonts w:ascii="Arial" w:cs="Arial" w:eastAsia="Arial" w:hAnsi="Arial"/>
          <w:sz w:val="9"/>
          <w:szCs w:val="9"/>
          <w:color w:val="FFFFFF"/>
        </w:rPr>
        <w:t>to100,00016May—2021—— 100,000 17 May 2011 17 May 2012 25.96</w:t>
      </w:r>
    </w:p>
    <w:p>
      <w:pPr>
        <w:spacing w:after="0"/>
        <w:rPr>
          <w:sz w:val="20"/>
          <w:szCs w:val="20"/>
          <w:color w:val="auto"/>
        </w:rPr>
      </w:pPr>
      <w:r>
        <w:rPr>
          <w:rFonts w:ascii="Arial" w:cs="Arial" w:eastAsia="Arial" w:hAnsi="Arial"/>
          <w:sz w:val="3"/>
          <w:szCs w:val="3"/>
          <w:color w:val="FFFFFF"/>
        </w:rPr>
        <w:t>to— 4190,000(1)June2022 — — 190,000 5 June 2012 5 June 2013 19.04</w:t>
      </w:r>
    </w:p>
    <w:p>
      <w:pPr>
        <w:spacing w:after="0" w:line="181" w:lineRule="auto"/>
        <w:rPr>
          <w:sz w:val="20"/>
          <w:szCs w:val="20"/>
          <w:color w:val="auto"/>
        </w:rPr>
      </w:pPr>
      <w:r>
        <w:rPr>
          <w:rFonts w:ascii="Arial" w:cs="Arial" w:eastAsia="Arial" w:hAnsi="Arial"/>
          <w:sz w:val="10"/>
          <w:szCs w:val="10"/>
          <w:color w:val="FFFFFF"/>
        </w:rPr>
        <w:t>350,000 190,000 — — 540,000</w:t>
      </w:r>
    </w:p>
    <w:p>
      <w:pPr>
        <w:spacing w:after="0" w:line="188" w:lineRule="auto"/>
        <w:rPr>
          <w:sz w:val="20"/>
          <w:szCs w:val="20"/>
          <w:color w:val="auto"/>
        </w:rPr>
      </w:pPr>
      <w:r>
        <w:rPr>
          <w:rFonts w:ascii="Arial" w:cs="Arial" w:eastAsia="Arial" w:hAnsi="Arial"/>
          <w:sz w:val="9"/>
          <w:szCs w:val="9"/>
          <w:color w:val="FFFFFF"/>
        </w:rPr>
        <w:t>toMr.24BruceMarchRockowitz2020 200,000 — — — 200,000 25 March 2010 25 March 2011 10.92</w:t>
      </w:r>
    </w:p>
    <w:p>
      <w:pPr>
        <w:spacing w:after="0" w:line="188" w:lineRule="auto"/>
        <w:rPr>
          <w:sz w:val="20"/>
          <w:szCs w:val="20"/>
          <w:color w:val="auto"/>
        </w:rPr>
      </w:pPr>
      <w:r>
        <w:rPr>
          <w:rFonts w:ascii="Arial" w:cs="Arial" w:eastAsia="Arial" w:hAnsi="Arial"/>
          <w:sz w:val="9"/>
          <w:szCs w:val="9"/>
          <w:color w:val="FFFFFF"/>
        </w:rPr>
        <w:t>to100,00016May—2021—— 100,000 17 May 2011 17 May 2012 25.96</w:t>
      </w:r>
    </w:p>
    <w:p>
      <w:pPr>
        <w:spacing w:after="0"/>
        <w:rPr>
          <w:sz w:val="20"/>
          <w:szCs w:val="20"/>
          <w:color w:val="auto"/>
        </w:rPr>
      </w:pPr>
      <w:r>
        <w:rPr>
          <w:rFonts w:ascii="Arial" w:cs="Arial" w:eastAsia="Arial" w:hAnsi="Arial"/>
          <w:sz w:val="3"/>
          <w:szCs w:val="3"/>
          <w:color w:val="FFFFFF"/>
        </w:rPr>
        <w:t>to— 4190,000(1)June2022 — — 190,000 5 June 2012 5 June 2013 19.04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300,000 190,000 — — 490,000</w:t>
      </w:r>
    </w:p>
    <w:p>
      <w:pPr>
        <w:sectPr>
          <w:pgSz w:w="11900" w:h="16838" w:orient="portrait"/>
          <w:cols w:equalWidth="0" w:num="1">
            <w:col w:w="11300"/>
          </w:cols>
          <w:pgMar w:left="240" w:top="1440" w:right="359"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56 Wynn Macau, Limited</w:t>
      </w:r>
    </w:p>
    <w:p>
      <w:pPr>
        <w:spacing w:after="0"/>
        <w:rPr>
          <w:sz w:val="20"/>
          <w:szCs w:val="20"/>
          <w:color w:val="auto"/>
        </w:rPr>
      </w:pPr>
      <w:r>
        <w:rPr>
          <w:rFonts w:ascii="Arial" w:cs="Arial" w:eastAsia="Arial" w:hAnsi="Arial"/>
          <w:sz w:val="3"/>
          <w:szCs w:val="3"/>
          <w:color w:val="FFFFFF"/>
        </w:rPr>
        <w:t>Report of the Directors</w:t>
      </w:r>
    </w:p>
    <w:p>
      <w:pPr>
        <w:spacing w:after="0" w:line="181" w:lineRule="auto"/>
        <w:rPr>
          <w:sz w:val="20"/>
          <w:szCs w:val="20"/>
          <w:color w:val="auto"/>
        </w:rPr>
      </w:pPr>
      <w:r>
        <w:rPr>
          <w:rFonts w:ascii="Arial" w:cs="Arial" w:eastAsia="Arial" w:hAnsi="Arial"/>
          <w:sz w:val="10"/>
          <w:szCs w:val="10"/>
          <w:color w:val="FFFFFF"/>
        </w:rPr>
        <w:t>SHARE OPTION SCHEME (CONTINUED)</w:t>
      </w:r>
    </w:p>
    <w:p>
      <w:pPr>
        <w:spacing w:after="0"/>
        <w:rPr>
          <w:sz w:val="20"/>
          <w:szCs w:val="20"/>
          <w:color w:val="auto"/>
        </w:rPr>
      </w:pPr>
      <w:r>
        <w:rPr>
          <w:rFonts w:ascii="Arial" w:cs="Arial" w:eastAsia="Arial" w:hAnsi="Arial"/>
          <w:sz w:val="3"/>
          <w:szCs w:val="3"/>
          <w:color w:val="FFFFFF"/>
        </w:rPr>
        <w:t>Number2012Shareof shareOptionoptionsGrants (continued)</w:t>
      </w:r>
    </w:p>
    <w:p>
      <w:pPr>
        <w:spacing w:after="0" w:line="181" w:lineRule="auto"/>
        <w:rPr>
          <w:sz w:val="20"/>
          <w:szCs w:val="20"/>
          <w:color w:val="auto"/>
        </w:rPr>
      </w:pPr>
      <w:r>
        <w:rPr>
          <w:rFonts w:ascii="Arial" w:cs="Arial" w:eastAsia="Arial" w:hAnsi="Arial"/>
          <w:sz w:val="7"/>
          <w:szCs w:val="7"/>
          <w:color w:val="FFFFFF"/>
        </w:rPr>
        <w:t>Expired/</w:t>
      </w:r>
      <w:r>
        <w:rPr>
          <w:rFonts w:ascii="Arial" w:cs="Arial" w:eastAsia="Arial" w:hAnsi="Arial"/>
          <w:sz w:val="10"/>
          <w:szCs w:val="10"/>
          <w:color w:val="FFFFFF"/>
          <w:vertAlign w:val="superscript"/>
        </w:rPr>
        <w:t>ercise</w:t>
      </w:r>
    </w:p>
    <w:p>
      <w:pPr>
        <w:spacing w:after="0"/>
        <w:rPr>
          <w:sz w:val="20"/>
          <w:szCs w:val="20"/>
          <w:color w:val="auto"/>
        </w:rPr>
      </w:pPr>
      <w:r>
        <w:rPr>
          <w:rFonts w:ascii="Arial" w:cs="Arial" w:eastAsia="Arial" w:hAnsi="Arial"/>
          <w:sz w:val="3"/>
          <w:szCs w:val="3"/>
          <w:color w:val="FFFFFF"/>
        </w:rPr>
        <w:t>lapsed/ shareprice of</w:t>
      </w:r>
    </w:p>
    <w:p>
      <w:pPr>
        <w:spacing w:after="0" w:line="194" w:lineRule="auto"/>
        <w:rPr>
          <w:sz w:val="20"/>
          <w:szCs w:val="20"/>
          <w:color w:val="auto"/>
        </w:rPr>
      </w:pPr>
      <w:r>
        <w:rPr>
          <w:rFonts w:ascii="Arial" w:cs="Arial" w:eastAsia="Arial" w:hAnsi="Arial"/>
          <w:sz w:val="5"/>
          <w:szCs w:val="5"/>
          <w:color w:val="FFFFFF"/>
        </w:rPr>
        <w:t>At Granted Exercised canceled At 31 Date of grant options</w:t>
      </w:r>
    </w:p>
    <w:p>
      <w:pPr>
        <w:spacing w:after="0" w:line="201" w:lineRule="auto"/>
        <w:rPr>
          <w:sz w:val="20"/>
          <w:szCs w:val="20"/>
          <w:color w:val="auto"/>
        </w:rPr>
      </w:pPr>
      <w:r>
        <w:rPr>
          <w:rFonts w:ascii="Arial" w:cs="Arial" w:eastAsia="Arial" w:hAnsi="Arial"/>
          <w:sz w:val="14"/>
          <w:szCs w:val="14"/>
          <w:color w:val="FFFFFF"/>
        </w:rPr>
        <w:t>1Name ofJanuaryDirectorduring2012 duringtheyearduringtheyearDecembertheyearof2012shareoptionsExerciseshareperiodoptions(HKofperShare$)</w:t>
      </w:r>
    </w:p>
    <w:p>
      <w:pPr>
        <w:spacing w:after="0" w:line="188" w:lineRule="auto"/>
        <w:rPr>
          <w:sz w:val="20"/>
          <w:szCs w:val="20"/>
          <w:color w:val="auto"/>
        </w:rPr>
      </w:pPr>
      <w:r>
        <w:rPr>
          <w:rFonts w:ascii="Arial" w:cs="Arial" w:eastAsia="Arial" w:hAnsi="Arial"/>
          <w:sz w:val="9"/>
          <w:szCs w:val="9"/>
          <w:color w:val="FFFFFF"/>
        </w:rPr>
        <w:t>KinMr.-JeffreyfungLam250,000to24 —March——2020250,000 25 March 2010 25 March 2011 10.92</w:t>
      </w:r>
    </w:p>
    <w:p>
      <w:pPr>
        <w:spacing w:after="0" w:line="188" w:lineRule="auto"/>
        <w:rPr>
          <w:sz w:val="20"/>
          <w:szCs w:val="20"/>
          <w:color w:val="auto"/>
        </w:rPr>
      </w:pPr>
      <w:r>
        <w:rPr>
          <w:rFonts w:ascii="Arial" w:cs="Arial" w:eastAsia="Arial" w:hAnsi="Arial"/>
          <w:sz w:val="9"/>
          <w:szCs w:val="9"/>
          <w:color w:val="FFFFFF"/>
        </w:rPr>
        <w:t>to100,00016May—2021—— 100,000 17 May 2011 17 May 2012 25.96</w:t>
      </w:r>
    </w:p>
    <w:p>
      <w:pPr>
        <w:spacing w:after="0"/>
        <w:rPr>
          <w:sz w:val="20"/>
          <w:szCs w:val="20"/>
          <w:color w:val="auto"/>
        </w:rPr>
      </w:pPr>
      <w:r>
        <w:rPr>
          <w:rFonts w:ascii="Arial" w:cs="Arial" w:eastAsia="Arial" w:hAnsi="Arial"/>
          <w:sz w:val="3"/>
          <w:szCs w:val="3"/>
          <w:color w:val="FFFFFF"/>
        </w:rPr>
        <w:t>to— 4190,000(1)June2022 — — 190,000 5 June 2012 5 June 2013 19.04</w:t>
      </w:r>
    </w:p>
    <w:p>
      <w:pPr>
        <w:spacing w:after="0" w:line="194" w:lineRule="auto"/>
        <w:rPr>
          <w:sz w:val="20"/>
          <w:szCs w:val="20"/>
          <w:color w:val="auto"/>
        </w:rPr>
      </w:pPr>
      <w:r>
        <w:rPr>
          <w:rFonts w:ascii="Arial" w:cs="Arial" w:eastAsia="Arial" w:hAnsi="Arial"/>
          <w:sz w:val="5"/>
          <w:szCs w:val="5"/>
          <w:color w:val="FFFFFF"/>
        </w:rPr>
        <w:t>350,000 190,000 — — 540,000</w:t>
      </w:r>
    </w:p>
    <w:p>
      <w:pPr>
        <w:spacing w:after="0" w:line="188" w:lineRule="auto"/>
        <w:rPr>
          <w:sz w:val="20"/>
          <w:szCs w:val="20"/>
          <w:color w:val="auto"/>
        </w:rPr>
      </w:pPr>
      <w:r>
        <w:rPr>
          <w:rFonts w:ascii="Arial" w:cs="Arial" w:eastAsia="Arial" w:hAnsi="Arial"/>
          <w:sz w:val="9"/>
          <w:szCs w:val="9"/>
          <w:color w:val="FFFFFF"/>
          <w:vertAlign w:val="superscript"/>
        </w:rPr>
        <w:t>The</w:t>
      </w:r>
      <w:r>
        <w:rPr>
          <w:rFonts w:ascii="Arial" w:cs="Arial" w:eastAsia="Arial" w:hAnsi="Arial"/>
          <w:sz w:val="7"/>
          <w:szCs w:val="7"/>
          <w:color w:val="FFFFFF"/>
        </w:rPr>
        <w:t>otal 1,350,000 760,000 — — 2,110,000</w:t>
      </w:r>
    </w:p>
    <w:p>
      <w:pPr>
        <w:spacing w:after="0"/>
        <w:rPr>
          <w:sz w:val="20"/>
          <w:szCs w:val="20"/>
          <w:color w:val="auto"/>
        </w:rPr>
      </w:pPr>
      <w:r>
        <w:rPr>
          <w:rFonts w:ascii="Arial" w:cs="Arial" w:eastAsia="Arial" w:hAnsi="Arial"/>
          <w:sz w:val="3"/>
          <w:szCs w:val="3"/>
          <w:color w:val="FFFFFF"/>
        </w:rPr>
        <w:t>Notes:vesting periods of the above share options are 20% vesting on each of the anniversary date of the date of grant.</w:t>
      </w:r>
    </w:p>
    <w:p>
      <w:pPr>
        <w:spacing w:after="0" w:line="194" w:lineRule="auto"/>
        <w:rPr>
          <w:sz w:val="20"/>
          <w:szCs w:val="20"/>
          <w:color w:val="auto"/>
        </w:rPr>
      </w:pPr>
      <w:r>
        <w:rPr>
          <w:rFonts w:ascii="Arial" w:cs="Arial" w:eastAsia="Arial" w:hAnsi="Arial"/>
          <w:sz w:val="5"/>
          <w:szCs w:val="5"/>
          <w:color w:val="FFFFFF"/>
        </w:rPr>
        <w:t>(1) The closing price of the Company’s Shares immediately before the date on which the options were granted during the year was HK$18.06.</w:t>
      </w:r>
    </w:p>
    <w:p>
      <w:pPr>
        <w:spacing w:after="0"/>
        <w:rPr>
          <w:sz w:val="20"/>
          <w:szCs w:val="20"/>
          <w:color w:val="auto"/>
        </w:rPr>
      </w:pPr>
      <w:r>
        <w:rPr>
          <w:rFonts w:ascii="Arial" w:cs="Arial" w:eastAsia="Arial" w:hAnsi="Arial"/>
          <w:sz w:val="3"/>
          <w:szCs w:val="3"/>
          <w:color w:val="FFFFFF"/>
        </w:rPr>
        <w:t>PURCHASE, SALE OR REDEMPTION OF COMPANY’S LISTED SECURITIES</w:t>
      </w:r>
    </w:p>
    <w:p>
      <w:pPr>
        <w:spacing w:after="0" w:line="6" w:lineRule="exact"/>
        <w:rPr>
          <w:sz w:val="20"/>
          <w:szCs w:val="20"/>
          <w:color w:val="auto"/>
        </w:rPr>
      </w:pPr>
    </w:p>
    <w:p>
      <w:pPr>
        <w:ind w:right="60"/>
        <w:spacing w:after="0" w:line="187" w:lineRule="auto"/>
        <w:rPr>
          <w:sz w:val="20"/>
          <w:szCs w:val="20"/>
          <w:color w:val="auto"/>
        </w:rPr>
      </w:pPr>
      <w:r>
        <w:rPr>
          <w:rFonts w:ascii="Arial" w:cs="Arial" w:eastAsia="Arial" w:hAnsi="Arial"/>
          <w:sz w:val="9"/>
          <w:szCs w:val="9"/>
          <w:color w:val="FFFFFF"/>
        </w:rPr>
        <w:t>There have been no convertible securities issued or granted by the Group, no exercise of any conversion or subscription rights, nor any purchase, sale or redemption by the Group of its listed Shares during the year ended 31 December 2012.</w:t>
      </w:r>
    </w:p>
    <w:p>
      <w:pPr>
        <w:spacing w:after="0"/>
        <w:rPr>
          <w:sz w:val="20"/>
          <w:szCs w:val="20"/>
          <w:color w:val="auto"/>
        </w:rPr>
      </w:pPr>
      <w:r>
        <w:rPr>
          <w:rFonts w:ascii="Arial" w:cs="Arial" w:eastAsia="Arial" w:hAnsi="Arial"/>
          <w:sz w:val="3"/>
          <w:szCs w:val="3"/>
          <w:color w:val="FFFFFF"/>
        </w:rPr>
        <w:t>SUFFICIENCY OF PUBLIC FLOAT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Based on the information available to the Company and within the knowledge of the Directors, as at the date of this Annual Report, the Company maintained the prescribed public ? oat under the Listing Rules.</w:t>
      </w:r>
    </w:p>
    <w:p>
      <w:pPr>
        <w:sectPr>
          <w:pgSz w:w="11900" w:h="16838" w:orient="portrait"/>
          <w:cols w:equalWidth="0" w:num="1">
            <w:col w:w="11300"/>
          </w:cols>
          <w:pgMar w:left="240" w:top="1440" w:right="35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57</w:t>
      </w:r>
    </w:p>
    <w:p>
      <w:pPr>
        <w:spacing w:after="0"/>
        <w:rPr>
          <w:sz w:val="20"/>
          <w:szCs w:val="20"/>
          <w:color w:val="auto"/>
        </w:rPr>
      </w:pPr>
      <w:r>
        <w:rPr>
          <w:rFonts w:ascii="Arial" w:cs="Arial" w:eastAsia="Arial" w:hAnsi="Arial"/>
          <w:sz w:val="3"/>
          <w:szCs w:val="3"/>
          <w:color w:val="FFFFFF"/>
        </w:rPr>
        <w:t>Report of the Directors</w:t>
      </w:r>
    </w:p>
    <w:p>
      <w:pPr>
        <w:spacing w:after="0" w:line="194" w:lineRule="auto"/>
        <w:rPr>
          <w:sz w:val="20"/>
          <w:szCs w:val="20"/>
          <w:color w:val="auto"/>
        </w:rPr>
      </w:pPr>
      <w:r>
        <w:rPr>
          <w:rFonts w:ascii="Arial" w:cs="Arial" w:eastAsia="Arial" w:hAnsi="Arial"/>
          <w:sz w:val="5"/>
          <w:szCs w:val="5"/>
          <w:color w:val="FFFFFF"/>
        </w:rPr>
        <w:t>PRE-EMPTIVE RIGHTS</w:t>
      </w:r>
    </w:p>
    <w:p>
      <w:pPr>
        <w:spacing w:after="0" w:line="188" w:lineRule="auto"/>
        <w:rPr>
          <w:sz w:val="20"/>
          <w:szCs w:val="20"/>
          <w:color w:val="auto"/>
        </w:rPr>
      </w:pPr>
      <w:r>
        <w:rPr>
          <w:rFonts w:ascii="Arial" w:cs="Arial" w:eastAsia="Arial" w:hAnsi="Arial"/>
          <w:sz w:val="9"/>
          <w:szCs w:val="9"/>
          <w:color w:val="FFFFFF"/>
          <w:vertAlign w:val="subscript"/>
        </w:rPr>
        <w:t>Shareholders</w:t>
      </w:r>
      <w:r>
        <w:rPr>
          <w:rFonts w:ascii="Arial" w:cs="Arial" w:eastAsia="Arial" w:hAnsi="Arial"/>
          <w:sz w:val="7"/>
          <w:szCs w:val="7"/>
          <w:color w:val="FFFFFF"/>
        </w:rPr>
        <w:t>Thereno</w:t>
      </w:r>
      <w:r>
        <w:rPr>
          <w:rFonts w:ascii="Arial" w:cs="Arial" w:eastAsia="Arial" w:hAnsi="Arial"/>
          <w:sz w:val="9"/>
          <w:szCs w:val="9"/>
          <w:color w:val="FFFFFF"/>
          <w:vertAlign w:val="subscript"/>
        </w:rPr>
        <w:t>.</w:t>
      </w:r>
      <w:r>
        <w:rPr>
          <w:rFonts w:ascii="Arial" w:cs="Arial" w:eastAsia="Arial" w:hAnsi="Arial"/>
          <w:sz w:val="7"/>
          <w:szCs w:val="7"/>
          <w:color w:val="FFFFFF"/>
        </w:rPr>
        <w:t>provisions for pre-emptive rights under the laws of the Cayman Islands or under the Company’s articles of association that require the Company to offer new Shares on a pro-rata basis to its existing</w:t>
      </w:r>
    </w:p>
    <w:p>
      <w:pPr>
        <w:spacing w:after="0"/>
        <w:rPr>
          <w:sz w:val="20"/>
          <w:szCs w:val="20"/>
          <w:color w:val="auto"/>
        </w:rPr>
      </w:pPr>
      <w:r>
        <w:rPr>
          <w:rFonts w:ascii="Arial" w:cs="Arial" w:eastAsia="Arial" w:hAnsi="Arial"/>
          <w:sz w:val="3"/>
          <w:szCs w:val="3"/>
          <w:color w:val="FFFFFF"/>
        </w:rPr>
        <w:t>AUDITORS</w:t>
      </w:r>
    </w:p>
    <w:p>
      <w:pPr>
        <w:spacing w:after="0" w:line="194" w:lineRule="auto"/>
        <w:rPr>
          <w:sz w:val="20"/>
          <w:szCs w:val="20"/>
          <w:color w:val="auto"/>
        </w:rPr>
      </w:pPr>
      <w:r>
        <w:rPr>
          <w:rFonts w:ascii="Arial" w:cs="Arial" w:eastAsia="Arial" w:hAnsi="Arial"/>
          <w:sz w:val="5"/>
          <w:szCs w:val="5"/>
          <w:color w:val="FFFFFF"/>
        </w:rPr>
        <w:t>Our external auditors, Ernst &amp; Young, will retire and a resolution for their reappointment as auditors of the Company will be proposed at the forthcoming annual general meeting of the Company.</w:t>
      </w:r>
    </w:p>
    <w:p>
      <w:pPr>
        <w:spacing w:after="0"/>
        <w:rPr>
          <w:sz w:val="20"/>
          <w:szCs w:val="20"/>
          <w:color w:val="auto"/>
        </w:rPr>
      </w:pPr>
      <w:r>
        <w:rPr>
          <w:rFonts w:ascii="Arial" w:cs="Arial" w:eastAsia="Arial" w:hAnsi="Arial"/>
          <w:sz w:val="3"/>
          <w:szCs w:val="3"/>
          <w:color w:val="FFFFFF"/>
        </w:rPr>
        <w:t>LITIGATIONS</w:t>
      </w:r>
    </w:p>
    <w:p>
      <w:pPr>
        <w:spacing w:after="0" w:line="194" w:lineRule="auto"/>
        <w:rPr>
          <w:sz w:val="20"/>
          <w:szCs w:val="20"/>
          <w:color w:val="auto"/>
        </w:rPr>
      </w:pPr>
      <w:r>
        <w:rPr>
          <w:rFonts w:ascii="Arial" w:cs="Arial" w:eastAsia="Arial" w:hAnsi="Arial"/>
          <w:sz w:val="5"/>
          <w:szCs w:val="5"/>
          <w:color w:val="FFFFFF"/>
          <w:vertAlign w:val="subscript"/>
        </w:rPr>
        <w:t>The Group’</w:t>
      </w:r>
      <w:r>
        <w:rPr>
          <w:rFonts w:ascii="Arial" w:cs="Arial" w:eastAsia="Arial" w:hAnsi="Arial"/>
          <w:sz w:val="3"/>
          <w:szCs w:val="3"/>
          <w:color w:val="FFFFFF"/>
        </w:rPr>
        <w:t>did not have any material litigation outstanding as at 31 December 2012.</w:t>
      </w:r>
    </w:p>
    <w:p>
      <w:pPr>
        <w:ind w:right="20" w:firstLine="626"/>
        <w:spacing w:after="0" w:line="211" w:lineRule="auto"/>
        <w:rPr>
          <w:sz w:val="20"/>
          <w:szCs w:val="20"/>
          <w:color w:val="auto"/>
        </w:rPr>
      </w:pPr>
      <w:r>
        <w:rPr>
          <w:rFonts w:ascii="Arial" w:cs="Arial" w:eastAsia="Arial" w:hAnsi="Arial"/>
          <w:sz w:val="8"/>
          <w:szCs w:val="8"/>
          <w:color w:val="FFFFFF"/>
        </w:rPr>
        <w:t>s affi liates are involved in litigation, with details as set out in note 27 to the Financial Statements, arising in the normal course of business. In the opinion of management, such litigation will not have a material effect on the Group’s fi nancial condition, results of operations or cash ? ows.</w:t>
      </w:r>
    </w:p>
    <w:p>
      <w:pPr>
        <w:spacing w:after="0"/>
        <w:rPr>
          <w:sz w:val="20"/>
          <w:szCs w:val="20"/>
          <w:color w:val="auto"/>
        </w:rPr>
      </w:pPr>
      <w:r>
        <w:rPr>
          <w:rFonts w:ascii="Arial" w:cs="Arial" w:eastAsia="Arial" w:hAnsi="Arial"/>
          <w:sz w:val="3"/>
          <w:szCs w:val="3"/>
          <w:color w:val="FFFFFF"/>
        </w:rPr>
        <w:t>CONTINUING DISCLOSURE PURSUANT TO LISTING RULES 13.18 AND 13.21</w:t>
      </w:r>
    </w:p>
    <w:p>
      <w:pPr>
        <w:spacing w:after="0" w:line="194" w:lineRule="auto"/>
        <w:rPr>
          <w:sz w:val="20"/>
          <w:szCs w:val="20"/>
          <w:color w:val="auto"/>
        </w:rPr>
      </w:pPr>
      <w:r>
        <w:rPr>
          <w:rFonts w:ascii="Arial" w:cs="Arial" w:eastAsia="Arial" w:hAnsi="Arial"/>
          <w:sz w:val="3"/>
          <w:szCs w:val="3"/>
          <w:color w:val="FFFFFF"/>
        </w:rPr>
        <w:t xml:space="preserve">Under the terms of the Amended </w:t>
      </w:r>
      <w:r>
        <w:rPr>
          <w:rFonts w:ascii="Arial" w:cs="Arial" w:eastAsia="Arial" w:hAnsi="Arial"/>
          <w:sz w:val="5"/>
          <w:szCs w:val="5"/>
          <w:color w:val="FFFFFF"/>
          <w:vertAlign w:val="subscript"/>
        </w:rPr>
        <w:t>WRM</w:t>
      </w:r>
      <w:r>
        <w:rPr>
          <w:rFonts w:ascii="Arial" w:cs="Arial" w:eastAsia="Arial" w:hAnsi="Arial"/>
          <w:sz w:val="3"/>
          <w:szCs w:val="3"/>
          <w:color w:val="FFFFFF"/>
        </w:rPr>
        <w:t>ynn Macau Credit Facilities,</w:t>
      </w:r>
      <w:r>
        <w:rPr>
          <w:rFonts w:ascii="Arial" w:cs="Arial" w:eastAsia="Arial" w:hAnsi="Arial"/>
          <w:sz w:val="5"/>
          <w:szCs w:val="5"/>
          <w:color w:val="FFFFFF"/>
          <w:vertAlign w:val="subscript"/>
        </w:rPr>
        <w:t>ability</w:t>
      </w:r>
      <w:r>
        <w:rPr>
          <w:rFonts w:ascii="Arial" w:cs="Arial" w:eastAsia="Arial" w:hAnsi="Arial"/>
          <w:sz w:val="3"/>
          <w:szCs w:val="3"/>
          <w:color w:val="FFFFFF"/>
        </w:rPr>
        <w:t>is an event of default if Wynn Resorts, Limited, the Company’s Controlling Shareholder, ceases to own directly or indirectly at least 51% of the</w:t>
      </w:r>
    </w:p>
    <w:p>
      <w:pPr>
        <w:jc w:val="both"/>
        <w:ind w:right="140"/>
        <w:spacing w:after="0" w:line="228" w:lineRule="auto"/>
        <w:rPr>
          <w:sz w:val="20"/>
          <w:szCs w:val="20"/>
          <w:color w:val="auto"/>
        </w:rPr>
      </w:pPr>
      <w:r>
        <w:rPr>
          <w:rFonts w:ascii="Arial" w:cs="Arial" w:eastAsia="Arial" w:hAnsi="Arial"/>
          <w:sz w:val="11"/>
          <w:szCs w:val="11"/>
          <w:color w:val="FFFFFF"/>
        </w:rPr>
        <w:t>voting rights or issued capital of or ceases to retain the or the right to direct or procure the direction of the management and policies of WRM. Upon an event of default, the lenders are entitled to exercise certain remedies including acceleration of the indebtedness under the senior secured credit facilities. Save as disclosed above, our Company does not have any other disclosure obligations under Rules 13.18 and 13.21 of the Listing Rules.</w:t>
      </w:r>
    </w:p>
    <w:p>
      <w:pPr>
        <w:sectPr>
          <w:pgSz w:w="11900" w:h="16838" w:orient="portrait"/>
          <w:cols w:equalWidth="0" w:num="1">
            <w:col w:w="11400"/>
          </w:cols>
          <w:pgMar w:left="240" w:top="1440" w:right="25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3"/>
          </w:tcPr>
          <w:p>
            <w:pPr>
              <w:spacing w:after="0"/>
              <w:rPr>
                <w:sz w:val="20"/>
                <w:szCs w:val="20"/>
                <w:color w:val="auto"/>
              </w:rPr>
            </w:pPr>
            <w:r>
              <w:rPr>
                <w:rFonts w:ascii="Arial" w:cs="Arial" w:eastAsia="Arial" w:hAnsi="Arial"/>
                <w:sz w:val="14"/>
                <w:szCs w:val="14"/>
                <w:color w:val="FFFFFF"/>
              </w:rPr>
              <w:t>58 Wynn Macau, Limited</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Report of the Directors</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CHANGES IN INFORMATION OF DIRECTORS</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Pursuant to Rule 13.51(B)(1) of the Listing Rules, the changes in information of Directors of the Company are set out below:</w:t>
            </w:r>
          </w:p>
        </w:tc>
      </w:tr>
      <w:tr>
        <w:trPr>
          <w:trHeight w:val="41"/>
        </w:trPr>
        <w:tc>
          <w:tcPr>
            <w:tcW w:w="11400" w:type="dxa"/>
            <w:vAlign w:val="bottom"/>
            <w:gridSpan w:val="3"/>
          </w:tcPr>
          <w:p>
            <w:pPr>
              <w:ind w:left="60"/>
              <w:spacing w:after="0"/>
              <w:rPr>
                <w:sz w:val="20"/>
                <w:szCs w:val="20"/>
                <w:color w:val="auto"/>
              </w:rPr>
            </w:pPr>
            <w:r>
              <w:rPr>
                <w:rFonts w:ascii="Arial" w:cs="Arial" w:eastAsia="Arial" w:hAnsi="Arial"/>
                <w:sz w:val="3"/>
                <w:szCs w:val="3"/>
                <w:color w:val="FFFFFF"/>
              </w:rPr>
              <w:t>a) Ms. Linda Chen, an executive Director and Chief Operating Of? cer of the Company resigned, without dispute, as a director of Wynn Resorts, Limited on 13 December 2012.</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(b) Mr. Marc D. Schorr, a non-executive Director of the Company, resigned, without dispute, as a director of Wynn Resorts, Limited on 13 December 2012. Mr. Schorr retired, without dispute, as a non-executive</w:t>
            </w:r>
          </w:p>
        </w:tc>
      </w:tr>
      <w:tr>
        <w:trPr>
          <w:trHeight w:val="41"/>
        </w:trPr>
        <w:tc>
          <w:tcPr>
            <w:tcW w:w="920" w:type="dxa"/>
            <w:vAlign w:val="bottom"/>
            <w:gridSpan w:val="2"/>
          </w:tcPr>
          <w:p>
            <w:pPr>
              <w:spacing w:after="0"/>
              <w:rPr>
                <w:sz w:val="20"/>
                <w:szCs w:val="20"/>
                <w:color w:val="auto"/>
              </w:rPr>
            </w:pPr>
            <w:r>
              <w:rPr>
                <w:rFonts w:ascii="Arial" w:cs="Arial" w:eastAsia="Arial" w:hAnsi="Arial"/>
                <w:sz w:val="3"/>
                <w:szCs w:val="3"/>
                <w:color w:val="FFFFFF"/>
              </w:rPr>
              <w:t>Director of the</w:t>
            </w:r>
          </w:p>
        </w:tc>
        <w:tc>
          <w:tcPr>
            <w:tcW w:w="10480" w:type="dxa"/>
            <w:vAlign w:val="bottom"/>
          </w:tcPr>
          <w:p>
            <w:pPr>
              <w:ind w:left="440"/>
              <w:spacing w:after="0"/>
              <w:rPr>
                <w:sz w:val="20"/>
                <w:szCs w:val="20"/>
                <w:color w:val="auto"/>
              </w:rPr>
            </w:pPr>
            <w:r>
              <w:rPr>
                <w:rFonts w:ascii="Arial" w:cs="Arial" w:eastAsia="Arial" w:hAnsi="Arial"/>
                <w:sz w:val="3"/>
                <w:szCs w:val="3"/>
                <w:color w:val="FFFFFF"/>
              </w:rPr>
              <w:t>, a member of the remuneration committee of the Board and from all other positions in subsidiaries of the Company on 28 March 2013.</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 Mr. Allan Zeman,Companynon-executive Director of the Company, resigned, without dispute, as the non-executive director of Wynn Resorts, Limited on 13 December 2012. He also resigned from being a member</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of the Committee on the Commission on Strategic Development. Mr. Zeman was awarded Honorary Doctorate Degree of Business Administration from City University of Hong Kong and University of Science</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and Technology of Hong Kong in 2012.</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(d) Mr. Jeffrey Kin-fung Lam, an independent non-executive Director of the Company, resigned as a member of the Independent Commission Against Corruption’s Advisory Committee on Corruption. Mr. Lam</w:t>
            </w:r>
          </w:p>
        </w:tc>
      </w:tr>
      <w:tr>
        <w:trPr>
          <w:trHeight w:val="41"/>
        </w:trPr>
        <w:tc>
          <w:tcPr>
            <w:tcW w:w="920" w:type="dxa"/>
            <w:vAlign w:val="bottom"/>
            <w:gridSpan w:val="2"/>
          </w:tcPr>
          <w:p>
            <w:pPr>
              <w:spacing w:after="0"/>
              <w:rPr>
                <w:sz w:val="20"/>
                <w:szCs w:val="20"/>
                <w:color w:val="auto"/>
              </w:rPr>
            </w:pPr>
            <w:r>
              <w:rPr>
                <w:rFonts w:ascii="Arial" w:cs="Arial" w:eastAsia="Arial" w:hAnsi="Arial"/>
                <w:sz w:val="3"/>
                <w:szCs w:val="3"/>
                <w:color w:val="FFFFFF"/>
              </w:rPr>
              <w:t>was appo nted</w:t>
            </w:r>
          </w:p>
        </w:tc>
        <w:tc>
          <w:tcPr>
            <w:tcW w:w="10480" w:type="dxa"/>
            <w:vAlign w:val="bottom"/>
          </w:tcPr>
          <w:p>
            <w:pPr>
              <w:ind w:left="140"/>
              <w:spacing w:after="0"/>
              <w:rPr>
                <w:sz w:val="20"/>
                <w:szCs w:val="20"/>
                <w:color w:val="auto"/>
              </w:rPr>
            </w:pPr>
            <w:r>
              <w:rPr>
                <w:rFonts w:ascii="Arial" w:cs="Arial" w:eastAsia="Arial" w:hAnsi="Arial"/>
                <w:sz w:val="3"/>
                <w:szCs w:val="3"/>
                <w:color w:val="FFFFFF"/>
              </w:rPr>
              <w:t>non-offi cial member of the Hong Kong Executive Council in October 2012.</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(e) Mr. NicholasSallnow-Smith, an independent non-executive Director of the Company, resigned as a member of the Advisory Board of Winnington Group and Chairman of the Earth Champions, Hong Kong.</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Mr. Sallnow-Smith became a member of the Financial Reporting Council of Hong Kong   December 2012.</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(f) Mr. Bruce Rockowitz, an independent non-executive Director of the Company, was appointed as the Chairman of LF USA and LF Europe (both being subsidiaries of Li &amp; Fung Limited whose shares are</w:t>
            </w: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listed on</w:t>
            </w:r>
          </w:p>
        </w:tc>
        <w:tc>
          <w:tcPr>
            <w:tcW w:w="10820" w:type="dxa"/>
            <w:vAlign w:val="bottom"/>
            <w:gridSpan w:val="2"/>
          </w:tcPr>
          <w:p>
            <w:pPr>
              <w:ind w:left="120"/>
              <w:spacing w:after="0"/>
              <w:rPr>
                <w:sz w:val="20"/>
                <w:szCs w:val="20"/>
                <w:color w:val="auto"/>
              </w:rPr>
            </w:pPr>
            <w:r>
              <w:rPr>
                <w:rFonts w:ascii="Arial" w:cs="Arial" w:eastAsia="Arial" w:hAnsi="Arial"/>
                <w:sz w:val="3"/>
                <w:szCs w:val="3"/>
                <w:color w:val="FFFFFF"/>
              </w:rPr>
              <w:t>Hong Kong Stock Exchange under stock code 494) in D  ember 2012.</w:t>
            </w:r>
          </w:p>
        </w:tc>
      </w:tr>
      <w:tr>
        <w:trPr>
          <w:trHeight w:val="41"/>
        </w:trPr>
        <w:tc>
          <w:tcPr>
            <w:tcW w:w="580" w:type="dxa"/>
            <w:vAlign w:val="bottom"/>
          </w:tcPr>
          <w:p>
            <w:pPr>
              <w:spacing w:after="0"/>
              <w:rPr>
                <w:sz w:val="20"/>
                <w:szCs w:val="20"/>
                <w:color w:val="auto"/>
              </w:rPr>
            </w:pPr>
            <w:r>
              <w:rPr>
                <w:rFonts w:ascii="Arial" w:cs="Arial" w:eastAsia="Arial" w:hAnsi="Arial"/>
                <w:sz w:val="3"/>
                <w:szCs w:val="3"/>
                <w:color w:val="FFFFFF"/>
              </w:rPr>
              <w:t>(g) Mr.</w:t>
            </w:r>
          </w:p>
        </w:tc>
        <w:tc>
          <w:tcPr>
            <w:tcW w:w="340" w:type="dxa"/>
            <w:vAlign w:val="bottom"/>
          </w:tcPr>
          <w:p>
            <w:pPr>
              <w:spacing w:after="0"/>
              <w:rPr>
                <w:sz w:val="3"/>
                <w:szCs w:val="3"/>
                <w:color w:val="auto"/>
              </w:rPr>
            </w:pPr>
          </w:p>
        </w:tc>
        <w:tc>
          <w:tcPr>
            <w:tcW w:w="10480" w:type="dxa"/>
            <w:vAlign w:val="bottom"/>
          </w:tcPr>
          <w:p>
            <w:pPr>
              <w:ind w:left="20"/>
              <w:spacing w:after="0"/>
              <w:rPr>
                <w:sz w:val="20"/>
                <w:szCs w:val="20"/>
                <w:color w:val="auto"/>
              </w:rPr>
            </w:pPr>
            <w:r>
              <w:rPr>
                <w:rFonts w:ascii="Arial" w:cs="Arial" w:eastAsia="Arial" w:hAnsi="Arial"/>
                <w:sz w:val="3"/>
                <w:szCs w:val="3"/>
                <w:color w:val="FFFFFF"/>
              </w:rPr>
              <w:t>O. Maddox was appointed by the Board as a non-executive Director of the Company and a member of the remuneration committee of the Board on 28 March 2013.</w:t>
            </w:r>
          </w:p>
        </w:tc>
      </w:tr>
      <w:tr>
        <w:trPr>
          <w:trHeight w:val="1"/>
        </w:trPr>
        <w:tc>
          <w:tcPr>
            <w:tcW w:w="920" w:type="dxa"/>
            <w:vAlign w:val="bottom"/>
            <w:gridSpan w:val="2"/>
          </w:tcPr>
          <w:p>
            <w:pPr>
              <w:spacing w:after="0" w:line="2" w:lineRule="exact"/>
              <w:rPr>
                <w:sz w:val="20"/>
                <w:szCs w:val="20"/>
                <w:color w:val="auto"/>
              </w:rPr>
            </w:pPr>
            <w:r>
              <w:rPr>
                <w:rFonts w:ascii="Arial" w:cs="Arial" w:eastAsia="Arial" w:hAnsi="Arial"/>
                <w:sz w:val="1"/>
                <w:szCs w:val="1"/>
                <w:color w:val="FFFFFF"/>
              </w:rPr>
              <w:t>On behalfMatthewof</w:t>
            </w:r>
          </w:p>
        </w:tc>
        <w:tc>
          <w:tcPr>
            <w:tcW w:w="10480" w:type="dxa"/>
            <w:vAlign w:val="bottom"/>
          </w:tcPr>
          <w:p>
            <w:pPr>
              <w:spacing w:after="0" w:line="2" w:lineRule="exact"/>
              <w:rPr>
                <w:sz w:val="20"/>
                <w:szCs w:val="20"/>
                <w:color w:val="auto"/>
              </w:rPr>
            </w:pPr>
            <w:r>
              <w:rPr>
                <w:rFonts w:ascii="Arial" w:cs="Arial" w:eastAsia="Arial" w:hAnsi="Arial"/>
                <w:sz w:val="1"/>
                <w:szCs w:val="1"/>
                <w:color w:val="FFFFFF"/>
              </w:rPr>
              <w:t>Board</w:t>
            </w:r>
          </w:p>
        </w:tc>
      </w:tr>
    </w:tbl>
    <w:p>
      <w:pPr>
        <w:spacing w:after="0"/>
        <w:rPr>
          <w:sz w:val="20"/>
          <w:szCs w:val="20"/>
          <w:color w:val="auto"/>
        </w:rPr>
      </w:pPr>
      <w:r>
        <w:rPr>
          <w:rFonts w:ascii="Arial" w:cs="Arial" w:eastAsia="Arial" w:hAnsi="Arial"/>
          <w:sz w:val="14"/>
          <w:szCs w:val="14"/>
          <w:color w:val="FFFFFF"/>
        </w:rPr>
        <w:t>ChairmanStephenA. Wynn</w:t>
      </w:r>
    </w:p>
    <w:p>
      <w:pPr>
        <w:sectPr>
          <w:pgSz w:w="11900" w:h="16838" w:orient="portrait"/>
          <w:cols w:equalWidth="0" w:num="1">
            <w:col w:w="11400"/>
          </w:cols>
          <w:pgMar w:left="240" w:top="1440" w:right="25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20"/>
                <w:szCs w:val="20"/>
                <w:color w:val="auto"/>
              </w:rPr>
            </w:pPr>
            <w:r>
              <w:rPr>
                <w:rFonts w:ascii="Arial" w:cs="Arial" w:eastAsia="Arial" w:hAnsi="Arial"/>
                <w:sz w:val="14"/>
                <w:szCs w:val="14"/>
                <w:color w:val="FFFFFF"/>
              </w:rPr>
              <w:t>Annual Report 2012 59</w:t>
            </w:r>
          </w:p>
        </w:tc>
        <w:tc>
          <w:tcPr>
            <w:tcW w:w="3340" w:type="dxa"/>
            <w:vAlign w:val="bottom"/>
          </w:tcPr>
          <w:p>
            <w:pPr>
              <w:spacing w:after="0"/>
              <w:rPr>
                <w:sz w:val="14"/>
                <w:szCs w:val="14"/>
                <w:color w:val="auto"/>
              </w:rPr>
            </w:pPr>
          </w:p>
        </w:tc>
      </w:tr>
      <w:tr>
        <w:trPr>
          <w:trHeight w:val="41"/>
        </w:trPr>
        <w:tc>
          <w:tcPr>
            <w:tcW w:w="8060" w:type="dxa"/>
            <w:vAlign w:val="bottom"/>
          </w:tcPr>
          <w:p>
            <w:pPr>
              <w:ind w:left="100"/>
              <w:spacing w:after="0"/>
              <w:rPr>
                <w:sz w:val="20"/>
                <w:szCs w:val="20"/>
                <w:color w:val="auto"/>
              </w:rPr>
            </w:pPr>
            <w:r>
              <w:rPr>
                <w:rFonts w:ascii="Arial" w:cs="Arial" w:eastAsia="Arial" w:hAnsi="Arial"/>
                <w:sz w:val="3"/>
                <w:szCs w:val="3"/>
                <w:color w:val="FFFFFF"/>
              </w:rPr>
              <w:t>orporate Governance Report</w:t>
            </w:r>
          </w:p>
        </w:tc>
        <w:tc>
          <w:tcPr>
            <w:tcW w:w="3340" w:type="dxa"/>
            <w:vAlign w:val="bottom"/>
          </w:tcPr>
          <w:p>
            <w:pPr>
              <w:spacing w:after="0"/>
              <w:rPr>
                <w:sz w:val="3"/>
                <w:szCs w:val="3"/>
                <w:color w:val="auto"/>
              </w:rPr>
            </w:pPr>
          </w:p>
        </w:tc>
      </w:tr>
      <w:tr>
        <w:trPr>
          <w:trHeight w:val="41"/>
        </w:trPr>
        <w:tc>
          <w:tcPr>
            <w:tcW w:w="8060" w:type="dxa"/>
            <w:vAlign w:val="bottom"/>
          </w:tcPr>
          <w:p>
            <w:pPr>
              <w:spacing w:after="0"/>
              <w:rPr>
                <w:sz w:val="20"/>
                <w:szCs w:val="20"/>
                <w:color w:val="auto"/>
              </w:rPr>
            </w:pPr>
            <w:r>
              <w:rPr>
                <w:rFonts w:ascii="Arial" w:cs="Arial" w:eastAsia="Arial" w:hAnsi="Arial"/>
                <w:sz w:val="3"/>
                <w:szCs w:val="3"/>
                <w:color w:val="FFFFFF"/>
              </w:rPr>
              <w:t>CORPORATE GOVERNANCE PRACTICES</w:t>
            </w:r>
          </w:p>
        </w:tc>
        <w:tc>
          <w:tcPr>
            <w:tcW w:w="334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Company is dedicated to maintaining and ensuring high standards of corporate governance practices and the corporate governance principles of the Company are adopted in the best interest of the Company</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and its Shareholders. The Company’s corporate governance practices are based on the principles, code provisions and certain recommended best practices as set out in the Code.</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Company has complied with the code provisions in the Code on Corporate Governance Practices during the period from 1 January 2012 to 31 March 2012, both dates inclusive, and the code provisions in</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Corporate Governance Code and Corporate Governance Report during the period 1 April 2012 to 31 December 2012, both dates inclusive, except for the following deviation from provision A.2.1 of the</w:t>
            </w:r>
          </w:p>
        </w:tc>
      </w:tr>
      <w:tr>
        <w:trPr>
          <w:trHeight w:val="41"/>
        </w:trPr>
        <w:tc>
          <w:tcPr>
            <w:tcW w:w="8060" w:type="dxa"/>
            <w:vAlign w:val="bottom"/>
          </w:tcPr>
          <w:p>
            <w:pPr>
              <w:spacing w:after="0"/>
              <w:rPr>
                <w:sz w:val="20"/>
                <w:szCs w:val="20"/>
                <w:color w:val="auto"/>
              </w:rPr>
            </w:pPr>
            <w:r>
              <w:rPr>
                <w:rFonts w:ascii="Arial" w:cs="Arial" w:eastAsia="Arial" w:hAnsi="Arial"/>
                <w:sz w:val="3"/>
                <w:szCs w:val="3"/>
                <w:color w:val="FFFFFF"/>
              </w:rPr>
              <w:t>Code.</w:t>
            </w:r>
          </w:p>
        </w:tc>
        <w:tc>
          <w:tcPr>
            <w:tcW w:w="3340" w:type="dxa"/>
            <w:vAlign w:val="bottom"/>
          </w:tcPr>
          <w:p>
            <w:pPr>
              <w:spacing w:after="0"/>
              <w:rPr>
                <w:sz w:val="3"/>
                <w:szCs w:val="3"/>
                <w:color w:val="auto"/>
              </w:rPr>
            </w:pPr>
          </w:p>
        </w:tc>
      </w:tr>
      <w:tr>
        <w:trPr>
          <w:trHeight w:val="41"/>
        </w:trPr>
        <w:tc>
          <w:tcPr>
            <w:tcW w:w="8060" w:type="dxa"/>
            <w:vAlign w:val="bottom"/>
          </w:tcPr>
          <w:p>
            <w:pPr>
              <w:spacing w:after="0"/>
              <w:rPr>
                <w:sz w:val="20"/>
                <w:szCs w:val="20"/>
                <w:color w:val="auto"/>
              </w:rPr>
            </w:pPr>
            <w:r>
              <w:rPr>
                <w:rFonts w:ascii="Arial" w:cs="Arial" w:eastAsia="Arial" w:hAnsi="Arial"/>
                <w:sz w:val="3"/>
                <w:szCs w:val="3"/>
                <w:color w:val="FFFFFF"/>
              </w:rPr>
              <w:t>Mr. Stephen A. Wynn as our Chairman and Chief Executive Of? cer</w:t>
            </w:r>
          </w:p>
        </w:tc>
        <w:tc>
          <w:tcPr>
            <w:tcW w:w="3340" w:type="dxa"/>
            <w:vAlign w:val="bottom"/>
          </w:tcPr>
          <w:p>
            <w:pPr>
              <w:spacing w:after="0"/>
              <w:rPr>
                <w:sz w:val="3"/>
                <w:szCs w:val="3"/>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Under code provision A.2.1 of the Code, the roles of chairman and chief executive of? cer should be separate and should not be performed by the same individual. The Company does not at present separate the</w:t>
            </w:r>
          </w:p>
        </w:tc>
      </w:tr>
      <w:tr>
        <w:trPr>
          <w:trHeight w:val="41"/>
        </w:trPr>
        <w:tc>
          <w:tcPr>
            <w:tcW w:w="8060" w:type="dxa"/>
            <w:vAlign w:val="bottom"/>
          </w:tcPr>
          <w:p>
            <w:pPr>
              <w:spacing w:after="0"/>
              <w:rPr>
                <w:sz w:val="20"/>
                <w:szCs w:val="20"/>
                <w:color w:val="auto"/>
              </w:rPr>
            </w:pPr>
            <w:r>
              <w:rPr>
                <w:rFonts w:ascii="Arial" w:cs="Arial" w:eastAsia="Arial" w:hAnsi="Arial"/>
                <w:sz w:val="3"/>
                <w:szCs w:val="3"/>
                <w:color w:val="FFFFFF"/>
              </w:rPr>
              <w:t>roles of the chairman and chief executive of? cer.</w:t>
            </w:r>
          </w:p>
        </w:tc>
        <w:tc>
          <w:tcPr>
            <w:tcW w:w="3340" w:type="dxa"/>
            <w:vAlign w:val="bottom"/>
          </w:tcPr>
          <w:p>
            <w:pPr>
              <w:spacing w:after="0"/>
              <w:rPr>
                <w:sz w:val="3"/>
                <w:szCs w:val="3"/>
                <w:color w:val="auto"/>
              </w:rPr>
            </w:pPr>
          </w:p>
        </w:tc>
      </w:tr>
      <w:tr>
        <w:trPr>
          <w:trHeight w:val="41"/>
        </w:trPr>
        <w:tc>
          <w:tcPr>
            <w:tcW w:w="11400" w:type="dxa"/>
            <w:vAlign w:val="bottom"/>
            <w:gridSpan w:val="2"/>
          </w:tcPr>
          <w:p>
            <w:pPr>
              <w:ind w:left="560"/>
              <w:spacing w:after="0"/>
              <w:rPr>
                <w:sz w:val="20"/>
                <w:szCs w:val="20"/>
                <w:color w:val="auto"/>
              </w:rPr>
            </w:pPr>
            <w:r>
              <w:rPr>
                <w:rFonts w:ascii="Arial" w:cs="Arial" w:eastAsia="Arial" w:hAnsi="Arial"/>
                <w:sz w:val="3"/>
                <w:szCs w:val="3"/>
                <w:color w:val="FFFFFF"/>
              </w:rPr>
              <w:t>, the founder of the Company and Wynn Macau, serves as the Chairman and Chief Executive Of? cer of the Company. The Board has determined that the combination of these roles held singularly by</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Mr. Wynn is in the best interest of the Company and all Shareholders. The Board believes that the issue of whether to combine or separate the of? ces of Chairman of the Board and Chief Executive Of? cer is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p rt of the succession planning process and that it is in the best interests of the Company for the Board to make a determination whether to combine or separate the roles based upon the circumstances. The Board</w:t>
            </w:r>
          </w:p>
        </w:tc>
      </w:tr>
      <w:tr>
        <w:trPr>
          <w:trHeight w:val="0"/>
        </w:trPr>
        <w:tc>
          <w:tcPr>
            <w:tcW w:w="8060" w:type="dxa"/>
            <w:vAlign w:val="bottom"/>
          </w:tcPr>
          <w:p>
            <w:pPr>
              <w:spacing w:after="0" w:line="80" w:lineRule="exact"/>
              <w:rPr>
                <w:sz w:val="20"/>
                <w:szCs w:val="20"/>
                <w:color w:val="auto"/>
              </w:rPr>
            </w:pPr>
            <w:r>
              <w:rPr>
                <w:rFonts w:ascii="Arial" w:cs="Arial" w:eastAsia="Arial" w:hAnsi="Arial"/>
                <w:sz w:val="9"/>
                <w:szCs w:val="9"/>
                <w:color w:val="FFFFFF"/>
              </w:rPr>
              <w:t>has given careful consideration to separating the roles of Chairman and Chief Executive Of? cer and has determined that the Company and its</w:t>
            </w:r>
          </w:p>
        </w:tc>
        <w:tc>
          <w:tcPr>
            <w:tcW w:w="3340" w:type="dxa"/>
            <w:vAlign w:val="bottom"/>
          </w:tcPr>
          <w:p>
            <w:pPr>
              <w:ind w:left="380"/>
              <w:spacing w:after="0" w:line="80" w:lineRule="exact"/>
              <w:rPr>
                <w:sz w:val="20"/>
                <w:szCs w:val="20"/>
                <w:color w:val="auto"/>
              </w:rPr>
            </w:pPr>
            <w:r>
              <w:rPr>
                <w:rFonts w:ascii="Arial" w:cs="Arial" w:eastAsia="Arial" w:hAnsi="Arial"/>
                <w:sz w:val="9"/>
                <w:szCs w:val="9"/>
                <w:color w:val="FFFFFF"/>
              </w:rPr>
              <w:t>are best served by the current structure. Mr. Wynn’s</w:t>
            </w:r>
          </w:p>
        </w:tc>
      </w:tr>
    </w:tbl>
    <w:p>
      <w:pPr>
        <w:spacing w:after="0" w:line="210" w:lineRule="auto"/>
        <w:rPr>
          <w:sz w:val="20"/>
          <w:szCs w:val="20"/>
          <w:color w:val="auto"/>
        </w:rPr>
      </w:pPr>
      <w:r>
        <w:rPr>
          <w:rFonts w:ascii="Arial" w:cs="Arial" w:eastAsia="Arial" w:hAnsi="Arial"/>
          <w:sz w:val="12"/>
          <w:szCs w:val="12"/>
          <w:color w:val="FFFFFF"/>
        </w:rPr>
        <w:t>combined role promotes unifi ed leadership and direction for the Board and executive management and allows for a single, clear focus for the Company’Shareholdersoperational and strategic efforts.</w:t>
      </w:r>
    </w:p>
    <w:p>
      <w:pPr>
        <w:sectPr>
          <w:pgSz w:w="11900" w:h="16838" w:orient="portrait"/>
          <w:cols w:equalWidth="0" w:num="1">
            <w:col w:w="11400"/>
          </w:cols>
          <w:pgMar w:left="240" w:top="1440" w:right="25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20"/>
                <w:szCs w:val="20"/>
                <w:color w:val="auto"/>
              </w:rPr>
            </w:pPr>
            <w:r>
              <w:rPr>
                <w:rFonts w:ascii="Arial" w:cs="Arial" w:eastAsia="Arial" w:hAnsi="Arial"/>
                <w:sz w:val="14"/>
                <w:szCs w:val="14"/>
                <w:color w:val="FFFFFF"/>
              </w:rPr>
              <w:t>60 Wynn Macau, Limited</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80" w:type="dxa"/>
            <w:vAlign w:val="bottom"/>
          </w:tcPr>
          <w:p>
            <w:pPr>
              <w:ind w:left="100"/>
              <w:spacing w:after="0"/>
              <w:rPr>
                <w:sz w:val="20"/>
                <w:szCs w:val="20"/>
                <w:color w:val="auto"/>
              </w:rPr>
            </w:pPr>
            <w:r>
              <w:rPr>
                <w:rFonts w:ascii="Arial" w:cs="Arial" w:eastAsia="Arial" w:hAnsi="Arial"/>
                <w:sz w:val="3"/>
                <w:szCs w:val="3"/>
                <w:color w:val="FFFFFF"/>
              </w:rPr>
              <w:t>orporate Governance Report</w:t>
            </w: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40" w:type="dxa"/>
            <w:vAlign w:val="bottom"/>
            <w:gridSpan w:val="2"/>
          </w:tcPr>
          <w:p>
            <w:pPr>
              <w:spacing w:after="0"/>
              <w:rPr>
                <w:sz w:val="20"/>
                <w:szCs w:val="20"/>
                <w:color w:val="auto"/>
              </w:rPr>
            </w:pPr>
            <w:r>
              <w:rPr>
                <w:rFonts w:ascii="Arial" w:cs="Arial" w:eastAsia="Arial" w:hAnsi="Arial"/>
                <w:sz w:val="3"/>
                <w:szCs w:val="3"/>
                <w:color w:val="FFFFFF"/>
              </w:rPr>
              <w:t>CORPORATE GOVERNANCE PRACTICES (CONTINUED)</w:t>
            </w: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60" w:type="dxa"/>
            <w:vAlign w:val="bottom"/>
            <w:gridSpan w:val="4"/>
          </w:tcPr>
          <w:p>
            <w:pPr>
              <w:spacing w:after="0"/>
              <w:rPr>
                <w:sz w:val="20"/>
                <w:szCs w:val="20"/>
                <w:color w:val="auto"/>
              </w:rPr>
            </w:pPr>
            <w:r>
              <w:rPr>
                <w:rFonts w:ascii="Arial" w:cs="Arial" w:eastAsia="Arial" w:hAnsi="Arial"/>
                <w:sz w:val="3"/>
                <w:szCs w:val="3"/>
                <w:color w:val="FFFFFF"/>
              </w:rPr>
              <w:t>Mr. Stephen A. Wynn as our Chairman and Chief Executive Of? cer (continued)</w:t>
            </w: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The combined role of Mr. Wynn as both Chairman and Chief Executive Of? cer is balanced by the Company’s governance structure, policies and controls. All major decisions are made in consultation with</w:t>
            </w: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members of the Board and the relevant Board c mmittees. The Company has three Board committees, namely the audit committee, the remuneration committee, and the nomination and corporate governance</w:t>
            </w: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committee. Each Board committee comprises non-executive Directors only and is chaired by an independent non-executive Director. In addition, there are three independent non-executive Directors on the Board</w:t>
            </w:r>
          </w:p>
        </w:tc>
        <w:tc>
          <w:tcPr>
            <w:tcW w:w="0" w:type="dxa"/>
            <w:vAlign w:val="bottom"/>
          </w:tcPr>
          <w:p>
            <w:pPr>
              <w:spacing w:after="0"/>
              <w:rPr>
                <w:sz w:val="1"/>
                <w:szCs w:val="1"/>
                <w:color w:val="auto"/>
              </w:rPr>
            </w:pPr>
          </w:p>
        </w:tc>
      </w:tr>
      <w:tr>
        <w:trPr>
          <w:trHeight w:val="41"/>
        </w:trPr>
        <w:tc>
          <w:tcPr>
            <w:tcW w:w="2780" w:type="dxa"/>
            <w:vAlign w:val="bottom"/>
          </w:tcPr>
          <w:p>
            <w:pPr>
              <w:spacing w:after="0"/>
              <w:rPr>
                <w:sz w:val="20"/>
                <w:szCs w:val="20"/>
                <w:color w:val="auto"/>
              </w:rPr>
            </w:pPr>
            <w:r>
              <w:rPr>
                <w:rFonts w:ascii="Arial" w:cs="Arial" w:eastAsia="Arial" w:hAnsi="Arial"/>
                <w:sz w:val="3"/>
                <w:szCs w:val="3"/>
                <w:color w:val="FFFFFF"/>
              </w:rPr>
              <w:t>offering independent perspectives.</w:t>
            </w: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2880" w:type="dxa"/>
            <w:vAlign w:val="bottom"/>
            <w:gridSpan w:val="3"/>
            <w:vMerge w:val="restart"/>
          </w:tcPr>
          <w:p>
            <w:pPr>
              <w:ind w:left="20"/>
              <w:spacing w:after="0" w:line="81" w:lineRule="exact"/>
              <w:rPr>
                <w:sz w:val="20"/>
                <w:szCs w:val="20"/>
                <w:color w:val="auto"/>
              </w:rPr>
            </w:pPr>
            <w:r>
              <w:rPr>
                <w:rFonts w:ascii="Arial" w:cs="Arial" w:eastAsia="Arial" w:hAnsi="Arial"/>
                <w:sz w:val="9"/>
                <w:szCs w:val="9"/>
                <w:color w:val="FFFFFF"/>
              </w:rPr>
              <w:t>operations and prudent management of risk.</w:t>
            </w:r>
          </w:p>
        </w:tc>
        <w:tc>
          <w:tcPr>
            <w:tcW w:w="3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gridSpan w:val="3"/>
          </w:tcPr>
          <w:p>
            <w:pPr>
              <w:spacing w:after="0"/>
              <w:rPr>
                <w:sz w:val="20"/>
                <w:szCs w:val="20"/>
                <w:color w:val="auto"/>
              </w:rPr>
            </w:pPr>
            <w:r>
              <w:rPr>
                <w:rFonts w:ascii="Arial" w:cs="Arial" w:eastAsia="Arial" w:hAnsi="Arial"/>
                <w:sz w:val="3"/>
                <w:szCs w:val="3"/>
                <w:color w:val="FFFFFF"/>
              </w:rPr>
              <w:t>This structure encourages independent and effective oversight of the Company’</w:t>
            </w:r>
          </w:p>
        </w:tc>
        <w:tc>
          <w:tcPr>
            <w:tcW w:w="40" w:type="dxa"/>
            <w:vAlign w:val="bottom"/>
          </w:tcPr>
          <w:p>
            <w:pPr>
              <w:spacing w:after="0"/>
              <w:rPr>
                <w:sz w:val="3"/>
                <w:szCs w:val="3"/>
                <w:color w:val="auto"/>
              </w:rPr>
            </w:pPr>
          </w:p>
        </w:tc>
        <w:tc>
          <w:tcPr>
            <w:tcW w:w="2880" w:type="dxa"/>
            <w:vAlign w:val="bottom"/>
            <w:gridSpan w:val="3"/>
            <w:vMerge w:val="continue"/>
          </w:tcPr>
          <w:p>
            <w:pPr>
              <w:spacing w:after="0"/>
              <w:rPr>
                <w:sz w:val="3"/>
                <w:szCs w:val="3"/>
                <w:color w:val="auto"/>
              </w:rPr>
            </w:pPr>
          </w:p>
        </w:tc>
        <w:tc>
          <w:tcPr>
            <w:tcW w:w="3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For the reasons stated above and as a result of the structure, policies and procedures outlined above, and in light of the historical success of Mr. Wynn’s leadership, the Board has concluded that the current Board</w:t>
            </w:r>
          </w:p>
        </w:tc>
        <w:tc>
          <w:tcPr>
            <w:tcW w:w="0" w:type="dxa"/>
            <w:vAlign w:val="bottom"/>
          </w:tcPr>
          <w:p>
            <w:pPr>
              <w:spacing w:after="0"/>
              <w:rPr>
                <w:sz w:val="1"/>
                <w:szCs w:val="1"/>
                <w:color w:val="auto"/>
              </w:rPr>
            </w:pPr>
          </w:p>
        </w:tc>
      </w:tr>
      <w:tr>
        <w:trPr>
          <w:trHeight w:val="41"/>
        </w:trPr>
        <w:tc>
          <w:tcPr>
            <w:tcW w:w="4360" w:type="dxa"/>
            <w:vAlign w:val="bottom"/>
            <w:gridSpan w:val="4"/>
          </w:tcPr>
          <w:p>
            <w:pPr>
              <w:spacing w:after="0"/>
              <w:rPr>
                <w:sz w:val="20"/>
                <w:szCs w:val="20"/>
                <w:color w:val="auto"/>
              </w:rPr>
            </w:pPr>
            <w:r>
              <w:rPr>
                <w:rFonts w:ascii="Arial" w:cs="Arial" w:eastAsia="Arial" w:hAnsi="Arial"/>
                <w:sz w:val="3"/>
                <w:szCs w:val="3"/>
                <w:color w:val="FFFFFF"/>
              </w:rPr>
              <w:t>leadership structure is in the best interests of the Company and its Shareholders.</w:t>
            </w: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80" w:type="dxa"/>
            <w:vAlign w:val="bottom"/>
          </w:tcPr>
          <w:p>
            <w:pPr>
              <w:spacing w:after="0"/>
              <w:rPr>
                <w:sz w:val="20"/>
                <w:szCs w:val="20"/>
                <w:color w:val="auto"/>
              </w:rPr>
            </w:pPr>
            <w:r>
              <w:rPr>
                <w:rFonts w:ascii="Arial" w:cs="Arial" w:eastAsia="Arial" w:hAnsi="Arial"/>
                <w:sz w:val="3"/>
                <w:szCs w:val="3"/>
                <w:color w:val="FFFFFF"/>
              </w:rPr>
              <w:t>MODEL CODE</w:t>
            </w:r>
          </w:p>
        </w:tc>
        <w:tc>
          <w:tcPr>
            <w:tcW w:w="10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960" w:type="dxa"/>
            <w:vAlign w:val="bottom"/>
            <w:gridSpan w:val="3"/>
            <w:vMerge w:val="restart"/>
          </w:tcPr>
          <w:p>
            <w:pPr>
              <w:ind w:left="260"/>
              <w:spacing w:after="0" w:line="81" w:lineRule="exact"/>
              <w:rPr>
                <w:sz w:val="20"/>
                <w:szCs w:val="20"/>
                <w:color w:val="auto"/>
              </w:rPr>
            </w:pPr>
            <w:r>
              <w:rPr>
                <w:rFonts w:ascii="Arial" w:cs="Arial" w:eastAsia="Arial" w:hAnsi="Arial"/>
                <w:sz w:val="9"/>
                <w:szCs w:val="9"/>
                <w:color w:val="FFFFFF"/>
              </w:rPr>
              <w:t>. On 23 March 2010, the Company adopted its own code of conduct for securities</w:t>
            </w:r>
          </w:p>
        </w:tc>
        <w:tc>
          <w:tcPr>
            <w:tcW w:w="0" w:type="dxa"/>
            <w:vAlign w:val="bottom"/>
          </w:tcPr>
          <w:p>
            <w:pPr>
              <w:spacing w:after="0"/>
              <w:rPr>
                <w:sz w:val="1"/>
                <w:szCs w:val="1"/>
                <w:color w:val="auto"/>
              </w:rPr>
            </w:pPr>
          </w:p>
        </w:tc>
      </w:tr>
      <w:tr>
        <w:trPr>
          <w:trHeight w:val="41"/>
        </w:trPr>
        <w:tc>
          <w:tcPr>
            <w:tcW w:w="6460" w:type="dxa"/>
            <w:vAlign w:val="bottom"/>
            <w:gridSpan w:val="6"/>
          </w:tcPr>
          <w:p>
            <w:pPr>
              <w:spacing w:after="0"/>
              <w:rPr>
                <w:sz w:val="20"/>
                <w:szCs w:val="20"/>
                <w:color w:val="auto"/>
              </w:rPr>
            </w:pPr>
            <w:r>
              <w:rPr>
                <w:rFonts w:ascii="Arial" w:cs="Arial" w:eastAsia="Arial" w:hAnsi="Arial"/>
                <w:sz w:val="3"/>
                <w:szCs w:val="3"/>
                <w:color w:val="FFFFFF"/>
              </w:rPr>
              <w:t>The Company adopted the Model Code on 16 September 2009 as its code of conduct for securities transactions by</w:t>
            </w:r>
          </w:p>
        </w:tc>
        <w:tc>
          <w:tcPr>
            <w:tcW w:w="49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20" w:type="dxa"/>
            <w:vAlign w:val="bottom"/>
            <w:gridSpan w:val="3"/>
          </w:tcPr>
          <w:p>
            <w:pPr>
              <w:spacing w:after="0"/>
              <w:rPr>
                <w:sz w:val="20"/>
                <w:szCs w:val="20"/>
                <w:color w:val="auto"/>
              </w:rPr>
            </w:pPr>
            <w:r>
              <w:rPr>
                <w:rFonts w:ascii="Arial" w:cs="Arial" w:eastAsia="Arial" w:hAnsi="Arial"/>
                <w:sz w:val="3"/>
                <w:szCs w:val="3"/>
                <w:color w:val="FFFFFF"/>
              </w:rPr>
              <w:t>transactions, the terms of such code b ing no less exacting than those set out</w:t>
            </w:r>
          </w:p>
        </w:tc>
        <w:tc>
          <w:tcPr>
            <w:tcW w:w="1140" w:type="dxa"/>
            <w:vAlign w:val="bottom"/>
            <w:gridSpan w:val="2"/>
          </w:tcPr>
          <w:p>
            <w:pPr>
              <w:spacing w:after="0"/>
              <w:rPr>
                <w:sz w:val="20"/>
                <w:szCs w:val="20"/>
                <w:color w:val="auto"/>
              </w:rPr>
            </w:pPr>
            <w:r>
              <w:rPr>
                <w:rFonts w:ascii="Arial" w:cs="Arial" w:eastAsia="Arial" w:hAnsi="Arial"/>
                <w:sz w:val="3"/>
                <w:szCs w:val="3"/>
                <w:color w:val="FFFFFF"/>
              </w:rPr>
              <w:t>the Model Code.</w:t>
            </w:r>
          </w:p>
        </w:tc>
        <w:tc>
          <w:tcPr>
            <w:tcW w:w="1780" w:type="dxa"/>
            <w:vAlign w:val="bottom"/>
            <w:gridSpan w:val="2"/>
          </w:tcPr>
          <w:p>
            <w:pPr>
              <w:ind w:left="220"/>
              <w:spacing w:after="0"/>
              <w:rPr>
                <w:sz w:val="20"/>
                <w:szCs w:val="20"/>
                <w:color w:val="auto"/>
              </w:rPr>
            </w:pPr>
            <w:r>
              <w:rPr>
                <w:rFonts w:ascii="Arial" w:cs="Arial" w:eastAsia="Arial" w:hAnsi="Arial"/>
                <w:sz w:val="3"/>
                <w:szCs w:val="3"/>
                <w:color w:val="FFFFFF"/>
              </w:rPr>
              <w:t>made speci?Directorsenquiry of the</w:t>
            </w:r>
          </w:p>
        </w:tc>
        <w:tc>
          <w:tcPr>
            <w:tcW w:w="4180" w:type="dxa"/>
            <w:vAlign w:val="bottom"/>
            <w:gridSpan w:val="2"/>
          </w:tcPr>
          <w:p>
            <w:pPr>
              <w:ind w:left="600"/>
              <w:spacing w:after="0"/>
              <w:rPr>
                <w:sz w:val="20"/>
                <w:szCs w:val="20"/>
                <w:color w:val="auto"/>
              </w:rPr>
            </w:pPr>
            <w:r>
              <w:rPr>
                <w:rFonts w:ascii="Arial" w:cs="Arial" w:eastAsia="Arial" w:hAnsi="Arial"/>
                <w:sz w:val="3"/>
                <w:szCs w:val="3"/>
                <w:color w:val="FFFFFF"/>
              </w:rPr>
              <w:t>all Directors have con? rmed that they have complied with the</w:t>
            </w:r>
          </w:p>
        </w:tc>
        <w:tc>
          <w:tcPr>
            <w:tcW w:w="0" w:type="dxa"/>
            <w:vAlign w:val="bottom"/>
          </w:tcPr>
          <w:p>
            <w:pPr>
              <w:spacing w:after="0"/>
              <w:rPr>
                <w:sz w:val="1"/>
                <w:szCs w:val="1"/>
                <w:color w:val="auto"/>
              </w:rPr>
            </w:pPr>
          </w:p>
        </w:tc>
      </w:tr>
      <w:tr>
        <w:trPr>
          <w:trHeight w:val="41"/>
        </w:trPr>
        <w:tc>
          <w:tcPr>
            <w:tcW w:w="7240" w:type="dxa"/>
            <w:vAlign w:val="bottom"/>
            <w:gridSpan w:val="7"/>
          </w:tcPr>
          <w:p>
            <w:pPr>
              <w:spacing w:after="0"/>
              <w:rPr>
                <w:sz w:val="20"/>
                <w:szCs w:val="20"/>
                <w:color w:val="auto"/>
              </w:rPr>
            </w:pPr>
            <w:r>
              <w:rPr>
                <w:rFonts w:ascii="Arial" w:cs="Arial" w:eastAsia="Arial" w:hAnsi="Arial"/>
                <w:sz w:val="3"/>
                <w:szCs w:val="3"/>
                <w:color w:val="FFFFFF"/>
              </w:rPr>
              <w:t>required standard of dealings and code of conduct regarding securities dealings by directors as setHavingout the Model Code and the</w:t>
            </w:r>
          </w:p>
        </w:tc>
        <w:tc>
          <w:tcPr>
            <w:tcW w:w="3680" w:type="dxa"/>
            <w:vAlign w:val="bottom"/>
          </w:tcPr>
          <w:p>
            <w:pPr>
              <w:ind w:left="20"/>
              <w:spacing w:after="0"/>
              <w:rPr>
                <w:sz w:val="20"/>
                <w:szCs w:val="20"/>
                <w:color w:val="auto"/>
              </w:rPr>
            </w:pPr>
            <w:r>
              <w:rPr>
                <w:rFonts w:ascii="Arial" w:cs="Arial" w:eastAsia="Arial" w:hAnsi="Arial"/>
                <w:sz w:val="3"/>
                <w:szCs w:val="3"/>
                <w:color w:val="FFFFFF"/>
              </w:rPr>
              <w:t>Directors,own code of conduct for the year ended 31 December 2012.</w:t>
            </w: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On 23 February 2013, 50,000 shares in the common stock of Wynn Resorts, Limited vested n favor of Mr. Marc D. Schorr pursuantCompany’toAmended Restricted Stock Agreement with Wynn Resorts, Limited of</w:t>
            </w:r>
          </w:p>
        </w:tc>
        <w:tc>
          <w:tcPr>
            <w:tcW w:w="0" w:type="dxa"/>
            <w:vAlign w:val="bottom"/>
          </w:tcPr>
          <w:p>
            <w:pPr>
              <w:spacing w:after="0"/>
              <w:rPr>
                <w:sz w:val="1"/>
                <w:szCs w:val="1"/>
                <w:color w:val="auto"/>
              </w:rPr>
            </w:pPr>
          </w:p>
        </w:tc>
      </w:tr>
      <w:tr>
        <w:trPr>
          <w:trHeight w:val="41"/>
        </w:trPr>
        <w:tc>
          <w:tcPr>
            <w:tcW w:w="11420" w:type="dxa"/>
            <w:vAlign w:val="bottom"/>
            <w:gridSpan w:val="9"/>
          </w:tcPr>
          <w:p>
            <w:pPr>
              <w:ind w:left="200"/>
              <w:spacing w:after="0"/>
              <w:rPr>
                <w:sz w:val="20"/>
                <w:szCs w:val="20"/>
                <w:color w:val="auto"/>
              </w:rPr>
            </w:pPr>
            <w:r>
              <w:rPr>
                <w:rFonts w:ascii="Arial" w:cs="Arial" w:eastAsia="Arial" w:hAnsi="Arial"/>
                <w:sz w:val="3"/>
                <w:szCs w:val="3"/>
                <w:color w:val="FFFFFF"/>
              </w:rPr>
              <w:t>same date. Further to an election by Mr. Schorr dated 26 February 2013 in accordance with an offer by Wynn Resorts, Limited to do so, Wynn Resorts, Limited withheld 20,975 of these shares and applied</w:t>
            </w: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the value thereof (determined based on the ma ket price of the shares of Wynn Resorts, Limited measured as of the vesting date) to make withholding tax payments arising from the vesting of the shares for the</w:t>
            </w:r>
          </w:p>
        </w:tc>
        <w:tc>
          <w:tcPr>
            <w:tcW w:w="0" w:type="dxa"/>
            <w:vAlign w:val="bottom"/>
          </w:tcPr>
          <w:p>
            <w:pPr>
              <w:spacing w:after="0"/>
              <w:rPr>
                <w:sz w:val="1"/>
                <w:szCs w:val="1"/>
                <w:color w:val="auto"/>
              </w:rPr>
            </w:pPr>
          </w:p>
        </w:tc>
      </w:tr>
      <w:tr>
        <w:trPr>
          <w:trHeight w:val="41"/>
        </w:trPr>
        <w:tc>
          <w:tcPr>
            <w:tcW w:w="11420" w:type="dxa"/>
            <w:vAlign w:val="bottom"/>
            <w:gridSpan w:val="9"/>
          </w:tcPr>
          <w:p>
            <w:pPr>
              <w:spacing w:after="0"/>
              <w:rPr>
                <w:sz w:val="20"/>
                <w:szCs w:val="20"/>
                <w:color w:val="auto"/>
              </w:rPr>
            </w:pPr>
            <w:r>
              <w:rPr>
                <w:rFonts w:ascii="Arial" w:cs="Arial" w:eastAsia="Arial" w:hAnsi="Arial"/>
                <w:sz w:val="3"/>
                <w:szCs w:val="3"/>
                <w:color w:val="FFFFFF"/>
              </w:rPr>
              <w:t>bene? t of Mr. Schorr. These 20,975 shares were not granted to Mr. Schorr or made available on NASDAQ but were issued and bought by Wynn Resorts, Limited, becoming treasury stock. As a consequence,</w:t>
            </w:r>
          </w:p>
        </w:tc>
        <w:tc>
          <w:tcPr>
            <w:tcW w:w="0" w:type="dxa"/>
            <w:vAlign w:val="bottom"/>
          </w:tcPr>
          <w:p>
            <w:pPr>
              <w:spacing w:after="0"/>
              <w:rPr>
                <w:sz w:val="1"/>
                <w:szCs w:val="1"/>
                <w:color w:val="auto"/>
              </w:rPr>
            </w:pPr>
          </w:p>
        </w:tc>
      </w:tr>
      <w:tr>
        <w:trPr>
          <w:trHeight w:val="41"/>
        </w:trPr>
        <w:tc>
          <w:tcPr>
            <w:tcW w:w="2780" w:type="dxa"/>
            <w:vAlign w:val="bottom"/>
          </w:tcPr>
          <w:p>
            <w:pPr>
              <w:spacing w:after="0"/>
              <w:rPr>
                <w:sz w:val="20"/>
                <w:szCs w:val="20"/>
                <w:color w:val="auto"/>
              </w:rPr>
            </w:pPr>
            <w:r>
              <w:rPr>
                <w:rFonts w:ascii="Arial" w:cs="Arial" w:eastAsia="Arial" w:hAnsi="Arial"/>
                <w:sz w:val="3"/>
                <w:szCs w:val="3"/>
                <w:color w:val="FFFFFF"/>
              </w:rPr>
              <w:t>Mr. Schorr ceased to be interested in 20,975</w:t>
            </w:r>
          </w:p>
        </w:tc>
        <w:tc>
          <w:tcPr>
            <w:tcW w:w="8640" w:type="dxa"/>
            <w:vAlign w:val="bottom"/>
            <w:gridSpan w:val="8"/>
          </w:tcPr>
          <w:p>
            <w:pPr>
              <w:ind w:left="20"/>
              <w:spacing w:after="0"/>
              <w:rPr>
                <w:sz w:val="20"/>
                <w:szCs w:val="20"/>
                <w:color w:val="auto"/>
              </w:rPr>
            </w:pPr>
            <w:r>
              <w:rPr>
                <w:rFonts w:ascii="Arial" w:cs="Arial" w:eastAsia="Arial" w:hAnsi="Arial"/>
                <w:sz w:val="3"/>
                <w:szCs w:val="3"/>
                <w:color w:val="FFFFFF"/>
              </w:rPr>
              <w:t>of Wynn Resorts, Limited. The relevant notice to the Company and the Hong Kong Stock Exchange disclosing this event, which is available to the public, was</w:t>
            </w:r>
          </w:p>
        </w:tc>
        <w:tc>
          <w:tcPr>
            <w:tcW w:w="0" w:type="dxa"/>
            <w:vAlign w:val="bottom"/>
          </w:tcPr>
          <w:p>
            <w:pPr>
              <w:spacing w:after="0"/>
              <w:rPr>
                <w:sz w:val="1"/>
                <w:szCs w:val="1"/>
                <w:color w:val="auto"/>
              </w:rPr>
            </w:pPr>
          </w:p>
        </w:tc>
      </w:tr>
      <w:tr>
        <w:trPr>
          <w:trHeight w:val="0"/>
        </w:trPr>
        <w:tc>
          <w:tcPr>
            <w:tcW w:w="2780" w:type="dxa"/>
            <w:vAlign w:val="bottom"/>
          </w:tcPr>
          <w:p>
            <w:pPr>
              <w:spacing w:after="0" w:line="80" w:lineRule="exact"/>
              <w:rPr>
                <w:sz w:val="20"/>
                <w:szCs w:val="20"/>
                <w:color w:val="auto"/>
              </w:rPr>
            </w:pPr>
            <w:r>
              <w:rPr>
                <w:rFonts w:ascii="Arial" w:cs="Arial" w:eastAsia="Arial" w:hAnsi="Arial"/>
                <w:sz w:val="9"/>
                <w:szCs w:val="9"/>
                <w:color w:val="FFFFFF"/>
              </w:rPr>
              <w:t>? led on 27 February 2013. Because Mr. Schorr’shares</w:t>
            </w:r>
          </w:p>
        </w:tc>
        <w:tc>
          <w:tcPr>
            <w:tcW w:w="1060" w:type="dxa"/>
            <w:vAlign w:val="bottom"/>
          </w:tcPr>
          <w:p>
            <w:pPr>
              <w:ind w:left="380"/>
              <w:spacing w:after="0" w:line="80" w:lineRule="exact"/>
              <w:rPr>
                <w:sz w:val="20"/>
                <w:szCs w:val="20"/>
                <w:color w:val="auto"/>
              </w:rPr>
            </w:pPr>
            <w:r>
              <w:rPr>
                <w:rFonts w:ascii="Arial" w:cs="Arial" w:eastAsia="Arial" w:hAnsi="Arial"/>
                <w:sz w:val="9"/>
                <w:szCs w:val="9"/>
                <w:color w:val="FFFFFF"/>
              </w:rPr>
              <w:t>occurred</w:t>
            </w:r>
          </w:p>
        </w:tc>
        <w:tc>
          <w:tcPr>
            <w:tcW w:w="7080" w:type="dxa"/>
            <w:vAlign w:val="bottom"/>
            <w:gridSpan w:val="6"/>
          </w:tcPr>
          <w:p>
            <w:pPr>
              <w:ind w:left="200"/>
              <w:spacing w:after="0" w:line="80" w:lineRule="exact"/>
              <w:rPr>
                <w:sz w:val="20"/>
                <w:szCs w:val="20"/>
                <w:color w:val="auto"/>
              </w:rPr>
            </w:pPr>
            <w:r>
              <w:rPr>
                <w:rFonts w:ascii="Arial" w:cs="Arial" w:eastAsia="Arial" w:hAnsi="Arial"/>
                <w:sz w:val="9"/>
                <w:szCs w:val="9"/>
                <w:color w:val="FFFFFF"/>
              </w:rPr>
              <w:t>a blackout period under the Company’s code of conduct for securities transactions, the election constituted a technical</w:t>
            </w:r>
          </w:p>
        </w:tc>
        <w:tc>
          <w:tcPr>
            <w:tcW w:w="500" w:type="dxa"/>
            <w:vAlign w:val="bottom"/>
          </w:tcPr>
          <w:p>
            <w:pPr>
              <w:ind w:left="40"/>
              <w:spacing w:after="0" w:line="80" w:lineRule="exact"/>
              <w:rPr>
                <w:sz w:val="20"/>
                <w:szCs w:val="20"/>
                <w:color w:val="auto"/>
              </w:rPr>
            </w:pPr>
            <w:r>
              <w:rPr>
                <w:rFonts w:ascii="Arial" w:cs="Arial" w:eastAsia="Arial" w:hAnsi="Arial"/>
                <w:sz w:val="9"/>
                <w:szCs w:val="9"/>
                <w:color w:val="FFFFFF"/>
              </w:rPr>
              <w:t>of that</w:t>
            </w:r>
          </w:p>
        </w:tc>
        <w:tc>
          <w:tcPr>
            <w:tcW w:w="0" w:type="dxa"/>
            <w:vAlign w:val="bottom"/>
          </w:tcPr>
          <w:p>
            <w:pPr>
              <w:spacing w:after="0" w:line="20" w:lineRule="exact"/>
              <w:rPr>
                <w:sz w:val="1"/>
                <w:szCs w:val="1"/>
                <w:color w:val="auto"/>
              </w:rPr>
            </w:pPr>
          </w:p>
        </w:tc>
      </w:tr>
    </w:tbl>
    <w:p>
      <w:pPr>
        <w:ind w:right="20"/>
        <w:spacing w:after="0" w:line="191" w:lineRule="auto"/>
        <w:rPr>
          <w:sz w:val="20"/>
          <w:szCs w:val="20"/>
          <w:color w:val="auto"/>
        </w:rPr>
      </w:pPr>
      <w:r>
        <w:rPr>
          <w:rFonts w:ascii="Arial" w:cs="Arial" w:eastAsia="Arial" w:hAnsi="Arial"/>
          <w:sz w:val="11"/>
          <w:szCs w:val="11"/>
          <w:color w:val="FFFFFF"/>
        </w:rPr>
        <w:t>code. The Company reviewed and amended its codeelection28 March 2013during order to permit such transactions, which are common in the context of U.S. companies such as Wynn Resorts, Limited, violationanytime, so long as the grantee of the shares is not, at the time the election is made, possession of “inside information,” as such term is defi ned for purposes of Part XIVA of the Securities and Futures Ordinance about the Company or Wynn Resorts, Limited.</w:t>
      </w:r>
    </w:p>
    <w:p>
      <w:pPr>
        <w:sectPr>
          <w:pgSz w:w="11900" w:h="16838" w:orient="portrait"/>
          <w:cols w:equalWidth="0" w:num="1">
            <w:col w:w="11420"/>
          </w:cols>
          <w:pgMar w:left="240" w:top="1440" w:right="2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61</w:t>
      </w:r>
    </w:p>
    <w:p>
      <w:pPr>
        <w:spacing w:after="0" w:line="187" w:lineRule="auto"/>
        <w:rPr>
          <w:sz w:val="20"/>
          <w:szCs w:val="20"/>
          <w:color w:val="auto"/>
        </w:rPr>
      </w:pPr>
      <w:r>
        <w:rPr>
          <w:rFonts w:ascii="Arial" w:cs="Arial" w:eastAsia="Arial" w:hAnsi="Arial"/>
          <w:sz w:val="9"/>
          <w:szCs w:val="9"/>
          <w:color w:val="FFFFFF"/>
        </w:rPr>
        <w:t>QUARTERLYCorporateGovernanceREPORTINGReport</w:t>
      </w:r>
    </w:p>
    <w:p>
      <w:pPr>
        <w:spacing w:after="0" w:line="181" w:lineRule="auto"/>
        <w:rPr>
          <w:sz w:val="20"/>
          <w:szCs w:val="20"/>
          <w:color w:val="auto"/>
        </w:rPr>
      </w:pPr>
      <w:r>
        <w:rPr>
          <w:rFonts w:ascii="Arial" w:cs="Arial" w:eastAsia="Arial" w:hAnsi="Arial"/>
          <w:sz w:val="7"/>
          <w:szCs w:val="7"/>
          <w:color w:val="FFFFFF"/>
        </w:rPr>
        <w:t>Company’sTheCompanyquarterlyhasadoptedresultsthewillrecommendedbesynchronizedbest withpracticethe undertimingtheof theCorporatequarterlyGovernancefilingsmadeCodebytoourannounceultimateandcontrollingpublish ?shareholder,nancialresultsWynnwithinResorts,40daysLimited,after theintheendUnitedofthe States.relevantWynnquarter.Resorts,ThereleaseLimitResorts,dofisthe listed on the NASDAQ Stock Market and isStatesreporting company under the United States Securities Exchange Act of 1934 which is required to fisegmentlequarerly reports with the SEC. Each quarter Wynn</w:t>
      </w:r>
    </w:p>
    <w:p>
      <w:pPr>
        <w:spacing w:after="0" w:line="181" w:lineRule="auto"/>
        <w:rPr>
          <w:sz w:val="20"/>
          <w:szCs w:val="20"/>
          <w:color w:val="auto"/>
        </w:rPr>
      </w:pPr>
      <w:r>
        <w:rPr>
          <w:rFonts w:ascii="Arial" w:cs="Arial" w:eastAsia="Arial" w:hAnsi="Arial"/>
          <w:sz w:val="7"/>
          <w:szCs w:val="7"/>
          <w:color w:val="FFFFFF"/>
        </w:rPr>
        <w:t>Company)Limitedissues.Suchpressinformationreleases inwillthebeUnitedpresented in relatingaccordancetoitswithquarterlyU.S.GAAP.?nancial information (including ? nancial information about the Macau of Wynn Resorts, Limited, which is operated by the At the same time as Wynn Resorts, Limited releases its quarterly press releases, the Company makes an announcement on the Hong Kong Stock Exchange pursuant to Rule 13.09 of the Listing Rules extracting</w:t>
      </w:r>
    </w:p>
    <w:p>
      <w:pPr>
        <w:ind w:right="420"/>
        <w:spacing w:after="0" w:line="232" w:lineRule="auto"/>
        <w:rPr>
          <w:sz w:val="20"/>
          <w:szCs w:val="20"/>
          <w:color w:val="auto"/>
        </w:rPr>
      </w:pPr>
      <w:r>
        <w:rPr>
          <w:rFonts w:ascii="Arial" w:cs="Arial" w:eastAsia="Arial" w:hAnsi="Arial"/>
          <w:sz w:val="9"/>
          <w:szCs w:val="9"/>
          <w:color w:val="FFFFFF"/>
        </w:rPr>
        <w:t>Intheadditionkeyhighlightstothequarterlyofthepresspressreleaserelease,pertainingWynnResorts,totheGroup.LimitedSuchalsoannouncement?lesquarterlywillreportsalsowithincludethe aSEC.quarterlySimultaneouslyincomestatementwiththefor? lingthe GroupofsuchpresentedreportpertainingtheaccordanceUnitedStates,withtheIFRS.Company also makes an announcement on the Hong Kong Stock Exchange pursuant to Rule 13.09 of the Listing Rules extracting the key highlights of the quarterly report to the Group.</w:t>
      </w:r>
    </w:p>
    <w:p>
      <w:pPr>
        <w:sectPr>
          <w:pgSz w:w="11900" w:h="16838" w:orient="portrait"/>
          <w:cols w:equalWidth="0" w:num="1">
            <w:col w:w="11320"/>
          </w:cols>
          <w:pgMar w:left="240" w:top="1440"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Corporate62WynnMacau,GovernanceLimitedReport</w:t>
      </w:r>
    </w:p>
    <w:p>
      <w:pPr>
        <w:spacing w:after="0"/>
        <w:rPr>
          <w:sz w:val="20"/>
          <w:szCs w:val="20"/>
          <w:color w:val="auto"/>
        </w:rPr>
      </w:pPr>
      <w:r>
        <w:rPr>
          <w:rFonts w:ascii="Arial" w:cs="Arial" w:eastAsia="Arial" w:hAnsi="Arial"/>
          <w:sz w:val="3"/>
          <w:szCs w:val="3"/>
          <w:color w:val="FFFFFF"/>
        </w:rPr>
        <w:t>RoleBOARDoftheOFBoardDIRECTORS</w:t>
      </w:r>
    </w:p>
    <w:p>
      <w:pPr>
        <w:spacing w:after="0" w:line="6" w:lineRule="exact"/>
        <w:rPr>
          <w:sz w:val="20"/>
          <w:szCs w:val="20"/>
          <w:color w:val="auto"/>
        </w:rPr>
      </w:pPr>
    </w:p>
    <w:p>
      <w:pPr>
        <w:ind w:left="620" w:hanging="607"/>
        <w:spacing w:after="0"/>
        <w:rPr>
          <w:sz w:val="20"/>
          <w:szCs w:val="20"/>
          <w:color w:val="auto"/>
        </w:rPr>
      </w:pPr>
      <w:r>
        <w:rPr>
          <w:rFonts w:ascii="Arial" w:cs="Arial" w:eastAsia="Arial" w:hAnsi="Arial"/>
          <w:sz w:val="7"/>
          <w:szCs w:val="7"/>
          <w:color w:val="FFFFFF"/>
          <w:vertAlign w:val="superscript"/>
        </w:rPr>
        <w:t>The Board</w:t>
      </w:r>
      <w:r>
        <w:rPr>
          <w:rFonts w:ascii="Arial" w:cs="Arial" w:eastAsia="Arial" w:hAnsi="Arial"/>
          <w:sz w:val="6"/>
          <w:szCs w:val="6"/>
          <w:color w:val="FFFFFF"/>
        </w:rPr>
        <w:t xml:space="preserve"> governs the Company and is responsible for overall leadership of the Group. The Board works to promote the success of the Group through oversight and direction of the Group’s business dealings. implements overall strategic</w:t>
      </w:r>
      <w:r>
        <w:rPr>
          <w:rFonts w:ascii="Arial" w:cs="Arial" w:eastAsia="Arial" w:hAnsi="Arial"/>
          <w:sz w:val="7"/>
          <w:szCs w:val="7"/>
          <w:color w:val="FFFFFF"/>
          <w:vertAlign w:val="superscript"/>
        </w:rPr>
        <w:t>advice</w:t>
      </w:r>
      <w:r>
        <w:rPr>
          <w:rFonts w:ascii="Arial" w:cs="Arial" w:eastAsia="Arial" w:hAnsi="Arial"/>
          <w:sz w:val="6"/>
          <w:szCs w:val="6"/>
          <w:color w:val="FFFFFF"/>
        </w:rPr>
        <w:t>priorities for the Company, reviews and approves budgetary affairs and oversees and monitors the overall performance of management. The Board is provided with all</w:t>
      </w:r>
    </w:p>
    <w:p>
      <w:pPr>
        <w:spacing w:after="0" w:line="189" w:lineRule="auto"/>
        <w:tabs>
          <w:tab w:leader="none" w:pos="2220" w:val="left"/>
        </w:tabs>
        <w:rPr>
          <w:sz w:val="20"/>
          <w:szCs w:val="20"/>
          <w:color w:val="auto"/>
        </w:rPr>
      </w:pPr>
      <w:r>
        <w:rPr>
          <w:rFonts w:ascii="Arial" w:cs="Arial" w:eastAsia="Arial" w:hAnsi="Arial"/>
          <w:sz w:val="9"/>
          <w:szCs w:val="9"/>
          <w:color w:val="FFFFFF"/>
        </w:rPr>
        <w:t>BoardnecessaryCompositionresources including the</w:t>
      </w:r>
      <w:r>
        <w:rPr>
          <w:sz w:val="20"/>
          <w:szCs w:val="20"/>
          <w:color w:val="auto"/>
        </w:rPr>
        <w:tab/>
      </w:r>
      <w:r>
        <w:rPr>
          <w:rFonts w:ascii="Arial" w:cs="Arial" w:eastAsia="Arial" w:hAnsi="Arial"/>
          <w:sz w:val="9"/>
          <w:szCs w:val="9"/>
          <w:color w:val="FFFFFF"/>
        </w:rPr>
        <w:t>of external auditors, external attorneys and other independent professional advisors as needed.</w:t>
      </w:r>
    </w:p>
    <w:p>
      <w:pPr>
        <w:spacing w:after="0" w:line="211" w:lineRule="auto"/>
        <w:rPr>
          <w:sz w:val="20"/>
          <w:szCs w:val="20"/>
          <w:color w:val="auto"/>
        </w:rPr>
      </w:pPr>
      <w:r>
        <w:rPr>
          <w:rFonts w:ascii="Arial" w:cs="Arial" w:eastAsia="Arial" w:hAnsi="Arial"/>
          <w:sz w:val="4"/>
          <w:szCs w:val="4"/>
          <w:color w:val="FFFFFF"/>
          <w:vertAlign w:val="superscript"/>
        </w:rPr>
        <w:t>The Board</w:t>
      </w:r>
    </w:p>
    <w:p>
      <w:pPr>
        <w:ind w:left="260"/>
        <w:spacing w:after="0"/>
        <w:rPr>
          <w:sz w:val="20"/>
          <w:szCs w:val="20"/>
          <w:color w:val="auto"/>
        </w:rPr>
      </w:pPr>
      <w:r>
        <w:rPr>
          <w:rFonts w:ascii="Arial" w:cs="Arial" w:eastAsia="Arial" w:hAnsi="Arial"/>
          <w:sz w:val="3"/>
          <w:szCs w:val="3"/>
          <w:color w:val="FFFFFF"/>
        </w:rPr>
        <w:t>C mpanyiscurrentlyhasaBoardcomposedwitha asbalancedfollows:composition of executive and non-executive Directors (including independent non-executive Directors).</w:t>
      </w:r>
    </w:p>
    <w:p>
      <w:pPr>
        <w:ind w:left="80"/>
        <w:spacing w:after="0" w:line="194" w:lineRule="auto"/>
        <w:rPr>
          <w:sz w:val="20"/>
          <w:szCs w:val="20"/>
          <w:color w:val="auto"/>
        </w:rPr>
      </w:pPr>
      <w:r>
        <w:rPr>
          <w:rFonts w:ascii="Arial" w:cs="Arial" w:eastAsia="Arial" w:hAnsi="Arial"/>
          <w:sz w:val="5"/>
          <w:szCs w:val="5"/>
          <w:color w:val="FFFFFF"/>
        </w:rPr>
        <w:t>Executive Directors: Mr. Stephen A. Wynn (who is also Chief Executive Offi cer and President), Ms. Linda Chen, and Mr. Ian Michael Coughlan;</w:t>
      </w:r>
    </w:p>
    <w:p>
      <w:pPr>
        <w:spacing w:after="0" w:line="211" w:lineRule="auto"/>
        <w:rPr>
          <w:sz w:val="20"/>
          <w:szCs w:val="20"/>
          <w:color w:val="auto"/>
        </w:rPr>
      </w:pPr>
      <w:r>
        <w:rPr>
          <w:rFonts w:ascii="Arial" w:cs="Arial" w:eastAsia="Arial" w:hAnsi="Arial"/>
          <w:sz w:val="4"/>
          <w:szCs w:val="4"/>
          <w:color w:val="FFFFFF"/>
          <w:vertAlign w:val="superscript"/>
        </w:rPr>
        <w:t>•</w:t>
      </w:r>
    </w:p>
    <w:p>
      <w:pPr>
        <w:ind w:left="80"/>
        <w:spacing w:after="0"/>
        <w:rPr>
          <w:sz w:val="20"/>
          <w:szCs w:val="20"/>
          <w:color w:val="auto"/>
        </w:rPr>
      </w:pPr>
      <w:r>
        <w:rPr>
          <w:rFonts w:ascii="Arial" w:cs="Arial" w:eastAsia="Arial" w:hAnsi="Arial"/>
          <w:sz w:val="3"/>
          <w:szCs w:val="3"/>
          <w:color w:val="FFFFFF"/>
        </w:rPr>
        <w:t>IndependentNon-executivenonDirectors:-executiveDr.Directors:AllanZemanMr.JeffreyandMr.KinMatthew-fungLam,O.MaddoxMr.Bruce(Mr.RockowitzMarcD.SchorrandMr.retiredNicholason28SallnowMarch-Smith.2013); and</w:t>
      </w:r>
    </w:p>
    <w:p>
      <w:pPr>
        <w:spacing w:after="0" w:line="194" w:lineRule="auto"/>
        <w:rPr>
          <w:sz w:val="20"/>
          <w:szCs w:val="20"/>
          <w:color w:val="auto"/>
        </w:rPr>
      </w:pPr>
      <w:r>
        <w:rPr>
          <w:rFonts w:ascii="Arial" w:cs="Arial" w:eastAsia="Arial" w:hAnsi="Arial"/>
          <w:sz w:val="5"/>
          <w:szCs w:val="5"/>
          <w:color w:val="FFFFFF"/>
        </w:rPr>
        <w:t>Mr. Stephen A. Wynn is our Chairman and Dr. Allan Zeman is our Vice-chairman.</w:t>
      </w:r>
    </w:p>
    <w:p>
      <w:pPr>
        <w:spacing w:after="0"/>
        <w:rPr>
          <w:sz w:val="20"/>
          <w:szCs w:val="20"/>
          <w:color w:val="auto"/>
        </w:rPr>
      </w:pPr>
      <w:r>
        <w:rPr>
          <w:rFonts w:ascii="Arial" w:cs="Arial" w:eastAsia="Arial" w:hAnsi="Arial"/>
          <w:sz w:val="14"/>
          <w:szCs w:val="14"/>
          <w:color w:val="FFFFFF"/>
        </w:rPr>
        <w:t>There is no particular relationship (including ? nancial, business, family or other material or relevant relationship) between members of the Board.</w:t>
      </w:r>
    </w:p>
    <w:p>
      <w:pPr>
        <w:sectPr>
          <w:pgSz w:w="11900" w:h="16838" w:orient="portrait"/>
          <w:cols w:equalWidth="0" w:num="1">
            <w:col w:w="11260"/>
          </w:cols>
          <w:pgMar w:left="240" w:top="1440" w:right="399" w:bottom="1440" w:gutter="0" w:footer="0" w:header="0"/>
        </w:sectPr>
      </w:pPr>
    </w:p>
    <w:bookmarkStart w:id="68" w:name="page69"/>
    <w:bookmarkEnd w:id="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CorporateAnnualReportGovernance201263Report</w:t>
      </w:r>
    </w:p>
    <w:p>
      <w:pPr>
        <w:spacing w:after="0" w:line="211" w:lineRule="auto"/>
        <w:rPr>
          <w:sz w:val="20"/>
          <w:szCs w:val="20"/>
          <w:color w:val="auto"/>
        </w:rPr>
      </w:pPr>
      <w:r>
        <w:rPr>
          <w:rFonts w:ascii="Arial" w:cs="Arial" w:eastAsia="Arial" w:hAnsi="Arial"/>
          <w:sz w:val="4"/>
          <w:szCs w:val="4"/>
          <w:color w:val="FFFFFF"/>
          <w:vertAlign w:val="superscript"/>
        </w:rPr>
        <w:t>Board</w:t>
      </w:r>
    </w:p>
    <w:p>
      <w:pPr>
        <w:ind w:left="100"/>
        <w:spacing w:after="0" w:line="188" w:lineRule="auto"/>
        <w:rPr>
          <w:sz w:val="20"/>
          <w:szCs w:val="20"/>
          <w:color w:val="auto"/>
        </w:rPr>
      </w:pPr>
      <w:r>
        <w:rPr>
          <w:rFonts w:ascii="Arial" w:cs="Arial" w:eastAsia="Arial" w:hAnsi="Arial"/>
          <w:sz w:val="9"/>
          <w:szCs w:val="9"/>
          <w:color w:val="FFFFFF"/>
        </w:rPr>
        <w:t>OARDMeetingsOFDIRECTORSHeldin2012(CONTINUED)</w:t>
      </w:r>
    </w:p>
    <w:p>
      <w:pPr>
        <w:spacing w:after="0" w:line="188" w:lineRule="auto"/>
        <w:rPr>
          <w:sz w:val="20"/>
          <w:szCs w:val="20"/>
          <w:color w:val="auto"/>
        </w:rPr>
      </w:pPr>
      <w:r>
        <w:rPr>
          <w:rFonts w:ascii="Arial" w:cs="Arial" w:eastAsia="Arial" w:hAnsi="Arial"/>
          <w:sz w:val="9"/>
          <w:szCs w:val="9"/>
          <w:color w:val="FFFFFF"/>
        </w:rPr>
        <w:t>NumberIn2012, ofthe Company convened ? ve board meetings including four regular meetings. The attendance record of the Directors at these meetings is set out below.</w:t>
      </w:r>
    </w:p>
    <w:p>
      <w:pPr>
        <w:spacing w:after="0"/>
        <w:rPr>
          <w:sz w:val="20"/>
          <w:szCs w:val="20"/>
          <w:color w:val="auto"/>
        </w:rPr>
      </w:pPr>
      <w:r>
        <w:rPr>
          <w:rFonts w:ascii="Arial" w:cs="Arial" w:eastAsia="Arial" w:hAnsi="Arial"/>
          <w:sz w:val="3"/>
          <w:szCs w:val="3"/>
          <w:color w:val="FFFFFF"/>
        </w:rPr>
        <w:t>attended/heldmeetings</w:t>
      </w:r>
    </w:p>
    <w:p>
      <w:pPr>
        <w:spacing w:after="0" w:line="181" w:lineRule="auto"/>
        <w:rPr>
          <w:sz w:val="20"/>
          <w:szCs w:val="20"/>
          <w:color w:val="auto"/>
        </w:rPr>
      </w:pPr>
      <w:r>
        <w:rPr>
          <w:rFonts w:ascii="Arial" w:cs="Arial" w:eastAsia="Arial" w:hAnsi="Arial"/>
          <w:sz w:val="10"/>
          <w:szCs w:val="10"/>
          <w:color w:val="FFFFFF"/>
        </w:rPr>
        <w:t>Name of Director during 2012 Attendance rate</w:t>
      </w:r>
    </w:p>
    <w:p>
      <w:pPr>
        <w:spacing w:after="0" w:line="213" w:lineRule="auto"/>
        <w:rPr>
          <w:sz w:val="20"/>
          <w:szCs w:val="20"/>
          <w:color w:val="auto"/>
        </w:rPr>
      </w:pPr>
      <w:r>
        <w:rPr>
          <w:rFonts w:ascii="Arial" w:cs="Arial" w:eastAsia="Arial" w:hAnsi="Arial"/>
          <w:sz w:val="4"/>
          <w:szCs w:val="4"/>
          <w:color w:val="FFFFFF"/>
          <w:vertAlign w:val="superscript"/>
        </w:rPr>
        <w:t>Mr</w:t>
      </w:r>
      <w:r>
        <w:rPr>
          <w:rFonts w:ascii="Arial" w:cs="Arial" w:eastAsia="Arial" w:hAnsi="Arial"/>
          <w:sz w:val="2"/>
          <w:szCs w:val="2"/>
          <w:color w:val="FFFFFF"/>
        </w:rPr>
        <w:t>EXECUTIVE</w:t>
      </w:r>
      <w:r>
        <w:rPr>
          <w:rFonts w:ascii="Arial" w:cs="Arial" w:eastAsia="Arial" w:hAnsi="Arial"/>
          <w:sz w:val="4"/>
          <w:szCs w:val="4"/>
          <w:color w:val="FFFFFF"/>
          <w:vertAlign w:val="superscript"/>
        </w:rPr>
        <w:t>s</w:t>
      </w:r>
      <w:r>
        <w:rPr>
          <w:rFonts w:ascii="Arial" w:cs="Arial" w:eastAsia="Arial" w:hAnsi="Arial"/>
          <w:sz w:val="2"/>
          <w:szCs w:val="2"/>
          <w:color w:val="FFFFFF"/>
        </w:rPr>
        <w:t>.StephenA.DIRECTORSWynn5/5100%</w:t>
      </w:r>
    </w:p>
    <w:p>
      <w:pPr>
        <w:ind w:left="180"/>
        <w:spacing w:after="0"/>
        <w:rPr>
          <w:sz w:val="20"/>
          <w:szCs w:val="20"/>
          <w:color w:val="auto"/>
        </w:rPr>
      </w:pPr>
      <w:r>
        <w:rPr>
          <w:rFonts w:ascii="Arial" w:cs="Arial" w:eastAsia="Arial" w:hAnsi="Arial"/>
          <w:sz w:val="3"/>
          <w:szCs w:val="3"/>
          <w:color w:val="FFFFFF"/>
        </w:rPr>
        <w:t>. Linda Chen 5/5 100%</w:t>
      </w:r>
    </w:p>
    <w:p>
      <w:pPr>
        <w:ind w:left="160"/>
        <w:spacing w:after="0" w:line="194" w:lineRule="auto"/>
        <w:rPr>
          <w:sz w:val="20"/>
          <w:szCs w:val="20"/>
          <w:color w:val="auto"/>
        </w:rPr>
      </w:pPr>
      <w:r>
        <w:rPr>
          <w:rFonts w:ascii="Arial" w:cs="Arial" w:eastAsia="Arial" w:hAnsi="Arial"/>
          <w:sz w:val="5"/>
          <w:szCs w:val="5"/>
          <w:color w:val="FFFFFF"/>
        </w:rPr>
        <w:t>. Ian Michael Coughlan 5/5 100%</w:t>
      </w:r>
    </w:p>
    <w:p>
      <w:pPr>
        <w:spacing w:after="0"/>
        <w:rPr>
          <w:sz w:val="20"/>
          <w:szCs w:val="20"/>
          <w:color w:val="auto"/>
        </w:rPr>
      </w:pPr>
      <w:r>
        <w:rPr>
          <w:rFonts w:ascii="Arial" w:cs="Arial" w:eastAsia="Arial" w:hAnsi="Arial"/>
          <w:sz w:val="3"/>
          <w:szCs w:val="3"/>
          <w:color w:val="FFFFFF"/>
        </w:rPr>
        <w:t>NON-EXECUTIVE DIRECTORS</w:t>
      </w:r>
    </w:p>
    <w:p>
      <w:pPr>
        <w:spacing w:after="0" w:line="194" w:lineRule="auto"/>
        <w:rPr>
          <w:sz w:val="20"/>
          <w:szCs w:val="20"/>
          <w:color w:val="auto"/>
        </w:rPr>
      </w:pPr>
      <w:r>
        <w:rPr>
          <w:rFonts w:ascii="Arial" w:cs="Arial" w:eastAsia="Arial" w:hAnsi="Arial"/>
          <w:sz w:val="5"/>
          <w:szCs w:val="5"/>
          <w:color w:val="FFFFFF"/>
        </w:rPr>
        <w:t>Mr. Marc D. Schorr 5/5 100%</w:t>
      </w:r>
    </w:p>
    <w:p>
      <w:pPr>
        <w:spacing w:after="0" w:line="188" w:lineRule="auto"/>
        <w:rPr>
          <w:sz w:val="20"/>
          <w:szCs w:val="20"/>
          <w:color w:val="auto"/>
        </w:rPr>
      </w:pPr>
      <w:r>
        <w:rPr>
          <w:rFonts w:ascii="Arial" w:cs="Arial" w:eastAsia="Arial" w:hAnsi="Arial"/>
          <w:sz w:val="9"/>
          <w:szCs w:val="9"/>
          <w:color w:val="FFFFFF"/>
        </w:rPr>
        <w:t>Dr. Allan Zeman 5/5 100%</w:t>
      </w:r>
    </w:p>
    <w:p>
      <w:pPr>
        <w:spacing w:after="0"/>
        <w:rPr>
          <w:sz w:val="20"/>
          <w:szCs w:val="20"/>
          <w:color w:val="auto"/>
        </w:rPr>
      </w:pPr>
      <w:r>
        <w:rPr>
          <w:rFonts w:ascii="Arial" w:cs="Arial" w:eastAsia="Arial" w:hAnsi="Arial"/>
          <w:sz w:val="3"/>
          <w:szCs w:val="3"/>
          <w:color w:val="FFFFFF"/>
        </w:rPr>
        <w:t>INDEPENDENTJeffreyKin-fungNONLam-EXECUTIVE5/5100% DIRECTORS</w:t>
      </w:r>
    </w:p>
    <w:p>
      <w:pPr>
        <w:spacing w:after="0" w:line="194" w:lineRule="auto"/>
        <w:rPr>
          <w:sz w:val="20"/>
          <w:szCs w:val="20"/>
          <w:color w:val="auto"/>
        </w:rPr>
      </w:pPr>
      <w:r>
        <w:rPr>
          <w:rFonts w:ascii="Arial" w:cs="Arial" w:eastAsia="Arial" w:hAnsi="Arial"/>
          <w:sz w:val="5"/>
          <w:szCs w:val="5"/>
          <w:color w:val="FFFFFF"/>
          <w:vertAlign w:val="superscript"/>
        </w:rPr>
        <w:t>Mr.</w:t>
      </w:r>
    </w:p>
    <w:p>
      <w:pPr>
        <w:ind w:left="240"/>
        <w:spacing w:after="0" w:line="188" w:lineRule="auto"/>
        <w:rPr>
          <w:sz w:val="20"/>
          <w:szCs w:val="20"/>
          <w:color w:val="auto"/>
        </w:rPr>
      </w:pPr>
      <w:r>
        <w:rPr>
          <w:rFonts w:ascii="Arial" w:cs="Arial" w:eastAsia="Arial" w:hAnsi="Arial"/>
          <w:sz w:val="9"/>
          <w:szCs w:val="9"/>
          <w:color w:val="FFFFFF"/>
        </w:rPr>
        <w:t>NicholasBruceRockowitzSallnow-5/5Smith100%5/5 100%</w:t>
      </w:r>
    </w:p>
    <w:p>
      <w:pPr>
        <w:spacing w:after="0"/>
        <w:rPr>
          <w:sz w:val="20"/>
          <w:szCs w:val="20"/>
          <w:color w:val="auto"/>
        </w:rPr>
      </w:pPr>
      <w:r>
        <w:rPr>
          <w:rFonts w:ascii="Arial" w:cs="Arial" w:eastAsia="Arial" w:hAnsi="Arial"/>
          <w:sz w:val="3"/>
          <w:szCs w:val="3"/>
          <w:color w:val="FFFFFF"/>
        </w:rPr>
        <w:t>IndependentAtleastfour nonregular-executivemeetingsDirectorswillbe convened each year.</w:t>
      </w:r>
    </w:p>
    <w:p>
      <w:pPr>
        <w:spacing w:after="0" w:line="6" w:lineRule="exact"/>
        <w:rPr>
          <w:sz w:val="20"/>
          <w:szCs w:val="20"/>
          <w:color w:val="auto"/>
        </w:rPr>
      </w:pPr>
    </w:p>
    <w:p>
      <w:pPr>
        <w:ind w:right="420"/>
        <w:spacing w:after="0"/>
        <w:rPr>
          <w:sz w:val="20"/>
          <w:szCs w:val="20"/>
          <w:color w:val="auto"/>
        </w:rPr>
      </w:pPr>
      <w:r>
        <w:rPr>
          <w:rFonts w:ascii="Arial" w:cs="Arial" w:eastAsia="Arial" w:hAnsi="Arial"/>
          <w:sz w:val="7"/>
          <w:szCs w:val="7"/>
          <w:color w:val="FFFFFF"/>
        </w:rPr>
        <w:t>The Company has received from each of the independent non-executive Directors an annual con? rmation of his independence pursuant to Rule 3.13 of the Listing Rules and considers each of them to be independent. Each has been appointed for an additional term of two years commencing from 16 September 2011.</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Non-executive Directors</w:t>
      </w:r>
    </w:p>
    <w:p>
      <w:pPr>
        <w:spacing w:after="0" w:line="194" w:lineRule="auto"/>
        <w:rPr>
          <w:sz w:val="20"/>
          <w:szCs w:val="20"/>
          <w:color w:val="auto"/>
        </w:rPr>
      </w:pPr>
      <w:r>
        <w:rPr>
          <w:rFonts w:ascii="Arial" w:cs="Arial" w:eastAsia="Arial" w:hAnsi="Arial"/>
          <w:sz w:val="3"/>
          <w:szCs w:val="3"/>
          <w:color w:val="FFFFFF"/>
        </w:rPr>
        <w:t>Mr. Marc D. Schorr and Dr. Allan Zeman, have separately been appointed</w:t>
      </w:r>
      <w:r>
        <w:rPr>
          <w:rFonts w:ascii="Arial" w:cs="Arial" w:eastAsia="Arial" w:hAnsi="Arial"/>
          <w:sz w:val="5"/>
          <w:szCs w:val="5"/>
          <w:color w:val="FFFFFF"/>
          <w:vertAlign w:val="subscript"/>
        </w:rPr>
        <w:t>March</w:t>
      </w:r>
      <w:r>
        <w:rPr>
          <w:rFonts w:ascii="Arial" w:cs="Arial" w:eastAsia="Arial" w:hAnsi="Arial"/>
          <w:sz w:val="3"/>
          <w:szCs w:val="3"/>
          <w:color w:val="FFFFFF"/>
        </w:rPr>
        <w:t xml:space="preserve">as non-executive Director for </w:t>
      </w:r>
      <w:r>
        <w:rPr>
          <w:rFonts w:ascii="Arial" w:cs="Arial" w:eastAsia="Arial" w:hAnsi="Arial"/>
          <w:sz w:val="5"/>
          <w:szCs w:val="5"/>
          <w:color w:val="FFFFFF"/>
          <w:vertAlign w:val="subscript"/>
        </w:rPr>
        <w:t>an</w:t>
      </w:r>
      <w:r>
        <w:rPr>
          <w:rFonts w:ascii="Arial" w:cs="Arial" w:eastAsia="Arial" w:hAnsi="Arial"/>
          <w:sz w:val="3"/>
          <w:szCs w:val="3"/>
          <w:color w:val="FFFFFF"/>
        </w:rPr>
        <w:t xml:space="preserve"> initial term of three years commencing from 16 September 2009 which was extended for an</w:t>
      </w:r>
    </w:p>
    <w:p>
      <w:pPr>
        <w:spacing w:after="0"/>
        <w:rPr>
          <w:sz w:val="20"/>
          <w:szCs w:val="20"/>
          <w:color w:val="auto"/>
        </w:rPr>
      </w:pPr>
      <w:r>
        <w:rPr>
          <w:rFonts w:ascii="Arial" w:cs="Arial" w:eastAsia="Arial" w:hAnsi="Arial"/>
          <w:sz w:val="6"/>
          <w:szCs w:val="6"/>
          <w:color w:val="FFFFFF"/>
        </w:rPr>
        <w:t>additional term of three years effective from 16 September 2012. On 28 2013, Mr. Schorr retired as non-executive Director and Mr. Matthew O. Maddox was appointed as a non-executive Director for a term of three years commencing on the same date. Mr. Kazuo Okada had been appointed as</w:t>
      </w:r>
      <w:r>
        <w:rPr>
          <w:rFonts w:ascii="Arial" w:cs="Arial" w:eastAsia="Arial" w:hAnsi="Arial"/>
          <w:sz w:val="7"/>
          <w:szCs w:val="7"/>
          <w:color w:val="FFFFFF"/>
          <w:vertAlign w:val="subscript"/>
        </w:rPr>
        <w:t>ceased</w:t>
      </w:r>
      <w:r>
        <w:rPr>
          <w:rFonts w:ascii="Arial" w:cs="Arial" w:eastAsia="Arial" w:hAnsi="Arial"/>
          <w:sz w:val="6"/>
          <w:szCs w:val="6"/>
          <w:color w:val="FFFFFF"/>
        </w:rPr>
        <w:t>non-executive Director for an initial term of three years commencing from 16 September 2009 until the Company</w:t>
      </w:r>
    </w:p>
    <w:p>
      <w:pPr>
        <w:spacing w:after="0"/>
        <w:tabs>
          <w:tab w:leader="none" w:pos="5280" w:val="left"/>
        </w:tabs>
        <w:rPr>
          <w:sz w:val="20"/>
          <w:szCs w:val="20"/>
          <w:color w:val="auto"/>
        </w:rPr>
      </w:pPr>
      <w:r>
        <w:rPr>
          <w:rFonts w:ascii="Arial" w:cs="Arial" w:eastAsia="Arial" w:hAnsi="Arial"/>
          <w:sz w:val="14"/>
          <w:szCs w:val="14"/>
          <w:color w:val="FFFFFF"/>
        </w:rPr>
        <w:t>served him written notice to terminate such appointment on 24 February 2012. Mr. Okada</w:t>
      </w:r>
      <w:r>
        <w:rPr>
          <w:sz w:val="20"/>
          <w:szCs w:val="20"/>
          <w:color w:val="auto"/>
        </w:rPr>
        <w:tab/>
      </w:r>
      <w:r>
        <w:rPr>
          <w:rFonts w:ascii="Arial" w:cs="Arial" w:eastAsia="Arial" w:hAnsi="Arial"/>
          <w:sz w:val="12"/>
          <w:szCs w:val="12"/>
          <w:color w:val="FFFFFF"/>
        </w:rPr>
        <w:t>to be non-executive Director of the Company on 24 February 2012.</w:t>
      </w:r>
    </w:p>
    <w:p>
      <w:pPr>
        <w:sectPr>
          <w:pgSz w:w="11900" w:h="16838" w:orient="portrait"/>
          <w:cols w:equalWidth="0" w:num="1">
            <w:col w:w="11360"/>
          </w:cols>
          <w:pgMar w:left="240" w:top="1440" w:right="299" w:bottom="1440" w:gutter="0" w:footer="0" w:header="0"/>
        </w:sectPr>
      </w:pPr>
    </w:p>
    <w:bookmarkStart w:id="69" w:name="page70"/>
    <w:bookmarkEnd w:id="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color w:val="FFFFFF"/>
              </w:rPr>
              <w:t>64 Wynn Macau, Limited</w:t>
            </w:r>
          </w:p>
        </w:tc>
        <w:tc>
          <w:tcPr>
            <w:tcW w:w="9600" w:type="dxa"/>
            <w:vAlign w:val="bottom"/>
          </w:tcPr>
          <w:p>
            <w:pPr>
              <w:spacing w:after="0"/>
              <w:rPr>
                <w:sz w:val="14"/>
                <w:szCs w:val="14"/>
                <w:color w:val="auto"/>
              </w:rPr>
            </w:pP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Corporate Governance Report</w:t>
            </w:r>
          </w:p>
        </w:tc>
        <w:tc>
          <w:tcPr>
            <w:tcW w:w="9600" w:type="dxa"/>
            <w:vAlign w:val="bottom"/>
          </w:tcPr>
          <w:p>
            <w:pPr>
              <w:spacing w:after="0"/>
              <w:rPr>
                <w:sz w:val="3"/>
                <w:szCs w:val="3"/>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BOARD OF DIRECTORS (CONTINUED)</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Appointment and Re-election of Directors</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Please refer to information in “Nomination and Corporate Governance Committee” as set below regarding the process of appointment of Directors in the Company.</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In addition to the aforesaid term of appointment of directors in the Company, all the Directors are subject to retirement by rotation at least once every three years and any new Director appointed to ? ll a casual</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vacancy or as an addition to the Board shall be  -elected at the next following annual general meeting after appointment.</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Continuous Professional Development of Directors</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Each Director has kept abreast of his   her responsibilities as  director of the Company and of the conduct, business activities and development of the Company.</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The Company acknowledges the importance of Directors participating in appropriate continuous professional development to develop and refresh their knowledge and skills   ensure that their contribution to</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the Board remains informed and relevant. Internally-facilitated brie? ngs for Directors have been arranged and reading material on relevant topics have been issued to the Directors, where appropriate.</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The Company organized various brie? ngs conducted by Mr. Jay M. Schall, the Senior Vice Presid nt and General Counsel of the Company, for all Directors on relevant topics such as directors’ duties and</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responsibilities, corporate governance and amendments to the Listing Rules. In addition, some Directors attended seminars and training sessions presented by professional institutions. During the year ended</w:t>
            </w:r>
          </w:p>
        </w:tc>
      </w:tr>
      <w:tr>
        <w:trPr>
          <w:trHeight w:val="41"/>
        </w:trPr>
        <w:tc>
          <w:tcPr>
            <w:tcW w:w="120" w:type="dxa"/>
            <w:vAlign w:val="bottom"/>
          </w:tcPr>
          <w:p>
            <w:pPr>
              <w:spacing w:after="0"/>
              <w:rPr>
                <w:sz w:val="3"/>
                <w:szCs w:val="3"/>
                <w:color w:val="auto"/>
              </w:rPr>
            </w:pPr>
          </w:p>
        </w:tc>
        <w:tc>
          <w:tcPr>
            <w:tcW w:w="1560" w:type="dxa"/>
            <w:vAlign w:val="bottom"/>
          </w:tcPr>
          <w:p>
            <w:pPr>
              <w:ind w:left="60"/>
              <w:spacing w:after="0"/>
              <w:rPr>
                <w:sz w:val="20"/>
                <w:szCs w:val="20"/>
                <w:color w:val="auto"/>
              </w:rPr>
            </w:pPr>
            <w:r>
              <w:rPr>
                <w:rFonts w:ascii="Arial" w:cs="Arial" w:eastAsia="Arial" w:hAnsi="Arial"/>
                <w:sz w:val="3"/>
                <w:szCs w:val="3"/>
                <w:color w:val="FFFFFF"/>
              </w:rPr>
              <w:t>December 2012, training</w:t>
            </w:r>
          </w:p>
        </w:tc>
        <w:tc>
          <w:tcPr>
            <w:tcW w:w="9600" w:type="dxa"/>
            <w:vAlign w:val="bottom"/>
          </w:tcPr>
          <w:p>
            <w:pPr>
              <w:ind w:left="40"/>
              <w:spacing w:after="0"/>
              <w:rPr>
                <w:sz w:val="20"/>
                <w:szCs w:val="20"/>
                <w:color w:val="auto"/>
              </w:rPr>
            </w:pPr>
            <w:r>
              <w:rPr>
                <w:rFonts w:ascii="Arial" w:cs="Arial" w:eastAsia="Arial" w:hAnsi="Arial"/>
                <w:sz w:val="3"/>
                <w:szCs w:val="3"/>
                <w:color w:val="FFFFFF"/>
              </w:rPr>
              <w:t>the following topics were offered to the Directors:</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31Directors’ Duties and Responsibilities</w:t>
            </w: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2 Corporate Governance</w:t>
            </w:r>
          </w:p>
        </w:tc>
        <w:tc>
          <w:tcPr>
            <w:tcW w:w="9600" w:type="dxa"/>
            <w:vAlign w:val="bottom"/>
          </w:tcPr>
          <w:p>
            <w:pPr>
              <w:spacing w:after="0"/>
              <w:rPr>
                <w:sz w:val="3"/>
                <w:szCs w:val="3"/>
                <w:color w:val="auto"/>
              </w:rPr>
            </w:pP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3 Update on Hong Kong Listing Rules amendments</w:t>
            </w:r>
          </w:p>
        </w:tc>
      </w:tr>
      <w:tr>
        <w:trPr>
          <w:trHeight w:val="41"/>
        </w:trPr>
        <w:tc>
          <w:tcPr>
            <w:tcW w:w="120" w:type="dxa"/>
            <w:vAlign w:val="bottom"/>
          </w:tcPr>
          <w:p>
            <w:pPr>
              <w:spacing w:after="0"/>
              <w:rPr>
                <w:sz w:val="20"/>
                <w:szCs w:val="20"/>
                <w:color w:val="auto"/>
              </w:rPr>
            </w:pPr>
            <w:r>
              <w:rPr>
                <w:rFonts w:ascii="Arial" w:cs="Arial" w:eastAsia="Arial" w:hAnsi="Arial"/>
                <w:sz w:val="3"/>
                <w:szCs w:val="3"/>
                <w:color w:val="FFFFFF"/>
              </w:rPr>
              <w:t>4</w:t>
            </w:r>
          </w:p>
        </w:tc>
        <w:tc>
          <w:tcPr>
            <w:tcW w:w="11160" w:type="dxa"/>
            <w:vAlign w:val="bottom"/>
            <w:gridSpan w:val="2"/>
          </w:tcPr>
          <w:p>
            <w:pPr>
              <w:ind w:left="20"/>
              <w:spacing w:after="0"/>
              <w:rPr>
                <w:sz w:val="20"/>
                <w:szCs w:val="20"/>
                <w:color w:val="auto"/>
              </w:rPr>
            </w:pPr>
            <w:r>
              <w:rPr>
                <w:rFonts w:ascii="Arial" w:cs="Arial" w:eastAsia="Arial" w:hAnsi="Arial"/>
                <w:sz w:val="3"/>
                <w:szCs w:val="3"/>
                <w:color w:val="FFFFFF"/>
              </w:rPr>
              <w:t>Corporate laws, compliance laws and regulations</w:t>
            </w:r>
          </w:p>
        </w:tc>
      </w:tr>
      <w:tr>
        <w:trPr>
          <w:trHeight w:val="173"/>
        </w:trPr>
        <w:tc>
          <w:tcPr>
            <w:tcW w:w="120" w:type="dxa"/>
            <w:vAlign w:val="bottom"/>
          </w:tcPr>
          <w:p>
            <w:pPr>
              <w:spacing w:after="0"/>
              <w:rPr>
                <w:sz w:val="20"/>
                <w:szCs w:val="20"/>
                <w:color w:val="auto"/>
              </w:rPr>
            </w:pPr>
            <w:r>
              <w:rPr>
                <w:rFonts w:ascii="Arial" w:cs="Arial" w:eastAsia="Arial" w:hAnsi="Arial"/>
                <w:sz w:val="14"/>
                <w:szCs w:val="14"/>
                <w:color w:val="FFFFFF"/>
                <w:w w:val="85"/>
              </w:rPr>
              <w:t>5.</w:t>
            </w:r>
          </w:p>
        </w:tc>
        <w:tc>
          <w:tcPr>
            <w:tcW w:w="11160" w:type="dxa"/>
            <w:vAlign w:val="bottom"/>
            <w:gridSpan w:val="2"/>
          </w:tcPr>
          <w:p>
            <w:pPr>
              <w:ind w:left="20"/>
              <w:spacing w:after="0"/>
              <w:rPr>
                <w:sz w:val="20"/>
                <w:szCs w:val="20"/>
                <w:color w:val="auto"/>
              </w:rPr>
            </w:pPr>
            <w:r>
              <w:rPr>
                <w:rFonts w:ascii="Arial" w:cs="Arial" w:eastAsia="Arial" w:hAnsi="Arial"/>
                <w:sz w:val="14"/>
                <w:szCs w:val="14"/>
                <w:color w:val="FFFFFF"/>
              </w:rPr>
              <w:t>Issues on Non-Executive Directors</w:t>
            </w:r>
          </w:p>
        </w:tc>
      </w:tr>
    </w:tbl>
    <w:p>
      <w:pPr>
        <w:sectPr>
          <w:pgSz w:w="11900" w:h="16838" w:orient="portrait"/>
          <w:cols w:equalWidth="0" w:num="1">
            <w:col w:w="11280"/>
          </w:cols>
          <w:pgMar w:left="240" w:top="1440" w:right="379" w:bottom="1440" w:gutter="0" w:footer="0" w:header="0"/>
        </w:sectPr>
      </w:pPr>
    </w:p>
    <w:bookmarkStart w:id="70" w:name="page71"/>
    <w:bookmarkEnd w:id="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CorporateAnnualReportGovernance201265Report</w:t>
      </w:r>
    </w:p>
    <w:p>
      <w:pPr>
        <w:spacing w:after="0" w:line="187" w:lineRule="auto"/>
        <w:rPr>
          <w:sz w:val="20"/>
          <w:szCs w:val="20"/>
          <w:color w:val="auto"/>
        </w:rPr>
      </w:pPr>
      <w:r>
        <w:rPr>
          <w:rFonts w:ascii="Arial" w:cs="Arial" w:eastAsia="Arial" w:hAnsi="Arial"/>
          <w:sz w:val="9"/>
          <w:szCs w:val="9"/>
          <w:color w:val="FFFFFF"/>
        </w:rPr>
        <w:t>BOARD OF DIRECTORS (CONTINUED)</w:t>
      </w:r>
    </w:p>
    <w:p>
      <w:pPr>
        <w:spacing w:after="0"/>
        <w:rPr>
          <w:sz w:val="20"/>
          <w:szCs w:val="20"/>
          <w:color w:val="auto"/>
        </w:rPr>
      </w:pPr>
      <w:r>
        <w:rPr>
          <w:rFonts w:ascii="Arial" w:cs="Arial" w:eastAsia="Arial" w:hAnsi="Arial"/>
          <w:sz w:val="3"/>
          <w:szCs w:val="3"/>
          <w:color w:val="FFFFFF"/>
        </w:rPr>
        <w:t>TopicsContinuousofTrainingProfessionalDirectorsDevelopmentAttended of Directors (continued)</w:t>
      </w:r>
    </w:p>
    <w:p>
      <w:pPr>
        <w:spacing w:after="0" w:line="194" w:lineRule="auto"/>
        <w:rPr>
          <w:sz w:val="20"/>
          <w:szCs w:val="20"/>
          <w:color w:val="auto"/>
        </w:rPr>
      </w:pPr>
      <w:r>
        <w:rPr>
          <w:rFonts w:ascii="Arial" w:cs="Arial" w:eastAsia="Arial" w:hAnsi="Arial"/>
          <w:sz w:val="5"/>
          <w:szCs w:val="5"/>
          <w:color w:val="FFFFFF"/>
        </w:rPr>
        <w:t>Executive Directors</w:t>
      </w:r>
    </w:p>
    <w:p>
      <w:pPr>
        <w:ind w:right="5520"/>
        <w:spacing w:after="0" w:line="187" w:lineRule="auto"/>
        <w:rPr>
          <w:sz w:val="20"/>
          <w:szCs w:val="20"/>
          <w:color w:val="auto"/>
        </w:rPr>
      </w:pPr>
      <w:r>
        <w:rPr>
          <w:rFonts w:ascii="Arial" w:cs="Arial" w:eastAsia="Arial" w:hAnsi="Arial"/>
          <w:sz w:val="9"/>
          <w:szCs w:val="9"/>
          <w:color w:val="FFFFFF"/>
        </w:rPr>
        <w:t>Mr. Stephen A. Wynn 1, 2, 3 and 4 Ms. Linda Chen 1, 2, 3 and 4 Mr. Ian Michael Coughlan 1, 2, 3 and 4 Non-Executive Directors</w:t>
      </w:r>
    </w:p>
    <w:p>
      <w:pPr>
        <w:spacing w:after="0" w:line="188" w:lineRule="auto"/>
        <w:rPr>
          <w:sz w:val="20"/>
          <w:szCs w:val="20"/>
          <w:color w:val="auto"/>
        </w:rPr>
      </w:pPr>
      <w:r>
        <w:rPr>
          <w:rFonts w:ascii="Arial" w:cs="Arial" w:eastAsia="Arial" w:hAnsi="Arial"/>
          <w:sz w:val="9"/>
          <w:szCs w:val="9"/>
          <w:color w:val="FFFFFF"/>
        </w:rPr>
        <w:t>Mr. Marc D. Schorr 1, 2, 3 and 4</w:t>
      </w:r>
    </w:p>
    <w:p>
      <w:pPr>
        <w:spacing w:after="0"/>
        <w:rPr>
          <w:sz w:val="20"/>
          <w:szCs w:val="20"/>
          <w:color w:val="auto"/>
        </w:rPr>
      </w:pPr>
      <w:r>
        <w:rPr>
          <w:rFonts w:ascii="Arial" w:cs="Arial" w:eastAsia="Arial" w:hAnsi="Arial"/>
          <w:sz w:val="3"/>
          <w:szCs w:val="3"/>
          <w:color w:val="FFFFFF"/>
        </w:rPr>
        <w:t>IndependentDr.AllanZemanNon-1,Executive2and3 Directors</w:t>
      </w:r>
    </w:p>
    <w:p>
      <w:pPr>
        <w:spacing w:after="0" w:line="6" w:lineRule="exact"/>
        <w:rPr>
          <w:sz w:val="20"/>
          <w:szCs w:val="20"/>
          <w:color w:val="auto"/>
        </w:rPr>
      </w:pPr>
    </w:p>
    <w:p>
      <w:pPr>
        <w:ind w:right="5020"/>
        <w:spacing w:after="0" w:line="187" w:lineRule="auto"/>
        <w:rPr>
          <w:sz w:val="20"/>
          <w:szCs w:val="20"/>
          <w:color w:val="auto"/>
        </w:rPr>
      </w:pPr>
      <w:r>
        <w:rPr>
          <w:rFonts w:ascii="Arial" w:cs="Arial" w:eastAsia="Arial" w:hAnsi="Arial"/>
          <w:sz w:val="9"/>
          <w:szCs w:val="9"/>
          <w:color w:val="FFFFFF"/>
        </w:rPr>
        <w:t>Mr. Jeffrey Kin-fung Lam 1, 2 and 3 Mr. Bruce Rockowitz 1, 2 and 3 Mr. Nicholas Sallnow-Smith 1, 2, 3, 4 and 5 BOARD COMMITTEES</w:t>
      </w:r>
    </w:p>
    <w:p>
      <w:pPr>
        <w:spacing w:after="0"/>
        <w:rPr>
          <w:sz w:val="20"/>
          <w:szCs w:val="20"/>
          <w:color w:val="auto"/>
        </w:rPr>
      </w:pPr>
      <w:r>
        <w:rPr>
          <w:rFonts w:ascii="Arial" w:cs="Arial" w:eastAsia="Arial" w:hAnsi="Arial"/>
          <w:sz w:val="6"/>
          <w:szCs w:val="6"/>
          <w:color w:val="FFFFFF"/>
        </w:rPr>
        <w:t>The Board</w:t>
      </w:r>
      <w:r>
        <w:rPr>
          <w:rFonts w:ascii="Arial" w:cs="Arial" w:eastAsia="Arial" w:hAnsi="Arial"/>
          <w:sz w:val="7"/>
          <w:szCs w:val="7"/>
          <w:color w:val="FFFFFF"/>
          <w:vertAlign w:val="superscript"/>
        </w:rPr>
        <w:t>the</w:t>
      </w:r>
      <w:r>
        <w:rPr>
          <w:rFonts w:ascii="Arial" w:cs="Arial" w:eastAsia="Arial" w:hAnsi="Arial"/>
          <w:sz w:val="6"/>
          <w:szCs w:val="6"/>
          <w:color w:val="FFFFFF"/>
        </w:rPr>
        <w:t xml:space="preserve">as received appropriate delegation of its functions and powers and has established appropriate Board committees, with speci? c written terms of reference in order to manage and monitor speci? c </w:t>
      </w:r>
      <w:r>
        <w:rPr>
          <w:rFonts w:ascii="Arial" w:cs="Arial" w:eastAsia="Arial" w:hAnsi="Arial"/>
          <w:sz w:val="7"/>
          <w:szCs w:val="7"/>
          <w:color w:val="FFFFFF"/>
          <w:vertAlign w:val="subscript"/>
        </w:rPr>
        <w:t>advisors</w:t>
      </w:r>
      <w:r>
        <w:rPr>
          <w:rFonts w:ascii="Arial" w:cs="Arial" w:eastAsia="Arial" w:hAnsi="Arial"/>
          <w:sz w:val="6"/>
          <w:szCs w:val="6"/>
          <w:color w:val="FFFFFF"/>
        </w:rPr>
        <w:t>spectsof Group’s affairs. The Board and the Board committees are provided with all necessary resources including the advice of external auditors, external attorneys and other independent professional</w:t>
      </w:r>
    </w:p>
    <w:p>
      <w:pPr>
        <w:ind w:left="500"/>
        <w:spacing w:after="0"/>
        <w:rPr>
          <w:sz w:val="20"/>
          <w:szCs w:val="20"/>
          <w:color w:val="auto"/>
        </w:rPr>
      </w:pPr>
      <w:r>
        <w:rPr>
          <w:rFonts w:ascii="Arial" w:cs="Arial" w:eastAsia="Arial" w:hAnsi="Arial"/>
          <w:sz w:val="14"/>
          <w:szCs w:val="14"/>
          <w:color w:val="FFFFFF"/>
        </w:rPr>
        <w:t>as needed.</w:t>
      </w:r>
    </w:p>
    <w:p>
      <w:pPr>
        <w:sectPr>
          <w:pgSz w:w="11900" w:h="16838" w:orient="portrait"/>
          <w:cols w:equalWidth="0" w:num="1">
            <w:col w:w="11180"/>
          </w:cols>
          <w:pgMar w:left="240" w:top="1440" w:right="479" w:bottom="1440" w:gutter="0" w:footer="0" w:header="0"/>
        </w:sectPr>
      </w:pPr>
    </w:p>
    <w:bookmarkStart w:id="71" w:name="page72"/>
    <w:bookmarkEnd w:id="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20"/>
                <w:szCs w:val="20"/>
                <w:color w:val="auto"/>
              </w:rPr>
            </w:pPr>
            <w:r>
              <w:rPr>
                <w:rFonts w:ascii="Arial" w:cs="Arial" w:eastAsia="Arial" w:hAnsi="Arial"/>
                <w:sz w:val="14"/>
                <w:szCs w:val="14"/>
                <w:color w:val="FFFFFF"/>
              </w:rPr>
              <w:t>66 Wynn Macau, Limited</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9440" w:type="dxa"/>
            <w:vAlign w:val="bottom"/>
          </w:tcPr>
          <w:p>
            <w:pPr>
              <w:spacing w:after="0"/>
              <w:rPr>
                <w:sz w:val="20"/>
                <w:szCs w:val="20"/>
                <w:color w:val="auto"/>
              </w:rPr>
            </w:pPr>
            <w:r>
              <w:rPr>
                <w:rFonts w:ascii="Arial" w:cs="Arial" w:eastAsia="Arial" w:hAnsi="Arial"/>
                <w:sz w:val="3"/>
                <w:szCs w:val="3"/>
                <w:color w:val="FFFFFF"/>
              </w:rPr>
              <w:t>Corporate Governance Report</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40" w:type="dxa"/>
            <w:vAlign w:val="bottom"/>
          </w:tcPr>
          <w:p>
            <w:pPr>
              <w:spacing w:after="0"/>
              <w:rPr>
                <w:sz w:val="20"/>
                <w:szCs w:val="20"/>
                <w:color w:val="auto"/>
              </w:rPr>
            </w:pPr>
            <w:r>
              <w:rPr>
                <w:rFonts w:ascii="Arial" w:cs="Arial" w:eastAsia="Arial" w:hAnsi="Arial"/>
                <w:sz w:val="3"/>
                <w:szCs w:val="3"/>
                <w:color w:val="FFFFFF"/>
              </w:rPr>
              <w:t>BOARD COMMITTEES (CONTINUED)</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40" w:type="dxa"/>
            <w:vAlign w:val="bottom"/>
          </w:tcPr>
          <w:p>
            <w:pPr>
              <w:spacing w:after="0"/>
              <w:rPr>
                <w:sz w:val="20"/>
                <w:szCs w:val="20"/>
                <w:color w:val="auto"/>
              </w:rPr>
            </w:pPr>
            <w:r>
              <w:rPr>
                <w:rFonts w:ascii="Arial" w:cs="Arial" w:eastAsia="Arial" w:hAnsi="Arial"/>
                <w:sz w:val="3"/>
                <w:szCs w:val="3"/>
                <w:color w:val="FFFFFF"/>
              </w:rPr>
              <w:t>Audit Committee</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Company has set up an audit committee in compliance with Rule 3.21 of the Listing Rules, the primary duties of which are to review and supervise the ? nancial reporting process and internal control system</w:t>
            </w:r>
          </w:p>
        </w:tc>
        <w:tc>
          <w:tcPr>
            <w:tcW w:w="0" w:type="dxa"/>
            <w:vAlign w:val="bottom"/>
          </w:tcPr>
          <w:p>
            <w:pPr>
              <w:spacing w:after="0"/>
              <w:rPr>
                <w:sz w:val="1"/>
                <w:szCs w:val="1"/>
                <w:color w:val="auto"/>
              </w:rPr>
            </w:pPr>
          </w:p>
        </w:tc>
      </w:tr>
      <w:tr>
        <w:trPr>
          <w:trHeight w:val="41"/>
        </w:trPr>
        <w:tc>
          <w:tcPr>
            <w:tcW w:w="9440" w:type="dxa"/>
            <w:vAlign w:val="bottom"/>
          </w:tcPr>
          <w:p>
            <w:pPr>
              <w:spacing w:after="0"/>
              <w:rPr>
                <w:sz w:val="20"/>
                <w:szCs w:val="20"/>
                <w:color w:val="auto"/>
              </w:rPr>
            </w:pPr>
            <w:r>
              <w:rPr>
                <w:rFonts w:ascii="Arial" w:cs="Arial" w:eastAsia="Arial" w:hAnsi="Arial"/>
                <w:sz w:val="3"/>
                <w:szCs w:val="3"/>
                <w:color w:val="FFFFFF"/>
              </w:rPr>
              <w:t>of the Group, maintain an appropriate relationship with the Company’s auditors, review and approve connected transactions, and provide advice and comments to the Board.</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audit committee consists of three members: Mr. Nicholas Sallnow-Smith and Mr. Bruce Rockowitz, both of whom are independent non-executive Directors, and Dr. Allan Zeman, a non-executive Director.</w:t>
            </w:r>
          </w:p>
        </w:tc>
        <w:tc>
          <w:tcPr>
            <w:tcW w:w="0" w:type="dxa"/>
            <w:vAlign w:val="bottom"/>
          </w:tcPr>
          <w:p>
            <w:pPr>
              <w:spacing w:after="0"/>
              <w:rPr>
                <w:sz w:val="1"/>
                <w:szCs w:val="1"/>
                <w:color w:val="auto"/>
              </w:rPr>
            </w:pPr>
          </w:p>
        </w:tc>
      </w:tr>
      <w:tr>
        <w:trPr>
          <w:trHeight w:val="41"/>
        </w:trPr>
        <w:tc>
          <w:tcPr>
            <w:tcW w:w="9440" w:type="dxa"/>
            <w:vAlign w:val="bottom"/>
          </w:tcPr>
          <w:p>
            <w:pPr>
              <w:spacing w:after="0"/>
              <w:rPr>
                <w:sz w:val="20"/>
                <w:szCs w:val="20"/>
                <w:color w:val="auto"/>
              </w:rPr>
            </w:pPr>
            <w:r>
              <w:rPr>
                <w:rFonts w:ascii="Arial" w:cs="Arial" w:eastAsia="Arial" w:hAnsi="Arial"/>
                <w:sz w:val="3"/>
                <w:szCs w:val="3"/>
                <w:color w:val="FFFFFF"/>
              </w:rPr>
              <w:t>Mr. Nicholas Sallnow-Smith is the chairman of the audit committee.</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40" w:type="dxa"/>
            <w:vAlign w:val="bottom"/>
          </w:tcPr>
          <w:p>
            <w:pPr>
              <w:spacing w:after="0"/>
              <w:rPr>
                <w:sz w:val="20"/>
                <w:szCs w:val="20"/>
                <w:color w:val="auto"/>
              </w:rPr>
            </w:pPr>
            <w:r>
              <w:rPr>
                <w:rFonts w:ascii="Arial" w:cs="Arial" w:eastAsia="Arial" w:hAnsi="Arial"/>
                <w:sz w:val="3"/>
                <w:szCs w:val="3"/>
                <w:color w:val="FFFFFF"/>
              </w:rPr>
              <w:t>The audit committee held three meetings during the year ended 31 December 2012. The attendance record of these meetings is set out below.</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40" w:type="dxa"/>
            <w:vAlign w:val="bottom"/>
          </w:tcPr>
          <w:p>
            <w:pPr>
              <w:spacing w:after="0"/>
              <w:rPr>
                <w:sz w:val="20"/>
                <w:szCs w:val="20"/>
                <w:color w:val="auto"/>
              </w:rPr>
            </w:pPr>
            <w:r>
              <w:rPr>
                <w:rFonts w:ascii="Arial" w:cs="Arial" w:eastAsia="Arial" w:hAnsi="Arial"/>
                <w:sz w:val="3"/>
                <w:szCs w:val="3"/>
                <w:color w:val="FFFFFF"/>
              </w:rPr>
              <w:t>Number of</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40" w:type="dxa"/>
            <w:vAlign w:val="bottom"/>
          </w:tcPr>
          <w:p>
            <w:pPr>
              <w:spacing w:after="0"/>
              <w:rPr>
                <w:sz w:val="20"/>
                <w:szCs w:val="20"/>
                <w:color w:val="auto"/>
              </w:rPr>
            </w:pPr>
            <w:r>
              <w:rPr>
                <w:rFonts w:ascii="Arial" w:cs="Arial" w:eastAsia="Arial" w:hAnsi="Arial"/>
                <w:sz w:val="3"/>
                <w:szCs w:val="3"/>
                <w:color w:val="FFFFFF"/>
              </w:rPr>
              <w:t>meetings</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40" w:type="dxa"/>
            <w:vAlign w:val="bottom"/>
          </w:tcPr>
          <w:p>
            <w:pPr>
              <w:spacing w:after="0"/>
              <w:rPr>
                <w:sz w:val="20"/>
                <w:szCs w:val="20"/>
                <w:color w:val="auto"/>
              </w:rPr>
            </w:pPr>
            <w:r>
              <w:rPr>
                <w:rFonts w:ascii="Arial" w:cs="Arial" w:eastAsia="Arial" w:hAnsi="Arial"/>
                <w:sz w:val="3"/>
                <w:szCs w:val="3"/>
                <w:color w:val="FFFFFF"/>
              </w:rPr>
              <w:t>attended/held</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40" w:type="dxa"/>
            <w:vAlign w:val="bottom"/>
          </w:tcPr>
          <w:p>
            <w:pPr>
              <w:spacing w:after="0"/>
              <w:rPr>
                <w:sz w:val="20"/>
                <w:szCs w:val="20"/>
                <w:color w:val="auto"/>
              </w:rPr>
            </w:pPr>
            <w:r>
              <w:rPr>
                <w:rFonts w:ascii="Arial" w:cs="Arial" w:eastAsia="Arial" w:hAnsi="Arial"/>
                <w:sz w:val="3"/>
                <w:szCs w:val="3"/>
                <w:color w:val="FFFFFF"/>
              </w:rPr>
              <w:t>Name of committee member during 2012 Attendance rate</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40" w:type="dxa"/>
            <w:vAlign w:val="bottom"/>
          </w:tcPr>
          <w:p>
            <w:pPr>
              <w:ind w:left="240"/>
              <w:spacing w:after="0"/>
              <w:rPr>
                <w:sz w:val="20"/>
                <w:szCs w:val="20"/>
                <w:color w:val="auto"/>
              </w:rPr>
            </w:pPr>
            <w:r>
              <w:rPr>
                <w:rFonts w:ascii="Arial" w:cs="Arial" w:eastAsia="Arial" w:hAnsi="Arial"/>
                <w:sz w:val="3"/>
                <w:szCs w:val="3"/>
                <w:color w:val="FFFFFF"/>
              </w:rPr>
              <w:t>Bruce Rockowitz 3/3 100%</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40" w:type="dxa"/>
            <w:vAlign w:val="bottom"/>
          </w:tcPr>
          <w:p>
            <w:pPr>
              <w:ind w:left="160"/>
              <w:spacing w:after="0"/>
              <w:rPr>
                <w:sz w:val="20"/>
                <w:szCs w:val="20"/>
                <w:color w:val="auto"/>
              </w:rPr>
            </w:pPr>
            <w:r>
              <w:rPr>
                <w:rFonts w:ascii="Arial" w:cs="Arial" w:eastAsia="Arial" w:hAnsi="Arial"/>
                <w:sz w:val="3"/>
                <w:szCs w:val="3"/>
                <w:color w:val="FFFFFF"/>
              </w:rPr>
              <w:t>. Nicholas Sallnow-Smith 3/3 100%</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440" w:type="dxa"/>
            <w:vAlign w:val="bottom"/>
          </w:tcPr>
          <w:p>
            <w:pPr>
              <w:spacing w:after="0"/>
              <w:rPr>
                <w:sz w:val="20"/>
                <w:szCs w:val="20"/>
                <w:color w:val="auto"/>
              </w:rPr>
            </w:pPr>
            <w:r>
              <w:rPr>
                <w:rFonts w:ascii="Arial" w:cs="Arial" w:eastAsia="Arial" w:hAnsi="Arial"/>
                <w:sz w:val="3"/>
                <w:szCs w:val="3"/>
                <w:color w:val="FFFFFF"/>
              </w:rPr>
              <w:t>Mr. Allan Zeman 3/3 100%</w:t>
            </w:r>
          </w:p>
        </w:tc>
        <w:tc>
          <w:tcPr>
            <w:tcW w:w="196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ended 31 December 2011 and</w:t>
            </w:r>
          </w:p>
        </w:tc>
        <w:tc>
          <w:tcPr>
            <w:tcW w:w="0" w:type="dxa"/>
            <w:vAlign w:val="bottom"/>
          </w:tcPr>
          <w:p>
            <w:pPr>
              <w:spacing w:after="0"/>
              <w:rPr>
                <w:sz w:val="1"/>
                <w:szCs w:val="1"/>
                <w:color w:val="auto"/>
              </w:rPr>
            </w:pPr>
          </w:p>
        </w:tc>
      </w:tr>
      <w:tr>
        <w:trPr>
          <w:trHeight w:val="41"/>
        </w:trPr>
        <w:tc>
          <w:tcPr>
            <w:tcW w:w="9440" w:type="dxa"/>
            <w:vAlign w:val="bottom"/>
          </w:tcPr>
          <w:p>
            <w:pPr>
              <w:spacing w:after="0"/>
              <w:rPr>
                <w:sz w:val="20"/>
                <w:szCs w:val="20"/>
                <w:color w:val="auto"/>
              </w:rPr>
            </w:pPr>
            <w:r>
              <w:rPr>
                <w:rFonts w:ascii="Arial" w:cs="Arial" w:eastAsia="Arial" w:hAnsi="Arial"/>
                <w:sz w:val="3"/>
                <w:szCs w:val="3"/>
                <w:color w:val="FFFFFF"/>
              </w:rPr>
              <w:t>During the meetings, the audit committee met with the external auditors and senior management, reviewed the ? nancial statements, results announcements and reports for the</w:t>
            </w:r>
          </w:p>
        </w:tc>
        <w:tc>
          <w:tcPr>
            <w:tcW w:w="1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9440" w:type="dxa"/>
            <w:vAlign w:val="bottom"/>
          </w:tcPr>
          <w:p>
            <w:pPr>
              <w:spacing w:after="0" w:line="80" w:lineRule="exact"/>
              <w:rPr>
                <w:sz w:val="20"/>
                <w:szCs w:val="20"/>
                <w:color w:val="auto"/>
              </w:rPr>
            </w:pPr>
            <w:r>
              <w:rPr>
                <w:rFonts w:ascii="Arial" w:cs="Arial" w:eastAsia="Arial" w:hAnsi="Arial"/>
                <w:sz w:val="9"/>
                <w:szCs w:val="9"/>
                <w:color w:val="FFFFFF"/>
              </w:rPr>
              <w:t>for the six months ended 30 June 2012, the accounting principles and practices adopted by the Group and the relevant audit ? ndings, reviewed and discussed with the</w:t>
            </w:r>
          </w:p>
        </w:tc>
        <w:tc>
          <w:tcPr>
            <w:tcW w:w="1960" w:type="dxa"/>
            <w:vAlign w:val="bottom"/>
          </w:tcPr>
          <w:p>
            <w:pPr>
              <w:ind w:left="20"/>
              <w:spacing w:after="0" w:line="80" w:lineRule="exact"/>
              <w:rPr>
                <w:sz w:val="20"/>
                <w:szCs w:val="20"/>
                <w:color w:val="auto"/>
              </w:rPr>
            </w:pPr>
            <w:r>
              <w:rPr>
                <w:rFonts w:ascii="Arial" w:cs="Arial" w:eastAsia="Arial" w:hAnsi="Arial"/>
                <w:sz w:val="9"/>
                <w:szCs w:val="9"/>
                <w:color w:val="FFFFFF"/>
              </w:rPr>
              <w:t>yearof report on the adequacy and</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effectiveness of the Company’</w:t>
      </w:r>
      <w:r>
        <w:rPr>
          <w:rFonts w:ascii="Arial" w:cs="Arial" w:eastAsia="Arial" w:hAnsi="Arial"/>
          <w:sz w:val="1"/>
          <w:szCs w:val="1"/>
          <w:color w:val="FFFFFF"/>
          <w:vertAlign w:val="subscript"/>
        </w:rPr>
        <w:t>uncertainties</w:t>
      </w:r>
      <w:r>
        <w:rPr>
          <w:rFonts w:ascii="Arial" w:cs="Arial" w:eastAsia="Arial" w:hAnsi="Arial"/>
          <w:sz w:val="1"/>
          <w:szCs w:val="1"/>
          <w:color w:val="FFFFFF"/>
        </w:rPr>
        <w:t>financial reporting system, internal control system and risk management system and associated procedures and considered the internalauditorsplan and report.</w:t>
      </w:r>
    </w:p>
    <w:p>
      <w:pPr>
        <w:ind w:right="100"/>
        <w:spacing w:after="0" w:line="190" w:lineRule="auto"/>
        <w:rPr>
          <w:sz w:val="20"/>
          <w:szCs w:val="20"/>
          <w:color w:val="auto"/>
        </w:rPr>
      </w:pPr>
      <w:r>
        <w:rPr>
          <w:rFonts w:ascii="Arial" w:cs="Arial" w:eastAsia="Arial" w:hAnsi="Arial"/>
          <w:sz w:val="11"/>
          <w:szCs w:val="11"/>
          <w:color w:val="FFFFFF"/>
        </w:rPr>
        <w:t>There are no material relating to events or conditions that may cast signifi cant doubt on the Company’s ability to continue as a going concern. There is no disagreement between the Board and the audit committee regarding the selection and appointment of external auditors.</w:t>
      </w:r>
    </w:p>
    <w:p>
      <w:pPr>
        <w:sectPr>
          <w:pgSz w:w="11900" w:h="16838" w:orient="portrait"/>
          <w:cols w:equalWidth="0" w:num="1">
            <w:col w:w="11400"/>
          </w:cols>
          <w:pgMar w:left="240" w:top="1440" w:right="25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20"/>
                <w:szCs w:val="20"/>
                <w:color w:val="auto"/>
              </w:rPr>
            </w:pPr>
            <w:r>
              <w:rPr>
                <w:rFonts w:ascii="Arial" w:cs="Arial" w:eastAsia="Arial" w:hAnsi="Arial"/>
                <w:sz w:val="14"/>
                <w:szCs w:val="14"/>
                <w:color w:val="FFFFFF"/>
              </w:rPr>
              <w:t>Annual Report 2012 67</w:t>
            </w:r>
          </w:p>
        </w:tc>
        <w:tc>
          <w:tcPr>
            <w:tcW w:w="74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920" w:type="dxa"/>
            <w:vAlign w:val="bottom"/>
          </w:tcPr>
          <w:p>
            <w:pPr>
              <w:spacing w:after="0"/>
              <w:rPr>
                <w:sz w:val="20"/>
                <w:szCs w:val="20"/>
                <w:color w:val="auto"/>
              </w:rPr>
            </w:pPr>
            <w:r>
              <w:rPr>
                <w:rFonts w:ascii="Arial" w:cs="Arial" w:eastAsia="Arial" w:hAnsi="Arial"/>
                <w:sz w:val="3"/>
                <w:szCs w:val="3"/>
                <w:color w:val="FFFFFF"/>
              </w:rPr>
              <w:t>Corporate Governance Report</w:t>
            </w:r>
          </w:p>
        </w:tc>
        <w:tc>
          <w:tcPr>
            <w:tcW w:w="740" w:type="dxa"/>
            <w:vAlign w:val="bottom"/>
          </w:tcPr>
          <w:p>
            <w:pPr>
              <w:spacing w:after="0"/>
              <w:rPr>
                <w:sz w:val="3"/>
                <w:szCs w:val="3"/>
                <w:color w:val="auto"/>
              </w:rPr>
            </w:pPr>
          </w:p>
        </w:tc>
        <w:tc>
          <w:tcPr>
            <w:tcW w:w="5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20" w:type="dxa"/>
            <w:vAlign w:val="bottom"/>
          </w:tcPr>
          <w:p>
            <w:pPr>
              <w:spacing w:after="0"/>
              <w:rPr>
                <w:sz w:val="20"/>
                <w:szCs w:val="20"/>
                <w:color w:val="auto"/>
              </w:rPr>
            </w:pPr>
            <w:r>
              <w:rPr>
                <w:rFonts w:ascii="Arial" w:cs="Arial" w:eastAsia="Arial" w:hAnsi="Arial"/>
                <w:sz w:val="3"/>
                <w:szCs w:val="3"/>
                <w:color w:val="FFFFFF"/>
              </w:rPr>
              <w:t>BOARD COMMITTEES (CONTINUED)</w:t>
            </w:r>
          </w:p>
        </w:tc>
        <w:tc>
          <w:tcPr>
            <w:tcW w:w="740" w:type="dxa"/>
            <w:vAlign w:val="bottom"/>
          </w:tcPr>
          <w:p>
            <w:pPr>
              <w:spacing w:after="0"/>
              <w:rPr>
                <w:sz w:val="3"/>
                <w:szCs w:val="3"/>
                <w:color w:val="auto"/>
              </w:rPr>
            </w:pPr>
          </w:p>
        </w:tc>
        <w:tc>
          <w:tcPr>
            <w:tcW w:w="5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20" w:type="dxa"/>
            <w:vAlign w:val="bottom"/>
          </w:tcPr>
          <w:p>
            <w:pPr>
              <w:spacing w:after="0"/>
              <w:rPr>
                <w:sz w:val="20"/>
                <w:szCs w:val="20"/>
                <w:color w:val="auto"/>
              </w:rPr>
            </w:pPr>
            <w:r>
              <w:rPr>
                <w:rFonts w:ascii="Arial" w:cs="Arial" w:eastAsia="Arial" w:hAnsi="Arial"/>
                <w:sz w:val="3"/>
                <w:szCs w:val="3"/>
                <w:color w:val="FFFFFF"/>
              </w:rPr>
              <w:t>Audit Committee (continued)</w:t>
            </w:r>
          </w:p>
        </w:tc>
        <w:tc>
          <w:tcPr>
            <w:tcW w:w="740" w:type="dxa"/>
            <w:vAlign w:val="bottom"/>
          </w:tcPr>
          <w:p>
            <w:pPr>
              <w:spacing w:after="0"/>
              <w:rPr>
                <w:sz w:val="3"/>
                <w:szCs w:val="3"/>
                <w:color w:val="auto"/>
              </w:rPr>
            </w:pPr>
          </w:p>
        </w:tc>
        <w:tc>
          <w:tcPr>
            <w:tcW w:w="5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ind w:left="440"/>
              <w:spacing w:after="0"/>
              <w:rPr>
                <w:sz w:val="20"/>
                <w:szCs w:val="20"/>
                <w:color w:val="auto"/>
              </w:rPr>
            </w:pPr>
            <w:r>
              <w:rPr>
                <w:rFonts w:ascii="Arial" w:cs="Arial" w:eastAsia="Arial" w:hAnsi="Arial"/>
                <w:sz w:val="3"/>
                <w:szCs w:val="3"/>
                <w:color w:val="FFFFFF"/>
              </w:rPr>
              <w:t>reviewed the new requirements, code provisions and best recommended practices in relation to corporate governance practices and associated Listing Rules announced by the Hong Kong Stock Exchange</w:t>
            </w:r>
          </w:p>
        </w:tc>
        <w:tc>
          <w:tcPr>
            <w:tcW w:w="0" w:type="dxa"/>
            <w:vAlign w:val="bottom"/>
          </w:tcPr>
          <w:p>
            <w:pPr>
              <w:spacing w:after="0"/>
              <w:rPr>
                <w:sz w:val="1"/>
                <w:szCs w:val="1"/>
                <w:color w:val="auto"/>
              </w:rPr>
            </w:pPr>
          </w:p>
        </w:tc>
      </w:tr>
      <w:tr>
        <w:trPr>
          <w:trHeight w:val="41"/>
        </w:trPr>
        <w:tc>
          <w:tcPr>
            <w:tcW w:w="4920" w:type="dxa"/>
            <w:vAlign w:val="bottom"/>
          </w:tcPr>
          <w:p>
            <w:pPr>
              <w:spacing w:after="0"/>
              <w:rPr>
                <w:sz w:val="20"/>
                <w:szCs w:val="20"/>
                <w:color w:val="auto"/>
              </w:rPr>
            </w:pPr>
            <w:r>
              <w:rPr>
                <w:rFonts w:ascii="Arial" w:cs="Arial" w:eastAsia="Arial" w:hAnsi="Arial"/>
                <w:sz w:val="3"/>
                <w:szCs w:val="3"/>
                <w:color w:val="FFFFFF"/>
              </w:rPr>
              <w:t>HavingOctober 2011, the audit committee and the nomination and corporate governance</w:t>
            </w:r>
          </w:p>
        </w:tc>
        <w:tc>
          <w:tcPr>
            <w:tcW w:w="6500" w:type="dxa"/>
            <w:vAlign w:val="bottom"/>
            <w:gridSpan w:val="2"/>
          </w:tcPr>
          <w:p>
            <w:pPr>
              <w:ind w:left="240"/>
              <w:spacing w:after="0"/>
              <w:rPr>
                <w:sz w:val="20"/>
                <w:szCs w:val="20"/>
                <w:color w:val="auto"/>
              </w:rPr>
            </w:pPr>
            <w:r>
              <w:rPr>
                <w:rFonts w:ascii="Arial" w:cs="Arial" w:eastAsia="Arial" w:hAnsi="Arial"/>
                <w:sz w:val="3"/>
                <w:szCs w:val="3"/>
                <w:color w:val="FFFFFF"/>
              </w:rPr>
              <w:t>presented to the Board amendm nts to the committee’ written terms of reference which were subsequently</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approved by the Board and adopted by the audit committee on 27 March 2012. The committee’s terms of reference are available for viewing on the websites of the Company and the Hong Kong Stock Exchange.</w:t>
            </w:r>
          </w:p>
        </w:tc>
        <w:tc>
          <w:tcPr>
            <w:tcW w:w="0" w:type="dxa"/>
            <w:vAlign w:val="bottom"/>
          </w:tcPr>
          <w:p>
            <w:pPr>
              <w:spacing w:after="0"/>
              <w:rPr>
                <w:sz w:val="1"/>
                <w:szCs w:val="1"/>
                <w:color w:val="auto"/>
              </w:rPr>
            </w:pPr>
          </w:p>
        </w:tc>
      </w:tr>
      <w:tr>
        <w:trPr>
          <w:trHeight w:val="41"/>
        </w:trPr>
        <w:tc>
          <w:tcPr>
            <w:tcW w:w="4920" w:type="dxa"/>
            <w:vAlign w:val="bottom"/>
          </w:tcPr>
          <w:p>
            <w:pPr>
              <w:spacing w:after="0"/>
              <w:rPr>
                <w:sz w:val="20"/>
                <w:szCs w:val="20"/>
                <w:color w:val="auto"/>
              </w:rPr>
            </w:pPr>
            <w:r>
              <w:rPr>
                <w:rFonts w:ascii="Arial" w:cs="Arial" w:eastAsia="Arial" w:hAnsi="Arial"/>
                <w:sz w:val="3"/>
                <w:szCs w:val="3"/>
                <w:color w:val="FFFFFF"/>
              </w:rPr>
              <w:t>Remuneration Committee</w:t>
            </w:r>
          </w:p>
        </w:tc>
        <w:tc>
          <w:tcPr>
            <w:tcW w:w="740" w:type="dxa"/>
            <w:vAlign w:val="bottom"/>
          </w:tcPr>
          <w:p>
            <w:pPr>
              <w:spacing w:after="0"/>
              <w:rPr>
                <w:sz w:val="3"/>
                <w:szCs w:val="3"/>
                <w:color w:val="auto"/>
              </w:rPr>
            </w:pPr>
          </w:p>
        </w:tc>
        <w:tc>
          <w:tcPr>
            <w:tcW w:w="576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determining the policy and structure for the remuneration of Directors, evaluating the performance of</w:t>
            </w:r>
          </w:p>
        </w:tc>
        <w:tc>
          <w:tcPr>
            <w:tcW w:w="0" w:type="dxa"/>
            <w:vAlign w:val="bottom"/>
          </w:tcPr>
          <w:p>
            <w:pPr>
              <w:spacing w:after="0"/>
              <w:rPr>
                <w:sz w:val="1"/>
                <w:szCs w:val="1"/>
                <w:color w:val="auto"/>
              </w:rPr>
            </w:pPr>
          </w:p>
        </w:tc>
      </w:tr>
      <w:tr>
        <w:trPr>
          <w:trHeight w:val="41"/>
        </w:trPr>
        <w:tc>
          <w:tcPr>
            <w:tcW w:w="5660" w:type="dxa"/>
            <w:vAlign w:val="bottom"/>
            <w:gridSpan w:val="2"/>
          </w:tcPr>
          <w:p>
            <w:pPr>
              <w:spacing w:after="0"/>
              <w:rPr>
                <w:sz w:val="20"/>
                <w:szCs w:val="20"/>
                <w:color w:val="auto"/>
              </w:rPr>
            </w:pPr>
            <w:r>
              <w:rPr>
                <w:rFonts w:ascii="Arial" w:cs="Arial" w:eastAsia="Arial" w:hAnsi="Arial"/>
                <w:sz w:val="3"/>
                <w:szCs w:val="3"/>
                <w:color w:val="FFFFFF"/>
              </w:rPr>
              <w:t>The Company has set up  remuneration committee, the primary duties of which are to assist the Board</w:t>
            </w:r>
          </w:p>
        </w:tc>
        <w:tc>
          <w:tcPr>
            <w:tcW w:w="57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20" w:type="dxa"/>
            <w:vAlign w:val="bottom"/>
          </w:tcPr>
          <w:p>
            <w:pPr>
              <w:ind w:left="540"/>
              <w:spacing w:after="0"/>
              <w:rPr>
                <w:sz w:val="20"/>
                <w:szCs w:val="20"/>
                <w:color w:val="auto"/>
              </w:rPr>
            </w:pPr>
            <w:r>
              <w:rPr>
                <w:rFonts w:ascii="Arial" w:cs="Arial" w:eastAsia="Arial" w:hAnsi="Arial"/>
                <w:sz w:val="3"/>
                <w:szCs w:val="3"/>
                <w:color w:val="FFFFFF"/>
              </w:rPr>
              <w:t>and senior management, reviewing incentive schemes and Directors’ service</w:t>
            </w:r>
          </w:p>
        </w:tc>
        <w:tc>
          <w:tcPr>
            <w:tcW w:w="6500" w:type="dxa"/>
            <w:vAlign w:val="bottom"/>
            <w:gridSpan w:val="2"/>
          </w:tcPr>
          <w:p>
            <w:pPr>
              <w:ind w:left="320"/>
              <w:spacing w:after="0"/>
              <w:rPr>
                <w:sz w:val="20"/>
                <w:szCs w:val="20"/>
                <w:color w:val="auto"/>
              </w:rPr>
            </w:pPr>
            <w:r>
              <w:rPr>
                <w:rFonts w:ascii="Arial" w:cs="Arial" w:eastAsia="Arial" w:hAnsi="Arial"/>
                <w:sz w:val="3"/>
                <w:szCs w:val="3"/>
                <w:color w:val="FFFFFF"/>
              </w:rPr>
              <w:t>and fi xing the remuneration packages for all Directors and senior management. The remuneration packages of all</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Directors is determined by the remuneration committee in accordance with the committee’contractswritten terms of reference, and with the delegated authority of the Board. Determination of such matters is based on</w:t>
            </w:r>
          </w:p>
        </w:tc>
        <w:tc>
          <w:tcPr>
            <w:tcW w:w="0" w:type="dxa"/>
            <w:vAlign w:val="bottom"/>
          </w:tcPr>
          <w:p>
            <w:pPr>
              <w:spacing w:after="0"/>
              <w:rPr>
                <w:sz w:val="1"/>
                <w:szCs w:val="1"/>
                <w:color w:val="auto"/>
              </w:rPr>
            </w:pPr>
          </w:p>
        </w:tc>
      </w:tr>
      <w:tr>
        <w:trPr>
          <w:trHeight w:val="0"/>
        </w:trPr>
        <w:tc>
          <w:tcPr>
            <w:tcW w:w="5660" w:type="dxa"/>
            <w:vAlign w:val="bottom"/>
            <w:gridSpan w:val="2"/>
          </w:tcPr>
          <w:p>
            <w:pPr>
              <w:spacing w:after="0" w:line="80" w:lineRule="exact"/>
              <w:rPr>
                <w:sz w:val="20"/>
                <w:szCs w:val="20"/>
                <w:color w:val="auto"/>
              </w:rPr>
            </w:pPr>
            <w:r>
              <w:rPr>
                <w:rFonts w:ascii="Arial" w:cs="Arial" w:eastAsia="Arial" w:hAnsi="Arial"/>
                <w:sz w:val="9"/>
                <w:szCs w:val="9"/>
                <w:color w:val="FFFFFF"/>
              </w:rPr>
              <w:t>the Group’s performance and the Directors’ and senior management members’ respective contributions</w:t>
            </w:r>
          </w:p>
        </w:tc>
        <w:tc>
          <w:tcPr>
            <w:tcW w:w="5760" w:type="dxa"/>
            <w:vAlign w:val="bottom"/>
          </w:tcPr>
          <w:p>
            <w:pPr>
              <w:ind w:left="100"/>
              <w:spacing w:after="0" w:line="80" w:lineRule="exact"/>
              <w:rPr>
                <w:sz w:val="20"/>
                <w:szCs w:val="20"/>
                <w:color w:val="auto"/>
              </w:rPr>
            </w:pPr>
            <w:r>
              <w:rPr>
                <w:rFonts w:ascii="Arial" w:cs="Arial" w:eastAsia="Arial" w:hAnsi="Arial"/>
                <w:sz w:val="9"/>
                <w:szCs w:val="9"/>
                <w:color w:val="FFFFFF"/>
              </w:rPr>
              <w:t>the Group.</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The remuneration committee consists of four members: Mr. Matthew O. Maddox,</w:t>
      </w:r>
      <w:r>
        <w:rPr>
          <w:rFonts w:ascii="Arial" w:cs="Arial" w:eastAsia="Arial" w:hAnsi="Arial"/>
          <w:sz w:val="1"/>
          <w:szCs w:val="1"/>
          <w:color w:val="FFFFFF"/>
          <w:vertAlign w:val="subscript"/>
        </w:rPr>
        <w:t>chairman</w:t>
      </w:r>
      <w:r>
        <w:rPr>
          <w:rFonts w:ascii="Arial" w:cs="Arial" w:eastAsia="Arial" w:hAnsi="Arial"/>
          <w:sz w:val="1"/>
          <w:szCs w:val="1"/>
          <w:color w:val="FFFFFF"/>
        </w:rPr>
        <w:t>non-executive Director, and Mr. Nicholas Sallnow-Smith, Mr. Bruce Rockowitz and Mr. Jeffrey Kin-fung Lam, all of whom</w:t>
      </w:r>
    </w:p>
    <w:p>
      <w:pPr>
        <w:ind w:right="920"/>
        <w:spacing w:after="0" w:line="230" w:lineRule="auto"/>
        <w:rPr>
          <w:sz w:val="20"/>
          <w:szCs w:val="20"/>
          <w:color w:val="auto"/>
        </w:rPr>
      </w:pPr>
      <w:r>
        <w:rPr>
          <w:rFonts w:ascii="Arial" w:cs="Arial" w:eastAsia="Arial" w:hAnsi="Arial"/>
          <w:sz w:val="11"/>
          <w:szCs w:val="11"/>
          <w:color w:val="FFFFFF"/>
        </w:rPr>
        <w:t>are independent non-executive Directors. Mr. Nicholas Sallnow-Smith is the of the remuneration committee. Mr. Marc D. Schorr retired as a member of the remuneration committee on 28 March 2013.</w:t>
      </w:r>
    </w:p>
    <w:p>
      <w:pPr>
        <w:spacing w:after="0" w:line="188" w:lineRule="auto"/>
        <w:rPr>
          <w:sz w:val="20"/>
          <w:szCs w:val="20"/>
          <w:color w:val="auto"/>
        </w:rPr>
      </w:pPr>
      <w:r>
        <w:rPr>
          <w:rFonts w:ascii="Arial" w:cs="Arial" w:eastAsia="Arial" w:hAnsi="Arial"/>
          <w:sz w:val="9"/>
          <w:szCs w:val="9"/>
          <w:color w:val="FFFFFF"/>
        </w:rPr>
        <w:t>NumberTheremunerationof committee held two meetings during the year ended 31 December 2012. The attendance record of these meetings is set out below.</w:t>
      </w:r>
    </w:p>
    <w:p>
      <w:pPr>
        <w:spacing w:after="0" w:line="188" w:lineRule="auto"/>
        <w:rPr>
          <w:sz w:val="20"/>
          <w:szCs w:val="20"/>
          <w:color w:val="auto"/>
        </w:rPr>
      </w:pPr>
      <w:r>
        <w:rPr>
          <w:rFonts w:ascii="Arial" w:cs="Arial" w:eastAsia="Arial" w:hAnsi="Arial"/>
          <w:sz w:val="9"/>
          <w:szCs w:val="9"/>
          <w:color w:val="FFFFFF"/>
        </w:rPr>
        <w:t>attended/heldmeetings</w:t>
      </w:r>
    </w:p>
    <w:p>
      <w:pPr>
        <w:spacing w:after="0"/>
        <w:rPr>
          <w:sz w:val="20"/>
          <w:szCs w:val="20"/>
          <w:color w:val="auto"/>
        </w:rPr>
      </w:pPr>
      <w:r>
        <w:rPr>
          <w:rFonts w:ascii="Arial" w:cs="Arial" w:eastAsia="Arial" w:hAnsi="Arial"/>
          <w:sz w:val="3"/>
          <w:szCs w:val="3"/>
          <w:color w:val="FFFFFF"/>
        </w:rPr>
        <w:t>NameJeffreyofcommitteeKin-fungmemberLam2/2during100% 2012 Attendance rate</w:t>
      </w:r>
    </w:p>
    <w:p>
      <w:pPr>
        <w:ind w:left="240"/>
        <w:spacing w:after="0" w:line="194" w:lineRule="auto"/>
        <w:rPr>
          <w:sz w:val="20"/>
          <w:szCs w:val="20"/>
          <w:color w:val="auto"/>
        </w:rPr>
      </w:pPr>
      <w:r>
        <w:rPr>
          <w:rFonts w:ascii="Arial" w:cs="Arial" w:eastAsia="Arial" w:hAnsi="Arial"/>
          <w:sz w:val="5"/>
          <w:szCs w:val="5"/>
          <w:color w:val="FFFFFF"/>
        </w:rPr>
        <w:t>Bruce Rockowitz 2/2 100%</w:t>
      </w:r>
    </w:p>
    <w:p>
      <w:pPr>
        <w:spacing w:after="0" w:line="211" w:lineRule="auto"/>
        <w:rPr>
          <w:sz w:val="20"/>
          <w:szCs w:val="20"/>
          <w:color w:val="auto"/>
        </w:rPr>
      </w:pPr>
      <w:r>
        <w:rPr>
          <w:rFonts w:ascii="Arial" w:cs="Arial" w:eastAsia="Arial" w:hAnsi="Arial"/>
          <w:sz w:val="4"/>
          <w:szCs w:val="4"/>
          <w:color w:val="FFFFFF"/>
          <w:vertAlign w:val="superscript"/>
        </w:rPr>
        <w:t>Mr.</w:t>
      </w:r>
    </w:p>
    <w:p>
      <w:pPr>
        <w:ind w:left="240"/>
        <w:spacing w:after="0"/>
        <w:rPr>
          <w:sz w:val="20"/>
          <w:szCs w:val="20"/>
          <w:color w:val="auto"/>
        </w:rPr>
      </w:pPr>
      <w:r>
        <w:rPr>
          <w:rFonts w:ascii="Arial" w:cs="Arial" w:eastAsia="Arial" w:hAnsi="Arial"/>
          <w:sz w:val="14"/>
          <w:szCs w:val="14"/>
          <w:color w:val="FFFFFF"/>
        </w:rPr>
        <w:t>MarcNicholasD. SchorrSallnow2/2-Smith100%2/2 100%</w:t>
      </w:r>
    </w:p>
    <w:p>
      <w:pPr>
        <w:sectPr>
          <w:pgSz w:w="11900" w:h="16838" w:orient="portrait"/>
          <w:cols w:equalWidth="0" w:num="1">
            <w:col w:w="11420"/>
          </w:cols>
          <w:pgMar w:left="240" w:top="1440" w:right="23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spacing w:after="0"/>
              <w:rPr>
                <w:sz w:val="20"/>
                <w:szCs w:val="20"/>
                <w:color w:val="auto"/>
              </w:rPr>
            </w:pPr>
            <w:r>
              <w:rPr>
                <w:rFonts w:ascii="Arial" w:cs="Arial" w:eastAsia="Arial" w:hAnsi="Arial"/>
                <w:sz w:val="14"/>
                <w:szCs w:val="14"/>
                <w:color w:val="FFFFFF"/>
              </w:rPr>
              <w:t>68 Wynn Macau, Limited</w:t>
            </w:r>
          </w:p>
        </w:tc>
        <w:tc>
          <w:tcPr>
            <w:tcW w:w="4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4980" w:type="dxa"/>
            <w:vAlign w:val="bottom"/>
            <w:gridSpan w:val="3"/>
          </w:tcPr>
          <w:p>
            <w:pPr>
              <w:spacing w:after="0"/>
              <w:rPr>
                <w:sz w:val="20"/>
                <w:szCs w:val="20"/>
                <w:color w:val="auto"/>
              </w:rPr>
            </w:pPr>
            <w:r>
              <w:rPr>
                <w:rFonts w:ascii="Arial" w:cs="Arial" w:eastAsia="Arial" w:hAnsi="Arial"/>
                <w:sz w:val="3"/>
                <w:szCs w:val="3"/>
                <w:color w:val="FFFFFF"/>
              </w:rPr>
              <w:t>Corporate Governance Report</w:t>
            </w:r>
          </w:p>
        </w:tc>
        <w:tc>
          <w:tcPr>
            <w:tcW w:w="4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80" w:type="dxa"/>
            <w:vAlign w:val="bottom"/>
            <w:gridSpan w:val="3"/>
          </w:tcPr>
          <w:p>
            <w:pPr>
              <w:spacing w:after="0"/>
              <w:rPr>
                <w:sz w:val="20"/>
                <w:szCs w:val="20"/>
                <w:color w:val="auto"/>
              </w:rPr>
            </w:pPr>
            <w:r>
              <w:rPr>
                <w:rFonts w:ascii="Arial" w:cs="Arial" w:eastAsia="Arial" w:hAnsi="Arial"/>
                <w:sz w:val="3"/>
                <w:szCs w:val="3"/>
                <w:color w:val="FFFFFF"/>
              </w:rPr>
              <w:t>BOARD COMMITTEES (CONTINUED)</w:t>
            </w:r>
          </w:p>
        </w:tc>
        <w:tc>
          <w:tcPr>
            <w:tcW w:w="4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80" w:type="dxa"/>
            <w:vAlign w:val="bottom"/>
            <w:gridSpan w:val="3"/>
          </w:tcPr>
          <w:p>
            <w:pPr>
              <w:spacing w:after="0"/>
              <w:rPr>
                <w:sz w:val="20"/>
                <w:szCs w:val="20"/>
                <w:color w:val="auto"/>
              </w:rPr>
            </w:pPr>
            <w:r>
              <w:rPr>
                <w:rFonts w:ascii="Arial" w:cs="Arial" w:eastAsia="Arial" w:hAnsi="Arial"/>
                <w:sz w:val="3"/>
                <w:szCs w:val="3"/>
                <w:color w:val="FFFFFF"/>
              </w:rPr>
              <w:t>Remuneration Committee (continued)</w:t>
            </w:r>
          </w:p>
        </w:tc>
        <w:tc>
          <w:tcPr>
            <w:tcW w:w="4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540" w:type="dxa"/>
            <w:vAlign w:val="bottom"/>
            <w:gridSpan w:val="4"/>
          </w:tcPr>
          <w:p>
            <w:pPr>
              <w:spacing w:after="0"/>
              <w:rPr>
                <w:sz w:val="20"/>
                <w:szCs w:val="20"/>
                <w:color w:val="auto"/>
              </w:rPr>
            </w:pPr>
            <w:r>
              <w:rPr>
                <w:rFonts w:ascii="Arial" w:cs="Arial" w:eastAsia="Arial" w:hAnsi="Arial"/>
                <w:sz w:val="3"/>
                <w:szCs w:val="3"/>
                <w:color w:val="FFFFFF"/>
              </w:rPr>
              <w:t>During the meetings, the remuneration committee made recommendations of the performance-based remuneration and bonuses to the senior management of the Group.</w:t>
            </w: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11000" w:type="dxa"/>
            <w:vAlign w:val="bottom"/>
            <w:gridSpan w:val="4"/>
          </w:tcPr>
          <w:p>
            <w:pPr>
              <w:jc w:val="right"/>
              <w:spacing w:after="0"/>
              <w:rPr>
                <w:sz w:val="20"/>
                <w:szCs w:val="20"/>
                <w:color w:val="auto"/>
              </w:rPr>
            </w:pPr>
            <w:r>
              <w:rPr>
                <w:rFonts w:ascii="Arial" w:cs="Arial" w:eastAsia="Arial" w:hAnsi="Arial"/>
                <w:sz w:val="3"/>
                <w:szCs w:val="3"/>
                <w:color w:val="FFFFFF"/>
              </w:rPr>
              <w:t>reviewed the new requirements, code provisions and best recommended practices in relation to corporate governance practices and associated Listing Rules announced by the Hong Kong Stock Exchange</w:t>
            </w:r>
          </w:p>
        </w:tc>
        <w:tc>
          <w:tcPr>
            <w:tcW w:w="0" w:type="dxa"/>
            <w:vAlign w:val="bottom"/>
          </w:tcPr>
          <w:p>
            <w:pPr>
              <w:spacing w:after="0"/>
              <w:rPr>
                <w:sz w:val="1"/>
                <w:szCs w:val="1"/>
                <w:color w:val="auto"/>
              </w:rPr>
            </w:pPr>
          </w:p>
        </w:tc>
      </w:tr>
      <w:tr>
        <w:trPr>
          <w:trHeight w:val="41"/>
        </w:trPr>
        <w:tc>
          <w:tcPr>
            <w:tcW w:w="4980" w:type="dxa"/>
            <w:vAlign w:val="bottom"/>
            <w:gridSpan w:val="3"/>
          </w:tcPr>
          <w:p>
            <w:pPr>
              <w:spacing w:after="0"/>
              <w:rPr>
                <w:sz w:val="20"/>
                <w:szCs w:val="20"/>
                <w:color w:val="auto"/>
              </w:rPr>
            </w:pPr>
            <w:r>
              <w:rPr>
                <w:rFonts w:ascii="Arial" w:cs="Arial" w:eastAsia="Arial" w:hAnsi="Arial"/>
                <w:sz w:val="3"/>
                <w:szCs w:val="3"/>
                <w:color w:val="FFFFFF"/>
              </w:rPr>
              <w:t>HavingOctober 2011, the remuneration committee and the nomination and corporate governance</w:t>
            </w:r>
          </w:p>
        </w:tc>
        <w:tc>
          <w:tcPr>
            <w:tcW w:w="6440" w:type="dxa"/>
            <w:vAlign w:val="bottom"/>
            <w:gridSpan w:val="2"/>
          </w:tcPr>
          <w:p>
            <w:pPr>
              <w:jc w:val="right"/>
              <w:spacing w:after="0"/>
              <w:rPr>
                <w:sz w:val="20"/>
                <w:szCs w:val="20"/>
                <w:color w:val="auto"/>
              </w:rPr>
            </w:pPr>
            <w:r>
              <w:rPr>
                <w:rFonts w:ascii="Arial" w:cs="Arial" w:eastAsia="Arial" w:hAnsi="Arial"/>
                <w:sz w:val="3"/>
                <w:szCs w:val="3"/>
                <w:color w:val="FFFFFF"/>
              </w:rPr>
              <w:t>presented to the Board amendm nts to the committee’ written terms of reference which were subsequently</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approved by the Board and adopted by the remuneration committee on 27 March 2012. The committee’s terms of reference are available for viewing on the websites of the Company and the Hong Kong Stock</w:t>
            </w:r>
          </w:p>
        </w:tc>
        <w:tc>
          <w:tcPr>
            <w:tcW w:w="0" w:type="dxa"/>
            <w:vAlign w:val="bottom"/>
          </w:tcPr>
          <w:p>
            <w:pPr>
              <w:spacing w:after="0"/>
              <w:rPr>
                <w:sz w:val="1"/>
                <w:szCs w:val="1"/>
                <w:color w:val="auto"/>
              </w:rPr>
            </w:pPr>
          </w:p>
        </w:tc>
      </w:tr>
      <w:tr>
        <w:trPr>
          <w:trHeight w:val="41"/>
        </w:trPr>
        <w:tc>
          <w:tcPr>
            <w:tcW w:w="1000" w:type="dxa"/>
            <w:vAlign w:val="bottom"/>
            <w:gridSpan w:val="2"/>
          </w:tcPr>
          <w:p>
            <w:pPr>
              <w:spacing w:after="0"/>
              <w:rPr>
                <w:sz w:val="20"/>
                <w:szCs w:val="20"/>
                <w:color w:val="auto"/>
              </w:rPr>
            </w:pPr>
            <w:r>
              <w:rPr>
                <w:rFonts w:ascii="Arial" w:cs="Arial" w:eastAsia="Arial" w:hAnsi="Arial"/>
                <w:sz w:val="3"/>
                <w:szCs w:val="3"/>
                <w:color w:val="FFFFFF"/>
              </w:rPr>
              <w:t>Exchange.</w:t>
            </w:r>
          </w:p>
        </w:tc>
        <w:tc>
          <w:tcPr>
            <w:tcW w:w="3980" w:type="dxa"/>
            <w:vAlign w:val="bottom"/>
          </w:tcPr>
          <w:p>
            <w:pPr>
              <w:spacing w:after="0"/>
              <w:rPr>
                <w:sz w:val="3"/>
                <w:szCs w:val="3"/>
                <w:color w:val="auto"/>
              </w:rPr>
            </w:pPr>
          </w:p>
        </w:tc>
        <w:tc>
          <w:tcPr>
            <w:tcW w:w="4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Details of the remuneration of each Director (including Mr. Kazuo Okada*) of the Company for the year ended 31 December 2012 are set out in note 26 to the ? nancial statements contained in this Annual</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Report.</w:t>
            </w:r>
          </w:p>
        </w:tc>
        <w:tc>
          <w:tcPr>
            <w:tcW w:w="4560" w:type="dxa"/>
            <w:vAlign w:val="bottom"/>
            <w:gridSpan w:val="2"/>
            <w:vMerge w:val="restart"/>
          </w:tcPr>
          <w:p>
            <w:pPr>
              <w:ind w:left="40"/>
              <w:spacing w:after="0" w:line="81" w:lineRule="exact"/>
              <w:rPr>
                <w:sz w:val="20"/>
                <w:szCs w:val="20"/>
                <w:color w:val="auto"/>
              </w:rPr>
            </w:pPr>
            <w:r>
              <w:rPr>
                <w:rFonts w:ascii="Arial" w:cs="Arial" w:eastAsia="Arial" w:hAnsi="Arial"/>
                <w:sz w:val="9"/>
                <w:szCs w:val="9"/>
                <w:color w:val="FFFFFF"/>
              </w:rPr>
              <w:t>Mr. Kazuo Okada ceased to be a member of our Board on 24 February 2012.</w:t>
            </w:r>
          </w:p>
        </w:tc>
        <w:tc>
          <w:tcPr>
            <w:tcW w:w="4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w:t>
            </w:r>
          </w:p>
        </w:tc>
        <w:tc>
          <w:tcPr>
            <w:tcW w:w="4560" w:type="dxa"/>
            <w:vAlign w:val="bottom"/>
            <w:gridSpan w:val="2"/>
            <w:vMerge w:val="continue"/>
          </w:tcPr>
          <w:p>
            <w:pPr>
              <w:spacing w:after="0"/>
              <w:rPr>
                <w:sz w:val="3"/>
                <w:szCs w:val="3"/>
                <w:color w:val="auto"/>
              </w:rPr>
            </w:pPr>
          </w:p>
        </w:tc>
        <w:tc>
          <w:tcPr>
            <w:tcW w:w="45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000" w:type="dxa"/>
            <w:vAlign w:val="bottom"/>
            <w:gridSpan w:val="2"/>
          </w:tcPr>
          <w:p>
            <w:pPr>
              <w:spacing w:after="0" w:line="54" w:lineRule="exact"/>
              <w:rPr>
                <w:sz w:val="20"/>
                <w:szCs w:val="20"/>
                <w:color w:val="auto"/>
              </w:rPr>
            </w:pPr>
            <w:r>
              <w:rPr>
                <w:rFonts w:ascii="Arial" w:cs="Arial" w:eastAsia="Arial" w:hAnsi="Arial"/>
                <w:sz w:val="6"/>
                <w:szCs w:val="6"/>
                <w:color w:val="FFFFFF"/>
              </w:rPr>
              <w:t>Nomination and</w:t>
            </w:r>
          </w:p>
        </w:tc>
        <w:tc>
          <w:tcPr>
            <w:tcW w:w="3980" w:type="dxa"/>
            <w:vAlign w:val="bottom"/>
          </w:tcPr>
          <w:p>
            <w:pPr>
              <w:ind w:left="480"/>
              <w:spacing w:after="0" w:line="54" w:lineRule="exact"/>
              <w:rPr>
                <w:sz w:val="20"/>
                <w:szCs w:val="20"/>
                <w:color w:val="auto"/>
              </w:rPr>
            </w:pPr>
            <w:r>
              <w:rPr>
                <w:rFonts w:ascii="Arial" w:cs="Arial" w:eastAsia="Arial" w:hAnsi="Arial"/>
                <w:sz w:val="6"/>
                <w:szCs w:val="6"/>
                <w:color w:val="FFFFFF"/>
              </w:rPr>
              <w:t>Governance Committee</w:t>
            </w:r>
          </w:p>
        </w:tc>
        <w:tc>
          <w:tcPr>
            <w:tcW w:w="4560" w:type="dxa"/>
            <w:vAlign w:val="bottom"/>
          </w:tcPr>
          <w:p>
            <w:pPr>
              <w:spacing w:after="0"/>
              <w:rPr>
                <w:sz w:val="4"/>
                <w:szCs w:val="4"/>
                <w:color w:val="auto"/>
              </w:rPr>
            </w:pPr>
          </w:p>
        </w:tc>
        <w:tc>
          <w:tcPr>
            <w:tcW w:w="1880" w:type="dxa"/>
            <w:vAlign w:val="bottom"/>
            <w:vMerge w:val="restart"/>
          </w:tcPr>
          <w:p>
            <w:pPr>
              <w:jc w:val="right"/>
              <w:ind w:right="209"/>
              <w:spacing w:after="0" w:line="95" w:lineRule="exact"/>
              <w:rPr>
                <w:sz w:val="20"/>
                <w:szCs w:val="20"/>
                <w:color w:val="auto"/>
              </w:rPr>
            </w:pPr>
            <w:r>
              <w:rPr>
                <w:rFonts w:ascii="Arial" w:cs="Arial" w:eastAsia="Arial" w:hAnsi="Arial"/>
                <w:sz w:val="10"/>
                <w:szCs w:val="10"/>
                <w:color w:val="FFFFFF"/>
              </w:rPr>
              <w:t>to serve as directors of the</w:t>
            </w:r>
          </w:p>
        </w:tc>
        <w:tc>
          <w:tcPr>
            <w:tcW w:w="0" w:type="dxa"/>
            <w:vAlign w:val="bottom"/>
          </w:tcPr>
          <w:p>
            <w:pPr>
              <w:spacing w:after="0"/>
              <w:rPr>
                <w:sz w:val="1"/>
                <w:szCs w:val="1"/>
                <w:color w:val="auto"/>
              </w:rPr>
            </w:pPr>
          </w:p>
        </w:tc>
      </w:tr>
      <w:tr>
        <w:trPr>
          <w:trHeight w:val="41"/>
        </w:trPr>
        <w:tc>
          <w:tcPr>
            <w:tcW w:w="9540" w:type="dxa"/>
            <w:vAlign w:val="bottom"/>
            <w:gridSpan w:val="4"/>
          </w:tcPr>
          <w:p>
            <w:pPr>
              <w:spacing w:after="0"/>
              <w:rPr>
                <w:sz w:val="20"/>
                <w:szCs w:val="20"/>
                <w:color w:val="auto"/>
              </w:rPr>
            </w:pPr>
            <w:r>
              <w:rPr>
                <w:rFonts w:ascii="Arial" w:cs="Arial" w:eastAsia="Arial" w:hAnsi="Arial"/>
                <w:sz w:val="3"/>
                <w:szCs w:val="3"/>
                <w:color w:val="FFFFFF"/>
              </w:rPr>
              <w:t>The Company hasCorporatesetup nomination and corporate governance committee, the primary duties of which are to identify, screen and recommend to the Board appropriate</w:t>
            </w:r>
          </w:p>
        </w:tc>
        <w:tc>
          <w:tcPr>
            <w:tcW w:w="1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980" w:type="dxa"/>
            <w:vAlign w:val="bottom"/>
            <w:gridSpan w:val="3"/>
          </w:tcPr>
          <w:p>
            <w:pPr>
              <w:spacing w:after="0" w:line="21" w:lineRule="exact"/>
              <w:rPr>
                <w:sz w:val="20"/>
                <w:szCs w:val="20"/>
                <w:color w:val="auto"/>
              </w:rPr>
            </w:pPr>
            <w:r>
              <w:rPr>
                <w:rFonts w:ascii="Arial" w:cs="Arial" w:eastAsia="Arial" w:hAnsi="Arial"/>
                <w:sz w:val="2"/>
                <w:szCs w:val="2"/>
                <w:color w:val="FFFFFF"/>
              </w:rPr>
              <w:t>principles for the Company, which shall be consistent with any applicable laws,</w:t>
            </w:r>
          </w:p>
        </w:tc>
        <w:tc>
          <w:tcPr>
            <w:tcW w:w="6440" w:type="dxa"/>
            <w:vAlign w:val="bottom"/>
            <w:gridSpan w:val="2"/>
          </w:tcPr>
          <w:p>
            <w:pPr>
              <w:jc w:val="right"/>
              <w:ind w:right="29"/>
              <w:spacing w:after="0" w:line="21" w:lineRule="exact"/>
              <w:rPr>
                <w:sz w:val="20"/>
                <w:szCs w:val="20"/>
                <w:color w:val="auto"/>
              </w:rPr>
            </w:pPr>
            <w:r>
              <w:rPr>
                <w:rFonts w:ascii="Arial" w:cs="Arial" w:eastAsia="Arial" w:hAnsi="Arial"/>
                <w:sz w:val="2"/>
                <w:szCs w:val="2"/>
                <w:color w:val="FFFFFF"/>
              </w:rPr>
              <w:t>and listing standards. In reviewing the composition of the Board, the nominationcandidatescorporate governance committee</w:t>
            </w:r>
          </w:p>
        </w:tc>
        <w:tc>
          <w:tcPr>
            <w:tcW w:w="0" w:type="dxa"/>
            <w:vAlign w:val="bottom"/>
          </w:tcPr>
          <w:p>
            <w:pPr>
              <w:spacing w:after="0" w:line="20" w:lineRule="exact"/>
              <w:rPr>
                <w:sz w:val="1"/>
                <w:szCs w:val="1"/>
                <w:color w:val="auto"/>
              </w:rPr>
            </w:pPr>
          </w:p>
        </w:tc>
      </w:tr>
      <w:tr>
        <w:trPr>
          <w:trHeight w:val="20"/>
        </w:trPr>
        <w:tc>
          <w:tcPr>
            <w:tcW w:w="9540" w:type="dxa"/>
            <w:vAlign w:val="bottom"/>
            <w:gridSpan w:val="4"/>
          </w:tcPr>
          <w:p>
            <w:pPr>
              <w:spacing w:after="0" w:line="21" w:lineRule="exact"/>
              <w:rPr>
                <w:sz w:val="20"/>
                <w:szCs w:val="20"/>
                <w:color w:val="auto"/>
              </w:rPr>
            </w:pPr>
            <w:r>
              <w:rPr>
                <w:rFonts w:ascii="Arial" w:cs="Arial" w:eastAsia="Arial" w:hAnsi="Arial"/>
                <w:sz w:val="2"/>
                <w:szCs w:val="2"/>
                <w:color w:val="FFFFFF"/>
              </w:rPr>
              <w:t>Company, to oversee the process for evaluating the performance of the Board, to develop and recommend to the Board nomination guidelines for the Company, and to develop</w:t>
            </w:r>
          </w:p>
        </w:tc>
        <w:tc>
          <w:tcPr>
            <w:tcW w:w="1880" w:type="dxa"/>
            <w:vAlign w:val="bottom"/>
          </w:tcPr>
          <w:p>
            <w:pPr>
              <w:jc w:val="right"/>
              <w:ind w:right="289"/>
              <w:spacing w:after="0" w:line="21" w:lineRule="exact"/>
              <w:rPr>
                <w:sz w:val="20"/>
                <w:szCs w:val="20"/>
                <w:color w:val="auto"/>
              </w:rPr>
            </w:pPr>
            <w:r>
              <w:rPr>
                <w:rFonts w:ascii="Arial" w:cs="Arial" w:eastAsia="Arial" w:hAnsi="Arial"/>
                <w:sz w:val="2"/>
                <w:szCs w:val="2"/>
                <w:color w:val="FFFFFF"/>
              </w:rPr>
              <w:t>set of corporate governance</w:t>
            </w:r>
          </w:p>
        </w:tc>
        <w:tc>
          <w:tcPr>
            <w:tcW w:w="0" w:type="dxa"/>
            <w:vAlign w:val="bottom"/>
          </w:tcPr>
          <w:p>
            <w:pPr>
              <w:spacing w:after="0" w:line="20" w:lineRule="exact"/>
              <w:rPr>
                <w:sz w:val="1"/>
                <w:szCs w:val="1"/>
                <w:color w:val="auto"/>
              </w:rPr>
            </w:pPr>
          </w:p>
        </w:tc>
      </w:tr>
      <w:tr>
        <w:trPr>
          <w:trHeight w:val="81"/>
        </w:trPr>
        <w:tc>
          <w:tcPr>
            <w:tcW w:w="11420" w:type="dxa"/>
            <w:vAlign w:val="bottom"/>
            <w:gridSpan w:val="5"/>
          </w:tcPr>
          <w:p>
            <w:pPr>
              <w:spacing w:after="0" w:line="81" w:lineRule="exact"/>
              <w:rPr>
                <w:sz w:val="20"/>
                <w:szCs w:val="20"/>
                <w:color w:val="auto"/>
              </w:rPr>
            </w:pPr>
            <w:r>
              <w:rPr>
                <w:rFonts w:ascii="Arial" w:cs="Arial" w:eastAsia="Arial" w:hAnsi="Arial"/>
                <w:sz w:val="9"/>
                <w:szCs w:val="9"/>
                <w:color w:val="FFFFFF"/>
              </w:rPr>
              <w:t>considers the skills, knowledge and experience and also the desirability of maintainingregulationsbalanced composition of executive and non-executive Directors (including independent non-executive Directors).</w:t>
            </w:r>
          </w:p>
        </w:tc>
        <w:tc>
          <w:tcPr>
            <w:tcW w:w="0" w:type="dxa"/>
            <w:vAlign w:val="bottom"/>
          </w:tcPr>
          <w:p>
            <w:pPr>
              <w:spacing w:after="0"/>
              <w:rPr>
                <w:sz w:val="1"/>
                <w:szCs w:val="1"/>
                <w:color w:val="auto"/>
              </w:rPr>
            </w:pPr>
          </w:p>
        </w:tc>
      </w:tr>
      <w:tr>
        <w:trPr>
          <w:trHeight w:val="41"/>
        </w:trPr>
        <w:tc>
          <w:tcPr>
            <w:tcW w:w="1000" w:type="dxa"/>
            <w:vAlign w:val="bottom"/>
            <w:gridSpan w:val="2"/>
          </w:tcPr>
          <w:p>
            <w:pPr>
              <w:spacing w:after="0"/>
              <w:rPr>
                <w:sz w:val="20"/>
                <w:szCs w:val="20"/>
                <w:color w:val="auto"/>
              </w:rPr>
            </w:pPr>
            <w:r>
              <w:rPr>
                <w:rFonts w:ascii="Arial" w:cs="Arial" w:eastAsia="Arial" w:hAnsi="Arial"/>
                <w:sz w:val="3"/>
                <w:szCs w:val="3"/>
                <w:color w:val="FFFFFF"/>
              </w:rPr>
              <w:t>The nomination</w:t>
            </w:r>
          </w:p>
        </w:tc>
        <w:tc>
          <w:tcPr>
            <w:tcW w:w="10420" w:type="dxa"/>
            <w:vAlign w:val="bottom"/>
            <w:gridSpan w:val="3"/>
          </w:tcPr>
          <w:p>
            <w:pPr>
              <w:jc w:val="right"/>
              <w:ind w:right="449"/>
              <w:spacing w:after="0"/>
              <w:rPr>
                <w:sz w:val="20"/>
                <w:szCs w:val="20"/>
                <w:color w:val="auto"/>
              </w:rPr>
            </w:pPr>
            <w:r>
              <w:rPr>
                <w:rFonts w:ascii="Arial" w:cs="Arial" w:eastAsia="Arial" w:hAnsi="Arial"/>
                <w:sz w:val="3"/>
                <w:szCs w:val="3"/>
                <w:color w:val="FFFFFF"/>
              </w:rPr>
              <w:t>corporate governance committee consists of three members: Mr. Nicholas Sallnow-Smith and Mr. Jeffrey Kin-fung Lam, both of whom are independent non-executive Directors, and</w:t>
            </w:r>
          </w:p>
        </w:tc>
        <w:tc>
          <w:tcPr>
            <w:tcW w:w="0" w:type="dxa"/>
            <w:vAlign w:val="bottom"/>
          </w:tcPr>
          <w:p>
            <w:pPr>
              <w:spacing w:after="0"/>
              <w:rPr>
                <w:sz w:val="1"/>
                <w:szCs w:val="1"/>
                <w:color w:val="auto"/>
              </w:rPr>
            </w:pPr>
          </w:p>
        </w:tc>
      </w:tr>
      <w:tr>
        <w:trPr>
          <w:trHeight w:val="213"/>
        </w:trPr>
        <w:tc>
          <w:tcPr>
            <w:tcW w:w="9540" w:type="dxa"/>
            <w:vAlign w:val="bottom"/>
            <w:gridSpan w:val="4"/>
          </w:tcPr>
          <w:p>
            <w:pPr>
              <w:spacing w:after="0"/>
              <w:rPr>
                <w:sz w:val="20"/>
                <w:szCs w:val="20"/>
                <w:color w:val="auto"/>
              </w:rPr>
            </w:pPr>
            <w:r>
              <w:rPr>
                <w:rFonts w:ascii="Arial" w:cs="Arial" w:eastAsia="Arial" w:hAnsi="Arial"/>
                <w:sz w:val="14"/>
                <w:szCs w:val="14"/>
                <w:color w:val="FFFFFF"/>
              </w:rPr>
              <w:t>Dr. Allan Zeman,andnon-executive Director. Mr. Jeffrey Kin-fung Lam is the chairman of the nomination and corporate governance committee.</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tcPr>
          <w:p>
            <w:pPr>
              <w:spacing w:after="0"/>
              <w:rPr>
                <w:sz w:val="20"/>
                <w:szCs w:val="20"/>
                <w:color w:val="auto"/>
              </w:rPr>
            </w:pPr>
            <w:r>
              <w:rPr>
                <w:rFonts w:ascii="Arial" w:cs="Arial" w:eastAsia="Arial" w:hAnsi="Arial"/>
                <w:sz w:val="14"/>
                <w:szCs w:val="14"/>
                <w:color w:val="FFFFFF"/>
              </w:rPr>
              <w:t>Annual Report 2012 69</w:t>
            </w:r>
          </w:p>
        </w:tc>
        <w:tc>
          <w:tcPr>
            <w:tcW w:w="8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Corporate Governance Report</w:t>
            </w:r>
          </w:p>
        </w:tc>
        <w:tc>
          <w:tcPr>
            <w:tcW w:w="8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BOARD COMMITTEES (CONTINUED)</w:t>
            </w:r>
          </w:p>
        </w:tc>
        <w:tc>
          <w:tcPr>
            <w:tcW w:w="8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Nomination and Corporate Governance Committee (continued)</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 nomination and corporate governance committee held one meeting during the year ended 31 December 2012. The attendance record of the said meeting is set out below.</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20"/>
                <w:szCs w:val="20"/>
                <w:color w:val="auto"/>
              </w:rPr>
            </w:pPr>
            <w:r>
              <w:rPr>
                <w:rFonts w:ascii="Arial" w:cs="Arial" w:eastAsia="Arial" w:hAnsi="Arial"/>
                <w:sz w:val="3"/>
                <w:szCs w:val="3"/>
                <w:color w:val="FFFFFF"/>
              </w:rPr>
              <w:t>Number of</w:t>
            </w:r>
          </w:p>
        </w:tc>
        <w:tc>
          <w:tcPr>
            <w:tcW w:w="1500" w:type="dxa"/>
            <w:vAlign w:val="bottom"/>
          </w:tcPr>
          <w:p>
            <w:pPr>
              <w:spacing w:after="0"/>
              <w:rPr>
                <w:sz w:val="3"/>
                <w:szCs w:val="3"/>
                <w:color w:val="auto"/>
              </w:rPr>
            </w:pPr>
          </w:p>
        </w:tc>
        <w:tc>
          <w:tcPr>
            <w:tcW w:w="8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 w:type="dxa"/>
            <w:vAlign w:val="bottom"/>
          </w:tcPr>
          <w:p>
            <w:pPr>
              <w:spacing w:after="0"/>
              <w:rPr>
                <w:sz w:val="20"/>
                <w:szCs w:val="20"/>
                <w:color w:val="auto"/>
              </w:rPr>
            </w:pPr>
            <w:r>
              <w:rPr>
                <w:rFonts w:ascii="Arial" w:cs="Arial" w:eastAsia="Arial" w:hAnsi="Arial"/>
                <w:sz w:val="3"/>
                <w:szCs w:val="3"/>
                <w:color w:val="FFFFFF"/>
              </w:rPr>
              <w:t>meetings</w:t>
            </w:r>
          </w:p>
        </w:tc>
        <w:tc>
          <w:tcPr>
            <w:tcW w:w="1500" w:type="dxa"/>
            <w:vAlign w:val="bottom"/>
          </w:tcPr>
          <w:p>
            <w:pPr>
              <w:spacing w:after="0"/>
              <w:rPr>
                <w:sz w:val="3"/>
                <w:szCs w:val="3"/>
                <w:color w:val="auto"/>
              </w:rPr>
            </w:pPr>
          </w:p>
        </w:tc>
        <w:tc>
          <w:tcPr>
            <w:tcW w:w="8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20" w:type="dxa"/>
            <w:vAlign w:val="bottom"/>
          </w:tcPr>
          <w:p>
            <w:pPr>
              <w:spacing w:after="0"/>
              <w:rPr>
                <w:sz w:val="20"/>
                <w:szCs w:val="20"/>
                <w:color w:val="auto"/>
              </w:rPr>
            </w:pPr>
            <w:r>
              <w:rPr>
                <w:rFonts w:ascii="Arial" w:cs="Arial" w:eastAsia="Arial" w:hAnsi="Arial"/>
                <w:sz w:val="3"/>
                <w:szCs w:val="3"/>
                <w:color w:val="FFFFFF"/>
              </w:rPr>
              <w:t>attended/held</w:t>
            </w:r>
          </w:p>
        </w:tc>
        <w:tc>
          <w:tcPr>
            <w:tcW w:w="1500" w:type="dxa"/>
            <w:vAlign w:val="bottom"/>
          </w:tcPr>
          <w:p>
            <w:pPr>
              <w:spacing w:after="0"/>
              <w:rPr>
                <w:sz w:val="3"/>
                <w:szCs w:val="3"/>
                <w:color w:val="auto"/>
              </w:rPr>
            </w:pPr>
          </w:p>
        </w:tc>
        <w:tc>
          <w:tcPr>
            <w:tcW w:w="8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Name of committee member during 2012 Attendance rate</w:t>
            </w:r>
          </w:p>
        </w:tc>
        <w:tc>
          <w:tcPr>
            <w:tcW w:w="0" w:type="dxa"/>
            <w:vAlign w:val="bottom"/>
          </w:tcPr>
          <w:p>
            <w:pPr>
              <w:spacing w:after="0"/>
              <w:rPr>
                <w:sz w:val="1"/>
                <w:szCs w:val="1"/>
                <w:color w:val="auto"/>
              </w:rPr>
            </w:pPr>
          </w:p>
        </w:tc>
      </w:tr>
      <w:tr>
        <w:trPr>
          <w:trHeight w:val="41"/>
        </w:trPr>
        <w:tc>
          <w:tcPr>
            <w:tcW w:w="2520" w:type="dxa"/>
            <w:vAlign w:val="bottom"/>
            <w:gridSpan w:val="2"/>
          </w:tcPr>
          <w:p>
            <w:pPr>
              <w:ind w:left="240"/>
              <w:spacing w:after="0"/>
              <w:rPr>
                <w:sz w:val="20"/>
                <w:szCs w:val="20"/>
                <w:color w:val="auto"/>
              </w:rPr>
            </w:pPr>
            <w:r>
              <w:rPr>
                <w:rFonts w:ascii="Arial" w:cs="Arial" w:eastAsia="Arial" w:hAnsi="Arial"/>
                <w:sz w:val="3"/>
                <w:szCs w:val="3"/>
                <w:color w:val="FFFFFF"/>
              </w:rPr>
              <w:t>Jeffrey Kin-fung Lam 1/1 100%</w:t>
            </w:r>
          </w:p>
        </w:tc>
        <w:tc>
          <w:tcPr>
            <w:tcW w:w="8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ind w:left="160"/>
              <w:spacing w:after="0"/>
              <w:rPr>
                <w:sz w:val="20"/>
                <w:szCs w:val="20"/>
                <w:color w:val="auto"/>
              </w:rPr>
            </w:pPr>
            <w:r>
              <w:rPr>
                <w:rFonts w:ascii="Arial" w:cs="Arial" w:eastAsia="Arial" w:hAnsi="Arial"/>
                <w:sz w:val="3"/>
                <w:szCs w:val="3"/>
                <w:color w:val="FFFFFF"/>
              </w:rPr>
              <w:t>. Nicholas Sallnow-Smith 1/1 100%</w:t>
            </w:r>
          </w:p>
        </w:tc>
        <w:tc>
          <w:tcPr>
            <w:tcW w:w="8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520" w:type="dxa"/>
            <w:vAlign w:val="bottom"/>
            <w:gridSpan w:val="2"/>
          </w:tcPr>
          <w:p>
            <w:pPr>
              <w:spacing w:after="0"/>
              <w:rPr>
                <w:sz w:val="20"/>
                <w:szCs w:val="20"/>
                <w:color w:val="auto"/>
              </w:rPr>
            </w:pPr>
            <w:r>
              <w:rPr>
                <w:rFonts w:ascii="Arial" w:cs="Arial" w:eastAsia="Arial" w:hAnsi="Arial"/>
                <w:sz w:val="3"/>
                <w:szCs w:val="3"/>
                <w:color w:val="FFFFFF"/>
              </w:rPr>
              <w:t>Mr. Allan Zeman 1/1 100%</w:t>
            </w:r>
          </w:p>
        </w:tc>
        <w:tc>
          <w:tcPr>
            <w:tcW w:w="8900" w:type="dxa"/>
            <w:vAlign w:val="bottom"/>
            <w:vMerge w:val="restart"/>
          </w:tcPr>
          <w:p>
            <w:pPr>
              <w:ind w:left="220"/>
              <w:spacing w:after="0" w:line="81" w:lineRule="exact"/>
              <w:rPr>
                <w:sz w:val="20"/>
                <w:szCs w:val="20"/>
                <w:color w:val="auto"/>
              </w:rPr>
            </w:pPr>
            <w:r>
              <w:rPr>
                <w:rFonts w:ascii="Arial" w:cs="Arial" w:eastAsia="Arial" w:hAnsi="Arial"/>
                <w:sz w:val="9"/>
                <w:szCs w:val="9"/>
                <w:color w:val="FFFFFF"/>
              </w:rPr>
              <w:t>governance committee assessed the independence of the existing independent non-executive Directors and recommended the reappointment of the retiring</w:t>
            </w:r>
          </w:p>
        </w:tc>
        <w:tc>
          <w:tcPr>
            <w:tcW w:w="0" w:type="dxa"/>
            <w:vAlign w:val="bottom"/>
          </w:tcPr>
          <w:p>
            <w:pPr>
              <w:spacing w:after="0"/>
              <w:rPr>
                <w:sz w:val="1"/>
                <w:szCs w:val="1"/>
                <w:color w:val="auto"/>
              </w:rPr>
            </w:pPr>
          </w:p>
        </w:tc>
      </w:tr>
      <w:tr>
        <w:trPr>
          <w:trHeight w:val="41"/>
        </w:trPr>
        <w:tc>
          <w:tcPr>
            <w:tcW w:w="2520" w:type="dxa"/>
            <w:vAlign w:val="bottom"/>
            <w:gridSpan w:val="2"/>
          </w:tcPr>
          <w:p>
            <w:pPr>
              <w:ind w:left="100"/>
              <w:spacing w:after="0"/>
              <w:rPr>
                <w:sz w:val="20"/>
                <w:szCs w:val="20"/>
                <w:color w:val="auto"/>
              </w:rPr>
            </w:pPr>
            <w:r>
              <w:rPr>
                <w:rFonts w:ascii="Arial" w:cs="Arial" w:eastAsia="Arial" w:hAnsi="Arial"/>
                <w:sz w:val="3"/>
                <w:szCs w:val="3"/>
                <w:color w:val="FFFFFF"/>
              </w:rPr>
              <w:t>uring the meeting, the nomination and</w:t>
            </w:r>
          </w:p>
        </w:tc>
        <w:tc>
          <w:tcPr>
            <w:tcW w:w="8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Directors at the annual general mee ing fcorporatetheyear ended 31 December 2012 of the Company. The Directors’ remuneration for the year ended 31 December 2012 is set out in note 26 to the Financial Statements.</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In accordance with article 17.18 of the Company’s articles of association, one third of our Board will retire from offi ce by rotation at the forthcoming annual general meeting. The three directors who will retire</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by rotation are Ms. Linda Chen, one of our executive Directors, and Mr. Bruce Rockowitz and Mr. Jeffrey Kin-fung Lam, both independent non-executive Directors. All retiring directors, being eligible, will</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offer themselves for re-election at the forthcoming annual general meeting. The nomination and corporate governance committee recommended the re-appointment of these three retiring directors. In accordance</w:t>
            </w: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with article 17.2 of the Company’s articles of association, Mr. Matthew O. Maddox, one of our non-executive Directors, having been appointed by the Board on 28 March 2013 and being eligible, will offer</w:t>
            </w:r>
          </w:p>
        </w:tc>
        <w:tc>
          <w:tcPr>
            <w:tcW w:w="0" w:type="dxa"/>
            <w:vAlign w:val="bottom"/>
          </w:tcPr>
          <w:p>
            <w:pPr>
              <w:spacing w:after="0"/>
              <w:rPr>
                <w:sz w:val="1"/>
                <w:szCs w:val="1"/>
                <w:color w:val="auto"/>
              </w:rPr>
            </w:pPr>
          </w:p>
        </w:tc>
      </w:tr>
      <w:tr>
        <w:trPr>
          <w:trHeight w:val="0"/>
        </w:trPr>
        <w:tc>
          <w:tcPr>
            <w:tcW w:w="1020" w:type="dxa"/>
            <w:vAlign w:val="bottom"/>
          </w:tcPr>
          <w:p>
            <w:pPr>
              <w:spacing w:after="0" w:line="80" w:lineRule="exact"/>
              <w:rPr>
                <w:sz w:val="20"/>
                <w:szCs w:val="20"/>
                <w:color w:val="auto"/>
              </w:rPr>
            </w:pPr>
            <w:r>
              <w:rPr>
                <w:rFonts w:ascii="Arial" w:cs="Arial" w:eastAsia="Arial" w:hAnsi="Arial"/>
                <w:sz w:val="9"/>
                <w:szCs w:val="9"/>
                <w:color w:val="FFFFFF"/>
              </w:rPr>
              <w:t>himself for re-</w:t>
            </w:r>
          </w:p>
        </w:tc>
        <w:tc>
          <w:tcPr>
            <w:tcW w:w="10400" w:type="dxa"/>
            <w:vAlign w:val="bottom"/>
            <w:gridSpan w:val="2"/>
          </w:tcPr>
          <w:p>
            <w:pPr>
              <w:ind w:left="220"/>
              <w:spacing w:after="0" w:line="80" w:lineRule="exact"/>
              <w:rPr>
                <w:sz w:val="20"/>
                <w:szCs w:val="20"/>
                <w:color w:val="auto"/>
              </w:rPr>
            </w:pPr>
            <w:r>
              <w:rPr>
                <w:rFonts w:ascii="Arial" w:cs="Arial" w:eastAsia="Arial" w:hAnsi="Arial"/>
                <w:sz w:val="9"/>
                <w:szCs w:val="9"/>
                <w:color w:val="FFFFFF"/>
              </w:rPr>
              <w:t>at the forthcoming annual general meeting. The Company’s circular concerning the forthcoming annual general meeting contains detailed information of these Directors standing for re-</w:t>
            </w:r>
          </w:p>
        </w:tc>
        <w:tc>
          <w:tcPr>
            <w:tcW w:w="0" w:type="dxa"/>
            <w:vAlign w:val="bottom"/>
          </w:tcPr>
          <w:p>
            <w:pPr>
              <w:spacing w:after="0" w:line="20" w:lineRule="exact"/>
              <w:rPr>
                <w:sz w:val="1"/>
                <w:szCs w:val="1"/>
                <w:color w:val="auto"/>
              </w:rPr>
            </w:pPr>
          </w:p>
        </w:tc>
      </w:tr>
    </w:tbl>
    <w:p>
      <w:pPr>
        <w:ind w:left="780"/>
        <w:spacing w:after="0"/>
        <w:rPr>
          <w:sz w:val="20"/>
          <w:szCs w:val="20"/>
          <w:color w:val="auto"/>
        </w:rPr>
      </w:pPr>
      <w:r>
        <w:rPr>
          <w:rFonts w:ascii="Arial" w:cs="Arial" w:eastAsia="Arial" w:hAnsi="Arial"/>
          <w:sz w:val="3"/>
          <w:szCs w:val="3"/>
          <w:color w:val="FFFFFF"/>
        </w:rPr>
        <w:t>election</w:t>
      </w:r>
    </w:p>
    <w:p>
      <w:pPr>
        <w:spacing w:after="0" w:line="211" w:lineRule="auto"/>
        <w:rPr>
          <w:sz w:val="20"/>
          <w:szCs w:val="20"/>
          <w:color w:val="auto"/>
        </w:rPr>
      </w:pPr>
      <w:r>
        <w:rPr>
          <w:rFonts w:ascii="Arial" w:cs="Arial" w:eastAsia="Arial" w:hAnsi="Arial"/>
          <w:sz w:val="2"/>
          <w:szCs w:val="2"/>
          <w:color w:val="FFFFFF"/>
        </w:rPr>
        <w:t xml:space="preserve">election pursuant </w:t>
      </w:r>
      <w:r>
        <w:rPr>
          <w:rFonts w:ascii="Arial" w:cs="Arial" w:eastAsia="Arial" w:hAnsi="Arial"/>
          <w:sz w:val="4"/>
          <w:szCs w:val="4"/>
          <w:color w:val="FFFFFF"/>
          <w:vertAlign w:val="superscript"/>
        </w:rPr>
        <w:t>the</w:t>
      </w:r>
      <w:r>
        <w:rPr>
          <w:rFonts w:ascii="Arial" w:cs="Arial" w:eastAsia="Arial" w:hAnsi="Arial"/>
          <w:sz w:val="2"/>
          <w:szCs w:val="2"/>
          <w:color w:val="FFFFFF"/>
        </w:rPr>
        <w:t>the Listing Rules requirements.</w:t>
      </w:r>
    </w:p>
    <w:p>
      <w:pPr>
        <w:jc w:val="both"/>
        <w:ind w:left="140" w:hanging="138"/>
        <w:spacing w:after="0"/>
        <w:rPr>
          <w:sz w:val="20"/>
          <w:szCs w:val="20"/>
          <w:color w:val="auto"/>
        </w:rPr>
      </w:pPr>
      <w:r>
        <w:rPr>
          <w:rFonts w:ascii="Arial" w:cs="Arial" w:eastAsia="Arial" w:hAnsi="Arial"/>
          <w:sz w:val="27"/>
          <w:szCs w:val="27"/>
          <w:color w:val="FFFFFF"/>
          <w:vertAlign w:val="superscript"/>
        </w:rPr>
        <w:t>Having</w:t>
      </w:r>
      <w:r>
        <w:rPr>
          <w:rFonts w:ascii="Arial" w:cs="Arial" w:eastAsia="Arial" w:hAnsi="Arial"/>
          <w:sz w:val="14"/>
          <w:szCs w:val="14"/>
          <w:color w:val="FFFFFF"/>
        </w:rPr>
        <w:t xml:space="preserve"> reviewed</w:t>
      </w:r>
      <w:r>
        <w:rPr>
          <w:sz w:val="20"/>
          <w:szCs w:val="20"/>
          <w:color w:val="auto"/>
        </w:rPr>
        <w:t xml:space="preserve"> </w:t>
      </w:r>
      <w:r>
        <w:rPr>
          <w:rFonts w:ascii="Arial" w:cs="Arial" w:eastAsia="Arial" w:hAnsi="Arial"/>
          <w:sz w:val="6"/>
          <w:szCs w:val="6"/>
          <w:color w:val="FFFFFF"/>
        </w:rPr>
        <w:t>new requirements, code provisions and best recommended practices in relation to corporate governance practices and associated Listing Rules announced by the Hong Kong Stock Exchange October 2011, the nomination and corporate governance committee presented to the Board the committee’s written terms of reference which were subsequently approved by the Board and adopted by the</w:t>
      </w:r>
    </w:p>
    <w:p>
      <w:pPr>
        <w:spacing w:after="0"/>
        <w:rPr>
          <w:sz w:val="20"/>
          <w:szCs w:val="20"/>
          <w:color w:val="auto"/>
        </w:rPr>
      </w:pPr>
      <w:r>
        <w:rPr>
          <w:rFonts w:ascii="Arial" w:cs="Arial" w:eastAsia="Arial" w:hAnsi="Arial"/>
          <w:sz w:val="12"/>
          <w:szCs w:val="12"/>
          <w:color w:val="FFFFFF"/>
        </w:rPr>
        <w:t>nomination and corporate governance committee on 27 March 2012. The committee’s terms of reference are available for viewing on the websites of the Company and the Hong Kong Stock Exchange.</w:t>
      </w:r>
    </w:p>
    <w:p>
      <w:pPr>
        <w:sectPr>
          <w:pgSz w:w="11900" w:h="16838" w:orient="portrait"/>
          <w:cols w:equalWidth="0" w:num="1">
            <w:col w:w="11420"/>
          </w:cols>
          <w:pgMar w:left="240" w:top="1440" w:right="23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70 Wynn Macau, Limited</w:t>
      </w:r>
    </w:p>
    <w:p>
      <w:pPr>
        <w:spacing w:after="0" w:line="187" w:lineRule="auto"/>
        <w:rPr>
          <w:sz w:val="20"/>
          <w:szCs w:val="20"/>
          <w:color w:val="auto"/>
        </w:rPr>
      </w:pPr>
      <w:r>
        <w:rPr>
          <w:rFonts w:ascii="Arial" w:cs="Arial" w:eastAsia="Arial" w:hAnsi="Arial"/>
          <w:sz w:val="9"/>
          <w:szCs w:val="9"/>
          <w:color w:val="FFFFFF"/>
        </w:rPr>
        <w:t>FINANCIALCorporateGovernanceREPORTINGReport</w:t>
      </w:r>
    </w:p>
    <w:p>
      <w:pPr>
        <w:ind w:left="740" w:right="460" w:hanging="723"/>
        <w:spacing w:after="0" w:line="181" w:lineRule="auto"/>
        <w:rPr>
          <w:sz w:val="20"/>
          <w:szCs w:val="20"/>
          <w:color w:val="auto"/>
        </w:rPr>
      </w:pPr>
      <w:r>
        <w:rPr>
          <w:rFonts w:ascii="Arial" w:cs="Arial" w:eastAsia="Arial" w:hAnsi="Arial"/>
          <w:sz w:val="7"/>
          <w:szCs w:val="7"/>
          <w:color w:val="FFFFFF"/>
        </w:rPr>
        <w:t>TheInternationalDirectors’DirectorsResponsibilityacknowledge their responsibility for the preparation and true and fair presentation of the Financial Statements in accordance with International Financial Reporting Standards issued by the Accounting Standards Board and the International Financial Reporting Interpretations Committee and the disclosure requirements of the Hong Kong Companies Ordinance.</w:t>
      </w:r>
    </w:p>
    <w:p>
      <w:pPr>
        <w:ind w:left="480" w:hanging="475"/>
        <w:spacing w:after="0" w:line="181" w:lineRule="auto"/>
        <w:rPr>
          <w:sz w:val="20"/>
          <w:szCs w:val="20"/>
          <w:color w:val="auto"/>
        </w:rPr>
      </w:pPr>
      <w:r>
        <w:rPr>
          <w:rFonts w:ascii="Arial" w:cs="Arial" w:eastAsia="Arial" w:hAnsi="Arial"/>
          <w:sz w:val="7"/>
          <w:szCs w:val="7"/>
          <w:color w:val="FFFFFF"/>
        </w:rPr>
        <w:t>materialThisisstatement,responsibilitywhetherincludesduetodesigning,fraudorerror;implementingselecting andand maintainingapplyingappropriateinternalcontrolaccountingrelevantpolicies;totheandpreparationmaking accountingandthetrueestimatesandfair presentationthatarereasonableofthe Financialthecircumstances.Statements thatThe areDirectorsfreefromare materialnotaware of any uncertainties relating to events conditions that may cast signifi cant doubt upon the Company’s ability to continue as going concern at 31 December 2012. Accordingly, the Directors have</w:t>
      </w:r>
    </w:p>
    <w:p>
      <w:pPr>
        <w:spacing w:after="0"/>
        <w:tabs>
          <w:tab w:leader="none" w:pos="4200" w:val="left"/>
        </w:tabs>
        <w:rPr>
          <w:sz w:val="20"/>
          <w:szCs w:val="20"/>
          <w:color w:val="auto"/>
        </w:rPr>
      </w:pPr>
      <w:r>
        <w:rPr>
          <w:rFonts w:ascii="Arial" w:cs="Arial" w:eastAsia="Arial" w:hAnsi="Arial"/>
          <w:sz w:val="3"/>
          <w:szCs w:val="3"/>
          <w:color w:val="FFFFFF"/>
        </w:rPr>
        <w:t>prepared the Financial Statements for the year ended 31 December 2012 on</w:t>
      </w:r>
      <w:r>
        <w:rPr>
          <w:sz w:val="20"/>
          <w:szCs w:val="20"/>
          <w:color w:val="auto"/>
        </w:rPr>
        <w:tab/>
      </w:r>
      <w:r>
        <w:rPr>
          <w:rFonts w:ascii="Arial" w:cs="Arial" w:eastAsia="Arial" w:hAnsi="Arial"/>
          <w:sz w:val="3"/>
          <w:szCs w:val="3"/>
          <w:color w:val="FFFFFF"/>
        </w:rPr>
        <w:t>going concern basis.</w:t>
      </w:r>
    </w:p>
    <w:p>
      <w:pPr>
        <w:spacing w:after="0" w:line="181" w:lineRule="auto"/>
        <w:rPr>
          <w:sz w:val="20"/>
          <w:szCs w:val="20"/>
          <w:color w:val="auto"/>
        </w:rPr>
      </w:pPr>
      <w:r>
        <w:rPr>
          <w:rFonts w:ascii="Arial" w:cs="Arial" w:eastAsia="Arial" w:hAnsi="Arial"/>
          <w:sz w:val="10"/>
          <w:szCs w:val="10"/>
          <w:color w:val="FFFFFF"/>
        </w:rPr>
        <w:t>Auditors’statementResponsibilitybytheexternal auditors of the Company, Ernst &amp; Young, is included in the Independent Auditors’ Report on pages 74 to 75 of this Annual Report.</w:t>
      </w:r>
    </w:p>
    <w:p>
      <w:pPr>
        <w:ind w:right="360"/>
        <w:spacing w:after="0"/>
        <w:rPr>
          <w:sz w:val="20"/>
          <w:szCs w:val="20"/>
          <w:color w:val="auto"/>
        </w:rPr>
      </w:pPr>
      <w:r>
        <w:rPr>
          <w:rFonts w:ascii="Arial" w:cs="Arial" w:eastAsia="Arial" w:hAnsi="Arial"/>
          <w:sz w:val="8"/>
          <w:szCs w:val="8"/>
          <w:color w:val="FFFFFF"/>
        </w:rPr>
        <w:t>Fees for auditingRemunerationservices provided by our external auditor, Ernst &amp; Young, for the year ended 31 December 2012 are included in note 3.2 to the Financial Statements. There were no non-auditing services provided by our external auditor for the year ended 31 December 2012.</w:t>
      </w:r>
    </w:p>
    <w:p>
      <w:pPr>
        <w:spacing w:after="0" w:line="30" w:lineRule="exact"/>
        <w:rPr>
          <w:sz w:val="20"/>
          <w:szCs w:val="20"/>
          <w:color w:val="auto"/>
        </w:rPr>
      </w:pPr>
    </w:p>
    <w:p>
      <w:pPr>
        <w:ind w:left="60" w:right="120" w:hanging="44"/>
        <w:spacing w:after="0"/>
        <w:rPr>
          <w:sz w:val="20"/>
          <w:szCs w:val="20"/>
          <w:color w:val="auto"/>
        </w:rPr>
      </w:pPr>
      <w:r>
        <w:rPr>
          <w:rFonts w:ascii="Arial" w:cs="Arial" w:eastAsia="Arial" w:hAnsi="Arial"/>
          <w:sz w:val="3"/>
          <w:szCs w:val="3"/>
          <w:color w:val="FFFFFF"/>
        </w:rPr>
        <w:t>TheINTERNALCompanyCONTROLSandtheGroup have had an internal audit department since the Company’s formation. The internal audit department performed its functions fully during 2012 following an annual audit plan and outine testing. The Company’ audit committee reviewed the internal control system in respect of the year ended 31 December 2012 and considered the system effective adequate. The Board conducted</w:t>
      </w:r>
    </w:p>
    <w:p>
      <w:pPr>
        <w:spacing w:after="0" w:line="6" w:lineRule="exact"/>
        <w:rPr>
          <w:sz w:val="20"/>
          <w:szCs w:val="20"/>
          <w:color w:val="auto"/>
        </w:rPr>
      </w:pPr>
    </w:p>
    <w:p>
      <w:pPr>
        <w:ind w:right="160"/>
        <w:spacing w:after="0" w:line="183" w:lineRule="auto"/>
        <w:rPr>
          <w:sz w:val="20"/>
          <w:szCs w:val="20"/>
          <w:color w:val="auto"/>
        </w:rPr>
      </w:pPr>
      <w:r>
        <w:rPr>
          <w:rFonts w:ascii="Arial" w:cs="Arial" w:eastAsia="Arial" w:hAnsi="Arial"/>
          <w:sz w:val="11"/>
          <w:szCs w:val="11"/>
          <w:color w:val="FFFFFF"/>
        </w:rPr>
        <w:t xml:space="preserve">review of the internal control system of the Company and its subsidiaries for the year ended 31 December 2012, including fi nancial, operational and compliance control, and risk management functions. The </w:t>
      </w:r>
      <w:r>
        <w:rPr>
          <w:rFonts w:ascii="Arial" w:cs="Arial" w:eastAsia="Arial" w:hAnsi="Arial"/>
          <w:sz w:val="21"/>
          <w:szCs w:val="21"/>
          <w:color w:val="FFFFFF"/>
          <w:vertAlign w:val="subscript"/>
        </w:rPr>
        <w:t>Code</w:t>
      </w:r>
      <w:r>
        <w:rPr>
          <w:rFonts w:ascii="Arial" w:cs="Arial" w:eastAsia="Arial" w:hAnsi="Arial"/>
          <w:sz w:val="11"/>
          <w:szCs w:val="11"/>
          <w:color w:val="FFFFFF"/>
        </w:rPr>
        <w:t>Bard</w:t>
      </w:r>
      <w:r>
        <w:rPr>
          <w:rFonts w:ascii="Arial" w:cs="Arial" w:eastAsia="Arial" w:hAnsi="Arial"/>
          <w:sz w:val="21"/>
          <w:szCs w:val="21"/>
          <w:color w:val="FFFFFF"/>
          <w:vertAlign w:val="subscript"/>
        </w:rPr>
        <w:t>.</w:t>
      </w:r>
      <w:r>
        <w:rPr>
          <w:rFonts w:ascii="Arial" w:cs="Arial" w:eastAsia="Arial" w:hAnsi="Arial"/>
          <w:sz w:val="11"/>
          <w:szCs w:val="11"/>
          <w:color w:val="FFFFFF"/>
        </w:rPr>
        <w:t xml:space="preserve"> assessed the effectiveness of internal control by considering the reviews performed by the audit committee. The Company complies with the code provisions relating to internal control contained in the</w:t>
      </w:r>
    </w:p>
    <w:p>
      <w:pPr>
        <w:sectPr>
          <w:pgSz w:w="11900" w:h="16838" w:orient="portrait"/>
          <w:cols w:equalWidth="0" w:num="1">
            <w:col w:w="11360"/>
          </w:cols>
          <w:pgMar w:left="240" w:top="1440" w:right="29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20"/>
                <w:szCs w:val="20"/>
                <w:color w:val="auto"/>
              </w:rPr>
            </w:pPr>
            <w:r>
              <w:rPr>
                <w:rFonts w:ascii="Arial" w:cs="Arial" w:eastAsia="Arial" w:hAnsi="Arial"/>
                <w:sz w:val="14"/>
                <w:szCs w:val="14"/>
                <w:color w:val="FFFFFF"/>
              </w:rPr>
              <w:t>Annual Report 2012 71</w:t>
            </w:r>
          </w:p>
        </w:tc>
        <w:tc>
          <w:tcPr>
            <w:tcW w:w="15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940" w:type="dxa"/>
            <w:vAlign w:val="bottom"/>
          </w:tcPr>
          <w:p>
            <w:pPr>
              <w:ind w:left="100"/>
              <w:spacing w:after="0"/>
              <w:rPr>
                <w:sz w:val="20"/>
                <w:szCs w:val="20"/>
                <w:color w:val="auto"/>
              </w:rPr>
            </w:pPr>
            <w:r>
              <w:rPr>
                <w:rFonts w:ascii="Arial" w:cs="Arial" w:eastAsia="Arial" w:hAnsi="Arial"/>
                <w:sz w:val="3"/>
                <w:szCs w:val="3"/>
                <w:color w:val="FFFFFF"/>
              </w:rPr>
              <w:t>orporate Governance Report</w:t>
            </w:r>
          </w:p>
        </w:tc>
        <w:tc>
          <w:tcPr>
            <w:tcW w:w="15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tcPr>
          <w:p>
            <w:pPr>
              <w:spacing w:after="0"/>
              <w:rPr>
                <w:sz w:val="20"/>
                <w:szCs w:val="20"/>
                <w:color w:val="auto"/>
              </w:rPr>
            </w:pPr>
            <w:r>
              <w:rPr>
                <w:rFonts w:ascii="Arial" w:cs="Arial" w:eastAsia="Arial" w:hAnsi="Arial"/>
                <w:sz w:val="3"/>
                <w:szCs w:val="3"/>
                <w:color w:val="FFFFFF"/>
              </w:rPr>
              <w:t>COMPANY SECRETARY</w:t>
            </w:r>
          </w:p>
        </w:tc>
        <w:tc>
          <w:tcPr>
            <w:tcW w:w="15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Ms. Kwok Yu Ching, formerly of Tricor Services Limited (“Tricor”), our external service provider of company secretarial services, resigned as company secretary and authorized representative of the Company</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with effect from 28 February 2013. On the same date, Ms. Ho Wing Tsz Wendy of Tricor was appointed as company secretary and authorized representative of the Company. Ms. Kwok Yu Ching was the</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company secretary and authorized representative of the Company during the year ended 31 December 2012.   . Kwok Yu Ching has confi rmed that there is no disagreement with the Board and that th re is no</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other matter in relation to her resignation that needs to be brought to the attention of the Shareholders. Tricor’Msprimary contact person at the Company is Mr. Jay M. Schall, Senior Vice President and General</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Counsel of the Company. Up to the date of this report, Ms. Ho Wing Tsz Wendy has taken no less than 15 hours of relevant professional training to update her skills and knowledge.</w:t>
            </w:r>
          </w:p>
        </w:tc>
        <w:tc>
          <w:tcPr>
            <w:tcW w:w="0" w:type="dxa"/>
            <w:vAlign w:val="bottom"/>
          </w:tcPr>
          <w:p>
            <w:pPr>
              <w:spacing w:after="0"/>
              <w:rPr>
                <w:sz w:val="1"/>
                <w:szCs w:val="1"/>
                <w:color w:val="auto"/>
              </w:rPr>
            </w:pPr>
          </w:p>
        </w:tc>
      </w:tr>
      <w:tr>
        <w:trPr>
          <w:trHeight w:val="41"/>
        </w:trPr>
        <w:tc>
          <w:tcPr>
            <w:tcW w:w="1940" w:type="dxa"/>
            <w:vAlign w:val="bottom"/>
          </w:tcPr>
          <w:p>
            <w:pPr>
              <w:spacing w:after="0"/>
              <w:rPr>
                <w:sz w:val="20"/>
                <w:szCs w:val="20"/>
                <w:color w:val="auto"/>
              </w:rPr>
            </w:pPr>
            <w:r>
              <w:rPr>
                <w:rFonts w:ascii="Arial" w:cs="Arial" w:eastAsia="Arial" w:hAnsi="Arial"/>
                <w:sz w:val="3"/>
                <w:szCs w:val="3"/>
                <w:color w:val="FFFFFF"/>
              </w:rPr>
              <w:t>SHAREHOLDERS’ RIGHTS</w:t>
            </w:r>
          </w:p>
        </w:tc>
        <w:tc>
          <w:tcPr>
            <w:tcW w:w="15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3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80" w:type="dxa"/>
            <w:vAlign w:val="bottom"/>
            <w:gridSpan w:val="2"/>
          </w:tcPr>
          <w:p>
            <w:pPr>
              <w:spacing w:after="0"/>
              <w:rPr>
                <w:sz w:val="20"/>
                <w:szCs w:val="20"/>
                <w:color w:val="auto"/>
              </w:rPr>
            </w:pPr>
            <w:r>
              <w:rPr>
                <w:rFonts w:ascii="Arial" w:cs="Arial" w:eastAsia="Arial" w:hAnsi="Arial"/>
                <w:sz w:val="3"/>
                <w:szCs w:val="3"/>
                <w:color w:val="FFFFFF"/>
              </w:rPr>
              <w:t>Convening of Extraordinary General Meeting by Shareholders</w:t>
            </w:r>
          </w:p>
        </w:tc>
        <w:tc>
          <w:tcPr>
            <w:tcW w:w="4900" w:type="dxa"/>
            <w:vAlign w:val="bottom"/>
            <w:vMerge w:val="restart"/>
          </w:tcPr>
          <w:p>
            <w:pPr>
              <w:ind w:left="80"/>
              <w:spacing w:after="0"/>
              <w:rPr>
                <w:sz w:val="20"/>
                <w:szCs w:val="20"/>
                <w:color w:val="auto"/>
              </w:rPr>
            </w:pPr>
            <w:r>
              <w:rPr>
                <w:rFonts w:ascii="Arial" w:cs="Arial" w:eastAsia="Arial" w:hAnsi="Arial"/>
                <w:sz w:val="3"/>
                <w:szCs w:val="3"/>
                <w:color w:val="FFFFFF"/>
              </w:rPr>
              <w:t>the Board may, whenever it thinks fi t, convene an extraordinary general meeting.</w:t>
            </w:r>
          </w:p>
        </w:tc>
        <w:tc>
          <w:tcPr>
            <w:tcW w:w="3000" w:type="dxa"/>
            <w:vAlign w:val="bottom"/>
            <w:vMerge w:val="restart"/>
          </w:tcPr>
          <w:p>
            <w:pPr>
              <w:ind w:left="420"/>
              <w:spacing w:after="0"/>
              <w:rPr>
                <w:sz w:val="20"/>
                <w:szCs w:val="20"/>
                <w:color w:val="auto"/>
              </w:rPr>
            </w:pPr>
            <w:r>
              <w:rPr>
                <w:rFonts w:ascii="Arial" w:cs="Arial" w:eastAsia="Arial" w:hAnsi="Arial"/>
                <w:sz w:val="3"/>
                <w:szCs w:val="3"/>
                <w:color w:val="FFFFFF"/>
              </w:rPr>
              <w:t>general meetings shall also be convened by two</w:t>
            </w:r>
          </w:p>
        </w:tc>
        <w:tc>
          <w:tcPr>
            <w:tcW w:w="0" w:type="dxa"/>
            <w:vAlign w:val="bottom"/>
          </w:tcPr>
          <w:p>
            <w:pPr>
              <w:spacing w:after="0"/>
              <w:rPr>
                <w:sz w:val="1"/>
                <w:szCs w:val="1"/>
                <w:color w:val="auto"/>
              </w:rPr>
            </w:pPr>
          </w:p>
        </w:tc>
      </w:tr>
      <w:tr>
        <w:trPr>
          <w:trHeight w:val="0"/>
        </w:trPr>
        <w:tc>
          <w:tcPr>
            <w:tcW w:w="1940" w:type="dxa"/>
            <w:vAlign w:val="bottom"/>
          </w:tcPr>
          <w:p>
            <w:pPr>
              <w:spacing w:after="0" w:line="80" w:lineRule="exact"/>
              <w:rPr>
                <w:sz w:val="20"/>
                <w:szCs w:val="20"/>
                <w:color w:val="auto"/>
              </w:rPr>
            </w:pPr>
            <w:r>
              <w:rPr>
                <w:rFonts w:ascii="Arial" w:cs="Arial" w:eastAsia="Arial" w:hAnsi="Arial"/>
                <w:sz w:val="9"/>
                <w:szCs w:val="9"/>
                <w:color w:val="FFFFFF"/>
              </w:rPr>
              <w:t>Pursuant to Article 13.3 of the</w:t>
            </w:r>
          </w:p>
        </w:tc>
        <w:tc>
          <w:tcPr>
            <w:tcW w:w="1540" w:type="dxa"/>
            <w:vAlign w:val="bottom"/>
          </w:tcPr>
          <w:p>
            <w:pPr>
              <w:ind w:left="300"/>
              <w:spacing w:after="0" w:line="80" w:lineRule="exact"/>
              <w:rPr>
                <w:sz w:val="20"/>
                <w:szCs w:val="20"/>
                <w:color w:val="auto"/>
              </w:rPr>
            </w:pPr>
            <w:r>
              <w:rPr>
                <w:rFonts w:ascii="Arial" w:cs="Arial" w:eastAsia="Arial" w:hAnsi="Arial"/>
                <w:sz w:val="9"/>
                <w:szCs w:val="9"/>
                <w:color w:val="FFFFFF"/>
              </w:rPr>
              <w:t>s articles of</w:t>
            </w:r>
          </w:p>
        </w:tc>
        <w:tc>
          <w:tcPr>
            <w:tcW w:w="4900" w:type="dxa"/>
            <w:vAlign w:val="bottom"/>
            <w:vMerge w:val="continue"/>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40"/>
        <w:spacing w:after="0" w:line="217" w:lineRule="auto"/>
        <w:rPr>
          <w:sz w:val="20"/>
          <w:szCs w:val="20"/>
          <w:color w:val="auto"/>
        </w:rPr>
      </w:pPr>
      <w:r>
        <w:rPr>
          <w:rFonts w:ascii="Arial" w:cs="Arial" w:eastAsia="Arial" w:hAnsi="Arial"/>
          <w:sz w:val="2"/>
          <w:szCs w:val="2"/>
          <w:color w:val="FFFFFF"/>
        </w:rPr>
        <w:t xml:space="preserve">or more Shareholders depositingCompany’written requisition association,theprincipal of? ce of the Company in Hong Kong or, in the event the Company ceases to haveExtraordinarysuchprincipal of? ce, the registered of? ce, specifying </w:t>
      </w:r>
      <w:r>
        <w:rPr>
          <w:rFonts w:ascii="Arial" w:cs="Arial" w:eastAsia="Arial" w:hAnsi="Arial"/>
          <w:sz w:val="4"/>
          <w:szCs w:val="4"/>
          <w:color w:val="FFFFFF"/>
          <w:vertAlign w:val="superscript"/>
        </w:rPr>
        <w:t>the</w:t>
      </w:r>
      <w:r>
        <w:rPr>
          <w:rFonts w:ascii="Arial" w:cs="Arial" w:eastAsia="Arial" w:hAnsi="Arial"/>
          <w:sz w:val="2"/>
          <w:szCs w:val="2"/>
          <w:color w:val="FFFFFF"/>
        </w:rPr>
        <w:t xml:space="preserve"> objects of the meeting and signed by the requisitionists. The requisitionists should hold as at the date of deposit of the requisition not less than one-tenth of the paid up capital of the Company which carries</w:t>
      </w:r>
    </w:p>
    <w:p>
      <w:pPr>
        <w:ind w:left="200"/>
        <w:spacing w:after="0"/>
        <w:rPr>
          <w:sz w:val="20"/>
          <w:szCs w:val="20"/>
          <w:color w:val="auto"/>
        </w:rPr>
      </w:pPr>
      <w:r>
        <w:rPr>
          <w:rFonts w:ascii="Arial" w:cs="Arial" w:eastAsia="Arial" w:hAnsi="Arial"/>
          <w:sz w:val="3"/>
          <w:szCs w:val="3"/>
          <w:color w:val="FFFFFF"/>
        </w:rPr>
        <w:t>right of voting at general meetings.</w:t>
      </w:r>
    </w:p>
    <w:p>
      <w:pPr>
        <w:spacing w:after="0" w:line="6" w:lineRule="exact"/>
        <w:rPr>
          <w:sz w:val="20"/>
          <w:szCs w:val="20"/>
          <w:color w:val="auto"/>
        </w:rPr>
      </w:pPr>
    </w:p>
    <w:p>
      <w:pPr>
        <w:ind w:right="40"/>
        <w:spacing w:after="0"/>
        <w:rPr>
          <w:sz w:val="20"/>
          <w:szCs w:val="20"/>
          <w:color w:val="auto"/>
        </w:rPr>
      </w:pPr>
      <w:r>
        <w:rPr>
          <w:rFonts w:ascii="Arial" w:cs="Arial" w:eastAsia="Arial" w:hAnsi="Arial"/>
          <w:sz w:val="6"/>
          <w:szCs w:val="6"/>
          <w:color w:val="FFFFFF"/>
        </w:rPr>
        <w:t xml:space="preserve">General meetings may also be convened on the written requisition of a Shareholder which is a recognized clearing house (or its nominee(s)) deposited at the principal of? ce of the Company in Hong Kong or, in </w:t>
      </w:r>
      <w:r>
        <w:rPr>
          <w:rFonts w:ascii="Arial" w:cs="Arial" w:eastAsia="Arial" w:hAnsi="Arial"/>
          <w:sz w:val="7"/>
          <w:szCs w:val="7"/>
          <w:color w:val="FFFFFF"/>
          <w:vertAlign w:val="superscript"/>
        </w:rPr>
        <w:t>the</w:t>
      </w:r>
      <w:r>
        <w:rPr>
          <w:rFonts w:ascii="Arial" w:cs="Arial" w:eastAsia="Arial" w:hAnsi="Arial"/>
          <w:sz w:val="6"/>
          <w:szCs w:val="6"/>
          <w:color w:val="FFFFFF"/>
        </w:rPr>
        <w:t xml:space="preserve"> event the Company ceases to have such a principal of? ce, the registered of? ce specifying the objects of the meeting and signed by the requisitionist. The requisitionist should hold as at the date of deposit of</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3"/>
          <w:szCs w:val="3"/>
          <w:color w:val="FFFFFF"/>
        </w:rPr>
        <w:t>requisition not less than one-tenth of the paid up capital of the Company which carries the right of voting at general meetings.</w:t>
      </w:r>
    </w:p>
    <w:p>
      <w:pPr>
        <w:spacing w:after="0" w:line="6" w:lineRule="exact"/>
        <w:rPr>
          <w:sz w:val="20"/>
          <w:szCs w:val="20"/>
          <w:color w:val="auto"/>
        </w:rPr>
      </w:pPr>
    </w:p>
    <w:p>
      <w:pPr>
        <w:spacing w:after="0"/>
        <w:rPr>
          <w:sz w:val="20"/>
          <w:szCs w:val="20"/>
          <w:color w:val="auto"/>
        </w:rPr>
      </w:pPr>
      <w:r>
        <w:rPr>
          <w:rFonts w:ascii="Arial" w:cs="Arial" w:eastAsia="Arial" w:hAnsi="Arial"/>
          <w:sz w:val="6"/>
          <w:szCs w:val="6"/>
          <w:color w:val="FFFFFF"/>
        </w:rPr>
        <w:t xml:space="preserve">If the Board does not within 21 days from the date of deposit of the requisition proceed to convene the meeting to be held within a further 21 days, the requisitionist(s) themselves or any of them representing </w:t>
      </w:r>
      <w:r>
        <w:rPr>
          <w:rFonts w:ascii="Arial" w:cs="Arial" w:eastAsia="Arial" w:hAnsi="Arial"/>
          <w:sz w:val="7"/>
          <w:szCs w:val="7"/>
          <w:color w:val="FFFFFF"/>
          <w:vertAlign w:val="subscript"/>
        </w:rPr>
        <w:t>meeting</w:t>
      </w:r>
      <w:r>
        <w:rPr>
          <w:rFonts w:ascii="Arial" w:cs="Arial" w:eastAsia="Arial" w:hAnsi="Arial"/>
          <w:sz w:val="6"/>
          <w:szCs w:val="6"/>
          <w:color w:val="FFFFFF"/>
        </w:rPr>
        <w:t>orethan one-half of the total voting rights of all of them, may convene the general meeting in the same manner</w:t>
      </w:r>
      <w:r>
        <w:rPr>
          <w:rFonts w:ascii="Arial" w:cs="Arial" w:eastAsia="Arial" w:hAnsi="Arial"/>
          <w:sz w:val="7"/>
          <w:szCs w:val="7"/>
          <w:color w:val="FFFFFF"/>
          <w:vertAlign w:val="subscript"/>
        </w:rPr>
        <w:t>requisition,</w:t>
      </w:r>
      <w:r>
        <w:rPr>
          <w:rFonts w:ascii="Arial" w:cs="Arial" w:eastAsia="Arial" w:hAnsi="Arial"/>
          <w:sz w:val="6"/>
          <w:szCs w:val="6"/>
          <w:color w:val="FFFFFF"/>
        </w:rPr>
        <w:t>asnearly as possible, as that in which meetings may be convened by the Board provided that any</w:t>
      </w:r>
    </w:p>
    <w:p>
      <w:pPr>
        <w:spacing w:after="0" w:line="1" w:lineRule="exact"/>
        <w:rPr>
          <w:sz w:val="20"/>
          <w:szCs w:val="20"/>
          <w:color w:val="auto"/>
        </w:rPr>
      </w:pPr>
    </w:p>
    <w:p>
      <w:pPr>
        <w:ind w:right="160" w:firstLine="469"/>
        <w:spacing w:after="0" w:line="190" w:lineRule="auto"/>
        <w:rPr>
          <w:sz w:val="20"/>
          <w:szCs w:val="20"/>
          <w:color w:val="auto"/>
        </w:rPr>
      </w:pPr>
      <w:r>
        <w:rPr>
          <w:rFonts w:ascii="Arial" w:cs="Arial" w:eastAsia="Arial" w:hAnsi="Arial"/>
          <w:sz w:val="11"/>
          <w:szCs w:val="11"/>
          <w:color w:val="FFFFFF"/>
        </w:rPr>
        <w:t>so convened shall not be held after the expiration of three months from the date of deposit of the and all reasonable expenses incurred by the requisitionist(s) as a result of the failure of the Board shall be reimbursed to them by the Company.</w:t>
      </w:r>
    </w:p>
    <w:p>
      <w:pPr>
        <w:sectPr>
          <w:pgSz w:w="11900" w:h="16838" w:orient="portrait"/>
          <w:cols w:equalWidth="0" w:num="1">
            <w:col w:w="11400"/>
          </w:cols>
          <w:pgMar w:left="240" w:top="1440" w:right="259" w:bottom="1440" w:gutter="0" w:footer="0" w:header="0"/>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72 Wynn Macau, Limited</w:t>
      </w:r>
    </w:p>
    <w:p>
      <w:pPr>
        <w:spacing w:after="0" w:line="187" w:lineRule="auto"/>
        <w:rPr>
          <w:sz w:val="20"/>
          <w:szCs w:val="20"/>
          <w:color w:val="auto"/>
        </w:rPr>
      </w:pPr>
      <w:r>
        <w:rPr>
          <w:rFonts w:ascii="Arial" w:cs="Arial" w:eastAsia="Arial" w:hAnsi="Arial"/>
          <w:sz w:val="9"/>
          <w:szCs w:val="9"/>
          <w:color w:val="FFFFFF"/>
        </w:rPr>
        <w:t>SHAREHOLDERS’CorporateGovernanceRIGHTSReport (CONTINUED)</w:t>
      </w:r>
    </w:p>
    <w:p>
      <w:pPr>
        <w:ind w:right="300"/>
        <w:spacing w:after="0" w:line="181" w:lineRule="auto"/>
        <w:rPr>
          <w:sz w:val="20"/>
          <w:szCs w:val="20"/>
          <w:color w:val="auto"/>
        </w:rPr>
      </w:pPr>
      <w:r>
        <w:rPr>
          <w:rFonts w:ascii="Arial" w:cs="Arial" w:eastAsia="Arial" w:hAnsi="Arial"/>
          <w:sz w:val="7"/>
          <w:szCs w:val="7"/>
          <w:color w:val="FFFFFF"/>
        </w:rPr>
        <w:t>TheProceduresproceduresforShareholdersforShareholderstoproposetoproposeapersonapersonforelectionforelectionasavailableaasDirectorDirectoroftheofCompanytheCompany were reviewed and recommended by the nomination and corporate governance committee, and approved and adopted by the Board on 27 March 2012. The procedures are for viewing on our Company’s website at www.wynnmacaulimited.com.</w:t>
      </w:r>
    </w:p>
    <w:p>
      <w:pPr>
        <w:spacing w:after="0" w:line="188" w:lineRule="auto"/>
        <w:rPr>
          <w:sz w:val="20"/>
          <w:szCs w:val="20"/>
          <w:color w:val="auto"/>
        </w:rPr>
      </w:pPr>
      <w:r>
        <w:rPr>
          <w:rFonts w:ascii="Arial" w:cs="Arial" w:eastAsia="Arial" w:hAnsi="Arial"/>
          <w:sz w:val="9"/>
          <w:szCs w:val="9"/>
          <w:color w:val="FFFFFF"/>
        </w:rPr>
        <w:t>Shareholders’INVESTORRELATIONSEnquiriesand Proposals</w:t>
      </w:r>
    </w:p>
    <w:p>
      <w:pPr>
        <w:spacing w:after="0"/>
        <w:rPr>
          <w:sz w:val="20"/>
          <w:szCs w:val="20"/>
          <w:color w:val="auto"/>
        </w:rPr>
      </w:pPr>
      <w:r>
        <w:rPr>
          <w:rFonts w:ascii="Arial" w:cs="Arial" w:eastAsia="Arial" w:hAnsi="Arial"/>
          <w:sz w:val="3"/>
          <w:szCs w:val="3"/>
          <w:color w:val="FFFFFF"/>
        </w:rPr>
        <w:t>Enquiries from Shareholders for the Board or the Company or proposals from Shareholders for shareholders’ meetings may be directed to Wynn Macau Investor Relations:</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ChangesBypost: Wynntothe contactMacau, detailsInvestoraboveRelations,willbeRuacommunicatedCidadedeSintra,throughNAPE,ourCompany’sMacauBy websitefax:(853)at www2832.9966wynnmacaulimitedBy-mail:inquiries@wynnmacau.com.com,whichalsopostsinformation and updates on the Company’s business developments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and operations, as well as press releases and fi nancial information.</w:t>
      </w:r>
    </w:p>
    <w:p>
      <w:pPr>
        <w:spacing w:after="0" w:line="181" w:lineRule="auto"/>
        <w:rPr>
          <w:sz w:val="20"/>
          <w:szCs w:val="20"/>
          <w:color w:val="auto"/>
        </w:rPr>
      </w:pPr>
      <w:r>
        <w:rPr>
          <w:rFonts w:ascii="Arial" w:cs="Arial" w:eastAsia="Arial" w:hAnsi="Arial"/>
          <w:sz w:val="10"/>
          <w:szCs w:val="10"/>
          <w:color w:val="FFFFFF"/>
        </w:rPr>
        <w:t>TheShareholders’Company’sCommunicationshareholders’communicationPolicy policy was reviewed and recommended by the nomination and corporate governance committee, and approved and adopted by the Board on 27 March 2012. The</w:t>
      </w:r>
    </w:p>
    <w:p>
      <w:pPr>
        <w:ind w:left="4920"/>
        <w:spacing w:after="0" w:line="6" w:lineRule="auto"/>
        <w:rPr>
          <w:sz w:val="20"/>
          <w:szCs w:val="20"/>
          <w:color w:val="auto"/>
        </w:rPr>
      </w:pPr>
      <w:r>
        <w:rPr>
          <w:rFonts w:ascii="Arial" w:cs="Arial" w:eastAsia="Arial" w:hAnsi="Arial"/>
          <w:sz w:val="1"/>
          <w:szCs w:val="1"/>
          <w:color w:val="FFFFFF"/>
        </w:rPr>
        <w:t>Changesshareholders’in communicationofAssociationpolicy is available for viewing on our Company’s website at www.wynnmacaulimited.com.</w:t>
      </w:r>
    </w:p>
    <w:p>
      <w:pPr>
        <w:spacing w:after="0" w:line="209" w:lineRule="auto"/>
        <w:rPr>
          <w:sz w:val="20"/>
          <w:szCs w:val="20"/>
          <w:color w:val="auto"/>
        </w:rPr>
      </w:pPr>
      <w:r>
        <w:rPr>
          <w:rFonts w:ascii="Arial" w:cs="Arial" w:eastAsia="Arial" w:hAnsi="Arial"/>
          <w:sz w:val="12"/>
          <w:szCs w:val="12"/>
          <w:color w:val="FFFFFF"/>
        </w:rPr>
        <w:t>The Company’Articlescurrent articles of association were conditionally adopted on 16 September 2009, effective on the Company’s Listing, and are available for viewing on the websites of the Company and the Hong Kong Stock Exchange. There have been no changes in the Company’s articles of association since the Listing.</w:t>
      </w:r>
    </w:p>
    <w:p>
      <w:pPr>
        <w:sectPr>
          <w:pgSz w:w="11900" w:h="16838" w:orient="portrait"/>
          <w:cols w:equalWidth="0" w:num="1">
            <w:col w:w="11380"/>
          </w:cols>
          <w:pgMar w:left="240" w:top="1440" w:right="279" w:bottom="1440" w:gutter="0" w:footer="0" w:header="0"/>
        </w:sectPr>
      </w:pPr>
    </w:p>
    <w:bookmarkStart w:id="78" w:name="page79"/>
    <w:bookmarkEnd w:id="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FFFFFF"/>
              </w:rPr>
              <w:t>Annual Report 2012 73</w:t>
            </w:r>
          </w:p>
        </w:tc>
        <w:tc>
          <w:tcPr>
            <w:tcW w:w="9660" w:type="dxa"/>
            <w:vAlign w:val="bottom"/>
          </w:tcPr>
          <w:p>
            <w:pPr>
              <w:spacing w:after="0"/>
              <w:rPr>
                <w:sz w:val="14"/>
                <w:szCs w:val="14"/>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Corporate Governance Report</w:t>
            </w:r>
          </w:p>
        </w:tc>
        <w:tc>
          <w:tcPr>
            <w:tcW w:w="9660" w:type="dxa"/>
            <w:vAlign w:val="bottom"/>
          </w:tcPr>
          <w:p>
            <w:pPr>
              <w:spacing w:after="0"/>
              <w:rPr>
                <w:sz w:val="3"/>
                <w:szCs w:val="3"/>
                <w:color w:val="auto"/>
              </w:rPr>
            </w:pP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INVESTOR RELATIONS (CONTINUED)</w:t>
            </w: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Shareholder Pro? le and Public Float Capitalization</w:t>
            </w:r>
          </w:p>
        </w:tc>
      </w:tr>
      <w:tr>
        <w:trPr>
          <w:trHeight w:val="41"/>
        </w:trPr>
        <w:tc>
          <w:tcPr>
            <w:tcW w:w="11320" w:type="dxa"/>
            <w:vAlign w:val="bottom"/>
            <w:gridSpan w:val="2"/>
          </w:tcPr>
          <w:p>
            <w:pPr>
              <w:spacing w:after="0"/>
              <w:rPr>
                <w:sz w:val="20"/>
                <w:szCs w:val="20"/>
                <w:color w:val="auto"/>
              </w:rPr>
            </w:pPr>
            <w:r>
              <w:rPr>
                <w:rFonts w:ascii="Arial" w:cs="Arial" w:eastAsia="Arial" w:hAnsi="Arial"/>
                <w:sz w:val="3"/>
                <w:szCs w:val="3"/>
                <w:color w:val="FFFFFF"/>
              </w:rPr>
              <w:t>From Listing to 14 October 2009, the Company was held as to 75% by its direct holding company, WM Cayman Holdings Limited I and 25% by public Shareholders. On 14 October 2009, the over-allotment</w:t>
            </w: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option granted to underwriters</w:t>
            </w:r>
          </w:p>
        </w:tc>
        <w:tc>
          <w:tcPr>
            <w:tcW w:w="9660" w:type="dxa"/>
            <w:vAlign w:val="bottom"/>
          </w:tcPr>
          <w:p>
            <w:pPr>
              <w:ind w:left="160"/>
              <w:spacing w:after="0"/>
              <w:rPr>
                <w:sz w:val="20"/>
                <w:szCs w:val="20"/>
                <w:color w:val="auto"/>
              </w:rPr>
            </w:pPr>
            <w:r>
              <w:rPr>
                <w:rFonts w:ascii="Arial" w:cs="Arial" w:eastAsia="Arial" w:hAnsi="Arial"/>
                <w:sz w:val="3"/>
                <w:szCs w:val="3"/>
                <w:color w:val="FFFFFF"/>
              </w:rPr>
              <w:t>connection with the Company’s initial public offering was exercised. Following such exercise of the over-allotment option and until 31 December 2012, the Company was held</w:t>
            </w: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as to 72.29% by WM Cayman</w:t>
            </w:r>
          </w:p>
        </w:tc>
        <w:tc>
          <w:tcPr>
            <w:tcW w:w="9660" w:type="dxa"/>
            <w:vAlign w:val="bottom"/>
          </w:tcPr>
          <w:p>
            <w:pPr>
              <w:ind w:left="20"/>
              <w:spacing w:after="0"/>
              <w:rPr>
                <w:sz w:val="20"/>
                <w:szCs w:val="20"/>
                <w:color w:val="auto"/>
              </w:rPr>
            </w:pPr>
            <w:r>
              <w:rPr>
                <w:rFonts w:ascii="Arial" w:cs="Arial" w:eastAsia="Arial" w:hAnsi="Arial"/>
                <w:sz w:val="3"/>
                <w:szCs w:val="3"/>
                <w:color w:val="FFFFFF"/>
              </w:rPr>
              <w:t>Holdings Limited I and 27.71% by public Shareholders. The Company’s ultimate controlling Shareholder through both periods was Wynn Resorts, Limited, which indirectly held</w:t>
            </w:r>
          </w:p>
        </w:tc>
      </w:tr>
      <w:tr>
        <w:trPr>
          <w:trHeight w:val="0"/>
        </w:trPr>
        <w:tc>
          <w:tcPr>
            <w:tcW w:w="11320" w:type="dxa"/>
            <w:vAlign w:val="bottom"/>
            <w:gridSpan w:val="2"/>
          </w:tcPr>
          <w:p>
            <w:pPr>
              <w:spacing w:after="0"/>
              <w:rPr>
                <w:sz w:val="20"/>
                <w:szCs w:val="20"/>
                <w:color w:val="auto"/>
              </w:rPr>
            </w:pPr>
            <w:r>
              <w:rPr>
                <w:rFonts w:ascii="Arial" w:cs="Arial" w:eastAsia="Arial" w:hAnsi="Arial"/>
                <w:sz w:val="3"/>
                <w:szCs w:val="3"/>
                <w:color w:val="FFFFFF"/>
              </w:rPr>
              <w:t>100% of WM Cayman Holdings Limited I.</w:t>
            </w:r>
          </w:p>
        </w:tc>
      </w:tr>
    </w:tbl>
    <w:p>
      <w:pPr>
        <w:spacing w:after="0" w:line="25" w:lineRule="auto"/>
        <w:rPr>
          <w:sz w:val="20"/>
          <w:szCs w:val="20"/>
          <w:color w:val="auto"/>
        </w:rPr>
      </w:pPr>
      <w:r>
        <w:rPr>
          <w:rFonts w:ascii="Arial" w:cs="Arial" w:eastAsia="Arial" w:hAnsi="Arial"/>
          <w:sz w:val="1"/>
          <w:szCs w:val="1"/>
          <w:color w:val="FFFFFF"/>
        </w:rPr>
        <w:t>As at 31 December 2012, the Company’s public fl oat was 27.71%.</w:t>
      </w:r>
    </w:p>
    <w:p>
      <w:pPr>
        <w:spacing w:after="0"/>
        <w:rPr>
          <w:sz w:val="20"/>
          <w:szCs w:val="20"/>
          <w:color w:val="auto"/>
        </w:rPr>
      </w:pPr>
      <w:r>
        <w:rPr>
          <w:rFonts w:ascii="Arial" w:cs="Arial" w:eastAsia="Arial" w:hAnsi="Arial"/>
          <w:sz w:val="3"/>
          <w:szCs w:val="3"/>
          <w:color w:val="FFFFFF"/>
        </w:rPr>
        <w:t>SHAREHOLDER MEETINGS</w:t>
      </w:r>
    </w:p>
    <w:p>
      <w:pPr>
        <w:spacing w:after="0" w:line="6" w:lineRule="exact"/>
        <w:rPr>
          <w:sz w:val="20"/>
          <w:szCs w:val="20"/>
          <w:color w:val="auto"/>
        </w:rPr>
      </w:pPr>
    </w:p>
    <w:p>
      <w:pPr>
        <w:jc w:val="both"/>
        <w:spacing w:after="0"/>
        <w:rPr>
          <w:sz w:val="20"/>
          <w:szCs w:val="20"/>
          <w:color w:val="auto"/>
        </w:rPr>
      </w:pPr>
      <w:r>
        <w:rPr>
          <w:rFonts w:ascii="Arial" w:cs="Arial" w:eastAsia="Arial" w:hAnsi="Arial"/>
          <w:sz w:val="7"/>
          <w:szCs w:val="7"/>
          <w:color w:val="FFFFFF"/>
        </w:rPr>
        <w:t>The Company held its annual general meeting for the year ended 31 December 2011 at the Grand Ballroom at Wynn Macau on 5 June 2012 and the resolutions at the said meeting were voted by poll pursuant to the Listing Rules and the poll results were posted on the websites of the Hong Kong Stock Exchange and the Company immediately after the said meeting.</w:t>
      </w:r>
    </w:p>
    <w:p>
      <w:pPr>
        <w:spacing w:after="0" w:line="214" w:lineRule="auto"/>
        <w:rPr>
          <w:sz w:val="20"/>
          <w:szCs w:val="20"/>
          <w:color w:val="auto"/>
        </w:rPr>
      </w:pPr>
      <w:r>
        <w:rPr>
          <w:rFonts w:ascii="Arial" w:cs="Arial" w:eastAsia="Arial" w:hAnsi="Arial"/>
          <w:sz w:val="4"/>
          <w:szCs w:val="4"/>
          <w:color w:val="FFFFFF"/>
          <w:vertAlign w:val="superscript"/>
        </w:rPr>
        <w:t>Key</w:t>
      </w:r>
    </w:p>
    <w:p>
      <w:pPr>
        <w:ind w:left="100"/>
        <w:spacing w:after="0"/>
        <w:rPr>
          <w:sz w:val="20"/>
          <w:szCs w:val="20"/>
          <w:color w:val="auto"/>
        </w:rPr>
      </w:pPr>
      <w:r>
        <w:rPr>
          <w:rFonts w:ascii="Arial" w:cs="Arial" w:eastAsia="Arial" w:hAnsi="Arial"/>
          <w:sz w:val="3"/>
          <w:szCs w:val="3"/>
          <w:color w:val="FFFFFF"/>
        </w:rPr>
        <w:t>EYshareholderSHAREHOLDERdatesforDATES2013are:</w:t>
      </w:r>
    </w:p>
    <w:p>
      <w:pPr>
        <w:ind w:left="80"/>
        <w:spacing w:after="0" w:line="194" w:lineRule="auto"/>
        <w:rPr>
          <w:sz w:val="20"/>
          <w:szCs w:val="20"/>
          <w:color w:val="auto"/>
        </w:rPr>
      </w:pPr>
      <w:r>
        <w:rPr>
          <w:rFonts w:ascii="Arial" w:cs="Arial" w:eastAsia="Arial" w:hAnsi="Arial"/>
          <w:sz w:val="5"/>
          <w:szCs w:val="5"/>
          <w:color w:val="FFFFFF"/>
        </w:rPr>
        <w:t>May 2013: annual general meeting;</w:t>
      </w:r>
    </w:p>
    <w:p>
      <w:pPr>
        <w:spacing w:after="0" w:line="211" w:lineRule="auto"/>
        <w:tabs>
          <w:tab w:leader="none" w:pos="2360" w:val="left"/>
        </w:tabs>
        <w:rPr>
          <w:sz w:val="20"/>
          <w:szCs w:val="20"/>
          <w:color w:val="auto"/>
        </w:rPr>
      </w:pPr>
      <w:r>
        <w:rPr>
          <w:rFonts w:ascii="Arial" w:cs="Arial" w:eastAsia="Arial" w:hAnsi="Arial"/>
          <w:sz w:val="4"/>
          <w:szCs w:val="4"/>
          <w:color w:val="FFFFFF"/>
          <w:vertAlign w:val="superscript"/>
        </w:rPr>
        <w:t>•</w:t>
      </w:r>
      <w:r>
        <w:rPr>
          <w:sz w:val="20"/>
          <w:szCs w:val="20"/>
          <w:color w:val="auto"/>
        </w:rPr>
        <w:tab/>
      </w:r>
      <w:r>
        <w:rPr>
          <w:rFonts w:ascii="Arial" w:cs="Arial" w:eastAsia="Arial" w:hAnsi="Arial"/>
          <w:sz w:val="4"/>
          <w:szCs w:val="4"/>
          <w:color w:val="FFFFFF"/>
          <w:vertAlign w:val="superscript"/>
        </w:rPr>
        <w:t>in</w:t>
      </w:r>
    </w:p>
    <w:p>
      <w:pPr>
        <w:ind w:left="80"/>
        <w:spacing w:after="0"/>
        <w:tabs>
          <w:tab w:leader="none" w:pos="2460" w:val="left"/>
        </w:tabs>
        <w:rPr>
          <w:sz w:val="20"/>
          <w:szCs w:val="20"/>
          <w:color w:val="auto"/>
        </w:rPr>
      </w:pPr>
      <w:r>
        <w:rPr>
          <w:rFonts w:ascii="Arial" w:cs="Arial" w:eastAsia="Arial" w:hAnsi="Arial"/>
          <w:sz w:val="14"/>
          <w:szCs w:val="14"/>
          <w:color w:val="FFFFFF"/>
        </w:rPr>
        <w:t>SeptemberAugust2013:2013:releasereleaseofannouncementofinterimreportof</w:t>
      </w:r>
      <w:r>
        <w:rPr>
          <w:sz w:val="20"/>
          <w:szCs w:val="20"/>
          <w:color w:val="auto"/>
        </w:rPr>
        <w:tab/>
      </w:r>
      <w:r>
        <w:rPr>
          <w:rFonts w:ascii="Arial" w:cs="Arial" w:eastAsia="Arial" w:hAnsi="Arial"/>
          <w:sz w:val="7"/>
          <w:szCs w:val="7"/>
          <w:color w:val="FFFFFF"/>
        </w:rPr>
        <w:t>terimrespectresultsoftheinsixrespectmonthsof theendingsix months30Juneending2013. 30 June 2013; and</w:t>
      </w:r>
    </w:p>
    <w:p>
      <w:pPr>
        <w:sectPr>
          <w:pgSz w:w="11900" w:h="16838" w:orient="portrait"/>
          <w:cols w:equalWidth="0" w:num="1">
            <w:col w:w="11340"/>
          </w:cols>
          <w:pgMar w:left="240" w:top="1440" w:right="319" w:bottom="1440" w:gutter="0" w:footer="0" w:header="0"/>
        </w:sectPr>
      </w:pPr>
    </w:p>
    <w:bookmarkStart w:id="79" w:name="page80"/>
    <w:bookmarkEnd w:id="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74IndependentWynnMacau,Auditors’LimitedReport</w:t>
      </w:r>
    </w:p>
    <w:p>
      <w:pPr>
        <w:spacing w:after="0" w:line="187" w:lineRule="auto"/>
        <w:tabs>
          <w:tab w:leader="none" w:pos="660" w:val="left"/>
        </w:tabs>
        <w:rPr>
          <w:sz w:val="20"/>
          <w:szCs w:val="20"/>
          <w:color w:val="auto"/>
        </w:rPr>
      </w:pPr>
      <w:r>
        <w:rPr>
          <w:rFonts w:ascii="Arial" w:cs="Arial" w:eastAsia="Arial" w:hAnsi="Arial"/>
          <w:sz w:val="6"/>
          <w:szCs w:val="6"/>
          <w:color w:val="FFFFFF"/>
        </w:rPr>
        <w:t>22/F</w:t>
      </w:r>
      <w:r>
        <w:rPr>
          <w:sz w:val="20"/>
          <w:szCs w:val="20"/>
          <w:color w:val="auto"/>
        </w:rPr>
        <w:tab/>
      </w:r>
      <w:r>
        <w:rPr>
          <w:rFonts w:ascii="Arial" w:cs="Arial" w:eastAsia="Arial" w:hAnsi="Arial"/>
          <w:sz w:val="6"/>
          <w:szCs w:val="6"/>
          <w:color w:val="FFFFFF"/>
        </w:rPr>
        <w:t>Tower</w:t>
      </w:r>
    </w:p>
    <w:p>
      <w:pPr>
        <w:spacing w:after="0" w:line="188" w:lineRule="auto"/>
        <w:rPr>
          <w:sz w:val="20"/>
          <w:szCs w:val="20"/>
          <w:color w:val="auto"/>
        </w:rPr>
      </w:pPr>
      <w:r>
        <w:rPr>
          <w:rFonts w:ascii="Arial" w:cs="Arial" w:eastAsia="Arial" w:hAnsi="Arial"/>
          <w:sz w:val="9"/>
          <w:szCs w:val="9"/>
          <w:color w:val="FFFFFF"/>
        </w:rPr>
        <w:t>T1  theCITICshareholdersimMeiAvenueofWynnCentralMacau,HongLimitedKong</w:t>
      </w:r>
    </w:p>
    <w:p>
      <w:pPr>
        <w:ind w:left="10980"/>
        <w:spacing w:after="0"/>
        <w:rPr>
          <w:sz w:val="20"/>
          <w:szCs w:val="20"/>
          <w:color w:val="auto"/>
        </w:rPr>
      </w:pPr>
      <w:r>
        <w:rPr>
          <w:rFonts w:ascii="Arial" w:cs="Arial" w:eastAsia="Arial" w:hAnsi="Arial"/>
          <w:sz w:val="1"/>
          <w:szCs w:val="1"/>
          <w:color w:val="FFFFFF"/>
        </w:rPr>
        <w:t>W(Incorporatedhaveauditedin thethe Cayman Islands?nancialwithlimitedstatementsliability)ofWynn Macau, Limited (the “Company”) and its subsidiaries (collectively referred to as the “Group”) set out on pages 76 to 169, which comprise the</w:t>
      </w:r>
    </w:p>
    <w:p>
      <w:pPr>
        <w:ind w:left="1140"/>
        <w:spacing w:after="0"/>
        <w:rPr>
          <w:sz w:val="20"/>
          <w:szCs w:val="20"/>
          <w:color w:val="auto"/>
        </w:rPr>
      </w:pPr>
      <w:r>
        <w:rPr>
          <w:rFonts w:ascii="Arial" w:cs="Arial" w:eastAsia="Arial" w:hAnsi="Arial"/>
          <w:sz w:val="3"/>
          <w:szCs w:val="3"/>
          <w:color w:val="FFFFFF"/>
        </w:rPr>
        <w:t>consolidated</w:t>
      </w:r>
    </w:p>
    <w:p>
      <w:pPr>
        <w:spacing w:after="0" w:line="194" w:lineRule="auto"/>
        <w:rPr>
          <w:sz w:val="20"/>
          <w:szCs w:val="20"/>
          <w:color w:val="auto"/>
        </w:rPr>
      </w:pPr>
      <w:r>
        <w:rPr>
          <w:rFonts w:ascii="Arial" w:cs="Arial" w:eastAsia="Arial" w:hAnsi="Arial"/>
          <w:sz w:val="5"/>
          <w:szCs w:val="5"/>
          <w:color w:val="FFFFFF"/>
          <w:vertAlign w:val="subscript"/>
        </w:rPr>
        <w:t>consolidated</w:t>
      </w:r>
      <w:r>
        <w:rPr>
          <w:rFonts w:ascii="Arial" w:cs="Arial" w:eastAsia="Arial" w:hAnsi="Arial"/>
          <w:sz w:val="3"/>
          <w:szCs w:val="3"/>
          <w:color w:val="FFFFFF"/>
        </w:rPr>
        <w:t xml:space="preserve"> and the Comp</w:t>
      </w:r>
      <w:r>
        <w:rPr>
          <w:rFonts w:ascii="Arial" w:cs="Arial" w:eastAsia="Arial" w:hAnsi="Arial"/>
          <w:sz w:val="5"/>
          <w:szCs w:val="5"/>
          <w:color w:val="FFFFFF"/>
          <w:vertAlign w:val="subscript"/>
        </w:rPr>
        <w:t>cash</w:t>
      </w:r>
      <w:r>
        <w:rPr>
          <w:rFonts w:ascii="Arial" w:cs="Arial" w:eastAsia="Arial" w:hAnsi="Arial"/>
          <w:sz w:val="3"/>
          <w:szCs w:val="3"/>
          <w:color w:val="FFFFFF"/>
        </w:rPr>
        <w:t xml:space="preserve">ny’ statements of fi nancial position </w:t>
      </w:r>
      <w:r>
        <w:rPr>
          <w:rFonts w:ascii="Arial" w:cs="Arial" w:eastAsia="Arial" w:hAnsi="Arial"/>
          <w:sz w:val="5"/>
          <w:szCs w:val="5"/>
          <w:color w:val="FFFFFF"/>
          <w:vertAlign w:val="subscript"/>
        </w:rPr>
        <w:t>as</w:t>
      </w:r>
      <w:r>
        <w:rPr>
          <w:rFonts w:ascii="Arial" w:cs="Arial" w:eastAsia="Arial" w:hAnsi="Arial"/>
          <w:sz w:val="3"/>
          <w:szCs w:val="3"/>
          <w:color w:val="FFFFFF"/>
        </w:rPr>
        <w:t xml:space="preserve"> at 31 December 2012, and the consolidated statement of comprehensive income, the consolidated statement of changes in equity and the</w:t>
      </w:r>
    </w:p>
    <w:p>
      <w:pPr>
        <w:ind w:left="720"/>
        <w:spacing w:after="0"/>
        <w:tabs>
          <w:tab w:leader="none" w:pos="1680" w:val="left"/>
          <w:tab w:leader="none" w:pos="3660" w:val="left"/>
        </w:tabs>
        <w:rPr>
          <w:sz w:val="20"/>
          <w:szCs w:val="20"/>
          <w:color w:val="auto"/>
        </w:rPr>
      </w:pPr>
      <w:r>
        <w:rPr>
          <w:rFonts w:ascii="Arial" w:cs="Arial" w:eastAsia="Arial" w:hAnsi="Arial"/>
          <w:sz w:val="3"/>
          <w:szCs w:val="3"/>
          <w:color w:val="FFFFFF"/>
        </w:rPr>
        <w:t>statement of</w:t>
      </w:r>
      <w:r>
        <w:rPr>
          <w:sz w:val="20"/>
          <w:szCs w:val="20"/>
          <w:color w:val="auto"/>
        </w:rPr>
        <w:tab/>
      </w:r>
      <w:r>
        <w:rPr>
          <w:rFonts w:ascii="Arial" w:cs="Arial" w:eastAsia="Arial" w:hAnsi="Arial"/>
          <w:sz w:val="3"/>
          <w:szCs w:val="3"/>
          <w:color w:val="FFFFFF"/>
        </w:rPr>
        <w:t>? ows for the year then ended, and</w:t>
      </w:r>
      <w:r>
        <w:rPr>
          <w:sz w:val="20"/>
          <w:szCs w:val="20"/>
          <w:color w:val="auto"/>
        </w:rPr>
        <w:tab/>
      </w:r>
      <w:r>
        <w:rPr>
          <w:rFonts w:ascii="Arial" w:cs="Arial" w:eastAsia="Arial" w:hAnsi="Arial"/>
          <w:sz w:val="3"/>
          <w:szCs w:val="3"/>
          <w:color w:val="FFFFFF"/>
        </w:rPr>
        <w:t>summary of signi? cant accounting policies and other explanatory information.</w:t>
      </w:r>
    </w:p>
    <w:p>
      <w:pPr>
        <w:spacing w:after="0" w:line="194" w:lineRule="auto"/>
        <w:rPr>
          <w:sz w:val="20"/>
          <w:szCs w:val="20"/>
          <w:color w:val="auto"/>
        </w:rPr>
      </w:pPr>
      <w:r>
        <w:rPr>
          <w:rFonts w:ascii="Arial" w:cs="Arial" w:eastAsia="Arial" w:hAnsi="Arial"/>
          <w:sz w:val="5"/>
          <w:szCs w:val="5"/>
          <w:color w:val="FFFFFF"/>
        </w:rPr>
        <w:t>DIRECTORS’ RESPONSIBILITY FOR THE CONSOLIDATED FINANCIAL STATEMENTS</w:t>
      </w:r>
    </w:p>
    <w:p>
      <w:pPr>
        <w:ind w:left="740" w:hanging="723"/>
        <w:spacing w:after="0"/>
        <w:rPr>
          <w:sz w:val="20"/>
          <w:szCs w:val="20"/>
          <w:color w:val="auto"/>
        </w:rPr>
      </w:pPr>
      <w:r>
        <w:rPr>
          <w:rFonts w:ascii="Arial" w:cs="Arial" w:eastAsia="Arial" w:hAnsi="Arial"/>
          <w:sz w:val="7"/>
          <w:szCs w:val="7"/>
          <w:color w:val="FFFFFF"/>
          <w:vertAlign w:val="subscript"/>
        </w:rPr>
        <w:t>International</w:t>
      </w:r>
      <w:r>
        <w:rPr>
          <w:rFonts w:ascii="Arial" w:cs="Arial" w:eastAsia="Arial" w:hAnsi="Arial"/>
          <w:sz w:val="6"/>
          <w:szCs w:val="6"/>
          <w:color w:val="FFFFFF"/>
        </w:rPr>
        <w:t>Thedirectors of the Company are responsible for the preparation of consolidated ? nancial statements that give a true and fair view in accordance with International Financial Reporting Standards issued by the Accounting Standards Board and the IFRS Interpretations Committee and the disclosure requirements of the Hong Kong Companies Ordinance, and for such internal control as the directors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determine is necessary to enable the preparation of consolidated ? nancial statements that are free from material misstatement, whether due to fraud or error.</w:t>
      </w:r>
    </w:p>
    <w:p>
      <w:pPr>
        <w:spacing w:after="0" w:line="194" w:lineRule="auto"/>
        <w:rPr>
          <w:sz w:val="20"/>
          <w:szCs w:val="20"/>
          <w:color w:val="auto"/>
        </w:rPr>
      </w:pPr>
      <w:r>
        <w:rPr>
          <w:rFonts w:ascii="Arial" w:cs="Arial" w:eastAsia="Arial" w:hAnsi="Arial"/>
          <w:sz w:val="5"/>
          <w:szCs w:val="5"/>
          <w:color w:val="FFFFFF"/>
        </w:rPr>
        <w:t>AUDITORS’ RESPONSIBILITY</w:t>
      </w:r>
    </w:p>
    <w:p>
      <w:pPr>
        <w:spacing w:after="0" w:line="211" w:lineRule="auto"/>
        <w:rPr>
          <w:sz w:val="20"/>
          <w:szCs w:val="20"/>
          <w:color w:val="auto"/>
        </w:rPr>
      </w:pPr>
      <w:r>
        <w:rPr>
          <w:rFonts w:ascii="Arial" w:cs="Arial" w:eastAsia="Arial" w:hAnsi="Arial"/>
          <w:sz w:val="2"/>
          <w:szCs w:val="2"/>
          <w:color w:val="FFFFFF"/>
        </w:rPr>
        <w:t>Our responsibility is to express an opinion</w:t>
      </w:r>
      <w:r>
        <w:rPr>
          <w:rFonts w:ascii="Arial" w:cs="Arial" w:eastAsia="Arial" w:hAnsi="Arial"/>
          <w:sz w:val="4"/>
          <w:szCs w:val="4"/>
          <w:color w:val="FFFFFF"/>
          <w:vertAlign w:val="subscript"/>
        </w:rPr>
        <w:t>person</w:t>
      </w:r>
      <w:r>
        <w:rPr>
          <w:rFonts w:ascii="Arial" w:cs="Arial" w:eastAsia="Arial" w:hAnsi="Arial"/>
          <w:sz w:val="2"/>
          <w:szCs w:val="2"/>
          <w:color w:val="FFFFFF"/>
        </w:rPr>
        <w:t xml:space="preserve"> these consolidated ? nancial statements based on our audit. Our report is made solely to you, as a body, and for no other purpose. We do not assume responsibility</w:t>
      </w:r>
    </w:p>
    <w:p>
      <w:pPr>
        <w:spacing w:after="0"/>
        <w:tabs>
          <w:tab w:leader="none" w:pos="2500" w:val="left"/>
        </w:tabs>
        <w:rPr>
          <w:sz w:val="20"/>
          <w:szCs w:val="20"/>
          <w:color w:val="auto"/>
        </w:rPr>
      </w:pPr>
      <w:r>
        <w:rPr>
          <w:rFonts w:ascii="Arial" w:cs="Arial" w:eastAsia="Arial" w:hAnsi="Arial"/>
          <w:sz w:val="3"/>
          <w:szCs w:val="3"/>
          <w:color w:val="FFFFFF"/>
        </w:rPr>
        <w:t>towards or accept liability to any other</w:t>
      </w:r>
      <w:r>
        <w:rPr>
          <w:sz w:val="20"/>
          <w:szCs w:val="20"/>
          <w:color w:val="auto"/>
        </w:rPr>
        <w:tab/>
      </w:r>
      <w:r>
        <w:rPr>
          <w:rFonts w:ascii="Arial" w:cs="Arial" w:eastAsia="Arial" w:hAnsi="Arial"/>
          <w:sz w:val="3"/>
          <w:szCs w:val="3"/>
          <w:color w:val="FFFFFF"/>
        </w:rPr>
        <w:t>for the contents of this report.</w:t>
      </w:r>
    </w:p>
    <w:p>
      <w:pPr>
        <w:spacing w:after="0" w:line="6" w:lineRule="exact"/>
        <w:rPr>
          <w:sz w:val="20"/>
          <w:szCs w:val="20"/>
          <w:color w:val="auto"/>
        </w:rPr>
      </w:pPr>
    </w:p>
    <w:p>
      <w:pPr>
        <w:ind w:left="740" w:right="480" w:hanging="738"/>
        <w:spacing w:after="0" w:line="182" w:lineRule="auto"/>
        <w:rPr>
          <w:sz w:val="20"/>
          <w:szCs w:val="20"/>
          <w:color w:val="auto"/>
        </w:rPr>
      </w:pPr>
      <w:r>
        <w:rPr>
          <w:rFonts w:ascii="Arial" w:cs="Arial" w:eastAsia="Arial" w:hAnsi="Arial"/>
          <w:sz w:val="14"/>
          <w:szCs w:val="14"/>
          <w:color w:val="FFFFFF"/>
          <w:vertAlign w:val="subscript"/>
        </w:rPr>
        <w:t>requirements</w:t>
      </w:r>
      <w:r>
        <w:rPr>
          <w:rFonts w:ascii="Arial" w:cs="Arial" w:eastAsia="Arial" w:hAnsi="Arial"/>
          <w:sz w:val="9"/>
          <w:szCs w:val="9"/>
          <w:color w:val="FFFFFF"/>
        </w:rPr>
        <w:t>Wconducted our audit in accordance with Hong Kong Standards on Auditing issued by the Hong Kong Institute of Certi? ed Public Accountants. Those standards require that we comply with ethical and plan and perform the audit to obtain reasonable assurance about whether the consolidated ? nancial statements are free from material misstatement.</w:t>
      </w:r>
    </w:p>
    <w:p>
      <w:pPr>
        <w:sectPr>
          <w:pgSz w:w="11900" w:h="16838" w:orient="portrait"/>
          <w:cols w:equalWidth="0" w:num="1">
            <w:col w:w="11280"/>
          </w:cols>
          <w:pgMar w:left="240" w:top="1440" w:right="37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75</w:t>
      </w:r>
    </w:p>
    <w:p>
      <w:pPr>
        <w:ind w:right="200"/>
        <w:spacing w:after="0" w:line="181" w:lineRule="auto"/>
        <w:rPr>
          <w:sz w:val="20"/>
          <w:szCs w:val="20"/>
          <w:color w:val="auto"/>
        </w:rPr>
      </w:pPr>
      <w:r>
        <w:rPr>
          <w:rFonts w:ascii="Arial" w:cs="Arial" w:eastAsia="Arial" w:hAnsi="Arial"/>
          <w:sz w:val="7"/>
          <w:szCs w:val="7"/>
          <w:color w:val="FFFFFF"/>
        </w:rPr>
        <w:t>AnIndependentauditinvolvesAuditors’performingReport procedures to obtain audit evidence about the amounts and disclosures in the consolidated ? nancial statements. The procedures selected depend on the auditors’ judgment, including the assessment of the risks of material misstatement of the consolidated fi nancial statements, whether due to fraud or error. In making those risk assessments, the auditors consider internal control</w:t>
      </w:r>
    </w:p>
    <w:p>
      <w:pPr>
        <w:spacing w:after="0"/>
        <w:rPr>
          <w:sz w:val="20"/>
          <w:szCs w:val="20"/>
          <w:color w:val="auto"/>
        </w:rPr>
      </w:pPr>
      <w:r>
        <w:rPr>
          <w:rFonts w:ascii="Arial" w:cs="Arial" w:eastAsia="Arial" w:hAnsi="Arial"/>
          <w:sz w:val="3"/>
          <w:szCs w:val="3"/>
          <w:color w:val="FFFFFF"/>
        </w:rPr>
        <w:t>expressingrelevantto theanopinionentity’ onpreparationtheeffectivenessofconsolidatedoftheentity’presentationfinancialinternalstatementscontrol.thatAngiveaudit truealso andincludesfairviewevaluatingorderthetoappropriatenessdesignauditproceduresofaccountingthatarepoliciesappropriateusedandin thethe circumstances,reasonablenessbutof accountingnotforthe purposeestimatesofmade by the directors, as well as evaluating the overall of the consolidated fi nancial .</w:t>
      </w:r>
    </w:p>
    <w:p>
      <w:pPr>
        <w:spacing w:after="0" w:line="181" w:lineRule="auto"/>
        <w:rPr>
          <w:sz w:val="20"/>
          <w:szCs w:val="20"/>
          <w:color w:val="auto"/>
        </w:rPr>
      </w:pPr>
      <w:r>
        <w:rPr>
          <w:rFonts w:ascii="Arial" w:cs="Arial" w:eastAsia="Arial" w:hAnsi="Arial"/>
          <w:sz w:val="10"/>
          <w:szCs w:val="10"/>
          <w:color w:val="FFFFFF"/>
        </w:rPr>
        <w:t>We believe that the audit evidence we have obtained is suf? cient and appropriate to providestatementsbasisfor our audit opinion.</w:t>
      </w:r>
    </w:p>
    <w:p>
      <w:pPr>
        <w:spacing w:after="0"/>
        <w:rPr>
          <w:sz w:val="20"/>
          <w:szCs w:val="20"/>
          <w:color w:val="auto"/>
        </w:rPr>
      </w:pPr>
      <w:r>
        <w:rPr>
          <w:rFonts w:ascii="Arial" w:cs="Arial" w:eastAsia="Arial" w:hAnsi="Arial"/>
          <w:sz w:val="3"/>
          <w:szCs w:val="3"/>
          <w:color w:val="FFFFFF"/>
        </w:rPr>
        <w:t>OPINION</w:t>
      </w:r>
    </w:p>
    <w:p>
      <w:pPr>
        <w:spacing w:after="0" w:line="6" w:lineRule="exact"/>
        <w:rPr>
          <w:sz w:val="20"/>
          <w:szCs w:val="20"/>
          <w:color w:val="auto"/>
        </w:rPr>
      </w:pPr>
    </w:p>
    <w:p>
      <w:pPr>
        <w:ind w:right="80"/>
        <w:spacing w:after="0" w:line="187" w:lineRule="auto"/>
        <w:rPr>
          <w:sz w:val="20"/>
          <w:szCs w:val="20"/>
          <w:color w:val="auto"/>
        </w:rPr>
      </w:pPr>
      <w:r>
        <w:rPr>
          <w:rFonts w:ascii="Arial" w:cs="Arial" w:eastAsia="Arial" w:hAnsi="Arial"/>
          <w:sz w:val="9"/>
          <w:szCs w:val="9"/>
          <w:color w:val="FFFFFF"/>
        </w:rPr>
        <w:t>In our opinion, the consolidated ? nancial statements give a true and fair view of the state of affairs of the Company and of the Group as at 31 December 2012, and of the Group’s profi t and cash ? ows for the year then ended in accordance with International Financial Reporting Standards and have been properly prepared in accordance with the disclosure requirements of the Hong Kong Companies Ordinance. Ernst &amp; Young</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HongCerti? KongedPublic Accountants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28 March 2013</w:t>
      </w:r>
    </w:p>
    <w:p>
      <w:pPr>
        <w:sectPr>
          <w:pgSz w:w="11900" w:h="16838" w:orient="portrait"/>
          <w:cols w:equalWidth="0" w:num="1">
            <w:col w:w="11300"/>
          </w:cols>
          <w:pgMar w:left="240" w:top="1440" w:right="359" w:bottom="1440" w:gutter="0" w:footer="0" w:header="0"/>
        </w:sectPr>
      </w:pPr>
    </w:p>
    <w:bookmarkStart w:id="81" w:name="page82"/>
    <w:bookmarkEnd w:id="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Financial76Wynn Macau,StatementsLimited</w:t>
      </w:r>
    </w:p>
    <w:p>
      <w:pPr>
        <w:spacing w:after="0"/>
        <w:rPr>
          <w:sz w:val="20"/>
          <w:szCs w:val="20"/>
          <w:color w:val="auto"/>
        </w:rPr>
      </w:pPr>
      <w:r>
        <w:rPr>
          <w:rFonts w:ascii="Arial" w:cs="Arial" w:eastAsia="Arial" w:hAnsi="Arial"/>
          <w:sz w:val="3"/>
          <w:szCs w:val="3"/>
          <w:color w:val="FFFFFF"/>
        </w:rPr>
        <w:t>ForConsolidatedtheyearendedStatement of Comprehensive Income</w:t>
      </w:r>
    </w:p>
    <w:p>
      <w:pPr>
        <w:spacing w:after="0" w:line="208" w:lineRule="auto"/>
        <w:tabs>
          <w:tab w:leader="none" w:pos="440" w:val="left"/>
        </w:tabs>
        <w:rPr>
          <w:sz w:val="20"/>
          <w:szCs w:val="20"/>
          <w:color w:val="auto"/>
        </w:rPr>
      </w:pPr>
      <w:r>
        <w:rPr>
          <w:rFonts w:ascii="Arial" w:cs="Arial" w:eastAsia="Arial" w:hAnsi="Arial"/>
          <w:sz w:val="6"/>
          <w:szCs w:val="6"/>
          <w:color w:val="FFFFFF"/>
        </w:rPr>
        <w:t>31</w:t>
      </w:r>
      <w:r>
        <w:rPr>
          <w:sz w:val="20"/>
          <w:szCs w:val="20"/>
          <w:color w:val="auto"/>
        </w:rPr>
        <w:tab/>
      </w:r>
      <w:r>
        <w:rPr>
          <w:rFonts w:ascii="Arial" w:cs="Arial" w:eastAsia="Arial" w:hAnsi="Arial"/>
          <w:sz w:val="6"/>
          <w:szCs w:val="6"/>
          <w:color w:val="FFFFFF"/>
        </w:rPr>
        <w:t>December</w:t>
      </w:r>
    </w:p>
    <w:p>
      <w:pPr>
        <w:spacing w:after="0" w:line="181" w:lineRule="auto"/>
        <w:rPr>
          <w:sz w:val="20"/>
          <w:szCs w:val="20"/>
          <w:color w:val="auto"/>
        </w:rPr>
      </w:pPr>
      <w:r>
        <w:rPr>
          <w:rFonts w:ascii="Arial" w:cs="Arial" w:eastAsia="Arial" w:hAnsi="Arial"/>
          <w:sz w:val="14"/>
          <w:szCs w:val="14"/>
          <w:color w:val="FFFFFF"/>
        </w:rPr>
        <w:t>2012HK$ HK2011$</w:t>
      </w:r>
    </w:p>
    <w:p>
      <w:pPr>
        <w:spacing w:after="0" w:line="188" w:lineRule="auto"/>
        <w:rPr>
          <w:sz w:val="20"/>
          <w:szCs w:val="20"/>
          <w:color w:val="auto"/>
        </w:rPr>
      </w:pPr>
      <w:r>
        <w:rPr>
          <w:rFonts w:ascii="Arial" w:cs="Arial" w:eastAsia="Arial" w:hAnsi="Arial"/>
          <w:sz w:val="9"/>
          <w:szCs w:val="9"/>
          <w:color w:val="FFFFFF"/>
        </w:rPr>
        <w:t>OperatingNotes(inthousands)revenues</w:t>
      </w:r>
    </w:p>
    <w:p>
      <w:pPr>
        <w:spacing w:after="0"/>
        <w:rPr>
          <w:sz w:val="20"/>
          <w:szCs w:val="20"/>
          <w:color w:val="auto"/>
        </w:rPr>
      </w:pPr>
      <w:r>
        <w:rPr>
          <w:rFonts w:ascii="Arial" w:cs="Arial" w:eastAsia="Arial" w:hAnsi="Arial"/>
          <w:sz w:val="3"/>
          <w:szCs w:val="3"/>
          <w:color w:val="FFFFFF"/>
        </w:rPr>
        <w:t>RoomsCasino 26,706,712143,061140,46427,755,965</w:t>
      </w:r>
    </w:p>
    <w:p>
      <w:pPr>
        <w:spacing w:after="0" w:line="221" w:lineRule="auto"/>
        <w:rPr>
          <w:sz w:val="20"/>
          <w:szCs w:val="20"/>
          <w:color w:val="auto"/>
        </w:rPr>
      </w:pPr>
      <w:r>
        <w:rPr>
          <w:rFonts w:ascii="Arial" w:cs="Arial" w:eastAsia="Arial" w:hAnsi="Arial"/>
          <w:sz w:val="12"/>
          <w:szCs w:val="12"/>
          <w:color w:val="FFFFFF"/>
        </w:rPr>
        <w:t>FoodRetailandandbeverageother1,417,342185,1091,413,506188,157</w:t>
      </w:r>
    </w:p>
    <w:p>
      <w:pPr>
        <w:spacing w:after="0" w:line="189" w:lineRule="auto"/>
        <w:rPr>
          <w:sz w:val="20"/>
          <w:szCs w:val="20"/>
          <w:color w:val="auto"/>
        </w:rPr>
      </w:pPr>
      <w:r>
        <w:rPr>
          <w:rFonts w:ascii="Arial" w:cs="Arial" w:eastAsia="Arial" w:hAnsi="Arial"/>
          <w:sz w:val="9"/>
          <w:szCs w:val="9"/>
          <w:color w:val="FFFFFF"/>
        </w:rPr>
        <w:t>Operating28,452,224costs29,498,092andexpenses</w:t>
      </w:r>
    </w:p>
    <w:p>
      <w:pPr>
        <w:spacing w:after="0" w:line="211" w:lineRule="auto"/>
        <w:rPr>
          <w:sz w:val="20"/>
          <w:szCs w:val="20"/>
          <w:color w:val="auto"/>
        </w:rPr>
      </w:pPr>
      <w:r>
        <w:rPr>
          <w:rFonts w:ascii="Arial" w:cs="Arial" w:eastAsia="Arial" w:hAnsi="Arial"/>
          <w:sz w:val="2"/>
          <w:szCs w:val="2"/>
          <w:color w:val="FFFFFF"/>
        </w:rPr>
        <w:t>StaffGamingcoststaxes3.1 and2,238,726premiums</w:t>
      </w:r>
      <w:r>
        <w:rPr>
          <w:rFonts w:ascii="Arial" w:cs="Arial" w:eastAsia="Arial" w:hAnsi="Arial"/>
          <w:sz w:val="4"/>
          <w:szCs w:val="4"/>
          <w:color w:val="FFFFFF"/>
          <w:vertAlign w:val="subscript"/>
        </w:rPr>
        <w:t>2,089,199</w:t>
      </w:r>
      <w:r>
        <w:rPr>
          <w:rFonts w:ascii="Arial" w:cs="Arial" w:eastAsia="Arial" w:hAnsi="Arial"/>
          <w:sz w:val="2"/>
          <w:szCs w:val="2"/>
          <w:color w:val="FFFFFF"/>
        </w:rPr>
        <w:t>13,762,982 14,364,403</w:t>
      </w:r>
    </w:p>
    <w:p>
      <w:pPr>
        <w:spacing w:after="0"/>
        <w:rPr>
          <w:sz w:val="20"/>
          <w:szCs w:val="20"/>
          <w:color w:val="auto"/>
        </w:rPr>
      </w:pPr>
      <w:r>
        <w:rPr>
          <w:rFonts w:ascii="Arial" w:cs="Arial" w:eastAsia="Arial" w:hAnsi="Arial"/>
          <w:sz w:val="8"/>
          <w:szCs w:val="8"/>
          <w:color w:val="FFFFFF"/>
        </w:rPr>
        <w:t>OtherDepreciationoperatingandexpensesamortization3.4,785,0093.3918,9295,179,9251,016,421</w:t>
      </w:r>
    </w:p>
    <w:p>
      <w:pPr>
        <w:spacing w:after="0" w:line="192" w:lineRule="auto"/>
        <w:rPr>
          <w:sz w:val="20"/>
          <w:szCs w:val="20"/>
          <w:color w:val="auto"/>
        </w:rPr>
      </w:pPr>
      <w:r>
        <w:rPr>
          <w:rFonts w:ascii="Arial" w:cs="Arial" w:eastAsia="Arial" w:hAnsi="Arial"/>
          <w:sz w:val="12"/>
          <w:szCs w:val="12"/>
          <w:color w:val="FFFFFF"/>
        </w:rPr>
        <w:t>21,754,717Propertycharges23,515,801andother 3.4 49,071 865,853</w:t>
      </w:r>
    </w:p>
    <w:p>
      <w:pPr>
        <w:spacing w:after="0" w:line="212" w:lineRule="auto"/>
        <w:rPr>
          <w:sz w:val="20"/>
          <w:szCs w:val="20"/>
          <w:color w:val="auto"/>
        </w:rPr>
      </w:pPr>
      <w:r>
        <w:rPr>
          <w:rFonts w:ascii="Arial" w:cs="Arial" w:eastAsia="Arial" w:hAnsi="Arial"/>
          <w:sz w:val="2"/>
          <w:szCs w:val="2"/>
          <w:color w:val="FFFFFF"/>
        </w:rPr>
        <w:t>FinanceOperating</w:t>
      </w:r>
      <w:r>
        <w:rPr>
          <w:rFonts w:ascii="Arial" w:cs="Arial" w:eastAsia="Arial" w:hAnsi="Arial"/>
          <w:sz w:val="4"/>
          <w:szCs w:val="4"/>
          <w:color w:val="FFFFFF"/>
          <w:vertAlign w:val="superscript"/>
        </w:rPr>
        <w:t>revenues</w:t>
      </w:r>
      <w:r>
        <w:rPr>
          <w:rFonts w:ascii="Arial" w:cs="Arial" w:eastAsia="Arial" w:hAnsi="Arial"/>
          <w:sz w:val="2"/>
          <w:szCs w:val="2"/>
          <w:color w:val="FFFFFF"/>
        </w:rPr>
        <w:t>pro?t6(294,313)(259,386)</w:t>
      </w:r>
      <w:r>
        <w:rPr>
          <w:rFonts w:ascii="Arial" w:cs="Arial" w:eastAsia="Arial" w:hAnsi="Arial"/>
          <w:sz w:val="4"/>
          <w:szCs w:val="4"/>
          <w:color w:val="FFFFFF"/>
          <w:vertAlign w:val="subscript"/>
        </w:rPr>
        <w:t>6,697,507</w:t>
      </w:r>
      <w:r>
        <w:rPr>
          <w:rFonts w:ascii="Arial" w:cs="Arial" w:eastAsia="Arial" w:hAnsi="Arial"/>
          <w:sz w:val="4"/>
          <w:szCs w:val="4"/>
          <w:color w:val="FFFFFF"/>
          <w:vertAlign w:val="superscript"/>
        </w:rPr>
        <w:t>.83,762</w:t>
      </w:r>
      <w:r>
        <w:rPr>
          <w:rFonts w:ascii="Arial" w:cs="Arial" w:eastAsia="Arial" w:hAnsi="Arial"/>
          <w:sz w:val="2"/>
          <w:szCs w:val="2"/>
          <w:color w:val="FFFFFF"/>
        </w:rPr>
        <w:t>5,982,291</w:t>
      </w:r>
      <w:r>
        <w:rPr>
          <w:rFonts w:ascii="Arial" w:cs="Arial" w:eastAsia="Arial" w:hAnsi="Arial"/>
          <w:sz w:val="4"/>
          <w:szCs w:val="4"/>
          <w:color w:val="FFFFFF"/>
          <w:vertAlign w:val="superscript"/>
        </w:rPr>
        <w:t>49,066</w:t>
      </w:r>
    </w:p>
    <w:p>
      <w:pPr>
        <w:ind w:left="460"/>
        <w:spacing w:after="0"/>
        <w:rPr>
          <w:sz w:val="20"/>
          <w:szCs w:val="20"/>
          <w:color w:val="auto"/>
        </w:rPr>
      </w:pPr>
      <w:r>
        <w:rPr>
          <w:rFonts w:ascii="Arial" w:cs="Arial" w:eastAsia="Arial" w:hAnsi="Arial"/>
          <w:sz w:val="3"/>
          <w:szCs w:val="3"/>
          <w:color w:val="FFFFFF"/>
        </w:rPr>
        <w:t>costs 3.</w:t>
      </w:r>
    </w:p>
    <w:p>
      <w:pPr>
        <w:spacing w:after="0" w:line="194" w:lineRule="auto"/>
        <w:rPr>
          <w:sz w:val="20"/>
          <w:szCs w:val="20"/>
          <w:color w:val="auto"/>
        </w:rPr>
      </w:pPr>
      <w:r>
        <w:rPr>
          <w:rFonts w:ascii="Arial" w:cs="Arial" w:eastAsia="Arial" w:hAnsi="Arial"/>
          <w:sz w:val="3"/>
          <w:szCs w:val="3"/>
          <w:color w:val="FFFFFF"/>
        </w:rPr>
        <w:t xml:space="preserve">Net foreign </w:t>
      </w:r>
      <w:r>
        <w:rPr>
          <w:rFonts w:ascii="Arial" w:cs="Arial" w:eastAsia="Arial" w:hAnsi="Arial"/>
          <w:sz w:val="5"/>
          <w:szCs w:val="5"/>
          <w:color w:val="FFFFFF"/>
          <w:vertAlign w:val="superscript"/>
        </w:rPr>
        <w:t>fair</w:t>
      </w:r>
      <w:r>
        <w:rPr>
          <w:rFonts w:ascii="Arial" w:cs="Arial" w:eastAsia="Arial" w:hAnsi="Arial"/>
          <w:sz w:val="3"/>
          <w:szCs w:val="3"/>
          <w:color w:val="FFFFFF"/>
        </w:rPr>
        <w:t>curency differences 29,223 41,908</w:t>
      </w:r>
    </w:p>
    <w:p>
      <w:pPr>
        <w:spacing w:after="0" w:line="188" w:lineRule="auto"/>
        <w:rPr>
          <w:sz w:val="20"/>
          <w:szCs w:val="20"/>
          <w:color w:val="auto"/>
        </w:rPr>
      </w:pPr>
      <w:r>
        <w:rPr>
          <w:rFonts w:ascii="Arial" w:cs="Arial" w:eastAsia="Arial" w:hAnsi="Arial"/>
          <w:sz w:val="7"/>
          <w:szCs w:val="7"/>
          <w:color w:val="FFFFFF"/>
        </w:rPr>
        <w:t>Changes</w:t>
      </w:r>
      <w:r>
        <w:rPr>
          <w:rFonts w:ascii="Arial" w:cs="Arial" w:eastAsia="Arial" w:hAnsi="Arial"/>
          <w:sz w:val="9"/>
          <w:szCs w:val="9"/>
          <w:color w:val="FFFFFF"/>
          <w:vertAlign w:val="subscript"/>
        </w:rPr>
        <w:t>extinguishment</w:t>
      </w:r>
      <w:r>
        <w:rPr>
          <w:rFonts w:ascii="Arial" w:cs="Arial" w:eastAsia="Arial" w:hAnsi="Arial"/>
          <w:sz w:val="7"/>
          <w:szCs w:val="7"/>
          <w:color w:val="FFFFFF"/>
        </w:rPr>
        <w:t>valueof interest rate swaps 4(9,802) 80,366</w:t>
      </w:r>
    </w:p>
    <w:p>
      <w:pPr>
        <w:spacing w:after="0"/>
        <w:tabs>
          <w:tab w:leader="none" w:pos="1320" w:val="left"/>
        </w:tabs>
        <w:rPr>
          <w:sz w:val="20"/>
          <w:szCs w:val="20"/>
          <w:color w:val="auto"/>
        </w:rPr>
      </w:pPr>
      <w:r>
        <w:rPr>
          <w:rFonts w:ascii="Arial" w:cs="Arial" w:eastAsia="Arial" w:hAnsi="Arial"/>
          <w:sz w:val="3"/>
          <w:szCs w:val="3"/>
          <w:color w:val="FFFFFF"/>
        </w:rPr>
        <w:t>(242,765)Losson(88,046)</w:t>
      </w:r>
      <w:r>
        <w:rPr>
          <w:sz w:val="20"/>
          <w:szCs w:val="20"/>
          <w:color w:val="auto"/>
        </w:rPr>
        <w:tab/>
      </w:r>
      <w:r>
        <w:rPr>
          <w:rFonts w:ascii="Arial" w:cs="Arial" w:eastAsia="Arial" w:hAnsi="Arial"/>
          <w:sz w:val="3"/>
          <w:szCs w:val="3"/>
          <w:color w:val="FFFFFF"/>
        </w:rPr>
        <w:t>of debt(51,635) —</w:t>
      </w:r>
    </w:p>
    <w:p>
      <w:pPr>
        <w:spacing w:after="0" w:line="194" w:lineRule="auto"/>
        <w:rPr>
          <w:sz w:val="20"/>
          <w:szCs w:val="20"/>
          <w:color w:val="auto"/>
        </w:rPr>
      </w:pPr>
      <w:r>
        <w:rPr>
          <w:rFonts w:ascii="Arial" w:cs="Arial" w:eastAsia="Arial" w:hAnsi="Arial"/>
          <w:sz w:val="5"/>
          <w:szCs w:val="5"/>
          <w:color w:val="FFFFFF"/>
        </w:rPr>
        <w:t>Pro?t before tax 6,454,742 5,894,245</w:t>
      </w:r>
    </w:p>
    <w:p>
      <w:pPr>
        <w:spacing w:after="0"/>
        <w:rPr>
          <w:sz w:val="20"/>
          <w:szCs w:val="20"/>
          <w:color w:val="auto"/>
        </w:rPr>
      </w:pPr>
      <w:r>
        <w:rPr>
          <w:rFonts w:ascii="Arial" w:cs="Arial" w:eastAsia="Arial" w:hAnsi="Arial"/>
          <w:sz w:val="3"/>
          <w:szCs w:val="3"/>
          <w:color w:val="FFFFFF"/>
        </w:rPr>
        <w:t>Income tax (expense) bene?t 5(15,049) 26,768</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Net pro?t attributable to owners of the Company 6,439,693 5,921,013</w:t>
      </w:r>
    </w:p>
    <w:p>
      <w:pPr>
        <w:sectPr>
          <w:pgSz w:w="11900" w:h="16838" w:orient="portrait"/>
          <w:cols w:equalWidth="0" w:num="1">
            <w:col w:w="10219"/>
          </w:cols>
          <w:pgMar w:left="240" w:top="1440" w:right="1440"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FinancialAnnualReportStatements2012 77</w:t>
      </w:r>
    </w:p>
    <w:p>
      <w:pPr>
        <w:spacing w:after="0"/>
        <w:rPr>
          <w:sz w:val="20"/>
          <w:szCs w:val="20"/>
          <w:color w:val="auto"/>
        </w:rPr>
      </w:pPr>
      <w:r>
        <w:rPr>
          <w:rFonts w:ascii="Arial" w:cs="Arial" w:eastAsia="Arial" w:hAnsi="Arial"/>
          <w:sz w:val="3"/>
          <w:szCs w:val="3"/>
          <w:color w:val="FFFFFF"/>
        </w:rPr>
        <w:t>ForConsolidatedtheyearendedStatement of Comprehensive Income</w:t>
      </w:r>
    </w:p>
    <w:p>
      <w:pPr>
        <w:spacing w:after="0" w:line="208" w:lineRule="auto"/>
        <w:tabs>
          <w:tab w:leader="none" w:pos="440" w:val="left"/>
        </w:tabs>
        <w:rPr>
          <w:sz w:val="20"/>
          <w:szCs w:val="20"/>
          <w:color w:val="auto"/>
        </w:rPr>
      </w:pPr>
      <w:r>
        <w:rPr>
          <w:rFonts w:ascii="Arial" w:cs="Arial" w:eastAsia="Arial" w:hAnsi="Arial"/>
          <w:sz w:val="6"/>
          <w:szCs w:val="6"/>
          <w:color w:val="FFFFFF"/>
        </w:rPr>
        <w:t>31</w:t>
      </w:r>
      <w:r>
        <w:rPr>
          <w:sz w:val="20"/>
          <w:szCs w:val="20"/>
          <w:color w:val="auto"/>
        </w:rPr>
        <w:tab/>
      </w:r>
      <w:r>
        <w:rPr>
          <w:rFonts w:ascii="Arial" w:cs="Arial" w:eastAsia="Arial" w:hAnsi="Arial"/>
          <w:sz w:val="6"/>
          <w:szCs w:val="6"/>
          <w:color w:val="FFFFFF"/>
        </w:rPr>
        <w:t>December</w:t>
      </w:r>
    </w:p>
    <w:p>
      <w:pPr>
        <w:spacing w:after="0" w:line="188" w:lineRule="auto"/>
        <w:rPr>
          <w:sz w:val="20"/>
          <w:szCs w:val="20"/>
          <w:color w:val="auto"/>
        </w:rPr>
      </w:pPr>
      <w:r>
        <w:rPr>
          <w:rFonts w:ascii="Arial" w:cs="Arial" w:eastAsia="Arial" w:hAnsi="Arial"/>
          <w:sz w:val="9"/>
          <w:szCs w:val="9"/>
          <w:color w:val="FFFFFF"/>
        </w:rPr>
        <w:t>2012 2011</w:t>
      </w:r>
    </w:p>
    <w:p>
      <w:pPr>
        <w:spacing w:after="0" w:line="188" w:lineRule="auto"/>
        <w:rPr>
          <w:sz w:val="20"/>
          <w:szCs w:val="20"/>
          <w:color w:val="auto"/>
        </w:rPr>
      </w:pPr>
      <w:r>
        <w:rPr>
          <w:rFonts w:ascii="Arial" w:cs="Arial" w:eastAsia="Arial" w:hAnsi="Arial"/>
          <w:sz w:val="9"/>
          <w:szCs w:val="9"/>
          <w:color w:val="FFFFFF"/>
          <w:vertAlign w:val="subscript"/>
        </w:rPr>
        <w:t>Other</w:t>
      </w:r>
      <w:r>
        <w:rPr>
          <w:rFonts w:ascii="Arial" w:cs="Arial" w:eastAsia="Arial" w:hAnsi="Arial"/>
          <w:sz w:val="7"/>
          <w:szCs w:val="7"/>
          <w:color w:val="FFFFFF"/>
        </w:rPr>
        <w:t>NotHK$s(inHK$thousands)</w:t>
      </w:r>
    </w:p>
    <w:p>
      <w:pPr>
        <w:ind w:left="340"/>
        <w:spacing w:after="0"/>
        <w:rPr>
          <w:sz w:val="20"/>
          <w:szCs w:val="20"/>
          <w:color w:val="auto"/>
        </w:rPr>
      </w:pPr>
      <w:r>
        <w:rPr>
          <w:rFonts w:ascii="Arial" w:cs="Arial" w:eastAsia="Arial" w:hAnsi="Arial"/>
          <w:sz w:val="3"/>
          <w:szCs w:val="3"/>
          <w:color w:val="FFFFFF"/>
        </w:rPr>
        <w:t>comprehensive income (loss)</w:t>
      </w:r>
    </w:p>
    <w:p>
      <w:pPr>
        <w:spacing w:after="0" w:line="181" w:lineRule="auto"/>
        <w:rPr>
          <w:sz w:val="20"/>
          <w:szCs w:val="20"/>
          <w:color w:val="auto"/>
        </w:rPr>
      </w:pPr>
      <w:r>
        <w:rPr>
          <w:rFonts w:ascii="Arial" w:cs="Arial" w:eastAsia="Arial" w:hAnsi="Arial"/>
          <w:sz w:val="10"/>
          <w:szCs w:val="10"/>
          <w:color w:val="FFFFFF"/>
        </w:rPr>
        <w:t>ChangesAvailablein-forfair-salevalueinvestments:11,946(14,341)</w:t>
      </w:r>
    </w:p>
    <w:p>
      <w:pPr>
        <w:spacing w:after="0" w:line="188" w:lineRule="auto"/>
        <w:rPr>
          <w:sz w:val="20"/>
          <w:szCs w:val="20"/>
          <w:color w:val="auto"/>
        </w:rPr>
      </w:pPr>
      <w:r>
        <w:rPr>
          <w:rFonts w:ascii="Arial" w:cs="Arial" w:eastAsia="Arial" w:hAnsi="Arial"/>
          <w:sz w:val="9"/>
          <w:szCs w:val="9"/>
          <w:color w:val="FFFFFF"/>
        </w:rPr>
        <w:t>includedReclassi?cationinpro?tadjustmentsbeforetax 21for—losses on disposals</w:t>
      </w:r>
    </w:p>
    <w:p>
      <w:pPr>
        <w:spacing w:after="0"/>
        <w:rPr>
          <w:sz w:val="20"/>
          <w:szCs w:val="20"/>
          <w:color w:val="auto"/>
        </w:rPr>
      </w:pPr>
      <w:r>
        <w:rPr>
          <w:rFonts w:ascii="Arial" w:cs="Arial" w:eastAsia="Arial" w:hAnsi="Arial"/>
          <w:sz w:val="3"/>
          <w:szCs w:val="3"/>
          <w:color w:val="FFFFFF"/>
        </w:rPr>
        <w:t>TotalOther comprehensivecomprehensive incomeincome attributable(loss)fortheto yearowners11,967(14,341)</w:t>
      </w:r>
    </w:p>
    <w:p>
      <w:pPr>
        <w:spacing w:after="0" w:line="194" w:lineRule="auto"/>
        <w:rPr>
          <w:sz w:val="20"/>
          <w:szCs w:val="20"/>
          <w:color w:val="auto"/>
        </w:rPr>
      </w:pPr>
      <w:r>
        <w:rPr>
          <w:rFonts w:ascii="Arial" w:cs="Arial" w:eastAsia="Arial" w:hAnsi="Arial"/>
          <w:sz w:val="5"/>
          <w:szCs w:val="5"/>
          <w:color w:val="FFFFFF"/>
        </w:rPr>
        <w:t>of the Company 6,451,660 5,906,672</w:t>
      </w:r>
    </w:p>
    <w:p>
      <w:pPr>
        <w:spacing w:after="0"/>
        <w:rPr>
          <w:sz w:val="20"/>
          <w:szCs w:val="20"/>
          <w:color w:val="auto"/>
        </w:rPr>
      </w:pPr>
      <w:r>
        <w:rPr>
          <w:rFonts w:ascii="Arial" w:cs="Arial" w:eastAsia="Arial" w:hAnsi="Arial"/>
          <w:sz w:val="3"/>
          <w:szCs w:val="3"/>
          <w:color w:val="FFFFFF"/>
        </w:rPr>
        <w:t>Basic and diluted earnings per Share (HK$) 7 1.24 1.14</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Details of the ? nal dividend proposed for the year are disclosed in note 6 to the ? nancial statements.</w:t>
      </w:r>
    </w:p>
    <w:p>
      <w:pPr>
        <w:sectPr>
          <w:pgSz w:w="11900" w:h="16838" w:orient="portrait"/>
          <w:cols w:equalWidth="0" w:num="1">
            <w:col w:w="10219"/>
          </w:cols>
          <w:pgMar w:left="240" w:top="1440" w:right="1440" w:bottom="1440" w:gutter="0" w:footer="0" w:header="0"/>
        </w:sectPr>
      </w:pPr>
    </w:p>
    <w:bookmarkStart w:id="83" w:name="page84"/>
    <w:bookmarkEnd w:id="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color w:val="FFFFFF"/>
              </w:rPr>
              <w:t>78 Wynn Macau, Limited</w:t>
            </w:r>
          </w:p>
        </w:tc>
        <w:tc>
          <w:tcPr>
            <w:tcW w:w="2040" w:type="dxa"/>
            <w:vAlign w:val="bottom"/>
          </w:tcPr>
          <w:p>
            <w:pPr>
              <w:spacing w:after="0"/>
              <w:rPr>
                <w:sz w:val="14"/>
                <w:szCs w:val="14"/>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040" w:type="dxa"/>
            <w:vAlign w:val="bottom"/>
          </w:tcPr>
          <w:p>
            <w:pPr>
              <w:spacing w:after="0"/>
              <w:rPr>
                <w:sz w:val="3"/>
                <w:szCs w:val="3"/>
                <w:color w:val="auto"/>
              </w:rPr>
            </w:pPr>
          </w:p>
        </w:tc>
      </w:tr>
      <w:tr>
        <w:trPr>
          <w:trHeight w:val="41"/>
        </w:trPr>
        <w:tc>
          <w:tcPr>
            <w:tcW w:w="660" w:type="dxa"/>
            <w:vAlign w:val="bottom"/>
          </w:tcPr>
          <w:p>
            <w:pPr>
              <w:spacing w:after="0"/>
              <w:rPr>
                <w:sz w:val="3"/>
                <w:szCs w:val="3"/>
                <w:color w:val="auto"/>
              </w:rPr>
            </w:pPr>
          </w:p>
        </w:tc>
        <w:tc>
          <w:tcPr>
            <w:tcW w:w="3460" w:type="dxa"/>
            <w:vAlign w:val="bottom"/>
            <w:gridSpan w:val="2"/>
          </w:tcPr>
          <w:p>
            <w:pPr>
              <w:jc w:val="right"/>
              <w:ind w:right="1649"/>
              <w:spacing w:after="0"/>
              <w:rPr>
                <w:sz w:val="20"/>
                <w:szCs w:val="20"/>
                <w:color w:val="auto"/>
              </w:rPr>
            </w:pPr>
            <w:r>
              <w:rPr>
                <w:rFonts w:ascii="Arial" w:cs="Arial" w:eastAsia="Arial" w:hAnsi="Arial"/>
                <w:sz w:val="3"/>
                <w:szCs w:val="3"/>
                <w:color w:val="FFFFFF"/>
              </w:rPr>
              <w:t>Statement of Financial Position</w:t>
            </w: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ConsolidatedAs31December</w:t>
            </w:r>
          </w:p>
        </w:tc>
        <w:tc>
          <w:tcPr>
            <w:tcW w:w="2040" w:type="dxa"/>
            <w:vAlign w:val="bottom"/>
          </w:tcPr>
          <w:p>
            <w:pPr>
              <w:spacing w:after="0"/>
              <w:rPr>
                <w:sz w:val="3"/>
                <w:szCs w:val="3"/>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2012 2011</w:t>
            </w:r>
          </w:p>
        </w:tc>
        <w:tc>
          <w:tcPr>
            <w:tcW w:w="142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HK$ HK$</w:t>
            </w:r>
          </w:p>
        </w:tc>
        <w:tc>
          <w:tcPr>
            <w:tcW w:w="1420" w:type="dxa"/>
            <w:vAlign w:val="bottom"/>
          </w:tcPr>
          <w:p>
            <w:pPr>
              <w:spacing w:after="0"/>
              <w:rPr>
                <w:sz w:val="3"/>
                <w:szCs w:val="3"/>
                <w:color w:val="auto"/>
              </w:rPr>
            </w:pPr>
          </w:p>
        </w:tc>
        <w:tc>
          <w:tcPr>
            <w:tcW w:w="2040" w:type="dxa"/>
            <w:vAlign w:val="bottom"/>
          </w:tcPr>
          <w:p>
            <w:pPr>
              <w:spacing w:after="0"/>
              <w:rPr>
                <w:sz w:val="3"/>
                <w:szCs w:val="3"/>
                <w:color w:val="auto"/>
              </w:rPr>
            </w:pPr>
          </w:p>
        </w:tc>
      </w:tr>
      <w:tr>
        <w:trPr>
          <w:trHeight w:val="41"/>
        </w:trPr>
        <w:tc>
          <w:tcPr>
            <w:tcW w:w="2080" w:type="dxa"/>
            <w:vAlign w:val="bottom"/>
            <w:gridSpan w:val="2"/>
          </w:tcPr>
          <w:p>
            <w:pPr>
              <w:ind w:left="180"/>
              <w:spacing w:after="0"/>
              <w:rPr>
                <w:sz w:val="20"/>
                <w:szCs w:val="20"/>
                <w:color w:val="auto"/>
              </w:rPr>
            </w:pPr>
            <w:r>
              <w:rPr>
                <w:rFonts w:ascii="Arial" w:cs="Arial" w:eastAsia="Arial" w:hAnsi="Arial"/>
                <w:sz w:val="3"/>
                <w:szCs w:val="3"/>
                <w:color w:val="FFFFFF"/>
              </w:rPr>
              <w:t>tes(in thousands)</w:t>
            </w:r>
          </w:p>
        </w:tc>
        <w:tc>
          <w:tcPr>
            <w:tcW w:w="2040" w:type="dxa"/>
            <w:vAlign w:val="bottom"/>
          </w:tcPr>
          <w:p>
            <w:pPr>
              <w:spacing w:after="0"/>
              <w:rPr>
                <w:sz w:val="3"/>
                <w:szCs w:val="3"/>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Non-current assets</w:t>
            </w:r>
          </w:p>
        </w:tc>
        <w:tc>
          <w:tcPr>
            <w:tcW w:w="2040" w:type="dxa"/>
            <w:vAlign w:val="bottom"/>
          </w:tcPr>
          <w:p>
            <w:pPr>
              <w:spacing w:after="0"/>
              <w:rPr>
                <w:sz w:val="3"/>
                <w:szCs w:val="3"/>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Prop rty and equipment and construction in progress 8 7,999,213 7,692,859</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Leasehold interests in land  2,167,307 2,244,085</w:t>
            </w: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Goodwill 10 398,345 398,345</w:t>
            </w:r>
          </w:p>
        </w:tc>
        <w:tc>
          <w:tcPr>
            <w:tcW w:w="2040" w:type="dxa"/>
            <w:vAlign w:val="bottom"/>
          </w:tcPr>
          <w:p>
            <w:pPr>
              <w:spacing w:after="0"/>
              <w:rPr>
                <w:sz w:val="3"/>
                <w:szCs w:val="3"/>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Available-for-sale investments 11 36,334 404,754</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Deposits for acquisition of property and equipment 13,192 32,323</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Other non-current assets 12 281,100 285,750</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Total non-current assets 10,895,491 11,058,116</w:t>
            </w: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Current assets</w:t>
            </w:r>
          </w:p>
        </w:tc>
        <w:tc>
          <w:tcPr>
            <w:tcW w:w="2040" w:type="dxa"/>
            <w:vAlign w:val="bottom"/>
          </w:tcPr>
          <w:p>
            <w:pPr>
              <w:spacing w:after="0"/>
              <w:rPr>
                <w:sz w:val="3"/>
                <w:szCs w:val="3"/>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Available-for-sale investments 11 385,498 104,066</w:t>
            </w: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Inventories 14 167,196 179,940</w:t>
            </w:r>
          </w:p>
        </w:tc>
        <w:tc>
          <w:tcPr>
            <w:tcW w:w="2040" w:type="dxa"/>
            <w:vAlign w:val="bottom"/>
          </w:tcPr>
          <w:p>
            <w:pPr>
              <w:spacing w:after="0"/>
              <w:rPr>
                <w:sz w:val="3"/>
                <w:szCs w:val="3"/>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Trade and other receivables 15 582,949 749,639</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Prepayments and other current assets 16 47,611 53,809</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Amounts due from related compa ies 28 293,200 57,654</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Re tricted cash and cash equivalents 17 768,654 —</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Cash and cash equivalents 18 10,475,370 5,156,725</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Total current assets 12,720,478 6,301,833</w:t>
            </w: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Current liabilities</w:t>
            </w:r>
          </w:p>
        </w:tc>
        <w:tc>
          <w:tcPr>
            <w:tcW w:w="2040" w:type="dxa"/>
            <w:vAlign w:val="bottom"/>
          </w:tcPr>
          <w:p>
            <w:pPr>
              <w:spacing w:after="0"/>
              <w:rPr>
                <w:sz w:val="3"/>
                <w:szCs w:val="3"/>
                <w:color w:val="auto"/>
              </w:rPr>
            </w:pP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Accounts payable 19 968,737 1,050,345</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Land premium payable 216,549 104,329</w:t>
            </w:r>
          </w:p>
        </w:tc>
      </w:tr>
      <w:tr>
        <w:trPr>
          <w:trHeight w:val="41"/>
        </w:trPr>
        <w:tc>
          <w:tcPr>
            <w:tcW w:w="4120" w:type="dxa"/>
            <w:vAlign w:val="bottom"/>
            <w:gridSpan w:val="3"/>
          </w:tcPr>
          <w:p>
            <w:pPr>
              <w:spacing w:after="0"/>
              <w:rPr>
                <w:sz w:val="20"/>
                <w:szCs w:val="20"/>
                <w:color w:val="auto"/>
              </w:rPr>
            </w:pPr>
            <w:r>
              <w:rPr>
                <w:rFonts w:ascii="Arial" w:cs="Arial" w:eastAsia="Arial" w:hAnsi="Arial"/>
                <w:sz w:val="3"/>
                <w:szCs w:val="3"/>
                <w:color w:val="FFFFFF"/>
              </w:rPr>
              <w:t>Other payables and accruals 20 4,902,238 5,657,107</w:t>
            </w: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Interest-bearing bank loans 21 — 2,30</w:t>
            </w:r>
          </w:p>
        </w:tc>
        <w:tc>
          <w:tcPr>
            <w:tcW w:w="2040" w:type="dxa"/>
            <w:vAlign w:val="bottom"/>
          </w:tcPr>
          <w:p>
            <w:pPr>
              <w:jc w:val="right"/>
              <w:ind w:right="1729"/>
              <w:spacing w:after="0"/>
              <w:rPr>
                <w:sz w:val="20"/>
                <w:szCs w:val="20"/>
                <w:color w:val="auto"/>
              </w:rPr>
            </w:pPr>
            <w:r>
              <w:rPr>
                <w:rFonts w:ascii="Arial" w:cs="Arial" w:eastAsia="Arial" w:hAnsi="Arial"/>
                <w:sz w:val="3"/>
                <w:szCs w:val="3"/>
                <w:color w:val="FFFFFF"/>
              </w:rPr>
              <w:t>,714</w:t>
            </w:r>
          </w:p>
        </w:tc>
      </w:tr>
      <w:tr>
        <w:trPr>
          <w:trHeight w:val="1"/>
        </w:trPr>
        <w:tc>
          <w:tcPr>
            <w:tcW w:w="2080" w:type="dxa"/>
            <w:vAlign w:val="bottom"/>
            <w:gridSpan w:val="2"/>
          </w:tcPr>
          <w:p>
            <w:pPr>
              <w:spacing w:after="0" w:line="2" w:lineRule="exact"/>
              <w:rPr>
                <w:sz w:val="20"/>
                <w:szCs w:val="20"/>
                <w:color w:val="auto"/>
              </w:rPr>
            </w:pPr>
            <w:r>
              <w:rPr>
                <w:rFonts w:ascii="Arial" w:cs="Arial" w:eastAsia="Arial" w:hAnsi="Arial"/>
                <w:sz w:val="1"/>
                <w:szCs w:val="1"/>
                <w:color w:val="FFFFFF"/>
              </w:rPr>
              <w:t>Amounts due to related companies 28</w:t>
            </w:r>
          </w:p>
        </w:tc>
        <w:tc>
          <w:tcPr>
            <w:tcW w:w="2040" w:type="dxa"/>
            <w:vAlign w:val="bottom"/>
          </w:tcPr>
          <w:p>
            <w:pPr>
              <w:jc w:val="right"/>
              <w:ind w:right="1109"/>
              <w:spacing w:after="0" w:line="2" w:lineRule="exact"/>
              <w:rPr>
                <w:sz w:val="20"/>
                <w:szCs w:val="20"/>
                <w:color w:val="auto"/>
              </w:rPr>
            </w:pPr>
            <w:r>
              <w:rPr>
                <w:rFonts w:ascii="Arial" w:cs="Arial" w:eastAsia="Arial" w:hAnsi="Arial"/>
                <w:sz w:val="1"/>
                <w:szCs w:val="1"/>
                <w:color w:val="FFFFFF"/>
              </w:rPr>
              <w:t>230,930 158,188</w:t>
            </w:r>
          </w:p>
        </w:tc>
      </w:tr>
    </w:tbl>
    <w:p>
      <w:pPr>
        <w:spacing w:after="0"/>
        <w:rPr>
          <w:sz w:val="20"/>
          <w:szCs w:val="20"/>
          <w:color w:val="auto"/>
        </w:rPr>
      </w:pPr>
      <w:r>
        <w:rPr>
          <w:rFonts w:ascii="Arial" w:cs="Arial" w:eastAsia="Arial" w:hAnsi="Arial"/>
          <w:sz w:val="26"/>
          <w:szCs w:val="26"/>
          <w:color w:val="FFFFFF"/>
          <w:vertAlign w:val="subscript"/>
        </w:rPr>
        <w:t>Income</w:t>
      </w:r>
      <w:r>
        <w:rPr>
          <w:rFonts w:ascii="Arial" w:cs="Arial" w:eastAsia="Arial" w:hAnsi="Arial"/>
          <w:sz w:val="13"/>
          <w:szCs w:val="13"/>
          <w:color w:val="FFFFFF"/>
        </w:rPr>
        <w:t>terest taxratepayswaps</w:t>
      </w:r>
      <w:r>
        <w:rPr>
          <w:rFonts w:ascii="Arial" w:cs="Arial" w:eastAsia="Arial" w:hAnsi="Arial"/>
          <w:sz w:val="26"/>
          <w:szCs w:val="26"/>
          <w:color w:val="FFFFFF"/>
          <w:vertAlign w:val="subscript"/>
        </w:rPr>
        <w:t>liabilities</w:t>
      </w:r>
      <w:r>
        <w:rPr>
          <w:rFonts w:ascii="Arial" w:cs="Arial" w:eastAsia="Arial" w:hAnsi="Arial"/>
          <w:sz w:val="13"/>
          <w:szCs w:val="13"/>
          <w:color w:val="FFFFFF"/>
        </w:rPr>
        <w:t>le415,049—20,75215,049</w:t>
      </w:r>
    </w:p>
    <w:p>
      <w:pPr>
        <w:spacing w:after="0" w:line="328" w:lineRule="exact"/>
        <w:rPr>
          <w:sz w:val="20"/>
          <w:szCs w:val="20"/>
          <w:color w:val="auto"/>
        </w:rPr>
      </w:pPr>
    </w:p>
    <w:p>
      <w:pPr>
        <w:ind w:left="1300"/>
        <w:spacing w:after="0"/>
        <w:rPr>
          <w:sz w:val="20"/>
          <w:szCs w:val="20"/>
          <w:color w:val="auto"/>
        </w:rPr>
      </w:pPr>
      <w:r>
        <w:rPr>
          <w:rFonts w:ascii="Arial" w:cs="Arial" w:eastAsia="Arial" w:hAnsi="Arial"/>
          <w:sz w:val="14"/>
          <w:szCs w:val="14"/>
          <w:color w:val="FFFFFF"/>
        </w:rPr>
        <w:t>21,753</w:t>
      </w:r>
    </w:p>
    <w:p>
      <w:pPr>
        <w:sectPr>
          <w:pgSz w:w="11900" w:h="16838" w:orient="portrait"/>
          <w:cols w:equalWidth="0" w:num="1">
            <w:col w:w="10219"/>
          </w:cols>
          <w:pgMar w:left="240" w:top="1440" w:right="1440" w:bottom="1440" w:gutter="0" w:footer="0" w:header="0"/>
        </w:sectPr>
      </w:pPr>
    </w:p>
    <w:bookmarkStart w:id="84" w:name="page85"/>
    <w:bookmarkEnd w:id="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Arial" w:cs="Arial" w:eastAsia="Arial" w:hAnsi="Arial"/>
                <w:sz w:val="14"/>
                <w:szCs w:val="14"/>
                <w:color w:val="FFFFFF"/>
              </w:rPr>
              <w:t>Annual Report 2012 79</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3"/>
                <w:szCs w:val="3"/>
                <w:color w:val="auto"/>
              </w:rPr>
            </w:pPr>
          </w:p>
        </w:tc>
        <w:tc>
          <w:tcPr>
            <w:tcW w:w="2140" w:type="dxa"/>
            <w:vAlign w:val="bottom"/>
            <w:gridSpan w:val="2"/>
          </w:tcPr>
          <w:p>
            <w:pPr>
              <w:jc w:val="right"/>
              <w:ind w:right="323"/>
              <w:spacing w:after="0"/>
              <w:rPr>
                <w:sz w:val="20"/>
                <w:szCs w:val="20"/>
                <w:color w:val="auto"/>
              </w:rPr>
            </w:pPr>
            <w:r>
              <w:rPr>
                <w:rFonts w:ascii="Arial" w:cs="Arial" w:eastAsia="Arial" w:hAnsi="Arial"/>
                <w:sz w:val="3"/>
                <w:szCs w:val="3"/>
                <w:color w:val="FFFFFF"/>
              </w:rPr>
              <w:t>Statement of Financial Position</w:t>
            </w:r>
          </w:p>
        </w:tc>
        <w:tc>
          <w:tcPr>
            <w:tcW w:w="0" w:type="dxa"/>
            <w:vAlign w:val="bottom"/>
          </w:tcPr>
          <w:p>
            <w:pPr>
              <w:spacing w:after="0"/>
              <w:rPr>
                <w:sz w:val="1"/>
                <w:szCs w:val="1"/>
                <w:color w:val="auto"/>
              </w:rPr>
            </w:pP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ConsolidatedAs31December</w:t>
            </w: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2012 2011</w:t>
            </w:r>
          </w:p>
        </w:tc>
        <w:tc>
          <w:tcPr>
            <w:tcW w:w="1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HK$ HK$</w:t>
            </w:r>
          </w:p>
        </w:tc>
        <w:tc>
          <w:tcPr>
            <w:tcW w:w="1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2"/>
          </w:tcPr>
          <w:p>
            <w:pPr>
              <w:ind w:left="180"/>
              <w:spacing w:after="0"/>
              <w:rPr>
                <w:sz w:val="20"/>
                <w:szCs w:val="20"/>
                <w:color w:val="auto"/>
              </w:rPr>
            </w:pPr>
            <w:r>
              <w:rPr>
                <w:rFonts w:ascii="Arial" w:cs="Arial" w:eastAsia="Arial" w:hAnsi="Arial"/>
                <w:sz w:val="3"/>
                <w:szCs w:val="3"/>
                <w:color w:val="FFFFFF"/>
              </w:rPr>
              <w:t>tes(in thousands)</w:t>
            </w: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Non-current liabilities</w:t>
            </w:r>
          </w:p>
        </w:tc>
        <w:tc>
          <w:tcPr>
            <w:tcW w:w="8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Interest-bearing bank loans 21 5,493,770 2,500,752</w:t>
            </w:r>
          </w:p>
        </w:tc>
        <w:tc>
          <w:tcPr>
            <w:tcW w:w="0" w:type="dxa"/>
            <w:vAlign w:val="bottom"/>
          </w:tcPr>
          <w:p>
            <w:pPr>
              <w:spacing w:after="0"/>
              <w:rPr>
                <w:sz w:val="1"/>
                <w:szCs w:val="1"/>
                <w:color w:val="auto"/>
              </w:rPr>
            </w:pPr>
          </w:p>
        </w:tc>
      </w:tr>
      <w:tr>
        <w:trPr>
          <w:trHeight w:val="41"/>
        </w:trPr>
        <w:tc>
          <w:tcPr>
            <w:tcW w:w="2800" w:type="dxa"/>
            <w:vAlign w:val="bottom"/>
            <w:gridSpan w:val="3"/>
          </w:tcPr>
          <w:p>
            <w:pPr>
              <w:spacing w:after="0"/>
              <w:rPr>
                <w:sz w:val="20"/>
                <w:szCs w:val="20"/>
                <w:color w:val="auto"/>
              </w:rPr>
            </w:pPr>
            <w:r>
              <w:rPr>
                <w:rFonts w:ascii="Arial" w:cs="Arial" w:eastAsia="Arial" w:hAnsi="Arial"/>
                <w:sz w:val="3"/>
                <w:szCs w:val="3"/>
                <w:color w:val="FFFFFF"/>
              </w:rPr>
              <w:t>Land premium payable 590,555 807,104</w:t>
            </w:r>
          </w:p>
        </w:tc>
        <w:tc>
          <w:tcPr>
            <w:tcW w:w="0" w:type="dxa"/>
            <w:vAlign w:val="bottom"/>
          </w:tcPr>
          <w:p>
            <w:pPr>
              <w:spacing w:after="0"/>
              <w:rPr>
                <w:sz w:val="1"/>
                <w:szCs w:val="1"/>
                <w:color w:val="auto"/>
              </w:rPr>
            </w:pPr>
          </w:p>
        </w:tc>
      </w:tr>
      <w:tr>
        <w:trPr>
          <w:trHeight w:val="41"/>
        </w:trPr>
        <w:tc>
          <w:tcPr>
            <w:tcW w:w="1940" w:type="dxa"/>
            <w:vAlign w:val="bottom"/>
            <w:gridSpan w:val="2"/>
          </w:tcPr>
          <w:p>
            <w:pPr>
              <w:spacing w:after="0"/>
              <w:rPr>
                <w:sz w:val="20"/>
                <w:szCs w:val="20"/>
                <w:color w:val="auto"/>
              </w:rPr>
            </w:pPr>
            <w:r>
              <w:rPr>
                <w:rFonts w:ascii="Arial" w:cs="Arial" w:eastAsia="Arial" w:hAnsi="Arial"/>
                <w:sz w:val="3"/>
                <w:szCs w:val="3"/>
                <w:color w:val="FFFFFF"/>
              </w:rPr>
              <w:t>Interest rate swaps 4 30,528 —</w:t>
            </w:r>
          </w:p>
        </w:tc>
        <w:tc>
          <w:tcPr>
            <w:tcW w:w="860" w:type="dxa"/>
            <w:vAlign w:val="bottom"/>
            <w:vMerge w:val="restart"/>
          </w:tcPr>
          <w:p>
            <w:pPr>
              <w:jc w:val="right"/>
              <w:ind w:right="143"/>
              <w:spacing w:after="0"/>
              <w:rPr>
                <w:sz w:val="20"/>
                <w:szCs w:val="20"/>
                <w:color w:val="auto"/>
              </w:rPr>
            </w:pPr>
            <w:r>
              <w:rPr>
                <w:rFonts w:ascii="Arial" w:cs="Arial" w:eastAsia="Arial" w:hAnsi="Arial"/>
                <w:sz w:val="3"/>
                <w:szCs w:val="3"/>
                <w:color w:val="FFFFFF"/>
              </w:rPr>
              <w:t>579,770</w:t>
            </w:r>
          </w:p>
        </w:tc>
        <w:tc>
          <w:tcPr>
            <w:tcW w:w="0" w:type="dxa"/>
            <w:vAlign w:val="bottom"/>
          </w:tcPr>
          <w:p>
            <w:pPr>
              <w:spacing w:after="0"/>
              <w:rPr>
                <w:sz w:val="1"/>
                <w:szCs w:val="1"/>
                <w:color w:val="auto"/>
              </w:rPr>
            </w:pPr>
          </w:p>
        </w:tc>
      </w:tr>
      <w:tr>
        <w:trPr>
          <w:trHeight w:val="0"/>
        </w:trPr>
        <w:tc>
          <w:tcPr>
            <w:tcW w:w="1940" w:type="dxa"/>
            <w:vAlign w:val="bottom"/>
            <w:gridSpan w:val="2"/>
          </w:tcPr>
          <w:p>
            <w:pPr>
              <w:ind w:left="340"/>
              <w:spacing w:after="0" w:line="80" w:lineRule="exact"/>
              <w:rPr>
                <w:sz w:val="20"/>
                <w:szCs w:val="20"/>
                <w:color w:val="auto"/>
              </w:rPr>
            </w:pPr>
            <w:r>
              <w:rPr>
                <w:rFonts w:ascii="Arial" w:cs="Arial" w:eastAsia="Arial" w:hAnsi="Arial"/>
                <w:sz w:val="9"/>
                <w:szCs w:val="9"/>
                <w:color w:val="FFFFFF"/>
              </w:rPr>
              <w:t>payables and accruals 20</w:t>
            </w: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Other long-term liabilities 106,680538,51018,458</w:t>
      </w:r>
    </w:p>
    <w:p>
      <w:pPr>
        <w:spacing w:after="0" w:line="199" w:lineRule="auto"/>
        <w:rPr>
          <w:sz w:val="20"/>
          <w:szCs w:val="20"/>
          <w:color w:val="auto"/>
        </w:rPr>
      </w:pPr>
      <w:r>
        <w:rPr>
          <w:rFonts w:ascii="Arial" w:cs="Arial" w:eastAsia="Arial" w:hAnsi="Arial"/>
          <w:sz w:val="5"/>
          <w:szCs w:val="5"/>
          <w:color w:val="FFFFFF"/>
        </w:rPr>
        <w:t>NetTotalassetsnon-current10,500,670liabilities4,028,4436,760,043 4,006,084</w:t>
      </w:r>
    </w:p>
    <w:p>
      <w:pPr>
        <w:spacing w:after="0" w:line="6" w:lineRule="exact"/>
        <w:rPr>
          <w:sz w:val="20"/>
          <w:szCs w:val="20"/>
          <w:color w:val="auto"/>
        </w:rPr>
      </w:pPr>
    </w:p>
    <w:p>
      <w:pPr>
        <w:spacing w:after="0"/>
        <w:rPr>
          <w:sz w:val="20"/>
          <w:szCs w:val="20"/>
          <w:color w:val="auto"/>
        </w:rPr>
      </w:pPr>
      <w:r>
        <w:rPr>
          <w:rFonts w:ascii="Arial" w:cs="Arial" w:eastAsia="Arial" w:hAnsi="Arial"/>
          <w:sz w:val="3"/>
          <w:szCs w:val="3"/>
          <w:color w:val="FFFFFF"/>
        </w:rPr>
        <w:t>Eq ity</w:t>
      </w:r>
    </w:p>
    <w:p>
      <w:pPr>
        <w:spacing w:after="0" w:line="211" w:lineRule="auto"/>
        <w:rPr>
          <w:sz w:val="20"/>
          <w:szCs w:val="20"/>
          <w:color w:val="auto"/>
        </w:rPr>
      </w:pPr>
      <w:r>
        <w:rPr>
          <w:rFonts w:ascii="Arial" w:cs="Arial" w:eastAsia="Arial" w:hAnsi="Arial"/>
          <w:sz w:val="4"/>
          <w:szCs w:val="4"/>
          <w:color w:val="FFFFFF"/>
          <w:vertAlign w:val="superscript"/>
        </w:rPr>
        <w:t>Issued</w:t>
      </w:r>
    </w:p>
    <w:p>
      <w:pPr>
        <w:ind w:left="380"/>
        <w:spacing w:after="0" w:line="188" w:lineRule="auto"/>
        <w:rPr>
          <w:sz w:val="20"/>
          <w:szCs w:val="20"/>
          <w:color w:val="auto"/>
        </w:rPr>
      </w:pPr>
      <w:r>
        <w:rPr>
          <w:rFonts w:ascii="Arial" w:cs="Arial" w:eastAsia="Arial" w:hAnsi="Arial"/>
          <w:sz w:val="9"/>
          <w:szCs w:val="9"/>
          <w:color w:val="FFFFFF"/>
        </w:rPr>
        <w:t>capitalattributable225,188toowners5,188 of the Company</w:t>
      </w:r>
    </w:p>
    <w:p>
      <w:pPr>
        <w:spacing w:after="0" w:line="188" w:lineRule="auto"/>
        <w:rPr>
          <w:sz w:val="20"/>
          <w:szCs w:val="20"/>
          <w:color w:val="auto"/>
        </w:rPr>
      </w:pPr>
      <w:r>
        <w:rPr>
          <w:rFonts w:ascii="Arial" w:cs="Arial" w:eastAsia="Arial" w:hAnsi="Arial"/>
          <w:sz w:val="7"/>
          <w:szCs w:val="7"/>
          <w:color w:val="FFFFFF"/>
        </w:rPr>
        <w:t>Reserv</w:t>
      </w:r>
      <w:r>
        <w:rPr>
          <w:rFonts w:ascii="Arial" w:cs="Arial" w:eastAsia="Arial" w:hAnsi="Arial"/>
          <w:sz w:val="9"/>
          <w:szCs w:val="9"/>
          <w:color w:val="FFFFFF"/>
          <w:vertAlign w:val="subscript"/>
        </w:rPr>
        <w:t>Proposed</w:t>
      </w:r>
      <w:r>
        <w:rPr>
          <w:rFonts w:ascii="Arial" w:cs="Arial" w:eastAsia="Arial" w:hAnsi="Arial"/>
          <w:sz w:val="7"/>
          <w:szCs w:val="7"/>
          <w:color w:val="FFFFFF"/>
        </w:rPr>
        <w:t>Sharepremium23(a) 3,909,484account23(a)3,869,819153,436 153,436</w:t>
      </w:r>
    </w:p>
    <w:p>
      <w:pPr>
        <w:spacing w:after="0" w:line="187" w:lineRule="auto"/>
        <w:rPr>
          <w:sz w:val="20"/>
          <w:szCs w:val="20"/>
          <w:color w:val="auto"/>
        </w:rPr>
      </w:pPr>
      <w:r>
        <w:rPr>
          <w:rFonts w:ascii="Arial" w:cs="Arial" w:eastAsia="Arial" w:hAnsi="Arial"/>
          <w:sz w:val="9"/>
          <w:szCs w:val="9"/>
          <w:color w:val="FFFFFF"/>
        </w:rPr>
        <w:t>Total equity?nal10,500,670dividend 64,028,4436,432,562 —</w:t>
      </w:r>
    </w:p>
    <w:p>
      <w:pPr>
        <w:spacing w:after="0"/>
        <w:rPr>
          <w:sz w:val="20"/>
          <w:szCs w:val="20"/>
          <w:color w:val="auto"/>
        </w:rPr>
      </w:pPr>
      <w:r>
        <w:rPr>
          <w:rFonts w:ascii="Arial" w:cs="Arial" w:eastAsia="Arial" w:hAnsi="Arial"/>
          <w:sz w:val="3"/>
          <w:szCs w:val="3"/>
          <w:color w:val="FFFFFF"/>
        </w:rPr>
        <w:t>StephenApprovedA.andWynnauthorizedMarcD.forSchorrissue by the Board on 28 March 2013.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Director Director</w:t>
      </w:r>
    </w:p>
    <w:p>
      <w:pPr>
        <w:sectPr>
          <w:pgSz w:w="11900" w:h="16838" w:orient="portrait"/>
          <w:cols w:equalWidth="0" w:num="1">
            <w:col w:w="10219"/>
          </w:cols>
          <w:pgMar w:left="240" w:top="1440" w:right="1440" w:bottom="1440" w:gutter="0" w:footer="0" w:header="0"/>
        </w:sectPr>
      </w:pPr>
    </w:p>
    <w:bookmarkStart w:id="85" w:name="page86"/>
    <w:bookmarkEnd w:id="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580" w:type="dxa"/>
            <w:vAlign w:val="bottom"/>
            <w:gridSpan w:val="3"/>
          </w:tcPr>
          <w:p>
            <w:pPr>
              <w:spacing w:after="0"/>
              <w:rPr>
                <w:sz w:val="20"/>
                <w:szCs w:val="20"/>
                <w:color w:val="auto"/>
              </w:rPr>
            </w:pPr>
            <w:r>
              <w:rPr>
                <w:rFonts w:ascii="Arial" w:cs="Arial" w:eastAsia="Arial" w:hAnsi="Arial"/>
                <w:sz w:val="14"/>
                <w:szCs w:val="14"/>
                <w:color w:val="FFFFFF"/>
              </w:rPr>
              <w:t>80 Wynn Macau, Limited</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Financial Statements</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Consolidated Statement of Changes in Equity</w:t>
            </w:r>
          </w:p>
        </w:tc>
      </w:tr>
      <w:tr>
        <w:trPr>
          <w:trHeight w:val="41"/>
        </w:trPr>
        <w:tc>
          <w:tcPr>
            <w:tcW w:w="100" w:type="dxa"/>
            <w:vAlign w:val="bottom"/>
          </w:tcPr>
          <w:p>
            <w:pPr>
              <w:spacing w:after="0"/>
              <w:rPr>
                <w:sz w:val="3"/>
                <w:szCs w:val="3"/>
                <w:color w:val="auto"/>
              </w:rPr>
            </w:pPr>
          </w:p>
        </w:tc>
        <w:tc>
          <w:tcPr>
            <w:tcW w:w="10480" w:type="dxa"/>
            <w:vAlign w:val="bottom"/>
            <w:gridSpan w:val="2"/>
          </w:tcPr>
          <w:p>
            <w:pPr>
              <w:spacing w:after="0"/>
              <w:rPr>
                <w:sz w:val="20"/>
                <w:szCs w:val="20"/>
                <w:color w:val="auto"/>
              </w:rPr>
            </w:pPr>
            <w:r>
              <w:rPr>
                <w:rFonts w:ascii="Arial" w:cs="Arial" w:eastAsia="Arial" w:hAnsi="Arial"/>
                <w:sz w:val="3"/>
                <w:szCs w:val="3"/>
                <w:color w:val="FFFFFF"/>
              </w:rPr>
              <w:t>ttributable to owners of the Company</w:t>
            </w:r>
          </w:p>
        </w:tc>
      </w:tr>
      <w:tr>
        <w:trPr>
          <w:trHeight w:val="41"/>
        </w:trPr>
        <w:tc>
          <w:tcPr>
            <w:tcW w:w="900" w:type="dxa"/>
            <w:vAlign w:val="bottom"/>
            <w:gridSpan w:val="2"/>
          </w:tcPr>
          <w:p>
            <w:pPr>
              <w:spacing w:after="0"/>
              <w:rPr>
                <w:sz w:val="20"/>
                <w:szCs w:val="20"/>
                <w:color w:val="auto"/>
              </w:rPr>
            </w:pPr>
            <w:r>
              <w:rPr>
                <w:rFonts w:ascii="Arial" w:cs="Arial" w:eastAsia="Arial" w:hAnsi="Arial"/>
                <w:sz w:val="3"/>
                <w:szCs w:val="3"/>
                <w:color w:val="FFFFFF"/>
              </w:rPr>
              <w:t>Available-</w:t>
            </w:r>
          </w:p>
        </w:tc>
        <w:tc>
          <w:tcPr>
            <w:tcW w:w="9680" w:type="dxa"/>
            <w:vAlign w:val="bottom"/>
          </w:tcPr>
          <w:p>
            <w:pPr>
              <w:spacing w:after="0"/>
              <w:rPr>
                <w:sz w:val="3"/>
                <w:szCs w:val="3"/>
                <w:color w:val="auto"/>
              </w:rPr>
            </w:pPr>
          </w:p>
        </w:tc>
      </w:tr>
      <w:tr>
        <w:trPr>
          <w:trHeight w:val="41"/>
        </w:trPr>
        <w:tc>
          <w:tcPr>
            <w:tcW w:w="900" w:type="dxa"/>
            <w:vAlign w:val="bottom"/>
            <w:gridSpan w:val="2"/>
          </w:tcPr>
          <w:p>
            <w:pPr>
              <w:spacing w:after="0"/>
              <w:rPr>
                <w:sz w:val="20"/>
                <w:szCs w:val="20"/>
                <w:color w:val="auto"/>
              </w:rPr>
            </w:pPr>
            <w:r>
              <w:rPr>
                <w:rFonts w:ascii="Arial" w:cs="Arial" w:eastAsia="Arial" w:hAnsi="Arial"/>
                <w:sz w:val="3"/>
                <w:szCs w:val="3"/>
                <w:color w:val="FFFFFF"/>
              </w:rPr>
              <w:t>for-sale</w:t>
            </w:r>
          </w:p>
        </w:tc>
        <w:tc>
          <w:tcPr>
            <w:tcW w:w="9680" w:type="dxa"/>
            <w:vAlign w:val="bottom"/>
          </w:tcPr>
          <w:p>
            <w:pPr>
              <w:spacing w:after="0"/>
              <w:rPr>
                <w:sz w:val="3"/>
                <w:szCs w:val="3"/>
                <w:color w:val="auto"/>
              </w:rPr>
            </w:pP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Share Investments Share Proposed Currency</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Issued Premium Revaluation Option Other Statutory Retained Final Translation Total</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Capital Account Reserve* Reserve* Reserves*# Reserve* Earnings* Dividend Reserve* Equity</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HK$ HK$ HK$ HK$ HK$ HK$ HK$ HK$ HK$ HK$</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(Note 23)(Note 23)</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Notes(in thousands)</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At 1 January 2011 5,188 152,657 — 180,446 554,740 48,568 3,338,662 — 16,828 4,297,089</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Net pro?t for the year — — — — — — 5,921,013 — — 5,921,013</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Changes in fair value</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of available-for-sale</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investments, net of tax — —(14,341) — — — — — —(14,341)</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Total comprehensive</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income for the  ear — —(14,341) — — — 5,921,013 — — 5, 06,672</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Share-based payments 24 — — — 49,196 — — — — — 49,196</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Exercise of share options 24 — 779 —(233) — — — — — 546</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Special dividend paid 6 — — — — — —(6,225,060) — —(6,225,060)</w:t>
            </w:r>
          </w:p>
        </w:tc>
      </w:tr>
      <w:tr>
        <w:trPr>
          <w:trHeight w:val="41"/>
        </w:trPr>
        <w:tc>
          <w:tcPr>
            <w:tcW w:w="900" w:type="dxa"/>
            <w:vAlign w:val="bottom"/>
            <w:gridSpan w:val="2"/>
          </w:tcPr>
          <w:p>
            <w:pPr>
              <w:spacing w:after="0"/>
              <w:rPr>
                <w:sz w:val="20"/>
                <w:szCs w:val="20"/>
                <w:color w:val="auto"/>
              </w:rPr>
            </w:pPr>
            <w:r>
              <w:rPr>
                <w:rFonts w:ascii="Arial" w:cs="Arial" w:eastAsia="Arial" w:hAnsi="Arial"/>
                <w:sz w:val="3"/>
                <w:szCs w:val="3"/>
                <w:color w:val="FFFFFF"/>
              </w:rPr>
              <w:t>At 31 December</w:t>
            </w:r>
          </w:p>
        </w:tc>
        <w:tc>
          <w:tcPr>
            <w:tcW w:w="9680" w:type="dxa"/>
            <w:vAlign w:val="bottom"/>
          </w:tcPr>
          <w:p>
            <w:pPr>
              <w:ind w:left="240"/>
              <w:spacing w:after="0"/>
              <w:rPr>
                <w:sz w:val="20"/>
                <w:szCs w:val="20"/>
                <w:color w:val="auto"/>
              </w:rPr>
            </w:pPr>
            <w:r>
              <w:rPr>
                <w:rFonts w:ascii="Arial" w:cs="Arial" w:eastAsia="Arial" w:hAnsi="Arial"/>
                <w:sz w:val="3"/>
                <w:szCs w:val="3"/>
                <w:color w:val="FFFFFF"/>
              </w:rPr>
              <w:t>1 and</w:t>
            </w:r>
          </w:p>
        </w:tc>
      </w:tr>
      <w:tr>
        <w:trPr>
          <w:trHeight w:val="41"/>
        </w:trPr>
        <w:tc>
          <w:tcPr>
            <w:tcW w:w="100" w:type="dxa"/>
            <w:vAlign w:val="bottom"/>
          </w:tcPr>
          <w:p>
            <w:pPr>
              <w:spacing w:after="0"/>
              <w:rPr>
                <w:sz w:val="20"/>
                <w:szCs w:val="20"/>
                <w:color w:val="auto"/>
              </w:rPr>
            </w:pPr>
            <w:r>
              <w:rPr>
                <w:rFonts w:ascii="Arial" w:cs="Arial" w:eastAsia="Arial" w:hAnsi="Arial"/>
                <w:sz w:val="3"/>
                <w:szCs w:val="3"/>
                <w:color w:val="FFFFFF"/>
              </w:rPr>
              <w:t>1</w:t>
            </w:r>
          </w:p>
        </w:tc>
        <w:tc>
          <w:tcPr>
            <w:tcW w:w="800" w:type="dxa"/>
            <w:vAlign w:val="bottom"/>
          </w:tcPr>
          <w:p>
            <w:pPr>
              <w:ind w:left="360"/>
              <w:spacing w:after="0"/>
              <w:rPr>
                <w:sz w:val="20"/>
                <w:szCs w:val="20"/>
                <w:color w:val="auto"/>
              </w:rPr>
            </w:pPr>
            <w:r>
              <w:rPr>
                <w:rFonts w:ascii="Arial" w:cs="Arial" w:eastAsia="Arial" w:hAnsi="Arial"/>
                <w:sz w:val="3"/>
                <w:szCs w:val="3"/>
                <w:color w:val="FFFFFF"/>
              </w:rPr>
              <w:t>January</w:t>
            </w:r>
          </w:p>
        </w:tc>
        <w:tc>
          <w:tcPr>
            <w:tcW w:w="9680" w:type="dxa"/>
            <w:vAlign w:val="bottom"/>
          </w:tcPr>
          <w:p>
            <w:pPr>
              <w:spacing w:after="0"/>
              <w:rPr>
                <w:sz w:val="20"/>
                <w:szCs w:val="20"/>
                <w:color w:val="auto"/>
              </w:rPr>
            </w:pPr>
            <w:r>
              <w:rPr>
                <w:rFonts w:ascii="Arial" w:cs="Arial" w:eastAsia="Arial" w:hAnsi="Arial"/>
                <w:sz w:val="3"/>
                <w:szCs w:val="3"/>
                <w:color w:val="FFFFFF"/>
              </w:rPr>
              <w:t>2012 5,188 153,436(14,341) 229,409 554,740 48,568 3,034,615 — 16,828 4,028,443</w:t>
            </w:r>
          </w:p>
        </w:tc>
      </w:tr>
      <w:tr>
        <w:trPr>
          <w:trHeight w:val="54"/>
        </w:trPr>
        <w:tc>
          <w:tcPr>
            <w:tcW w:w="10580" w:type="dxa"/>
            <w:vAlign w:val="bottom"/>
            <w:gridSpan w:val="3"/>
          </w:tcPr>
          <w:p>
            <w:pPr>
              <w:spacing w:after="0" w:line="54" w:lineRule="exact"/>
              <w:rPr>
                <w:sz w:val="20"/>
                <w:szCs w:val="20"/>
                <w:color w:val="auto"/>
              </w:rPr>
            </w:pPr>
            <w:r>
              <w:rPr>
                <w:rFonts w:ascii="Arial" w:cs="Arial" w:eastAsia="Arial" w:hAnsi="Arial"/>
                <w:sz w:val="6"/>
                <w:szCs w:val="6"/>
                <w:color w:val="FFFFFF"/>
              </w:rPr>
              <w:t>Net pro?t for the year — — — — — — 6,439,693 — — 6,439,693</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Changes in fair value</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of available-for-sale</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investments, net of tax — — 11,967 — — — — — — 11,967</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Total comprehensive</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income for the  ear — — 11,967 — — — 6,439,693 — — 6,451,660</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Share-based payments 24 — — — 20,567 — — — — — 20,567</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Proposed ?nal 2012</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dividend 6 — — — — — —(6,432,562) 6,432,562 — —</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At 31 Decemb r 2012 5,188 153,436(2,374) 249,976 554,740 48,568 3,041,746 6,432,562 16,828 10,500,670</w:t>
            </w:r>
          </w:p>
        </w:tc>
      </w:tr>
      <w:tr>
        <w:trPr>
          <w:trHeight w:val="41"/>
        </w:trPr>
        <w:tc>
          <w:tcPr>
            <w:tcW w:w="10580" w:type="dxa"/>
            <w:vAlign w:val="bottom"/>
            <w:gridSpan w:val="3"/>
          </w:tcPr>
          <w:p>
            <w:pPr>
              <w:spacing w:after="0"/>
              <w:rPr>
                <w:sz w:val="20"/>
                <w:szCs w:val="20"/>
                <w:color w:val="auto"/>
              </w:rPr>
            </w:pPr>
            <w:r>
              <w:rPr>
                <w:rFonts w:ascii="Arial" w:cs="Arial" w:eastAsia="Arial" w:hAnsi="Arial"/>
                <w:sz w:val="3"/>
                <w:szCs w:val="3"/>
                <w:color w:val="FFFFFF"/>
              </w:rPr>
              <w:t>* These reserve accounts comprise the consolidated reserves of HK$3.9 billion and HK$3.9 billion in the consolidated statement of fi nancial position at 31 December 2012 and 2011, respectively.</w:t>
            </w:r>
          </w:p>
        </w:tc>
      </w:tr>
      <w:tr>
        <w:trPr>
          <w:trHeight w:val="173"/>
        </w:trPr>
        <w:tc>
          <w:tcPr>
            <w:tcW w:w="100" w:type="dxa"/>
            <w:vAlign w:val="bottom"/>
          </w:tcPr>
          <w:p>
            <w:pPr>
              <w:spacing w:after="0"/>
              <w:rPr>
                <w:sz w:val="20"/>
                <w:szCs w:val="20"/>
                <w:color w:val="auto"/>
              </w:rPr>
            </w:pPr>
            <w:r>
              <w:rPr>
                <w:rFonts w:ascii="Arial" w:cs="Arial" w:eastAsia="Arial" w:hAnsi="Arial"/>
                <w:sz w:val="14"/>
                <w:szCs w:val="14"/>
                <w:color w:val="FFFFFF"/>
              </w:rPr>
              <w:t>#</w:t>
            </w:r>
          </w:p>
        </w:tc>
        <w:tc>
          <w:tcPr>
            <w:tcW w:w="10480" w:type="dxa"/>
            <w:vAlign w:val="bottom"/>
            <w:gridSpan w:val="2"/>
          </w:tcPr>
          <w:p>
            <w:pPr>
              <w:spacing w:after="0"/>
              <w:rPr>
                <w:sz w:val="20"/>
                <w:szCs w:val="20"/>
                <w:color w:val="auto"/>
              </w:rPr>
            </w:pPr>
            <w:r>
              <w:rPr>
                <w:rFonts w:ascii="Arial" w:cs="Arial" w:eastAsia="Arial" w:hAnsi="Arial"/>
                <w:sz w:val="14"/>
                <w:szCs w:val="14"/>
                <w:color w:val="FFFFFF"/>
              </w:rPr>
              <w:t>“Other reserves” at 1 January 2011 is composed of HK$194.3 million of issued capital of WRM and HK$360.4 million of issued capital of Wynn Resorts International, Ltd.</w:t>
            </w:r>
          </w:p>
        </w:tc>
      </w:tr>
    </w:tbl>
    <w:p>
      <w:pPr>
        <w:sectPr>
          <w:pgSz w:w="11900" w:h="16838" w:orient="portrait"/>
          <w:cols w:equalWidth="0" w:num="1">
            <w:col w:w="10580"/>
          </w:cols>
          <w:pgMar w:left="240" w:top="1440" w:right="107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4"/>
          </w:tcPr>
          <w:p>
            <w:pPr>
              <w:spacing w:after="0"/>
              <w:rPr>
                <w:sz w:val="20"/>
                <w:szCs w:val="20"/>
                <w:color w:val="auto"/>
              </w:rPr>
            </w:pPr>
            <w:r>
              <w:rPr>
                <w:rFonts w:ascii="Arial" w:cs="Arial" w:eastAsia="Arial" w:hAnsi="Arial"/>
                <w:sz w:val="14"/>
                <w:szCs w:val="14"/>
                <w:color w:val="FFFFFF"/>
              </w:rPr>
              <w:t>Annual Report 2012 81</w:t>
            </w:r>
          </w:p>
        </w:tc>
        <w:tc>
          <w:tcPr>
            <w:tcW w:w="0" w:type="dxa"/>
            <w:vAlign w:val="bottom"/>
          </w:tcPr>
          <w:p>
            <w:pPr>
              <w:spacing w:after="0"/>
              <w:rPr>
                <w:sz w:val="1"/>
                <w:szCs w:val="1"/>
                <w:color w:val="auto"/>
              </w:rPr>
            </w:pPr>
          </w:p>
        </w:tc>
      </w:tr>
      <w:tr>
        <w:trPr>
          <w:trHeight w:val="41"/>
        </w:trPr>
        <w:tc>
          <w:tcPr>
            <w:tcW w:w="118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4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Consolidated Statement of Cash Flows</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For the year ended 31 December</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2012 2011</w:t>
            </w: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HK$ HK$</w:t>
            </w: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80" w:type="dxa"/>
            <w:vAlign w:val="bottom"/>
            <w:gridSpan w:val="3"/>
          </w:tcPr>
          <w:p>
            <w:pPr>
              <w:spacing w:after="0"/>
              <w:rPr>
                <w:sz w:val="20"/>
                <w:szCs w:val="20"/>
                <w:color w:val="auto"/>
              </w:rPr>
            </w:pPr>
            <w:r>
              <w:rPr>
                <w:rFonts w:ascii="Arial" w:cs="Arial" w:eastAsia="Arial" w:hAnsi="Arial"/>
                <w:sz w:val="3"/>
                <w:szCs w:val="3"/>
                <w:color w:val="FFFFFF"/>
              </w:rPr>
              <w:t>Notes(in thousands)</w:t>
            </w:r>
          </w:p>
        </w:tc>
        <w:tc>
          <w:tcPr>
            <w:tcW w:w="4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80" w:type="dxa"/>
            <w:vAlign w:val="bottom"/>
            <w:gridSpan w:val="3"/>
          </w:tcPr>
          <w:p>
            <w:pPr>
              <w:spacing w:after="0"/>
              <w:rPr>
                <w:sz w:val="20"/>
                <w:szCs w:val="20"/>
                <w:color w:val="auto"/>
              </w:rPr>
            </w:pPr>
            <w:r>
              <w:rPr>
                <w:rFonts w:ascii="Arial" w:cs="Arial" w:eastAsia="Arial" w:hAnsi="Arial"/>
                <w:sz w:val="3"/>
                <w:szCs w:val="3"/>
                <w:color w:val="FFFFFF"/>
              </w:rPr>
              <w:t>Operating activities</w:t>
            </w:r>
          </w:p>
        </w:tc>
        <w:tc>
          <w:tcPr>
            <w:tcW w:w="4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Pro?t before tax 6,454,742 5,894,245</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Adjustments to reconcile pro?ts before tax to net cash ?ows:</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Depreciation of property and equipment 3.3 847,454 992,655</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Amortization of leasehold interest in land 3.3 71,475 23,766</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Property charges and other 49,071 671,679</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(Revers l of provision) provision for doubtful accounts, net 3.2(1,546) 104,621</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Share-based payment expense 3.1 20,567 49,196</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Changes in fair value of interest rate swaps 9,802(80,366)</w:t>
            </w:r>
          </w:p>
        </w:tc>
        <w:tc>
          <w:tcPr>
            <w:tcW w:w="0" w:type="dxa"/>
            <w:vAlign w:val="bottom"/>
          </w:tcPr>
          <w:p>
            <w:pPr>
              <w:spacing w:after="0"/>
              <w:rPr>
                <w:sz w:val="1"/>
                <w:szCs w:val="1"/>
                <w:color w:val="auto"/>
              </w:rPr>
            </w:pPr>
          </w:p>
        </w:tc>
      </w:tr>
      <w:tr>
        <w:trPr>
          <w:trHeight w:val="41"/>
        </w:trPr>
        <w:tc>
          <w:tcPr>
            <w:tcW w:w="960" w:type="dxa"/>
            <w:vAlign w:val="bottom"/>
            <w:gridSpan w:val="2"/>
          </w:tcPr>
          <w:p>
            <w:pPr>
              <w:ind w:left="460"/>
              <w:spacing w:after="0"/>
              <w:rPr>
                <w:sz w:val="20"/>
                <w:szCs w:val="20"/>
                <w:color w:val="auto"/>
              </w:rPr>
            </w:pPr>
            <w:r>
              <w:rPr>
                <w:rFonts w:ascii="Arial" w:cs="Arial" w:eastAsia="Arial" w:hAnsi="Arial"/>
                <w:sz w:val="3"/>
                <w:szCs w:val="3"/>
                <w:color w:val="FFFFFF"/>
              </w:rPr>
              <w:t>revenues</w:t>
            </w:r>
          </w:p>
        </w:tc>
        <w:tc>
          <w:tcPr>
            <w:tcW w:w="4260" w:type="dxa"/>
            <w:vAlign w:val="bottom"/>
            <w:gridSpan w:val="2"/>
          </w:tcPr>
          <w:p>
            <w:pPr>
              <w:jc w:val="right"/>
              <w:ind w:right="3117"/>
              <w:spacing w:after="0"/>
              <w:rPr>
                <w:sz w:val="20"/>
                <w:szCs w:val="20"/>
                <w:color w:val="auto"/>
              </w:rPr>
            </w:pPr>
            <w:r>
              <w:rPr>
                <w:rFonts w:ascii="Arial" w:cs="Arial" w:eastAsia="Arial" w:hAnsi="Arial"/>
                <w:sz w:val="3"/>
                <w:szCs w:val="3"/>
                <w:color w:val="FFFFFF"/>
              </w:rPr>
              <w:t>.5(83,762)(49,066)</w:t>
            </w:r>
          </w:p>
        </w:tc>
        <w:tc>
          <w:tcPr>
            <w:tcW w:w="0" w:type="dxa"/>
            <w:vAlign w:val="bottom"/>
          </w:tcPr>
          <w:p>
            <w:pPr>
              <w:spacing w:after="0"/>
              <w:rPr>
                <w:sz w:val="1"/>
                <w:szCs w:val="1"/>
                <w:color w:val="auto"/>
              </w:rPr>
            </w:pPr>
          </w:p>
        </w:tc>
      </w:tr>
      <w:tr>
        <w:trPr>
          <w:trHeight w:val="41"/>
        </w:trPr>
        <w:tc>
          <w:tcPr>
            <w:tcW w:w="960" w:type="dxa"/>
            <w:vAlign w:val="bottom"/>
            <w:gridSpan w:val="2"/>
          </w:tcPr>
          <w:p>
            <w:pPr>
              <w:spacing w:after="0"/>
              <w:rPr>
                <w:sz w:val="20"/>
                <w:szCs w:val="20"/>
                <w:color w:val="auto"/>
              </w:rPr>
            </w:pPr>
            <w:r>
              <w:rPr>
                <w:rFonts w:ascii="Arial" w:cs="Arial" w:eastAsia="Arial" w:hAnsi="Arial"/>
                <w:sz w:val="3"/>
                <w:szCs w:val="3"/>
                <w:color w:val="FFFFFF"/>
              </w:rPr>
              <w:t>Finance costs 3.6</w:t>
            </w:r>
          </w:p>
        </w:tc>
        <w:tc>
          <w:tcPr>
            <w:tcW w:w="4260" w:type="dxa"/>
            <w:vAlign w:val="bottom"/>
            <w:gridSpan w:val="2"/>
          </w:tcPr>
          <w:p>
            <w:pPr>
              <w:jc w:val="right"/>
              <w:ind w:right="3317"/>
              <w:spacing w:after="0"/>
              <w:rPr>
                <w:sz w:val="20"/>
                <w:szCs w:val="20"/>
                <w:color w:val="auto"/>
              </w:rPr>
            </w:pPr>
            <w:r>
              <w:rPr>
                <w:rFonts w:ascii="Arial" w:cs="Arial" w:eastAsia="Arial" w:hAnsi="Arial"/>
                <w:sz w:val="3"/>
                <w:szCs w:val="3"/>
                <w:color w:val="FFFFFF"/>
              </w:rPr>
              <w:t>294,313 259,386</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Loss on debt extinguishment 50,689 —</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Net foreign currency differences(29,222)(41,900)</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Working capital adjustments:</w:t>
            </w:r>
          </w:p>
        </w:tc>
        <w:tc>
          <w:tcPr>
            <w:tcW w:w="0" w:type="dxa"/>
            <w:vAlign w:val="bottom"/>
          </w:tcPr>
          <w:p>
            <w:pPr>
              <w:spacing w:after="0"/>
              <w:rPr>
                <w:sz w:val="1"/>
                <w:szCs w:val="1"/>
                <w:color w:val="auto"/>
              </w:rPr>
            </w:pPr>
          </w:p>
        </w:tc>
      </w:tr>
      <w:tr>
        <w:trPr>
          <w:trHeight w:val="41"/>
        </w:trPr>
        <w:tc>
          <w:tcPr>
            <w:tcW w:w="5220" w:type="dxa"/>
            <w:vAlign w:val="bottom"/>
            <w:gridSpan w:val="4"/>
          </w:tcPr>
          <w:p>
            <w:pPr>
              <w:ind w:left="680"/>
              <w:spacing w:after="0"/>
              <w:rPr>
                <w:sz w:val="20"/>
                <w:szCs w:val="20"/>
                <w:color w:val="auto"/>
              </w:rPr>
            </w:pPr>
            <w:r>
              <w:rPr>
                <w:rFonts w:ascii="Arial" w:cs="Arial" w:eastAsia="Arial" w:hAnsi="Arial"/>
                <w:sz w:val="3"/>
                <w:szCs w:val="3"/>
                <w:color w:val="FFFFFF"/>
              </w:rPr>
              <w:t>inventories 12,419 9</w:t>
            </w:r>
          </w:p>
        </w:tc>
        <w:tc>
          <w:tcPr>
            <w:tcW w:w="0" w:type="dxa"/>
            <w:vAlign w:val="bottom"/>
          </w:tcPr>
          <w:p>
            <w:pPr>
              <w:spacing w:after="0"/>
              <w:rPr>
                <w:sz w:val="1"/>
                <w:szCs w:val="1"/>
                <w:color w:val="auto"/>
              </w:rPr>
            </w:pPr>
          </w:p>
        </w:tc>
      </w:tr>
      <w:tr>
        <w:trPr>
          <w:trHeight w:val="41"/>
        </w:trPr>
        <w:tc>
          <w:tcPr>
            <w:tcW w:w="1180" w:type="dxa"/>
            <w:vAlign w:val="bottom"/>
            <w:gridSpan w:val="3"/>
            <w:vMerge w:val="restart"/>
          </w:tcPr>
          <w:p>
            <w:pPr>
              <w:spacing w:after="0" w:line="81" w:lineRule="exact"/>
              <w:rPr>
                <w:sz w:val="20"/>
                <w:szCs w:val="20"/>
                <w:color w:val="auto"/>
              </w:rPr>
            </w:pPr>
            <w:r>
              <w:rPr>
                <w:rFonts w:ascii="Arial" w:cs="Arial" w:eastAsia="Arial" w:hAnsi="Arial"/>
                <w:sz w:val="9"/>
                <w:szCs w:val="9"/>
                <w:color w:val="FFFFFF"/>
              </w:rPr>
              <w:t>Decrease (increase)</w:t>
            </w:r>
          </w:p>
        </w:tc>
        <w:tc>
          <w:tcPr>
            <w:tcW w:w="4040" w:type="dxa"/>
            <w:vAlign w:val="bottom"/>
          </w:tcPr>
          <w:p>
            <w:pPr>
              <w:ind w:left="60"/>
              <w:spacing w:after="0"/>
              <w:rPr>
                <w:sz w:val="20"/>
                <w:szCs w:val="20"/>
                <w:color w:val="auto"/>
              </w:rPr>
            </w:pPr>
            <w:r>
              <w:rPr>
                <w:rFonts w:ascii="Arial" w:cs="Arial" w:eastAsia="Arial" w:hAnsi="Arial"/>
                <w:sz w:val="3"/>
                <w:szCs w:val="3"/>
                <w:color w:val="FFFFFF"/>
              </w:rPr>
              <w:t>trade and o her receivables 180,797(366,529)</w:t>
            </w:r>
          </w:p>
        </w:tc>
        <w:tc>
          <w:tcPr>
            <w:tcW w:w="0" w:type="dxa"/>
            <w:vAlign w:val="bottom"/>
          </w:tcPr>
          <w:p>
            <w:pPr>
              <w:spacing w:after="0"/>
              <w:rPr>
                <w:sz w:val="1"/>
                <w:szCs w:val="1"/>
                <w:color w:val="auto"/>
              </w:rPr>
            </w:pPr>
          </w:p>
        </w:tc>
      </w:tr>
      <w:tr>
        <w:trPr>
          <w:trHeight w:val="41"/>
        </w:trPr>
        <w:tc>
          <w:tcPr>
            <w:tcW w:w="1180" w:type="dxa"/>
            <w:vAlign w:val="bottom"/>
            <w:gridSpan w:val="3"/>
            <w:vMerge w:val="continue"/>
          </w:tcPr>
          <w:p>
            <w:pPr>
              <w:spacing w:after="0"/>
              <w:rPr>
                <w:sz w:val="3"/>
                <w:szCs w:val="3"/>
                <w:color w:val="auto"/>
              </w:rPr>
            </w:pPr>
          </w:p>
        </w:tc>
        <w:tc>
          <w:tcPr>
            <w:tcW w:w="4040" w:type="dxa"/>
            <w:vAlign w:val="bottom"/>
          </w:tcPr>
          <w:p>
            <w:pPr>
              <w:ind w:left="60"/>
              <w:spacing w:after="0"/>
              <w:rPr>
                <w:sz w:val="20"/>
                <w:szCs w:val="20"/>
                <w:color w:val="auto"/>
              </w:rPr>
            </w:pPr>
            <w:r>
              <w:rPr>
                <w:rFonts w:ascii="Arial" w:cs="Arial" w:eastAsia="Arial" w:hAnsi="Arial"/>
                <w:sz w:val="3"/>
                <w:szCs w:val="3"/>
                <w:color w:val="FFFFFF"/>
              </w:rPr>
              <w:t>prepayments and other assets 13,363(8,703)</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40" w:type="dxa"/>
            <w:vAlign w:val="bottom"/>
          </w:tcPr>
          <w:p>
            <w:pPr>
              <w:ind w:left="60"/>
              <w:spacing w:after="0"/>
              <w:rPr>
                <w:sz w:val="20"/>
                <w:szCs w:val="20"/>
                <w:color w:val="auto"/>
              </w:rPr>
            </w:pPr>
            <w:r>
              <w:rPr>
                <w:rFonts w:ascii="Arial" w:cs="Arial" w:eastAsia="Arial" w:hAnsi="Arial"/>
                <w:sz w:val="3"/>
                <w:szCs w:val="3"/>
                <w:color w:val="FFFFFF"/>
              </w:rPr>
              <w:t>accounts payable(178,996) 105,412</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40" w:type="dxa"/>
            <w:vAlign w:val="bottom"/>
          </w:tcPr>
          <w:p>
            <w:pPr>
              <w:ind w:left="60"/>
              <w:spacing w:after="0"/>
              <w:rPr>
                <w:sz w:val="20"/>
                <w:szCs w:val="20"/>
                <w:color w:val="auto"/>
              </w:rPr>
            </w:pPr>
            <w:r>
              <w:rPr>
                <w:rFonts w:ascii="Arial" w:cs="Arial" w:eastAsia="Arial" w:hAnsi="Arial"/>
                <w:sz w:val="3"/>
                <w:szCs w:val="3"/>
                <w:color w:val="FFFFFF"/>
              </w:rPr>
              <w:t>other payables, accruals and other liabilities(460,330) 1,630,413</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(Decrease) increase in net amounts due to related companies(154,114) 247,862</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Income taxes paid(15,049)(15,511)</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Net cash ?ows from operating activities 7,081,673 9,417,169</w:t>
            </w:r>
          </w:p>
        </w:tc>
        <w:tc>
          <w:tcPr>
            <w:tcW w:w="0" w:type="dxa"/>
            <w:vAlign w:val="bottom"/>
          </w:tcPr>
          <w:p>
            <w:pPr>
              <w:spacing w:after="0"/>
              <w:rPr>
                <w:sz w:val="1"/>
                <w:szCs w:val="1"/>
                <w:color w:val="auto"/>
              </w:rPr>
            </w:pPr>
          </w:p>
        </w:tc>
      </w:tr>
      <w:tr>
        <w:trPr>
          <w:trHeight w:val="41"/>
        </w:trPr>
        <w:tc>
          <w:tcPr>
            <w:tcW w:w="1180" w:type="dxa"/>
            <w:vAlign w:val="bottom"/>
            <w:gridSpan w:val="3"/>
          </w:tcPr>
          <w:p>
            <w:pPr>
              <w:ind w:left="120"/>
              <w:spacing w:after="0"/>
              <w:rPr>
                <w:sz w:val="20"/>
                <w:szCs w:val="20"/>
                <w:color w:val="auto"/>
              </w:rPr>
            </w:pPr>
            <w:r>
              <w:rPr>
                <w:rFonts w:ascii="Arial" w:cs="Arial" w:eastAsia="Arial" w:hAnsi="Arial"/>
                <w:sz w:val="3"/>
                <w:szCs w:val="3"/>
                <w:color w:val="FFFFFF"/>
              </w:rPr>
              <w:t>vesting activities</w:t>
            </w:r>
          </w:p>
        </w:tc>
        <w:tc>
          <w:tcPr>
            <w:tcW w:w="4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Increase in restricted cash and cash equivalents(768,501) —</w:t>
            </w:r>
          </w:p>
        </w:tc>
        <w:tc>
          <w:tcPr>
            <w:tcW w:w="0" w:type="dxa"/>
            <w:vAlign w:val="bottom"/>
          </w:tcPr>
          <w:p>
            <w:pPr>
              <w:spacing w:after="0"/>
              <w:rPr>
                <w:sz w:val="1"/>
                <w:szCs w:val="1"/>
                <w:color w:val="auto"/>
              </w:rPr>
            </w:pPr>
          </w:p>
        </w:tc>
      </w:tr>
      <w:tr>
        <w:trPr>
          <w:trHeight w:val="41"/>
        </w:trPr>
        <w:tc>
          <w:tcPr>
            <w:tcW w:w="5220" w:type="dxa"/>
            <w:vAlign w:val="bottom"/>
            <w:gridSpan w:val="4"/>
          </w:tcPr>
          <w:p>
            <w:pPr>
              <w:ind w:left="680"/>
              <w:spacing w:after="0"/>
              <w:rPr>
                <w:sz w:val="20"/>
                <w:szCs w:val="20"/>
                <w:color w:val="auto"/>
              </w:rPr>
            </w:pPr>
            <w:r>
              <w:rPr>
                <w:rFonts w:ascii="Arial" w:cs="Arial" w:eastAsia="Arial" w:hAnsi="Arial"/>
                <w:sz w:val="3"/>
                <w:szCs w:val="3"/>
                <w:color w:val="FFFFFF"/>
              </w:rPr>
              <w:t>property and equipment, net of construction retention payables(1,099,168)(445,335)</w:t>
            </w:r>
          </w:p>
        </w:tc>
        <w:tc>
          <w:tcPr>
            <w:tcW w:w="0" w:type="dxa"/>
            <w:vAlign w:val="bottom"/>
          </w:tcPr>
          <w:p>
            <w:pPr>
              <w:spacing w:after="0"/>
              <w:rPr>
                <w:sz w:val="1"/>
                <w:szCs w:val="1"/>
                <w:color w:val="auto"/>
              </w:rPr>
            </w:pPr>
          </w:p>
        </w:tc>
      </w:tr>
      <w:tr>
        <w:trPr>
          <w:trHeight w:val="41"/>
        </w:trPr>
        <w:tc>
          <w:tcPr>
            <w:tcW w:w="5220" w:type="dxa"/>
            <w:vAlign w:val="bottom"/>
            <w:gridSpan w:val="4"/>
          </w:tcPr>
          <w:p>
            <w:pPr>
              <w:ind w:left="80"/>
              <w:spacing w:after="0"/>
              <w:rPr>
                <w:sz w:val="20"/>
                <w:szCs w:val="20"/>
                <w:color w:val="auto"/>
              </w:rPr>
            </w:pPr>
            <w:r>
              <w:rPr>
                <w:rFonts w:ascii="Arial" w:cs="Arial" w:eastAsia="Arial" w:hAnsi="Arial"/>
                <w:sz w:val="3"/>
                <w:szCs w:val="3"/>
                <w:color w:val="FFFFFF"/>
              </w:rPr>
              <w:t>ur hase of available-for-sale investments —(518,654)</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3"/>
                <w:szCs w:val="3"/>
                <w:color w:val="auto"/>
              </w:rPr>
            </w:pPr>
          </w:p>
        </w:tc>
        <w:tc>
          <w:tcPr>
            <w:tcW w:w="4420" w:type="dxa"/>
            <w:vAlign w:val="bottom"/>
            <w:gridSpan w:val="3"/>
          </w:tcPr>
          <w:p>
            <w:pPr>
              <w:ind w:left="20"/>
              <w:spacing w:after="0"/>
              <w:rPr>
                <w:sz w:val="20"/>
                <w:szCs w:val="20"/>
                <w:color w:val="auto"/>
              </w:rPr>
            </w:pPr>
            <w:r>
              <w:rPr>
                <w:rFonts w:ascii="Arial" w:cs="Arial" w:eastAsia="Arial" w:hAnsi="Arial"/>
                <w:sz w:val="3"/>
                <w:szCs w:val="3"/>
                <w:color w:val="FFFFFF"/>
              </w:rPr>
              <w:t>disposal of available-for-sale investments 105,859 —</w:t>
            </w:r>
          </w:p>
        </w:tc>
        <w:tc>
          <w:tcPr>
            <w:tcW w:w="0" w:type="dxa"/>
            <w:vAlign w:val="bottom"/>
          </w:tcPr>
          <w:p>
            <w:pPr>
              <w:spacing w:after="0"/>
              <w:rPr>
                <w:sz w:val="1"/>
                <w:szCs w:val="1"/>
                <w:color w:val="auto"/>
              </w:rPr>
            </w:pPr>
          </w:p>
        </w:tc>
      </w:tr>
      <w:tr>
        <w:trPr>
          <w:trHeight w:val="41"/>
        </w:trPr>
        <w:tc>
          <w:tcPr>
            <w:tcW w:w="5220" w:type="dxa"/>
            <w:vAlign w:val="bottom"/>
            <w:gridSpan w:val="4"/>
          </w:tcPr>
          <w:p>
            <w:pPr>
              <w:ind w:left="80"/>
              <w:spacing w:after="0"/>
              <w:rPr>
                <w:sz w:val="20"/>
                <w:szCs w:val="20"/>
                <w:color w:val="auto"/>
              </w:rPr>
            </w:pPr>
            <w:r>
              <w:rPr>
                <w:rFonts w:ascii="Arial" w:cs="Arial" w:eastAsia="Arial" w:hAnsi="Arial"/>
                <w:sz w:val="3"/>
                <w:szCs w:val="3"/>
                <w:color w:val="FFFFFF"/>
              </w:rPr>
              <w:t>roce ds from sale of property and equipment 1,964 7,235</w:t>
            </w:r>
          </w:p>
        </w:tc>
        <w:tc>
          <w:tcPr>
            <w:tcW w:w="0" w:type="dxa"/>
            <w:vAlign w:val="bottom"/>
          </w:tcPr>
          <w:p>
            <w:pPr>
              <w:spacing w:after="0"/>
              <w:rPr>
                <w:sz w:val="1"/>
                <w:szCs w:val="1"/>
                <w:color w:val="auto"/>
              </w:rPr>
            </w:pPr>
          </w:p>
        </w:tc>
      </w:tr>
      <w:tr>
        <w:trPr>
          <w:trHeight w:val="41"/>
        </w:trPr>
        <w:tc>
          <w:tcPr>
            <w:tcW w:w="5220" w:type="dxa"/>
            <w:vAlign w:val="bottom"/>
            <w:gridSpan w:val="4"/>
          </w:tcPr>
          <w:p>
            <w:pPr>
              <w:ind w:left="80"/>
              <w:spacing w:after="0"/>
              <w:rPr>
                <w:sz w:val="20"/>
                <w:szCs w:val="20"/>
                <w:color w:val="auto"/>
              </w:rPr>
            </w:pPr>
            <w:r>
              <w:rPr>
                <w:rFonts w:ascii="Arial" w:cs="Arial" w:eastAsia="Arial" w:hAnsi="Arial"/>
                <w:sz w:val="3"/>
                <w:szCs w:val="3"/>
                <w:color w:val="FFFFFF"/>
              </w:rPr>
              <w:t>ayments for leasehold interest in land(392,232)(485,437)</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Purchase of other non-current assets —(111,246)</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Interest received 73,341 47,894</w:t>
            </w:r>
          </w:p>
        </w:tc>
        <w:tc>
          <w:tcPr>
            <w:tcW w:w="0" w:type="dxa"/>
            <w:vAlign w:val="bottom"/>
          </w:tcPr>
          <w:p>
            <w:pPr>
              <w:spacing w:after="0"/>
              <w:rPr>
                <w:sz w:val="1"/>
                <w:szCs w:val="1"/>
                <w:color w:val="auto"/>
              </w:rPr>
            </w:pPr>
          </w:p>
        </w:tc>
      </w:tr>
      <w:tr>
        <w:trPr>
          <w:trHeight w:val="41"/>
        </w:trPr>
        <w:tc>
          <w:tcPr>
            <w:tcW w:w="5220" w:type="dxa"/>
            <w:vAlign w:val="bottom"/>
            <w:gridSpan w:val="4"/>
          </w:tcPr>
          <w:p>
            <w:pPr>
              <w:spacing w:after="0"/>
              <w:rPr>
                <w:sz w:val="20"/>
                <w:szCs w:val="20"/>
                <w:color w:val="auto"/>
              </w:rPr>
            </w:pPr>
            <w:r>
              <w:rPr>
                <w:rFonts w:ascii="Arial" w:cs="Arial" w:eastAsia="Arial" w:hAnsi="Arial"/>
                <w:sz w:val="3"/>
                <w:szCs w:val="3"/>
                <w:color w:val="FFFFFF"/>
              </w:rPr>
              <w:t>Net cash ?ows used in investing activities(2,078,737)(1,505,543)</w:t>
            </w:r>
          </w:p>
        </w:tc>
        <w:tc>
          <w:tcPr>
            <w:tcW w:w="0" w:type="dxa"/>
            <w:vAlign w:val="bottom"/>
          </w:tcPr>
          <w:p>
            <w:pPr>
              <w:spacing w:after="0"/>
              <w:rPr>
                <w:sz w:val="1"/>
                <w:szCs w:val="1"/>
                <w:color w:val="auto"/>
              </w:rPr>
            </w:pPr>
          </w:p>
        </w:tc>
      </w:tr>
      <w:tr>
        <w:trPr>
          <w:trHeight w:val="41"/>
        </w:trPr>
        <w:tc>
          <w:tcPr>
            <w:tcW w:w="1180" w:type="dxa"/>
            <w:vAlign w:val="bottom"/>
            <w:gridSpan w:val="3"/>
          </w:tcPr>
          <w:p>
            <w:pPr>
              <w:spacing w:after="0"/>
              <w:rPr>
                <w:sz w:val="20"/>
                <w:szCs w:val="20"/>
                <w:color w:val="auto"/>
              </w:rPr>
            </w:pPr>
            <w:r>
              <w:rPr>
                <w:rFonts w:ascii="Arial" w:cs="Arial" w:eastAsia="Arial" w:hAnsi="Arial"/>
                <w:sz w:val="3"/>
                <w:szCs w:val="3"/>
                <w:color w:val="FFFFFF"/>
              </w:rPr>
              <w:t>Financing activities</w:t>
            </w:r>
          </w:p>
        </w:tc>
        <w:tc>
          <w:tcPr>
            <w:tcW w:w="4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0" w:type="dxa"/>
            <w:vAlign w:val="bottom"/>
            <w:vMerge w:val="restart"/>
          </w:tcPr>
          <w:p>
            <w:pPr>
              <w:spacing w:after="0"/>
              <w:rPr>
                <w:sz w:val="20"/>
                <w:szCs w:val="20"/>
                <w:color w:val="auto"/>
              </w:rPr>
            </w:pPr>
            <w:r>
              <w:rPr>
                <w:rFonts w:ascii="Arial" w:cs="Arial" w:eastAsia="Arial" w:hAnsi="Arial"/>
                <w:sz w:val="3"/>
                <w:szCs w:val="3"/>
                <w:color w:val="FFFFFF"/>
              </w:rPr>
              <w:t>Proceeds from</w:t>
            </w:r>
          </w:p>
        </w:tc>
        <w:tc>
          <w:tcPr>
            <w:tcW w:w="4420" w:type="dxa"/>
            <w:vAlign w:val="bottom"/>
            <w:gridSpan w:val="3"/>
          </w:tcPr>
          <w:p>
            <w:pPr>
              <w:ind w:left="20"/>
              <w:spacing w:after="0"/>
              <w:rPr>
                <w:sz w:val="20"/>
                <w:szCs w:val="20"/>
                <w:color w:val="auto"/>
              </w:rPr>
            </w:pPr>
            <w:r>
              <w:rPr>
                <w:rFonts w:ascii="Arial" w:cs="Arial" w:eastAsia="Arial" w:hAnsi="Arial"/>
                <w:sz w:val="3"/>
                <w:szCs w:val="3"/>
                <w:color w:val="FFFFFF"/>
              </w:rPr>
              <w:t>issuance of shares — 546</w:t>
            </w:r>
          </w:p>
        </w:tc>
        <w:tc>
          <w:tcPr>
            <w:tcW w:w="0" w:type="dxa"/>
            <w:vAlign w:val="bottom"/>
          </w:tcPr>
          <w:p>
            <w:pPr>
              <w:spacing w:after="0"/>
              <w:rPr>
                <w:sz w:val="1"/>
                <w:szCs w:val="1"/>
                <w:color w:val="auto"/>
              </w:rPr>
            </w:pPr>
          </w:p>
        </w:tc>
      </w:tr>
      <w:tr>
        <w:trPr>
          <w:trHeight w:val="0"/>
        </w:trPr>
        <w:tc>
          <w:tcPr>
            <w:tcW w:w="80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tcPr>
          <w:p>
            <w:pPr>
              <w:ind w:left="300"/>
              <w:spacing w:after="0" w:line="80" w:lineRule="exact"/>
              <w:rPr>
                <w:sz w:val="20"/>
                <w:szCs w:val="20"/>
                <w:color w:val="auto"/>
              </w:rPr>
            </w:pPr>
            <w:r>
              <w:rPr>
                <w:rFonts w:ascii="Arial" w:cs="Arial" w:eastAsia="Arial" w:hAnsi="Arial"/>
                <w:sz w:val="9"/>
                <w:szCs w:val="9"/>
                <w:color w:val="FFFFFF"/>
              </w:rPr>
              <w:t>5,839,043 1,169,566</w:t>
            </w: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tcPr>
          <w:p>
            <w:pPr>
              <w:spacing w:after="0"/>
              <w:rPr>
                <w:sz w:val="20"/>
                <w:szCs w:val="20"/>
                <w:color w:val="auto"/>
              </w:rPr>
            </w:pPr>
            <w:r>
              <w:rPr>
                <w:rFonts w:ascii="Arial" w:cs="Arial" w:eastAsia="Arial" w:hAnsi="Arial"/>
                <w:sz w:val="14"/>
                <w:szCs w:val="14"/>
                <w:color w:val="FFFFFF"/>
              </w:rPr>
              <w:t>Repayment of borrowings(4,874,857)(1,356,338)</w:t>
            </w:r>
          </w:p>
        </w:tc>
      </w:tr>
      <w:tr>
        <w:trPr>
          <w:trHeight w:val="41"/>
        </w:trPr>
        <w:tc>
          <w:tcPr>
            <w:tcW w:w="500" w:type="dxa"/>
            <w:vAlign w:val="bottom"/>
          </w:tcPr>
          <w:p>
            <w:pPr>
              <w:spacing w:after="0"/>
              <w:rPr>
                <w:sz w:val="3"/>
                <w:szCs w:val="3"/>
                <w:color w:val="auto"/>
              </w:rPr>
            </w:pPr>
          </w:p>
        </w:tc>
        <w:tc>
          <w:tcPr>
            <w:tcW w:w="3240" w:type="dxa"/>
            <w:vAlign w:val="bottom"/>
          </w:tcPr>
          <w:p>
            <w:pPr>
              <w:ind w:left="80"/>
              <w:spacing w:after="0"/>
              <w:rPr>
                <w:sz w:val="20"/>
                <w:szCs w:val="20"/>
                <w:color w:val="auto"/>
              </w:rPr>
            </w:pPr>
            <w:r>
              <w:rPr>
                <w:rFonts w:ascii="Arial" w:cs="Arial" w:eastAsia="Arial" w:hAnsi="Arial"/>
                <w:sz w:val="3"/>
                <w:szCs w:val="3"/>
                <w:color w:val="FFFFFF"/>
              </w:rPr>
              <w:t>f debt ?nancing costs(374,225) —</w:t>
            </w: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Payment on long-term land concession obligation(104,329) —</w:t>
            </w: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Interest</w:t>
            </w:r>
          </w:p>
        </w:tc>
        <w:tc>
          <w:tcPr>
            <w:tcW w:w="3240" w:type="dxa"/>
            <w:vAlign w:val="bottom"/>
          </w:tcPr>
          <w:p>
            <w:pPr>
              <w:spacing w:after="0"/>
              <w:rPr>
                <w:sz w:val="3"/>
                <w:szCs w:val="3"/>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Special dividendpaid(186,617)(196,250)—(6,225,060)</w:t>
            </w:r>
          </w:p>
        </w:tc>
      </w:tr>
      <w:tr>
        <w:trPr>
          <w:trHeight w:val="41"/>
        </w:trPr>
        <w:tc>
          <w:tcPr>
            <w:tcW w:w="3740" w:type="dxa"/>
            <w:vAlign w:val="bottom"/>
            <w:gridSpan w:val="2"/>
          </w:tcPr>
          <w:p>
            <w:pPr>
              <w:ind w:left="240"/>
              <w:spacing w:after="0"/>
              <w:rPr>
                <w:sz w:val="20"/>
                <w:szCs w:val="20"/>
                <w:color w:val="auto"/>
              </w:rPr>
            </w:pPr>
            <w:r>
              <w:rPr>
                <w:rFonts w:ascii="Arial" w:cs="Arial" w:eastAsia="Arial" w:hAnsi="Arial"/>
                <w:sz w:val="3"/>
                <w:szCs w:val="3"/>
                <w:color w:val="FFFFFF"/>
              </w:rPr>
              <w:t>cash ?ows from (used in) ?nancing activities 299,015(6,6 7,536)</w:t>
            </w: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Net increase in cash and cash equivalents 5,301,951 1,304,090</w:t>
            </w: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Cash and cash equivalents at 1 January 5,156,725 3,819,163</w:t>
            </w: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Effect of foreign exchange rate changes, net 16,694 33,472</w:t>
            </w:r>
          </w:p>
        </w:tc>
      </w:tr>
      <w:tr>
        <w:trPr>
          <w:trHeight w:val="172"/>
        </w:trPr>
        <w:tc>
          <w:tcPr>
            <w:tcW w:w="3740" w:type="dxa"/>
            <w:vAlign w:val="bottom"/>
            <w:gridSpan w:val="2"/>
          </w:tcPr>
          <w:p>
            <w:pPr>
              <w:spacing w:after="0"/>
              <w:rPr>
                <w:sz w:val="20"/>
                <w:szCs w:val="20"/>
                <w:color w:val="auto"/>
              </w:rPr>
            </w:pPr>
            <w:r>
              <w:rPr>
                <w:rFonts w:ascii="Arial" w:cs="Arial" w:eastAsia="Arial" w:hAnsi="Arial"/>
                <w:sz w:val="14"/>
                <w:szCs w:val="14"/>
                <w:color w:val="FFFFFF"/>
                <w:w w:val="86"/>
              </w:rPr>
              <w:t>Cash and cash equivalents at 31 December 18 10,475,370 5,156,725</w:t>
            </w:r>
          </w:p>
        </w:tc>
      </w:tr>
    </w:tbl>
    <w:p>
      <w:pPr>
        <w:sectPr>
          <w:pgSz w:w="11900" w:h="16838" w:orient="portrait"/>
          <w:cols w:equalWidth="0" w:num="1">
            <w:col w:w="10219"/>
          </w:cols>
          <w:pgMar w:left="240" w:top="1440" w:right="1440"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3"/>
          </w:tcPr>
          <w:p>
            <w:pPr>
              <w:spacing w:after="0"/>
              <w:rPr>
                <w:sz w:val="20"/>
                <w:szCs w:val="20"/>
                <w:color w:val="auto"/>
              </w:rPr>
            </w:pPr>
            <w:r>
              <w:rPr>
                <w:rFonts w:ascii="Arial" w:cs="Arial" w:eastAsia="Arial" w:hAnsi="Arial"/>
                <w:sz w:val="14"/>
                <w:szCs w:val="14"/>
                <w:color w:val="FFFFFF"/>
              </w:rPr>
              <w:t>82 Wynn Macau, Limited</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40" w:type="dxa"/>
            <w:vAlign w:val="bottom"/>
            <w:gridSpan w:val="2"/>
          </w:tcPr>
          <w:p>
            <w:pPr>
              <w:spacing w:after="0"/>
              <w:rPr>
                <w:sz w:val="20"/>
                <w:szCs w:val="20"/>
                <w:color w:val="auto"/>
              </w:rPr>
            </w:pPr>
            <w:r>
              <w:rPr>
                <w:rFonts w:ascii="Arial" w:cs="Arial" w:eastAsia="Arial" w:hAnsi="Arial"/>
                <w:sz w:val="3"/>
                <w:szCs w:val="3"/>
                <w:color w:val="FFFFFF"/>
              </w:rPr>
              <w:t>Financial</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3"/>
          </w:tcPr>
          <w:p>
            <w:pPr>
              <w:spacing w:after="0"/>
              <w:rPr>
                <w:sz w:val="20"/>
                <w:szCs w:val="20"/>
                <w:color w:val="auto"/>
              </w:rPr>
            </w:pPr>
            <w:r>
              <w:rPr>
                <w:rFonts w:ascii="Arial" w:cs="Arial" w:eastAsia="Arial" w:hAnsi="Arial"/>
                <w:sz w:val="3"/>
                <w:szCs w:val="3"/>
                <w:color w:val="FFFFFF"/>
              </w:rPr>
              <w:t>Company Statements of Financial Position</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0" w:type="dxa"/>
            <w:vAlign w:val="bottom"/>
          </w:tcPr>
          <w:p>
            <w:pPr>
              <w:spacing w:after="0"/>
              <w:rPr>
                <w:sz w:val="20"/>
                <w:szCs w:val="20"/>
                <w:color w:val="auto"/>
              </w:rPr>
            </w:pPr>
            <w:r>
              <w:rPr>
                <w:rFonts w:ascii="Arial" w:cs="Arial" w:eastAsia="Arial" w:hAnsi="Arial"/>
                <w:sz w:val="3"/>
                <w:szCs w:val="3"/>
                <w:color w:val="FFFFFF"/>
              </w:rPr>
              <w:t>As at 31</w:t>
            </w:r>
          </w:p>
        </w:tc>
        <w:tc>
          <w:tcPr>
            <w:tcW w:w="1800" w:type="dxa"/>
            <w:vAlign w:val="bottom"/>
            <w:gridSpan w:val="2"/>
          </w:tcPr>
          <w:p>
            <w:pPr>
              <w:ind w:left="20"/>
              <w:spacing w:after="0"/>
              <w:rPr>
                <w:sz w:val="20"/>
                <w:szCs w:val="20"/>
                <w:color w:val="auto"/>
              </w:rPr>
            </w:pPr>
            <w:r>
              <w:rPr>
                <w:rFonts w:ascii="Arial" w:cs="Arial" w:eastAsia="Arial" w:hAnsi="Arial"/>
                <w:sz w:val="3"/>
                <w:szCs w:val="3"/>
                <w:color w:val="FFFFFF"/>
              </w:rPr>
              <w:t>December</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gridSpan w:val="2"/>
          </w:tcPr>
          <w:p>
            <w:pPr>
              <w:spacing w:after="0"/>
              <w:rPr>
                <w:sz w:val="20"/>
                <w:szCs w:val="20"/>
                <w:color w:val="auto"/>
              </w:rPr>
            </w:pPr>
            <w:r>
              <w:rPr>
                <w:rFonts w:ascii="Arial" w:cs="Arial" w:eastAsia="Arial" w:hAnsi="Arial"/>
                <w:sz w:val="3"/>
                <w:szCs w:val="3"/>
                <w:color w:val="FFFFFF"/>
              </w:rPr>
              <w:t>2012 2011</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gridSpan w:val="2"/>
          </w:tcPr>
          <w:p>
            <w:pPr>
              <w:spacing w:after="0"/>
              <w:rPr>
                <w:sz w:val="20"/>
                <w:szCs w:val="20"/>
                <w:color w:val="auto"/>
              </w:rPr>
            </w:pPr>
            <w:r>
              <w:rPr>
                <w:rFonts w:ascii="Arial" w:cs="Arial" w:eastAsia="Arial" w:hAnsi="Arial"/>
                <w:sz w:val="3"/>
                <w:szCs w:val="3"/>
                <w:color w:val="FFFFFF"/>
              </w:rPr>
              <w:t>HK$ HK$</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3"/>
          </w:tcPr>
          <w:p>
            <w:pPr>
              <w:ind w:left="180"/>
              <w:spacing w:after="0"/>
              <w:rPr>
                <w:sz w:val="20"/>
                <w:szCs w:val="20"/>
                <w:color w:val="auto"/>
              </w:rPr>
            </w:pPr>
            <w:r>
              <w:rPr>
                <w:rFonts w:ascii="Arial" w:cs="Arial" w:eastAsia="Arial" w:hAnsi="Arial"/>
                <w:sz w:val="3"/>
                <w:szCs w:val="3"/>
                <w:color w:val="FFFFFF"/>
              </w:rPr>
              <w:t>tes(in thousands)</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3"/>
          </w:tcPr>
          <w:p>
            <w:pPr>
              <w:spacing w:after="0"/>
              <w:rPr>
                <w:sz w:val="20"/>
                <w:szCs w:val="20"/>
                <w:color w:val="auto"/>
              </w:rPr>
            </w:pPr>
            <w:r>
              <w:rPr>
                <w:rFonts w:ascii="Arial" w:cs="Arial" w:eastAsia="Arial" w:hAnsi="Arial"/>
                <w:sz w:val="3"/>
                <w:szCs w:val="3"/>
                <w:color w:val="FFFFFF"/>
              </w:rPr>
              <w:t>Non-current assets</w:t>
            </w:r>
          </w:p>
        </w:tc>
        <w:tc>
          <w:tcPr>
            <w:tcW w:w="1160" w:type="dxa"/>
            <w:vAlign w:val="bottom"/>
            <w:vMerge w:val="restart"/>
          </w:tcPr>
          <w:p>
            <w:pPr>
              <w:jc w:val="right"/>
              <w:ind w:right="515"/>
              <w:spacing w:after="0" w:line="81" w:lineRule="exact"/>
              <w:rPr>
                <w:sz w:val="20"/>
                <w:szCs w:val="20"/>
                <w:color w:val="auto"/>
              </w:rPr>
            </w:pPr>
            <w:r>
              <w:rPr>
                <w:rFonts w:ascii="Arial" w:cs="Arial" w:eastAsia="Arial" w:hAnsi="Arial"/>
                <w:sz w:val="9"/>
                <w:szCs w:val="9"/>
                <w:color w:val="FFFFFF"/>
              </w:rPr>
              <w:t>12,561,195</w:t>
            </w:r>
          </w:p>
        </w:tc>
        <w:tc>
          <w:tcPr>
            <w:tcW w:w="0" w:type="dxa"/>
            <w:vAlign w:val="bottom"/>
          </w:tcPr>
          <w:p>
            <w:pPr>
              <w:spacing w:after="0"/>
              <w:rPr>
                <w:sz w:val="1"/>
                <w:szCs w:val="1"/>
                <w:color w:val="auto"/>
              </w:rPr>
            </w:pPr>
          </w:p>
        </w:tc>
      </w:tr>
      <w:tr>
        <w:trPr>
          <w:trHeight w:val="41"/>
        </w:trPr>
        <w:tc>
          <w:tcPr>
            <w:tcW w:w="840" w:type="dxa"/>
            <w:vAlign w:val="bottom"/>
            <w:gridSpan w:val="2"/>
          </w:tcPr>
          <w:p>
            <w:pPr>
              <w:spacing w:after="0"/>
              <w:rPr>
                <w:sz w:val="20"/>
                <w:szCs w:val="20"/>
                <w:color w:val="auto"/>
              </w:rPr>
            </w:pPr>
            <w:r>
              <w:rPr>
                <w:rFonts w:ascii="Arial" w:cs="Arial" w:eastAsia="Arial" w:hAnsi="Arial"/>
                <w:sz w:val="3"/>
                <w:szCs w:val="3"/>
                <w:color w:val="FFFFFF"/>
              </w:rPr>
              <w:t>Investment in</w:t>
            </w:r>
          </w:p>
        </w:tc>
        <w:tc>
          <w:tcPr>
            <w:tcW w:w="1440" w:type="dxa"/>
            <w:vAlign w:val="bottom"/>
          </w:tcPr>
          <w:p>
            <w:pPr>
              <w:ind w:left="40"/>
              <w:spacing w:after="0"/>
              <w:rPr>
                <w:sz w:val="20"/>
                <w:szCs w:val="20"/>
                <w:color w:val="auto"/>
              </w:rPr>
            </w:pPr>
            <w:r>
              <w:rPr>
                <w:rFonts w:ascii="Arial" w:cs="Arial" w:eastAsia="Arial" w:hAnsi="Arial"/>
                <w:sz w:val="3"/>
                <w:szCs w:val="3"/>
                <w:color w:val="FFFFFF"/>
              </w:rPr>
              <w:t>subsidiary 13</w:t>
            </w:r>
          </w:p>
        </w:tc>
        <w:tc>
          <w:tcPr>
            <w:tcW w:w="11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Available-for-sale investments12,561,19536,334 404,754</w:t>
            </w:r>
          </w:p>
        </w:tc>
        <w:tc>
          <w:tcPr>
            <w:tcW w:w="0" w:type="dxa"/>
            <w:vAlign w:val="bottom"/>
          </w:tcPr>
          <w:p>
            <w:pPr>
              <w:spacing w:after="0"/>
              <w:rPr>
                <w:sz w:val="1"/>
                <w:szCs w:val="1"/>
                <w:color w:val="auto"/>
              </w:rPr>
            </w:pPr>
          </w:p>
        </w:tc>
      </w:tr>
      <w:tr>
        <w:trPr>
          <w:trHeight w:val="41"/>
        </w:trPr>
        <w:tc>
          <w:tcPr>
            <w:tcW w:w="2280" w:type="dxa"/>
            <w:vAlign w:val="bottom"/>
            <w:gridSpan w:val="3"/>
          </w:tcPr>
          <w:p>
            <w:pPr>
              <w:spacing w:after="0"/>
              <w:rPr>
                <w:sz w:val="20"/>
                <w:szCs w:val="20"/>
                <w:color w:val="auto"/>
              </w:rPr>
            </w:pPr>
            <w:r>
              <w:rPr>
                <w:rFonts w:ascii="Arial" w:cs="Arial" w:eastAsia="Arial" w:hAnsi="Arial"/>
                <w:sz w:val="3"/>
                <w:szCs w:val="3"/>
                <w:color w:val="FFFFFF"/>
              </w:rPr>
              <w:t>Other non-current assets 2,516 —</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Total non-current assets 12,600,045 12,965,949</w:t>
            </w:r>
          </w:p>
        </w:tc>
        <w:tc>
          <w:tcPr>
            <w:tcW w:w="0" w:type="dxa"/>
            <w:vAlign w:val="bottom"/>
          </w:tcPr>
          <w:p>
            <w:pPr>
              <w:spacing w:after="0"/>
              <w:rPr>
                <w:sz w:val="1"/>
                <w:szCs w:val="1"/>
                <w:color w:val="auto"/>
              </w:rPr>
            </w:pPr>
          </w:p>
        </w:tc>
      </w:tr>
      <w:tr>
        <w:trPr>
          <w:trHeight w:val="41"/>
        </w:trPr>
        <w:tc>
          <w:tcPr>
            <w:tcW w:w="840" w:type="dxa"/>
            <w:vAlign w:val="bottom"/>
            <w:gridSpan w:val="2"/>
          </w:tcPr>
          <w:p>
            <w:pPr>
              <w:spacing w:after="0"/>
              <w:rPr>
                <w:sz w:val="20"/>
                <w:szCs w:val="20"/>
                <w:color w:val="auto"/>
              </w:rPr>
            </w:pPr>
            <w:r>
              <w:rPr>
                <w:rFonts w:ascii="Arial" w:cs="Arial" w:eastAsia="Arial" w:hAnsi="Arial"/>
                <w:sz w:val="3"/>
                <w:szCs w:val="3"/>
                <w:color w:val="FFFFFF"/>
              </w:rPr>
              <w:t>Current assets</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Prepayments and other current assets 16 524 1,020</w:t>
            </w:r>
          </w:p>
        </w:tc>
        <w:tc>
          <w:tcPr>
            <w:tcW w:w="0" w:type="dxa"/>
            <w:vAlign w:val="bottom"/>
          </w:tcPr>
          <w:p>
            <w:pPr>
              <w:spacing w:after="0"/>
              <w:rPr>
                <w:sz w:val="1"/>
                <w:szCs w:val="1"/>
                <w:color w:val="auto"/>
              </w:rPr>
            </w:pPr>
          </w:p>
        </w:tc>
      </w:tr>
      <w:tr>
        <w:trPr>
          <w:trHeight w:val="41"/>
        </w:trPr>
        <w:tc>
          <w:tcPr>
            <w:tcW w:w="3440" w:type="dxa"/>
            <w:vAlign w:val="bottom"/>
            <w:gridSpan w:val="4"/>
          </w:tcPr>
          <w:p>
            <w:pPr>
              <w:ind w:left="100"/>
              <w:spacing w:after="0"/>
              <w:rPr>
                <w:sz w:val="20"/>
                <w:szCs w:val="20"/>
                <w:color w:val="auto"/>
              </w:rPr>
            </w:pPr>
            <w:r>
              <w:rPr>
                <w:rFonts w:ascii="Arial" w:cs="Arial" w:eastAsia="Arial" w:hAnsi="Arial"/>
                <w:sz w:val="3"/>
                <w:szCs w:val="3"/>
                <w:color w:val="FFFFFF"/>
              </w:rPr>
              <w:t>mounts due from related companies 28 13,784 —</w:t>
            </w:r>
          </w:p>
        </w:tc>
        <w:tc>
          <w:tcPr>
            <w:tcW w:w="0" w:type="dxa"/>
            <w:vAlign w:val="bottom"/>
          </w:tcPr>
          <w:p>
            <w:pPr>
              <w:spacing w:after="0"/>
              <w:rPr>
                <w:sz w:val="1"/>
                <w:szCs w:val="1"/>
                <w:color w:val="auto"/>
              </w:rPr>
            </w:pP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Available-for-sale investments 11 385,498 104,066</w:t>
            </w:r>
          </w:p>
        </w:tc>
        <w:tc>
          <w:tcPr>
            <w:tcW w:w="0" w:type="dxa"/>
            <w:vAlign w:val="bottom"/>
          </w:tcPr>
          <w:p>
            <w:pPr>
              <w:spacing w:after="0"/>
              <w:rPr>
                <w:sz w:val="1"/>
                <w:szCs w:val="1"/>
                <w:color w:val="auto"/>
              </w:rPr>
            </w:pPr>
          </w:p>
        </w:tc>
      </w:tr>
      <w:tr>
        <w:trPr>
          <w:trHeight w:val="41"/>
        </w:trPr>
        <w:tc>
          <w:tcPr>
            <w:tcW w:w="2280" w:type="dxa"/>
            <w:vAlign w:val="bottom"/>
            <w:gridSpan w:val="3"/>
          </w:tcPr>
          <w:p>
            <w:pPr>
              <w:spacing w:after="0"/>
              <w:rPr>
                <w:sz w:val="20"/>
                <w:szCs w:val="20"/>
                <w:color w:val="auto"/>
              </w:rPr>
            </w:pPr>
            <w:r>
              <w:rPr>
                <w:rFonts w:ascii="Arial" w:cs="Arial" w:eastAsia="Arial" w:hAnsi="Arial"/>
                <w:sz w:val="3"/>
                <w:szCs w:val="3"/>
                <w:color w:val="FFFFFF"/>
              </w:rPr>
              <w:t>Interest receivable 3,897 2,497</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Cash and cash equivalents 18 1,244,874 1,176,113</w:t>
            </w:r>
          </w:p>
        </w:tc>
        <w:tc>
          <w:tcPr>
            <w:tcW w:w="0" w:type="dxa"/>
            <w:vAlign w:val="bottom"/>
          </w:tcPr>
          <w:p>
            <w:pPr>
              <w:spacing w:after="0"/>
              <w:rPr>
                <w:sz w:val="1"/>
                <w:szCs w:val="1"/>
                <w:color w:val="auto"/>
              </w:rPr>
            </w:pPr>
          </w:p>
        </w:tc>
      </w:tr>
      <w:tr>
        <w:trPr>
          <w:trHeight w:val="41"/>
        </w:trPr>
        <w:tc>
          <w:tcPr>
            <w:tcW w:w="2280" w:type="dxa"/>
            <w:vAlign w:val="bottom"/>
            <w:gridSpan w:val="3"/>
          </w:tcPr>
          <w:p>
            <w:pPr>
              <w:spacing w:after="0"/>
              <w:rPr>
                <w:sz w:val="20"/>
                <w:szCs w:val="20"/>
                <w:color w:val="auto"/>
              </w:rPr>
            </w:pPr>
            <w:r>
              <w:rPr>
                <w:rFonts w:ascii="Arial" w:cs="Arial" w:eastAsia="Arial" w:hAnsi="Arial"/>
                <w:sz w:val="3"/>
                <w:szCs w:val="3"/>
                <w:color w:val="FFFFFF"/>
              </w:rPr>
              <w:t>Total current assets 1,648,577 1,283,696</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3"/>
          </w:tcPr>
          <w:p>
            <w:pPr>
              <w:spacing w:after="0"/>
              <w:rPr>
                <w:sz w:val="20"/>
                <w:szCs w:val="20"/>
                <w:color w:val="auto"/>
              </w:rPr>
            </w:pPr>
            <w:r>
              <w:rPr>
                <w:rFonts w:ascii="Arial" w:cs="Arial" w:eastAsia="Arial" w:hAnsi="Arial"/>
                <w:sz w:val="3"/>
                <w:szCs w:val="3"/>
                <w:color w:val="FFFFFF"/>
              </w:rPr>
              <w:t>Current liabilities</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Other payables and accruals 20 5,372 4,014</w:t>
            </w:r>
          </w:p>
        </w:tc>
        <w:tc>
          <w:tcPr>
            <w:tcW w:w="0" w:type="dxa"/>
            <w:vAlign w:val="bottom"/>
          </w:tcPr>
          <w:p>
            <w:pPr>
              <w:spacing w:after="0"/>
              <w:rPr>
                <w:sz w:val="1"/>
                <w:szCs w:val="1"/>
                <w:color w:val="auto"/>
              </w:rPr>
            </w:pP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Amounts due to related companies 28 1,448 19,200</w:t>
            </w:r>
          </w:p>
        </w:tc>
        <w:tc>
          <w:tcPr>
            <w:tcW w:w="0" w:type="dxa"/>
            <w:vAlign w:val="bottom"/>
          </w:tcPr>
          <w:p>
            <w:pPr>
              <w:spacing w:after="0"/>
              <w:rPr>
                <w:sz w:val="1"/>
                <w:szCs w:val="1"/>
                <w:color w:val="auto"/>
              </w:rPr>
            </w:pPr>
          </w:p>
        </w:tc>
      </w:tr>
      <w:tr>
        <w:trPr>
          <w:trHeight w:val="41"/>
        </w:trPr>
        <w:tc>
          <w:tcPr>
            <w:tcW w:w="2280" w:type="dxa"/>
            <w:vAlign w:val="bottom"/>
            <w:gridSpan w:val="3"/>
          </w:tcPr>
          <w:p>
            <w:pPr>
              <w:spacing w:after="0"/>
              <w:rPr>
                <w:sz w:val="20"/>
                <w:szCs w:val="20"/>
                <w:color w:val="auto"/>
              </w:rPr>
            </w:pPr>
            <w:r>
              <w:rPr>
                <w:rFonts w:ascii="Arial" w:cs="Arial" w:eastAsia="Arial" w:hAnsi="Arial"/>
                <w:sz w:val="3"/>
                <w:szCs w:val="3"/>
                <w:color w:val="FFFFFF"/>
              </w:rPr>
              <w:t>Total current liabilities 6,820 23,214</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3"/>
          </w:tcPr>
          <w:p>
            <w:pPr>
              <w:spacing w:after="0"/>
              <w:rPr>
                <w:sz w:val="20"/>
                <w:szCs w:val="20"/>
                <w:color w:val="auto"/>
              </w:rPr>
            </w:pPr>
            <w:r>
              <w:rPr>
                <w:rFonts w:ascii="Arial" w:cs="Arial" w:eastAsia="Arial" w:hAnsi="Arial"/>
                <w:sz w:val="3"/>
                <w:szCs w:val="3"/>
                <w:color w:val="FFFFFF"/>
              </w:rPr>
              <w:t>Net current assets 1,641,757 1,260,482</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Total assets less current liabilities 14,241,802 14,226,431</w:t>
            </w:r>
          </w:p>
        </w:tc>
        <w:tc>
          <w:tcPr>
            <w:tcW w:w="0" w:type="dxa"/>
            <w:vAlign w:val="bottom"/>
          </w:tcPr>
          <w:p>
            <w:pPr>
              <w:spacing w:after="0"/>
              <w:rPr>
                <w:sz w:val="1"/>
                <w:szCs w:val="1"/>
                <w:color w:val="auto"/>
              </w:rPr>
            </w:pPr>
          </w:p>
        </w:tc>
      </w:tr>
      <w:tr>
        <w:trPr>
          <w:trHeight w:val="41"/>
        </w:trPr>
        <w:tc>
          <w:tcPr>
            <w:tcW w:w="2280" w:type="dxa"/>
            <w:vAlign w:val="bottom"/>
            <w:gridSpan w:val="3"/>
          </w:tcPr>
          <w:p>
            <w:pPr>
              <w:spacing w:after="0"/>
              <w:rPr>
                <w:sz w:val="20"/>
                <w:szCs w:val="20"/>
                <w:color w:val="auto"/>
              </w:rPr>
            </w:pPr>
            <w:r>
              <w:rPr>
                <w:rFonts w:ascii="Arial" w:cs="Arial" w:eastAsia="Arial" w:hAnsi="Arial"/>
                <w:sz w:val="3"/>
                <w:szCs w:val="3"/>
                <w:color w:val="FFFFFF"/>
              </w:rPr>
              <w:t>Net assets 14,241,802 14,226,431</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0" w:type="dxa"/>
            <w:vAlign w:val="bottom"/>
          </w:tcPr>
          <w:p>
            <w:pPr>
              <w:spacing w:after="0"/>
              <w:rPr>
                <w:sz w:val="20"/>
                <w:szCs w:val="20"/>
                <w:color w:val="auto"/>
              </w:rPr>
            </w:pPr>
            <w:r>
              <w:rPr>
                <w:rFonts w:ascii="Arial" w:cs="Arial" w:eastAsia="Arial" w:hAnsi="Arial"/>
                <w:sz w:val="3"/>
                <w:szCs w:val="3"/>
                <w:color w:val="FFFFFF"/>
              </w:rPr>
              <w:t>Eq ity</w:t>
            </w:r>
          </w:p>
        </w:tc>
        <w:tc>
          <w:tcPr>
            <w:tcW w:w="3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3"/>
          </w:tcPr>
          <w:p>
            <w:pPr>
              <w:spacing w:after="0"/>
              <w:rPr>
                <w:sz w:val="20"/>
                <w:szCs w:val="20"/>
                <w:color w:val="auto"/>
              </w:rPr>
            </w:pPr>
            <w:r>
              <w:rPr>
                <w:rFonts w:ascii="Arial" w:cs="Arial" w:eastAsia="Arial" w:hAnsi="Arial"/>
                <w:sz w:val="3"/>
                <w:szCs w:val="3"/>
                <w:color w:val="FFFFFF"/>
              </w:rPr>
              <w:t>Issued capital 22 5,188 5,188</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Share premium account# 23(b) 12,714,631 12,714,631</w:t>
            </w:r>
          </w:p>
        </w:tc>
        <w:tc>
          <w:tcPr>
            <w:tcW w:w="0" w:type="dxa"/>
            <w:vAlign w:val="bottom"/>
          </w:tcPr>
          <w:p>
            <w:pPr>
              <w:spacing w:after="0"/>
              <w:rPr>
                <w:sz w:val="1"/>
                <w:szCs w:val="1"/>
                <w:color w:val="auto"/>
              </w:rPr>
            </w:pPr>
          </w:p>
        </w:tc>
      </w:tr>
      <w:tr>
        <w:trPr>
          <w:trHeight w:val="41"/>
        </w:trPr>
        <w:tc>
          <w:tcPr>
            <w:tcW w:w="480" w:type="dxa"/>
            <w:vAlign w:val="bottom"/>
          </w:tcPr>
          <w:p>
            <w:pPr>
              <w:spacing w:after="0"/>
              <w:rPr>
                <w:sz w:val="20"/>
                <w:szCs w:val="20"/>
                <w:color w:val="auto"/>
              </w:rPr>
            </w:pPr>
            <w:r>
              <w:rPr>
                <w:rFonts w:ascii="Arial" w:cs="Arial" w:eastAsia="Arial" w:hAnsi="Arial"/>
                <w:sz w:val="3"/>
                <w:szCs w:val="3"/>
                <w:color w:val="FFFFFF"/>
              </w:rPr>
              <w:t>Reserv</w:t>
            </w:r>
          </w:p>
        </w:tc>
        <w:tc>
          <w:tcPr>
            <w:tcW w:w="1800" w:type="dxa"/>
            <w:vAlign w:val="bottom"/>
            <w:gridSpan w:val="2"/>
          </w:tcPr>
          <w:p>
            <w:pPr>
              <w:ind w:left="40"/>
              <w:spacing w:after="0"/>
              <w:rPr>
                <w:sz w:val="20"/>
                <w:szCs w:val="20"/>
                <w:color w:val="auto"/>
              </w:rPr>
            </w:pPr>
            <w:r>
              <w:rPr>
                <w:rFonts w:ascii="Arial" w:cs="Arial" w:eastAsia="Arial" w:hAnsi="Arial"/>
                <w:sz w:val="3"/>
                <w:szCs w:val="3"/>
                <w:color w:val="FFFFFF"/>
              </w:rPr>
              <w:t>23(b)(4,910,579) 1,506,612</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3"/>
          </w:tcPr>
          <w:p>
            <w:pPr>
              <w:spacing w:after="0"/>
              <w:rPr>
                <w:sz w:val="20"/>
                <w:szCs w:val="20"/>
                <w:color w:val="auto"/>
              </w:rPr>
            </w:pPr>
            <w:r>
              <w:rPr>
                <w:rFonts w:ascii="Arial" w:cs="Arial" w:eastAsia="Arial" w:hAnsi="Arial"/>
                <w:sz w:val="3"/>
                <w:szCs w:val="3"/>
                <w:color w:val="FFFFFF"/>
              </w:rPr>
              <w:t>Proposed ?nal dividend 6 6,432,562 —</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3"/>
          </w:tcPr>
          <w:p>
            <w:pPr>
              <w:spacing w:after="0"/>
              <w:rPr>
                <w:sz w:val="20"/>
                <w:szCs w:val="20"/>
                <w:color w:val="auto"/>
              </w:rPr>
            </w:pPr>
            <w:r>
              <w:rPr>
                <w:rFonts w:ascii="Arial" w:cs="Arial" w:eastAsia="Arial" w:hAnsi="Arial"/>
                <w:sz w:val="3"/>
                <w:szCs w:val="3"/>
                <w:color w:val="FFFFFF"/>
              </w:rPr>
              <w:t>Total equity 14,241,802 14,226,431</w:t>
            </w: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gridSpan w:val="2"/>
          </w:tcPr>
          <w:p>
            <w:pPr>
              <w:spacing w:after="0"/>
              <w:rPr>
                <w:sz w:val="20"/>
                <w:szCs w:val="20"/>
                <w:color w:val="auto"/>
              </w:rPr>
            </w:pPr>
            <w:r>
              <w:rPr>
                <w:rFonts w:ascii="Arial" w:cs="Arial" w:eastAsia="Arial" w:hAnsi="Arial"/>
                <w:sz w:val="3"/>
                <w:szCs w:val="3"/>
                <w:color w:val="FFFFFF"/>
              </w:rPr>
              <w:t># 2012 2011</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gridSpan w:val="2"/>
          </w:tcPr>
          <w:p>
            <w:pPr>
              <w:spacing w:after="0"/>
              <w:rPr>
                <w:sz w:val="20"/>
                <w:szCs w:val="20"/>
                <w:color w:val="auto"/>
              </w:rPr>
            </w:pPr>
            <w:r>
              <w:rPr>
                <w:rFonts w:ascii="Arial" w:cs="Arial" w:eastAsia="Arial" w:hAnsi="Arial"/>
                <w:sz w:val="3"/>
                <w:szCs w:val="3"/>
                <w:color w:val="FFFFFF"/>
              </w:rPr>
              <w:t>HK$ HK$</w:t>
            </w:r>
          </w:p>
        </w:tc>
        <w:tc>
          <w:tcPr>
            <w:tcW w:w="1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40" w:type="dxa"/>
            <w:vAlign w:val="bottom"/>
            <w:gridSpan w:val="2"/>
          </w:tcPr>
          <w:p>
            <w:pPr>
              <w:spacing w:after="0"/>
              <w:rPr>
                <w:sz w:val="20"/>
                <w:szCs w:val="20"/>
                <w:color w:val="auto"/>
              </w:rPr>
            </w:pPr>
            <w:r>
              <w:rPr>
                <w:rFonts w:ascii="Arial" w:cs="Arial" w:eastAsia="Arial" w:hAnsi="Arial"/>
                <w:sz w:val="3"/>
                <w:szCs w:val="3"/>
                <w:color w:val="FFFFFF"/>
              </w:rPr>
              <w:t>(in thousands)</w:t>
            </w:r>
          </w:p>
        </w:tc>
        <w:tc>
          <w:tcPr>
            <w:tcW w:w="2600" w:type="dxa"/>
            <w:vAlign w:val="bottom"/>
            <w:gridSpan w:val="2"/>
            <w:vMerge w:val="restart"/>
          </w:tcPr>
          <w:p>
            <w:pPr>
              <w:jc w:val="right"/>
              <w:spacing w:after="0"/>
              <w:rPr>
                <w:sz w:val="20"/>
                <w:szCs w:val="20"/>
                <w:color w:val="auto"/>
              </w:rPr>
            </w:pPr>
            <w:r>
              <w:rPr>
                <w:rFonts w:ascii="Arial" w:cs="Arial" w:eastAsia="Arial" w:hAnsi="Arial"/>
                <w:sz w:val="3"/>
                <w:szCs w:val="3"/>
                <w:color w:val="FFFFFF"/>
              </w:rPr>
              <w:t>share premium account 12,714,631 12,714,631</w:t>
            </w:r>
          </w:p>
        </w:tc>
        <w:tc>
          <w:tcPr>
            <w:tcW w:w="0" w:type="dxa"/>
            <w:vAlign w:val="bottom"/>
          </w:tcPr>
          <w:p>
            <w:pPr>
              <w:spacing w:after="0"/>
              <w:rPr>
                <w:sz w:val="1"/>
                <w:szCs w:val="1"/>
                <w:color w:val="auto"/>
              </w:rPr>
            </w:pPr>
          </w:p>
        </w:tc>
      </w:tr>
      <w:tr>
        <w:trPr>
          <w:trHeight w:val="0"/>
        </w:trPr>
        <w:tc>
          <w:tcPr>
            <w:tcW w:w="840" w:type="dxa"/>
            <w:vAlign w:val="bottom"/>
            <w:gridSpan w:val="2"/>
          </w:tcPr>
          <w:p>
            <w:pPr>
              <w:spacing w:after="0" w:line="80" w:lineRule="exact"/>
              <w:rPr>
                <w:sz w:val="20"/>
                <w:szCs w:val="20"/>
                <w:color w:val="auto"/>
              </w:rPr>
            </w:pPr>
            <w:r>
              <w:rPr>
                <w:rFonts w:ascii="Arial" w:cs="Arial" w:eastAsia="Arial" w:hAnsi="Arial"/>
                <w:sz w:val="9"/>
                <w:szCs w:val="9"/>
                <w:color w:val="FFFFFF"/>
              </w:rPr>
              <w:t>The Company’</w:t>
            </w:r>
          </w:p>
        </w:tc>
        <w:tc>
          <w:tcPr>
            <w:tcW w:w="26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80"/>
        <w:spacing w:after="0" w:line="25" w:lineRule="auto"/>
        <w:rPr>
          <w:sz w:val="20"/>
          <w:szCs w:val="20"/>
          <w:color w:val="auto"/>
        </w:rPr>
      </w:pPr>
      <w:r>
        <w:rPr>
          <w:rFonts w:ascii="Arial" w:cs="Arial" w:eastAsia="Arial" w:hAnsi="Arial"/>
          <w:sz w:val="1"/>
          <w:szCs w:val="1"/>
          <w:color w:val="FFFFFF"/>
        </w:rPr>
        <w:t>arising</w:t>
      </w:r>
    </w:p>
    <w:p>
      <w:pPr>
        <w:spacing w:after="0" w:line="187" w:lineRule="auto"/>
        <w:rPr>
          <w:sz w:val="20"/>
          <w:szCs w:val="20"/>
          <w:color w:val="auto"/>
        </w:rPr>
      </w:pPr>
      <w:r>
        <w:rPr>
          <w:rFonts w:ascii="Arial" w:cs="Arial" w:eastAsia="Arial" w:hAnsi="Arial"/>
          <w:sz w:val="7"/>
          <w:szCs w:val="7"/>
          <w:color w:val="FFFFFF"/>
        </w:rPr>
        <w:t>Cons</w:t>
      </w:r>
      <w:r>
        <w:rPr>
          <w:rFonts w:ascii="Arial" w:cs="Arial" w:eastAsia="Arial" w:hAnsi="Arial"/>
          <w:sz w:val="9"/>
          <w:szCs w:val="9"/>
          <w:color w:val="FFFFFF"/>
          <w:vertAlign w:val="subscript"/>
        </w:rPr>
        <w:t>Approved</w:t>
      </w:r>
      <w:r>
        <w:rPr>
          <w:rFonts w:ascii="Arial" w:cs="Arial" w:eastAsia="Arial" w:hAnsi="Arial"/>
          <w:sz w:val="7"/>
          <w:szCs w:val="7"/>
          <w:color w:val="FFFFFF"/>
        </w:rPr>
        <w:t>Adjustmentlidated share premiumfromthe GroupaccountReorganization(12,561,195)(12,561,195)153,436153,436</w:t>
      </w:r>
    </w:p>
    <w:p>
      <w:pPr>
        <w:spacing w:after="0"/>
        <w:rPr>
          <w:sz w:val="20"/>
          <w:szCs w:val="20"/>
          <w:color w:val="auto"/>
        </w:rPr>
      </w:pPr>
      <w:r>
        <w:rPr>
          <w:rFonts w:ascii="Arial" w:cs="Arial" w:eastAsia="Arial" w:hAnsi="Arial"/>
          <w:sz w:val="10"/>
          <w:szCs w:val="10"/>
          <w:color w:val="FFFFFF"/>
        </w:rPr>
        <w:t>Stephen A.andWynnauthorizedMarcD.forSchorrissue by the Board on 28 March 2013.</w:t>
      </w:r>
    </w:p>
    <w:p>
      <w:pPr>
        <w:sectPr>
          <w:pgSz w:w="11900" w:h="16838" w:orient="portrait"/>
          <w:cols w:equalWidth="0" w:num="1">
            <w:col w:w="10219"/>
          </w:cols>
          <w:pgMar w:left="240" w:top="1440" w:right="1440"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AnnualFinancialReportStatements2012 83</w:t>
      </w:r>
    </w:p>
    <w:p>
      <w:pPr>
        <w:spacing w:after="0"/>
        <w:rPr>
          <w:sz w:val="20"/>
          <w:szCs w:val="20"/>
          <w:color w:val="auto"/>
        </w:rPr>
      </w:pPr>
      <w:r>
        <w:rPr>
          <w:rFonts w:ascii="Arial" w:cs="Arial" w:eastAsia="Arial" w:hAnsi="Arial"/>
          <w:sz w:val="3"/>
          <w:szCs w:val="3"/>
          <w:color w:val="FFFFFF"/>
        </w:rPr>
        <w:t>Notes to Financial Statements</w:t>
      </w:r>
    </w:p>
    <w:p>
      <w:pPr>
        <w:spacing w:after="0" w:line="181" w:lineRule="auto"/>
        <w:rPr>
          <w:sz w:val="20"/>
          <w:szCs w:val="20"/>
          <w:color w:val="auto"/>
        </w:rPr>
      </w:pPr>
      <w:r>
        <w:rPr>
          <w:rFonts w:ascii="Arial" w:cs="Arial" w:eastAsia="Arial" w:hAnsi="Arial"/>
          <w:sz w:val="10"/>
          <w:szCs w:val="10"/>
          <w:color w:val="FFFFFF"/>
        </w:rPr>
        <w:t>1.ForCORPORATEtheyearendedINFORMATION31December2012</w:t>
      </w:r>
    </w:p>
    <w:p>
      <w:pPr>
        <w:ind w:right="240"/>
        <w:spacing w:after="0" w:line="181" w:lineRule="auto"/>
        <w:rPr>
          <w:sz w:val="20"/>
          <w:szCs w:val="20"/>
          <w:color w:val="auto"/>
        </w:rPr>
      </w:pPr>
      <w:r>
        <w:rPr>
          <w:rFonts w:ascii="Arial" w:cs="Arial" w:eastAsia="Arial" w:hAnsi="Arial"/>
          <w:sz w:val="7"/>
          <w:szCs w:val="7"/>
          <w:color w:val="FFFFFF"/>
        </w:rPr>
        <w:t>ExchangeTheCompaony9 wasOctoberincorporated2009.Thein Company’stheCaymanregisteredIslandsasoffian exemptedceaddresscompanyisP.O.Boxwith309,limitedUglandliabilityHouse,on Grand4SeptemberCayman,2009.KY1The-1104,Company’sCaymanSharesIslands,wereoratlistedsuch onotherthe placeMain asBoardtheDirectorsoftheHongmayKongfromStocktime to time decide.</w:t>
      </w:r>
    </w:p>
    <w:p>
      <w:pPr>
        <w:ind w:right="60"/>
        <w:spacing w:after="0" w:line="181" w:lineRule="auto"/>
        <w:rPr>
          <w:sz w:val="20"/>
          <w:szCs w:val="20"/>
          <w:color w:val="auto"/>
        </w:rPr>
      </w:pPr>
      <w:r>
        <w:rPr>
          <w:rFonts w:ascii="Arial" w:cs="Arial" w:eastAsia="Arial" w:hAnsi="Arial"/>
          <w:sz w:val="7"/>
          <w:szCs w:val="7"/>
          <w:color w:val="FFFFFF"/>
        </w:rPr>
        <w:t>The 20Group-yearownsconcessionandoperatesperiodacommencedhotelandcasinoon27resort,June2002WynnandMacau,willexpirewhichonconducts26Junegaming2022. activities in casinos in Macau under a concession contract signed with the Macau Government on 24 June 2002. WM Cayman Holdings Limited I owns 72.29% of the Company and 27.71% of the Company is owned by public shareholders. The ultimate parent company of Wynn Macau, Limited is Wynn Resorts, Limited,</w:t>
      </w:r>
    </w:p>
    <w:p>
      <w:pPr>
        <w:spacing w:after="0"/>
        <w:rPr>
          <w:sz w:val="20"/>
          <w:szCs w:val="20"/>
          <w:color w:val="auto"/>
        </w:rPr>
      </w:pPr>
      <w:r>
        <w:rPr>
          <w:rFonts w:ascii="Arial" w:cs="Arial" w:eastAsia="Arial" w:hAnsi="Arial"/>
          <w:sz w:val="3"/>
          <w:szCs w:val="3"/>
          <w:color w:val="FFFFFF"/>
        </w:rPr>
        <w:t>a publicly-traded company incorporated in the United States of America.</w:t>
      </w:r>
    </w:p>
    <w:p>
      <w:pPr>
        <w:spacing w:after="0" w:line="181" w:lineRule="auto"/>
        <w:rPr>
          <w:sz w:val="20"/>
          <w:szCs w:val="20"/>
          <w:color w:val="auto"/>
        </w:rPr>
      </w:pPr>
      <w:r>
        <w:rPr>
          <w:rFonts w:ascii="Arial" w:cs="Arial" w:eastAsia="Arial" w:hAnsi="Arial"/>
          <w:sz w:val="10"/>
          <w:szCs w:val="10"/>
          <w:color w:val="FFFFFF"/>
        </w:rPr>
        <w:t>These2.1BASIS?nancialOFPREPARATIONstatementsInterpretationshavebenprepared in accordance with International Financial Reporting Standards which comprise standards and interpretations approved by the International Accounting Standards</w:t>
      </w:r>
    </w:p>
    <w:p>
      <w:pPr>
        <w:spacing w:after="0" w:line="181" w:lineRule="auto"/>
        <w:rPr>
          <w:sz w:val="20"/>
          <w:szCs w:val="20"/>
          <w:color w:val="auto"/>
        </w:rPr>
      </w:pPr>
      <w:r>
        <w:rPr>
          <w:rFonts w:ascii="Arial" w:cs="Arial" w:eastAsia="Arial" w:hAnsi="Arial"/>
          <w:sz w:val="7"/>
          <w:szCs w:val="7"/>
          <w:color w:val="FFFFFF"/>
        </w:rPr>
        <w:t>ListingBoard(theRules.“IASB”),Thefi IFRSnancial statements haveCommitteebeenpreparedinterpretationshistoricalapprovedcostbybasis,the IFRSexceptInterpretationsfortherevaluationCommitteeofavailableandthe-forapplicable-saleinvestmentsdisclosureandrequirementsderivativefiofnancialtheHonginstrumentsKongCompanieswhichhaveOrdinancebeenmeasuredthe at fair value as further explained in note 2.2. These ? nancial statements are presented in Hong Kong dollars and all values are rounded to the nearest thousand (HK$’000) except when otherwise indicated.</w:t>
      </w:r>
    </w:p>
    <w:p>
      <w:pPr>
        <w:ind w:right="60"/>
        <w:spacing w:after="0" w:line="181" w:lineRule="auto"/>
        <w:rPr>
          <w:sz w:val="20"/>
          <w:szCs w:val="20"/>
          <w:color w:val="auto"/>
        </w:rPr>
      </w:pPr>
      <w:r>
        <w:rPr>
          <w:rFonts w:ascii="Arial" w:cs="Arial" w:eastAsia="Arial" w:hAnsi="Arial"/>
          <w:sz w:val="7"/>
          <w:szCs w:val="7"/>
          <w:color w:val="FFFFFF"/>
        </w:rPr>
        <w:t>TheBasisconsolidatedofconsolidation?nancial statements comprise the ? nancial statements of Wynn Macau, Limited and its subsidiaries for the year ended 31 December 2012. The subsidiaries are fully consolidated from the date on which control is transferred to the Group, and will continue to be consolidated until the date that such control ceases. The ? nancial statements of the subsidiaries are prepared for the same reporting period as</w:t>
      </w:r>
    </w:p>
    <w:p>
      <w:pPr>
        <w:ind w:left="10800"/>
        <w:spacing w:after="0"/>
        <w:rPr>
          <w:sz w:val="20"/>
          <w:szCs w:val="20"/>
          <w:color w:val="auto"/>
        </w:rPr>
      </w:pPr>
      <w:r>
        <w:rPr>
          <w:rFonts w:ascii="Arial" w:cs="Arial" w:eastAsia="Arial" w:hAnsi="Arial"/>
          <w:sz w:val="1"/>
          <w:szCs w:val="1"/>
          <w:color w:val="FFFFFF"/>
        </w:rPr>
        <w:t>Intertheparent-companycompanytransactions,usingconsistent accountingandunrealizedpolicies.gains on transactions between group companies and dividends are eliminated on consolidation in full. Unrealized losses are also eliminated unless the</w:t>
      </w:r>
    </w:p>
    <w:p>
      <w:pPr>
        <w:spacing w:after="0"/>
        <w:rPr>
          <w:sz w:val="20"/>
          <w:szCs w:val="20"/>
          <w:color w:val="auto"/>
        </w:rPr>
      </w:pPr>
      <w:r>
        <w:rPr>
          <w:rFonts w:ascii="Arial" w:cs="Arial" w:eastAsia="Arial" w:hAnsi="Arial"/>
          <w:sz w:val="14"/>
          <w:szCs w:val="14"/>
          <w:color w:val="FFFFFF"/>
        </w:rPr>
        <w:t>transaction provides evidencebalancesofimpairment of the asset transferred.</w:t>
      </w:r>
    </w:p>
    <w:p>
      <w:pPr>
        <w:sectPr>
          <w:pgSz w:w="11900" w:h="16838" w:orient="portrait"/>
          <w:cols w:equalWidth="0" w:num="1">
            <w:col w:w="11400"/>
          </w:cols>
          <w:pgMar w:left="240" w:top="1440" w:right="259"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84 Wynn Macau, Limited</w:t>
      </w:r>
    </w:p>
    <w:p>
      <w:pPr>
        <w:spacing w:after="0"/>
        <w:rPr>
          <w:sz w:val="20"/>
          <w:szCs w:val="20"/>
          <w:color w:val="auto"/>
        </w:rPr>
      </w:pPr>
      <w:r>
        <w:rPr>
          <w:rFonts w:ascii="Arial" w:cs="Arial" w:eastAsia="Arial" w:hAnsi="Arial"/>
          <w:sz w:val="3"/>
          <w:szCs w:val="3"/>
          <w:color w:val="FFFFFF"/>
        </w:rPr>
        <w:t>Financial Statements</w:t>
      </w:r>
    </w:p>
    <w:p>
      <w:pPr>
        <w:spacing w:after="0" w:line="181" w:lineRule="auto"/>
        <w:rPr>
          <w:sz w:val="20"/>
          <w:szCs w:val="20"/>
          <w:color w:val="auto"/>
        </w:rPr>
      </w:pPr>
      <w:r>
        <w:rPr>
          <w:rFonts w:ascii="Arial" w:cs="Arial" w:eastAsia="Arial" w:hAnsi="Arial"/>
          <w:sz w:val="10"/>
          <w:szCs w:val="10"/>
          <w:color w:val="FFFFFF"/>
        </w:rPr>
        <w:t>ForNotesthetoyearFinancialended Statements31December 2012</w:t>
      </w:r>
    </w:p>
    <w:p>
      <w:pPr>
        <w:spacing w:after="0"/>
        <w:rPr>
          <w:sz w:val="20"/>
          <w:szCs w:val="20"/>
          <w:color w:val="auto"/>
        </w:rPr>
      </w:pPr>
      <w:r>
        <w:rPr>
          <w:rFonts w:ascii="Arial" w:cs="Arial" w:eastAsia="Arial" w:hAnsi="Arial"/>
          <w:sz w:val="3"/>
          <w:szCs w:val="3"/>
          <w:color w:val="FFFFFF"/>
        </w:rPr>
        <w:t>2.2 SUMMARY OF SIGNIFICANT ACCOUNTING POLICIES</w:t>
      </w:r>
    </w:p>
    <w:p>
      <w:pPr>
        <w:spacing w:after="0" w:line="181" w:lineRule="auto"/>
        <w:rPr>
          <w:sz w:val="20"/>
          <w:szCs w:val="20"/>
          <w:color w:val="auto"/>
        </w:rPr>
      </w:pPr>
      <w:r>
        <w:rPr>
          <w:rFonts w:ascii="Arial" w:cs="Arial" w:eastAsia="Arial" w:hAnsi="Arial"/>
          <w:sz w:val="10"/>
          <w:szCs w:val="10"/>
          <w:color w:val="FFFFFF"/>
        </w:rPr>
        <w:t>ASubsidiariessubsidiary is an entity whose ? nancial and operating policies the Company controls, directly or indirectly, so as to obtain bene? ts from its activities.</w:t>
      </w:r>
    </w:p>
    <w:p>
      <w:pPr>
        <w:spacing w:after="0"/>
        <w:rPr>
          <w:sz w:val="20"/>
          <w:szCs w:val="20"/>
          <w:color w:val="auto"/>
        </w:rPr>
      </w:pPr>
      <w:r>
        <w:rPr>
          <w:rFonts w:ascii="Arial" w:cs="Arial" w:eastAsia="Arial" w:hAnsi="Arial"/>
          <w:sz w:val="10"/>
          <w:szCs w:val="10"/>
          <w:color w:val="FFFFFF"/>
        </w:rPr>
        <w:t>ofIn dividendtheCompany’sreceivedstatementandreceivable.offinancial position, the investments in subsidiaries are stated at cost less provision for impairment losses. The results of subsidiaries are accounted for by the Company on the basis Goodwill</w:t>
      </w:r>
    </w:p>
    <w:p>
      <w:pPr>
        <w:spacing w:after="0" w:line="7" w:lineRule="exact"/>
        <w:rPr>
          <w:sz w:val="20"/>
          <w:szCs w:val="20"/>
          <w:color w:val="auto"/>
        </w:rPr>
      </w:pPr>
    </w:p>
    <w:p>
      <w:pPr>
        <w:ind w:right="220"/>
        <w:spacing w:after="0" w:line="181" w:lineRule="auto"/>
        <w:rPr>
          <w:sz w:val="20"/>
          <w:szCs w:val="20"/>
          <w:color w:val="auto"/>
        </w:rPr>
      </w:pPr>
      <w:r>
        <w:rPr>
          <w:rFonts w:ascii="Arial" w:cs="Arial" w:eastAsia="Arial" w:hAnsi="Arial"/>
          <w:sz w:val="7"/>
          <w:szCs w:val="7"/>
          <w:color w:val="FFFFFF"/>
        </w:rPr>
        <w:t>equity interestsisinitiallythemeasuredacquiree atovercost,thebeingidentifitheableexcessnet ofassetsthe aggregateacquired andoftheliabilitiesconsiderationassumed.transferred,Ifthesumtheofamountthisconsiderationrecognized andfor nonother-controllingitemsislowerintereststhan andthe fairany valuefairvalueoftheofnettheassetsGroup’sof thepreviouslysubsidiaryheld acquired, the difference is, after reassessment, recognized in the statement of comprehensive income asasset,gain on bargain purchase.</w:t>
      </w:r>
    </w:p>
    <w:p>
      <w:pPr>
        <w:spacing w:after="0" w:line="181" w:lineRule="auto"/>
        <w:rPr>
          <w:sz w:val="20"/>
          <w:szCs w:val="20"/>
          <w:color w:val="auto"/>
        </w:rPr>
      </w:pPr>
      <w:r>
        <w:rPr>
          <w:rFonts w:ascii="Arial" w:cs="Arial" w:eastAsia="Arial" w:hAnsi="Arial"/>
          <w:sz w:val="7"/>
          <w:szCs w:val="7"/>
          <w:color w:val="FFFFFF"/>
        </w:rPr>
        <w:t>Goodwill arisingtestedonforacquisitionimpairmentis annuallyrecognizedor inmorethe frequentlyconsolidatedif eventsstatementorchangesbusinessof?nancialcircumstancespositionasanindicateinitiallythatthe measuredcarryingvalueatcostmayandbesubsequentlyimpaired.Theat costGrouplessperformsanyaccumulateditsannualimpairmentimpairmentlosses.testof goodwill generatingas31December. For the purpose of impairment testing, goodwill acquiredcombination, combination is, frothermthe acquisition date, allocated to each of the Group’ cash-generating units, or groups of cash-</w:t>
      </w:r>
    </w:p>
    <w:p>
      <w:pPr>
        <w:ind w:left="10660"/>
        <w:spacing w:after="0"/>
        <w:rPr>
          <w:sz w:val="20"/>
          <w:szCs w:val="20"/>
          <w:color w:val="auto"/>
        </w:rPr>
      </w:pPr>
      <w:r>
        <w:rPr>
          <w:rFonts w:ascii="Arial" w:cs="Arial" w:eastAsia="Arial" w:hAnsi="Arial"/>
          <w:sz w:val="1"/>
          <w:szCs w:val="1"/>
          <w:color w:val="FFFFFF"/>
        </w:rPr>
        <w:t>Impairmentunits,isdeterminedthatareexpectedbyassessingtobenefitherecoverablefromthesynergiesamountofofthethecash-generatingirrespectiveunit(groupofofwhethercash-generatingassetsunits)or liabilitiestowhich theof thegoodwillGrouprelates.areassignedWheretothethose units or groupsamountofofunits.thecash-generating</w:t>
      </w:r>
    </w:p>
    <w:p>
      <w:pPr>
        <w:spacing w:after="0"/>
        <w:rPr>
          <w:sz w:val="20"/>
          <w:szCs w:val="20"/>
          <w:color w:val="auto"/>
        </w:rPr>
      </w:pPr>
      <w:r>
        <w:rPr>
          <w:rFonts w:ascii="Arial" w:cs="Arial" w:eastAsia="Arial" w:hAnsi="Arial"/>
          <w:sz w:val="12"/>
          <w:szCs w:val="12"/>
          <w:color w:val="FFFFFF"/>
        </w:rPr>
        <w:t>unit (group of cash-generating units) is less than the carrying amount, an impairment loss is recognized. An impairment loss recognized for goodwill is not reversed inrecoverablesubsequent period.</w:t>
      </w:r>
    </w:p>
    <w:p>
      <w:pPr>
        <w:sectPr>
          <w:pgSz w:w="11900" w:h="16838" w:orient="portrait"/>
          <w:cols w:equalWidth="0" w:num="1">
            <w:col w:w="11360"/>
          </w:cols>
          <w:pgMar w:left="240" w:top="1440" w:right="299"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85</w:t>
      </w:r>
    </w:p>
    <w:p>
      <w:pPr>
        <w:spacing w:after="0"/>
        <w:rPr>
          <w:sz w:val="20"/>
          <w:szCs w:val="20"/>
          <w:color w:val="auto"/>
        </w:rPr>
      </w:pPr>
      <w:r>
        <w:rPr>
          <w:rFonts w:ascii="Arial" w:cs="Arial" w:eastAsia="Arial" w:hAnsi="Arial"/>
          <w:sz w:val="3"/>
          <w:szCs w:val="3"/>
          <w:color w:val="FFFFFF"/>
        </w:rPr>
        <w:t>Financial Statements</w:t>
      </w:r>
    </w:p>
    <w:p>
      <w:pPr>
        <w:spacing w:after="0" w:line="181" w:lineRule="auto"/>
        <w:rPr>
          <w:sz w:val="20"/>
          <w:szCs w:val="20"/>
          <w:color w:val="auto"/>
        </w:rPr>
      </w:pPr>
      <w:r>
        <w:rPr>
          <w:rFonts w:ascii="Arial" w:cs="Arial" w:eastAsia="Arial" w:hAnsi="Arial"/>
          <w:sz w:val="10"/>
          <w:szCs w:val="10"/>
          <w:color w:val="FFFFFF"/>
        </w:rPr>
        <w:t>ForNotesthetoyearFinancialended Statements31December 2012</w:t>
      </w:r>
    </w:p>
    <w:p>
      <w:pPr>
        <w:spacing w:after="0"/>
        <w:rPr>
          <w:sz w:val="20"/>
          <w:szCs w:val="20"/>
          <w:color w:val="auto"/>
        </w:rPr>
      </w:pPr>
      <w:r>
        <w:rPr>
          <w:rFonts w:ascii="Arial" w:cs="Arial" w:eastAsia="Arial" w:hAnsi="Arial"/>
          <w:sz w:val="3"/>
          <w:szCs w:val="3"/>
          <w:color w:val="FFFFFF"/>
        </w:rPr>
        <w:t>2.2 SUMMARY OF SIGNIFICANT ACCOUNTING POLICIES (CONTINUED)</w:t>
      </w:r>
    </w:p>
    <w:p>
      <w:pPr>
        <w:spacing w:after="0" w:line="181" w:lineRule="auto"/>
        <w:rPr>
          <w:sz w:val="20"/>
          <w:szCs w:val="20"/>
          <w:color w:val="auto"/>
        </w:rPr>
      </w:pPr>
      <w:r>
        <w:rPr>
          <w:rFonts w:ascii="Arial" w:cs="Arial" w:eastAsia="Arial" w:hAnsi="Arial"/>
          <w:sz w:val="10"/>
          <w:szCs w:val="10"/>
          <w:color w:val="FFFFFF"/>
        </w:rPr>
        <w:t>WhereGoodwillgoodwill(continued)forms partoperationofcash-generating unit (group of cash-generating units) and part of the operation within that unitthis disposed of, the goodwill associated with the operation disposed of is included in</w:t>
      </w:r>
    </w:p>
    <w:p>
      <w:pPr>
        <w:ind w:right="60"/>
        <w:spacing w:after="0"/>
        <w:rPr>
          <w:sz w:val="20"/>
          <w:szCs w:val="20"/>
          <w:color w:val="auto"/>
        </w:rPr>
      </w:pPr>
      <w:r>
        <w:rPr>
          <w:rFonts w:ascii="Arial" w:cs="Arial" w:eastAsia="Arial" w:hAnsi="Arial"/>
          <w:sz w:val="9"/>
          <w:szCs w:val="9"/>
          <w:color w:val="FFFFFF"/>
        </w:rPr>
        <w:t>oftheandcarryingtheportionamountof ofthethecash-generatingwhenunitdeterminingretained. the gain or loss on disposal of the operation. Goodwill disposed of in circumstance is measured based on the relative values of the operation disposed Foreign currency translation</w:t>
      </w:r>
    </w:p>
    <w:p>
      <w:pPr>
        <w:spacing w:after="0" w:line="18"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inThesethe fi? nancialnancial statementsstatements areofeachpresentedentity inareHongmeasuredKongusingdollars,thatwhichfunctionalisthe currency.Company’sForeignfunctionalcurrenciesandpresentationtransactionscurrency.recordedEachbytheentityentitiesinthein GrouptheGroupdeterminesareinitiallyitsownrecordedfunctionalusingcurrencytheirrespectiveanditemsfunctionalincluded currency rates prevailing at the dates of the transactions. Monetary assets and liabilities denominated in foreign currencies are translated at the functional currency rates of exchange ruling at the statement of ?</w:t>
      </w:r>
    </w:p>
    <w:p>
      <w:pPr>
        <w:ind w:left="11100"/>
        <w:spacing w:after="0"/>
        <w:rPr>
          <w:sz w:val="20"/>
          <w:szCs w:val="20"/>
          <w:color w:val="auto"/>
        </w:rPr>
      </w:pPr>
      <w:r>
        <w:rPr>
          <w:rFonts w:ascii="Arial" w:cs="Arial" w:eastAsia="Arial" w:hAnsi="Arial"/>
          <w:sz w:val="1"/>
          <w:szCs w:val="1"/>
          <w:color w:val="FFFFFF"/>
        </w:rPr>
        <w:t>costnancialin positionforeign date.currencyDifferencesaretranslatedarisingusingonsettlementtheexchangeortranslationratesasatofthemonetarydatesof itemstheinitialarerecognized in. Nonthestatement-monetaryofitemscomprehensivemeasuredatincome.fairvalueNonin-monetaryforeign currencyitemsthatarearetranslatedmeasuredusingtermsthe exchangeofhistoricalrates</w:t>
      </w:r>
    </w:p>
    <w:p>
      <w:pPr>
        <w:ind w:left="340"/>
        <w:spacing w:after="0"/>
        <w:tabs>
          <w:tab w:leader="none" w:pos="5000" w:val="left"/>
        </w:tabs>
        <w:rPr>
          <w:sz w:val="20"/>
          <w:szCs w:val="20"/>
          <w:color w:val="auto"/>
        </w:rPr>
      </w:pPr>
      <w:r>
        <w:rPr>
          <w:rFonts w:ascii="Arial" w:cs="Arial" w:eastAsia="Arial" w:hAnsi="Arial"/>
          <w:sz w:val="3"/>
          <w:szCs w:val="3"/>
          <w:color w:val="FFFFFF"/>
        </w:rPr>
        <w:t>dates</w:t>
      </w:r>
      <w:r>
        <w:rPr>
          <w:sz w:val="20"/>
          <w:szCs w:val="20"/>
          <w:color w:val="auto"/>
        </w:rPr>
        <w:tab/>
      </w:r>
      <w:r>
        <w:rPr>
          <w:rFonts w:ascii="Arial" w:cs="Arial" w:eastAsia="Arial" w:hAnsi="Arial"/>
          <w:sz w:val="3"/>
          <w:szCs w:val="3"/>
          <w:color w:val="FFFFFF"/>
        </w:rPr>
        <w:t>transactions</w:t>
      </w:r>
    </w:p>
    <w:p>
      <w:pPr>
        <w:spacing w:after="0" w:line="6" w:lineRule="exact"/>
        <w:rPr>
          <w:sz w:val="20"/>
          <w:szCs w:val="20"/>
          <w:color w:val="auto"/>
        </w:rPr>
      </w:pPr>
    </w:p>
    <w:p>
      <w:pPr>
        <w:ind w:left="460" w:right="240" w:hanging="445"/>
        <w:spacing w:after="0" w:line="187" w:lineRule="auto"/>
        <w:tabs>
          <w:tab w:leader="none" w:pos="440" w:val="left"/>
        </w:tabs>
        <w:rPr>
          <w:sz w:val="20"/>
          <w:szCs w:val="20"/>
          <w:color w:val="auto"/>
        </w:rPr>
      </w:pPr>
      <w:r>
        <w:rPr>
          <w:rFonts w:ascii="Arial" w:cs="Arial" w:eastAsia="Arial" w:hAnsi="Arial"/>
          <w:sz w:val="27"/>
          <w:szCs w:val="27"/>
          <w:color w:val="FFFFFF"/>
          <w:vertAlign w:val="subscript"/>
        </w:rPr>
        <w:t>Related</w:t>
      </w:r>
      <w:r>
        <w:rPr>
          <w:rFonts w:ascii="Arial" w:cs="Arial" w:eastAsia="Arial" w:hAnsi="Arial"/>
          <w:sz w:val="14"/>
          <w:szCs w:val="14"/>
          <w:color w:val="FFFFFF"/>
        </w:rPr>
        <w:t>the</w:t>
      </w:r>
      <w:r>
        <w:rPr>
          <w:sz w:val="20"/>
          <w:szCs w:val="20"/>
          <w:color w:val="auto"/>
        </w:rPr>
        <w:tab/>
      </w:r>
      <w:r>
        <w:rPr>
          <w:rFonts w:ascii="Arial" w:cs="Arial" w:eastAsia="Arial" w:hAnsi="Arial"/>
          <w:sz w:val="9"/>
          <w:szCs w:val="9"/>
          <w:color w:val="FFFFFF"/>
        </w:rPr>
        <w:t>when the fair values were determined. The gain or loss arising on retranslation of non-monetary item is treated in line with the recognition of the gain or loss on change in fair value of the item. parties</w:t>
      </w:r>
    </w:p>
    <w:p>
      <w:pPr>
        <w:spacing w:after="0"/>
        <w:rPr>
          <w:sz w:val="20"/>
          <w:szCs w:val="20"/>
          <w:color w:val="auto"/>
        </w:rPr>
      </w:pPr>
      <w:r>
        <w:rPr>
          <w:rFonts w:ascii="Arial" w:cs="Arial" w:eastAsia="Arial" w:hAnsi="Arial"/>
          <w:sz w:val="3"/>
          <w:szCs w:val="3"/>
          <w:color w:val="FFFFFF"/>
        </w:rPr>
        <w:t>A party is considered to be related to the Group if:</w:t>
      </w:r>
    </w:p>
    <w:p>
      <w:pPr>
        <w:spacing w:after="0" w:line="6" w:lineRule="exact"/>
        <w:rPr>
          <w:sz w:val="20"/>
          <w:szCs w:val="20"/>
          <w:color w:val="auto"/>
        </w:rPr>
      </w:pPr>
    </w:p>
    <w:p>
      <w:pPr>
        <w:ind w:right="1780"/>
        <w:spacing w:after="0" w:line="186" w:lineRule="auto"/>
        <w:rPr>
          <w:sz w:val="20"/>
          <w:szCs w:val="20"/>
          <w:color w:val="auto"/>
        </w:rPr>
      </w:pPr>
      <w:r>
        <w:rPr>
          <w:rFonts w:ascii="Arial" w:cs="Arial" w:eastAsia="Arial" w:hAnsi="Arial"/>
          <w:sz w:val="17"/>
          <w:szCs w:val="17"/>
          <w:color w:val="FFFFFF"/>
          <w:vertAlign w:val="subscript"/>
        </w:rPr>
        <w:t>(iii)</w:t>
      </w:r>
      <w:r>
        <w:rPr>
          <w:rFonts w:ascii="Arial" w:cs="Arial" w:eastAsia="Arial" w:hAnsi="Arial"/>
          <w:sz w:val="10"/>
          <w:szCs w:val="10"/>
          <w:color w:val="FFFFFF"/>
        </w:rPr>
        <w:t xml:space="preserve">a)the party is a person or a close member of that person’s family and that person (i) has control or joint control over the Group; (ii) has signifi cant infl uence over the Group; or </w:t>
      </w:r>
      <w:r>
        <w:rPr>
          <w:rFonts w:ascii="Arial" w:cs="Arial" w:eastAsia="Arial" w:hAnsi="Arial"/>
          <w:sz w:val="17"/>
          <w:szCs w:val="17"/>
          <w:color w:val="FFFFFF"/>
          <w:vertAlign w:val="subscript"/>
        </w:rPr>
        <w:t>or</w:t>
      </w:r>
      <w:r>
        <w:rPr>
          <w:rFonts w:ascii="Arial" w:cs="Arial" w:eastAsia="Arial" w:hAnsi="Arial"/>
          <w:sz w:val="10"/>
          <w:szCs w:val="10"/>
          <w:color w:val="FFFFFF"/>
        </w:rPr>
        <w:t xml:space="preserve"> is a member of the key management personnel of the Group or of a parent of the Group;</w:t>
      </w:r>
    </w:p>
    <w:p>
      <w:pPr>
        <w:sectPr>
          <w:pgSz w:w="11900" w:h="16838" w:orient="portrait"/>
          <w:cols w:equalWidth="0" w:num="1">
            <w:col w:w="11380"/>
          </w:cols>
          <w:pgMar w:left="240" w:top="1440" w:right="279"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86FinancialWynn Macau,StatementsLimited</w:t>
      </w:r>
    </w:p>
    <w:p>
      <w:pPr>
        <w:spacing w:after="0"/>
        <w:rPr>
          <w:sz w:val="20"/>
          <w:szCs w:val="20"/>
          <w:color w:val="auto"/>
        </w:rPr>
      </w:pPr>
      <w:r>
        <w:rPr>
          <w:rFonts w:ascii="Arial" w:cs="Arial" w:eastAsia="Arial" w:hAnsi="Arial"/>
          <w:sz w:val="3"/>
          <w:szCs w:val="3"/>
          <w:color w:val="FFFFFF"/>
        </w:rPr>
        <w:t>Notes to Financial Statements</w:t>
      </w:r>
    </w:p>
    <w:p>
      <w:pPr>
        <w:spacing w:after="0" w:line="181" w:lineRule="auto"/>
        <w:rPr>
          <w:sz w:val="20"/>
          <w:szCs w:val="20"/>
          <w:color w:val="auto"/>
        </w:rPr>
      </w:pPr>
      <w:r>
        <w:rPr>
          <w:rFonts w:ascii="Arial" w:cs="Arial" w:eastAsia="Arial" w:hAnsi="Arial"/>
          <w:sz w:val="10"/>
          <w:szCs w:val="10"/>
          <w:color w:val="FFFFFF"/>
        </w:rPr>
        <w:t>2.For2 SUMMARYtheyearendedOF31SIGNIFICANTDecember2012ACCOUNTING POLICIES (CONTINUED)</w:t>
      </w:r>
    </w:p>
    <w:p>
      <w:pPr>
        <w:spacing w:after="0" w:line="188" w:lineRule="auto"/>
        <w:rPr>
          <w:sz w:val="20"/>
          <w:szCs w:val="20"/>
          <w:color w:val="auto"/>
        </w:rPr>
      </w:pPr>
      <w:r>
        <w:rPr>
          <w:rFonts w:ascii="Arial" w:cs="Arial" w:eastAsia="Arial" w:hAnsi="Arial"/>
          <w:sz w:val="12"/>
          <w:szCs w:val="12"/>
          <w:color w:val="FFFFFF"/>
        </w:rPr>
        <w:t>(b)Related thepartiesparty(continued)isanentity where any of the following conditions applies:</w:t>
      </w:r>
    </w:p>
    <w:p>
      <w:pPr>
        <w:ind w:left="240" w:right="4360" w:hanging="235"/>
        <w:spacing w:after="0" w:line="181" w:lineRule="auto"/>
        <w:rPr>
          <w:sz w:val="20"/>
          <w:szCs w:val="20"/>
          <w:color w:val="auto"/>
        </w:rPr>
      </w:pPr>
      <w:r>
        <w:rPr>
          <w:rFonts w:ascii="Arial" w:cs="Arial" w:eastAsia="Arial" w:hAnsi="Arial"/>
          <w:sz w:val="7"/>
          <w:szCs w:val="7"/>
          <w:color w:val="FFFFFF"/>
        </w:rPr>
        <w:t>(i)ii)one entitytheentityisanofassociatetheGroupor arejointmembersventuresofof thethe sameother group;entity(or of a parent, subsidiary or fellow subsidiary of the other entity); the entity of the Group are jof of the same third party;</w:t>
      </w:r>
    </w:p>
    <w:p>
      <w:pPr>
        <w:ind w:right="4380" w:firstLine="45"/>
        <w:spacing w:after="0" w:line="181" w:lineRule="auto"/>
        <w:rPr>
          <w:sz w:val="20"/>
          <w:szCs w:val="20"/>
          <w:color w:val="auto"/>
        </w:rPr>
      </w:pPr>
      <w:r>
        <w:rPr>
          <w:rFonts w:ascii="Arial" w:cs="Arial" w:eastAsia="Arial" w:hAnsi="Arial"/>
          <w:sz w:val="7"/>
          <w:szCs w:val="7"/>
          <w:color w:val="FFFFFF"/>
        </w:rPr>
        <w:t>iv)theoneentityentityisisa apostjoint-employmentventureabene?third entityplan andfor thethe bene?other entityofemployeesisanassociateofeitherof thethe thirdGroupentity;oran entity related to the Group; (vii)thepersonntity is controlled or jointly controlled by a person identi? ed in (a); and/or</w:t>
      </w:r>
    </w:p>
    <w:p>
      <w:pPr>
        <w:ind w:left="280"/>
        <w:spacing w:after="0"/>
        <w:tabs>
          <w:tab w:leader="none" w:pos="740" w:val="left"/>
          <w:tab w:leader="none" w:pos="1300" w:val="left"/>
          <w:tab w:leader="none" w:pos="4300" w:val="left"/>
        </w:tabs>
        <w:rPr>
          <w:sz w:val="20"/>
          <w:szCs w:val="20"/>
          <w:color w:val="auto"/>
        </w:rPr>
      </w:pPr>
      <w:r>
        <w:rPr>
          <w:rFonts w:ascii="Arial" w:cs="Arial" w:eastAsia="Arial" w:hAnsi="Arial"/>
          <w:sz w:val="3"/>
          <w:szCs w:val="3"/>
          <w:color w:val="FFFFFF"/>
        </w:rPr>
        <w:t>a</w:t>
      </w:r>
      <w:r>
        <w:rPr>
          <w:sz w:val="20"/>
          <w:szCs w:val="20"/>
          <w:color w:val="auto"/>
        </w:rPr>
        <w:tab/>
      </w:r>
      <w:r>
        <w:rPr>
          <w:rFonts w:ascii="Arial" w:cs="Arial" w:eastAsia="Arial" w:hAnsi="Arial"/>
          <w:sz w:val="3"/>
          <w:szCs w:val="3"/>
          <w:color w:val="FFFFFF"/>
        </w:rPr>
        <w:t>identi?</w:t>
      </w:r>
      <w:r>
        <w:rPr>
          <w:sz w:val="20"/>
          <w:szCs w:val="20"/>
          <w:color w:val="auto"/>
        </w:rPr>
        <w:tab/>
      </w:r>
      <w:r>
        <w:rPr>
          <w:rFonts w:ascii="Arial" w:cs="Arial" w:eastAsia="Arial" w:hAnsi="Arial"/>
          <w:sz w:val="3"/>
          <w:szCs w:val="3"/>
          <w:color w:val="FFFFFF"/>
        </w:rPr>
        <w:t>in (a)(i) has signi? cant in? uence over the entity or is</w:t>
      </w:r>
      <w:r>
        <w:rPr>
          <w:sz w:val="20"/>
          <w:szCs w:val="20"/>
          <w:color w:val="auto"/>
        </w:rPr>
        <w:tab/>
      </w:r>
      <w:r>
        <w:rPr>
          <w:rFonts w:ascii="Arial" w:cs="Arial" w:eastAsia="Arial" w:hAnsi="Arial"/>
          <w:sz w:val="3"/>
          <w:szCs w:val="3"/>
          <w:color w:val="FFFFFF"/>
        </w:rPr>
        <w:t>member of the key management personnel of the entity (or of a parent of the entity).</w:t>
      </w:r>
    </w:p>
    <w:p>
      <w:pPr>
        <w:spacing w:after="0" w:line="181" w:lineRule="auto"/>
        <w:rPr>
          <w:sz w:val="20"/>
          <w:szCs w:val="20"/>
          <w:color w:val="auto"/>
        </w:rPr>
      </w:pPr>
      <w:r>
        <w:rPr>
          <w:rFonts w:ascii="Arial" w:cs="Arial" w:eastAsia="Arial" w:hAnsi="Arial"/>
          <w:sz w:val="10"/>
          <w:szCs w:val="10"/>
          <w:color w:val="FFFFFF"/>
        </w:rPr>
        <w:t>Property and equipment are stated at cost, net of accumulated depreciation and accumulated impairment losses, if any. The cost of an item of property and equipment comprises its purchase price and any directly</w:t>
      </w:r>
    </w:p>
    <w:p>
      <w:pPr>
        <w:ind w:left="10900"/>
        <w:spacing w:after="0"/>
        <w:rPr>
          <w:sz w:val="20"/>
          <w:szCs w:val="20"/>
          <w:color w:val="auto"/>
        </w:rPr>
      </w:pPr>
      <w:r>
        <w:rPr>
          <w:rFonts w:ascii="Arial" w:cs="Arial" w:eastAsia="Arial" w:hAnsi="Arial"/>
          <w:sz w:val="1"/>
          <w:szCs w:val="1"/>
          <w:color w:val="FFFFFF"/>
        </w:rPr>
        <w:t>attributable costscosts,ofarebringingrecognizedtheassetintheto consolidateditsworkingconditionstatementandof location for its intendedincomeinuse.theExpendituresperiodinwhichincurredtheyareafterincurred.itemsofWhenpropertysigni?andcantequipmentpartsof havepropertybeenandputequipmentintooperation,arerequiredsuchas torepairbereplacedand</w:t>
      </w:r>
    </w:p>
    <w:p>
      <w:pPr>
        <w:spacing w:after="0" w:line="195" w:lineRule="auto"/>
        <w:rPr>
          <w:sz w:val="20"/>
          <w:szCs w:val="20"/>
          <w:color w:val="auto"/>
        </w:rPr>
      </w:pPr>
      <w:r>
        <w:rPr>
          <w:rFonts w:ascii="Arial" w:cs="Arial" w:eastAsia="Arial" w:hAnsi="Arial"/>
          <w:sz w:val="6"/>
          <w:szCs w:val="6"/>
          <w:color w:val="FFFFFF"/>
        </w:rPr>
        <w:t>maintenance</w:t>
      </w:r>
      <w:r>
        <w:rPr>
          <w:rFonts w:ascii="Arial" w:cs="Arial" w:eastAsia="Arial" w:hAnsi="Arial"/>
          <w:sz w:val="7"/>
          <w:szCs w:val="7"/>
          <w:color w:val="FFFFFF"/>
          <w:vertAlign w:val="subscript"/>
        </w:rPr>
        <w:t>am</w:t>
      </w:r>
      <w:r>
        <w:rPr>
          <w:rFonts w:ascii="Arial" w:cs="Arial" w:eastAsia="Arial" w:hAnsi="Arial"/>
          <w:sz w:val="6"/>
          <w:szCs w:val="6"/>
          <w:color w:val="FFFFFF"/>
        </w:rPr>
        <w:t>intervals,</w:t>
      </w:r>
      <w:r>
        <w:rPr>
          <w:rFonts w:ascii="Arial" w:cs="Arial" w:eastAsia="Arial" w:hAnsi="Arial"/>
          <w:sz w:val="7"/>
          <w:szCs w:val="7"/>
          <w:color w:val="FFFFFF"/>
          <w:vertAlign w:val="subscript"/>
        </w:rPr>
        <w:t>u</w:t>
      </w:r>
      <w:r>
        <w:rPr>
          <w:rFonts w:ascii="Arial" w:cs="Arial" w:eastAsia="Arial" w:hAnsi="Arial"/>
          <w:sz w:val="6"/>
          <w:szCs w:val="6"/>
          <w:color w:val="FFFFFF"/>
        </w:rPr>
        <w:t xml:space="preserve">the Group recognizes such parts as individual assets withcomprehensivespeci?useful lives and depreciates them accordingly. Likewise, when a major inspection is performed, its cost is recognized in the carrying </w:t>
      </w:r>
      <w:r>
        <w:rPr>
          <w:rFonts w:ascii="Arial" w:cs="Arial" w:eastAsia="Arial" w:hAnsi="Arial"/>
          <w:sz w:val="7"/>
          <w:szCs w:val="7"/>
          <w:color w:val="FFFFFF"/>
          <w:vertAlign w:val="subscript"/>
        </w:rPr>
        <w:t>recognition</w:t>
      </w:r>
      <w:r>
        <w:rPr>
          <w:rFonts w:ascii="Arial" w:cs="Arial" w:eastAsia="Arial" w:hAnsi="Arial"/>
          <w:sz w:val="6"/>
          <w:szCs w:val="6"/>
          <w:color w:val="FFFFFF"/>
        </w:rPr>
        <w:t>ofthe equipment as a replacement if the recognition criteria are satis? ed. The present value of the expected cost for the decommissioning of an asset after its use is included in the cost of the asset if the</w:t>
      </w:r>
    </w:p>
    <w:p>
      <w:pPr>
        <w:ind w:left="660"/>
        <w:spacing w:after="0"/>
        <w:rPr>
          <w:sz w:val="20"/>
          <w:szCs w:val="20"/>
          <w:color w:val="auto"/>
        </w:rPr>
      </w:pPr>
      <w:r>
        <w:rPr>
          <w:rFonts w:ascii="Arial" w:cs="Arial" w:eastAsia="Arial" w:hAnsi="Arial"/>
          <w:sz w:val="14"/>
          <w:szCs w:val="14"/>
          <w:color w:val="FFFFFF"/>
        </w:rPr>
        <w:t>criteria for a provision are met.</w:t>
      </w:r>
    </w:p>
    <w:p>
      <w:pPr>
        <w:sectPr>
          <w:pgSz w:w="11900" w:h="16838" w:orient="portrait"/>
          <w:cols w:equalWidth="0" w:num="1">
            <w:col w:w="11400"/>
          </w:cols>
          <w:pgMar w:left="240" w:top="1440" w:right="259"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tcPr>
          <w:p>
            <w:pPr>
              <w:spacing w:after="0"/>
              <w:rPr>
                <w:sz w:val="20"/>
                <w:szCs w:val="20"/>
                <w:color w:val="auto"/>
              </w:rPr>
            </w:pPr>
            <w:r>
              <w:rPr>
                <w:rFonts w:ascii="Arial" w:cs="Arial" w:eastAsia="Arial" w:hAnsi="Arial"/>
                <w:sz w:val="14"/>
                <w:szCs w:val="14"/>
                <w:color w:val="FFFFFF"/>
              </w:rPr>
              <w:t>Annual Report 2012 87</w:t>
            </w:r>
          </w:p>
        </w:tc>
        <w:tc>
          <w:tcPr>
            <w:tcW w:w="7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88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7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7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8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c>
          <w:tcPr>
            <w:tcW w:w="7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0" w:type="dxa"/>
            <w:vAlign w:val="bottom"/>
          </w:tcPr>
          <w:p>
            <w:pPr>
              <w:spacing w:after="0"/>
              <w:rPr>
                <w:sz w:val="1"/>
                <w:szCs w:val="1"/>
                <w:color w:val="auto"/>
              </w:rPr>
            </w:pPr>
          </w:p>
        </w:tc>
      </w:tr>
      <w:tr>
        <w:trPr>
          <w:trHeight w:val="41"/>
        </w:trPr>
        <w:tc>
          <w:tcPr>
            <w:tcW w:w="3880" w:type="dxa"/>
            <w:vAlign w:val="bottom"/>
            <w:gridSpan w:val="2"/>
          </w:tcPr>
          <w:p>
            <w:pPr>
              <w:spacing w:after="0"/>
              <w:rPr>
                <w:sz w:val="20"/>
                <w:szCs w:val="20"/>
                <w:color w:val="auto"/>
              </w:rPr>
            </w:pPr>
            <w:r>
              <w:rPr>
                <w:rFonts w:ascii="Arial" w:cs="Arial" w:eastAsia="Arial" w:hAnsi="Arial"/>
                <w:sz w:val="3"/>
                <w:szCs w:val="3"/>
                <w:color w:val="FFFFFF"/>
              </w:rPr>
              <w:t>Property and equipment (c  tinued)</w:t>
            </w:r>
          </w:p>
        </w:tc>
        <w:tc>
          <w:tcPr>
            <w:tcW w:w="7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Depreciation is calculated on the straight-line basis to write of the cost of each item of property and equipment to its residual value over the shorter of the remaining term of the gaming concession (for</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designated</w:t>
            </w:r>
          </w:p>
        </w:tc>
        <w:tc>
          <w:tcPr>
            <w:tcW w:w="10600" w:type="dxa"/>
            <w:vAlign w:val="bottom"/>
            <w:gridSpan w:val="2"/>
          </w:tcPr>
          <w:p>
            <w:pPr>
              <w:ind w:left="260"/>
              <w:spacing w:after="0"/>
              <w:rPr>
                <w:sz w:val="20"/>
                <w:szCs w:val="20"/>
                <w:color w:val="auto"/>
              </w:rPr>
            </w:pPr>
            <w:r>
              <w:rPr>
                <w:rFonts w:ascii="Arial" w:cs="Arial" w:eastAsia="Arial" w:hAnsi="Arial"/>
                <w:sz w:val="3"/>
                <w:szCs w:val="3"/>
                <w:color w:val="FFFFFF"/>
              </w:rPr>
              <w:t>assets and space) or the land concession for Wynn Macau (for all other assets), as applicable, and their estimated useful lives. The gaming concession and the land concession for Wynn Macau</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currently expiregaming June 2022 and August 2029, respectively. The estimated useful lives used for this purpose are as follows:</w:t>
            </w:r>
          </w:p>
        </w:tc>
        <w:tc>
          <w:tcPr>
            <w:tcW w:w="0" w:type="dxa"/>
            <w:vAlign w:val="bottom"/>
          </w:tcPr>
          <w:p>
            <w:pPr>
              <w:spacing w:after="0"/>
              <w:rPr>
                <w:sz w:val="1"/>
                <w:szCs w:val="1"/>
                <w:color w:val="auto"/>
              </w:rPr>
            </w:pPr>
          </w:p>
        </w:tc>
      </w:tr>
      <w:tr>
        <w:trPr>
          <w:trHeight w:val="41"/>
        </w:trPr>
        <w:tc>
          <w:tcPr>
            <w:tcW w:w="3880" w:type="dxa"/>
            <w:vAlign w:val="bottom"/>
            <w:gridSpan w:val="2"/>
          </w:tcPr>
          <w:p>
            <w:pPr>
              <w:spacing w:after="0"/>
              <w:rPr>
                <w:sz w:val="20"/>
                <w:szCs w:val="20"/>
                <w:color w:val="auto"/>
              </w:rPr>
            </w:pPr>
            <w:r>
              <w:rPr>
                <w:rFonts w:ascii="Arial" w:cs="Arial" w:eastAsia="Arial" w:hAnsi="Arial"/>
                <w:sz w:val="3"/>
                <w:szCs w:val="3"/>
                <w:color w:val="FFFFFF"/>
              </w:rPr>
              <w:t>Buildings and improvements 10 to 25 years</w:t>
            </w:r>
          </w:p>
        </w:tc>
        <w:tc>
          <w:tcPr>
            <w:tcW w:w="7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80" w:type="dxa"/>
            <w:vAlign w:val="bottom"/>
            <w:gridSpan w:val="2"/>
          </w:tcPr>
          <w:p>
            <w:pPr>
              <w:spacing w:after="0"/>
              <w:rPr>
                <w:sz w:val="20"/>
                <w:szCs w:val="20"/>
                <w:color w:val="auto"/>
              </w:rPr>
            </w:pPr>
            <w:r>
              <w:rPr>
                <w:rFonts w:ascii="Arial" w:cs="Arial" w:eastAsia="Arial" w:hAnsi="Arial"/>
                <w:sz w:val="3"/>
                <w:szCs w:val="3"/>
                <w:color w:val="FFFFFF"/>
              </w:rPr>
              <w:t>Furniture, ?xtures and equipment 3 to 5 years</w:t>
            </w:r>
          </w:p>
        </w:tc>
        <w:tc>
          <w:tcPr>
            <w:tcW w:w="7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Leasehold improvements (shorter of remaining lease period and 1 to 5 years</w:t>
            </w:r>
          </w:p>
        </w:tc>
        <w:tc>
          <w:tcPr>
            <w:tcW w:w="0" w:type="dxa"/>
            <w:vAlign w:val="bottom"/>
          </w:tcPr>
          <w:p>
            <w:pPr>
              <w:spacing w:after="0"/>
              <w:rPr>
                <w:sz w:val="1"/>
                <w:szCs w:val="1"/>
                <w:color w:val="auto"/>
              </w:rPr>
            </w:pPr>
          </w:p>
        </w:tc>
      </w:tr>
      <w:tr>
        <w:trPr>
          <w:trHeight w:val="41"/>
        </w:trPr>
        <w:tc>
          <w:tcPr>
            <w:tcW w:w="3880" w:type="dxa"/>
            <w:vAlign w:val="bottom"/>
            <w:gridSpan w:val="2"/>
          </w:tcPr>
          <w:p>
            <w:pPr>
              <w:spacing w:after="0"/>
              <w:rPr>
                <w:sz w:val="20"/>
                <w:szCs w:val="20"/>
                <w:color w:val="auto"/>
              </w:rPr>
            </w:pPr>
            <w:r>
              <w:rPr>
                <w:rFonts w:ascii="Arial" w:cs="Arial" w:eastAsia="Arial" w:hAnsi="Arial"/>
                <w:sz w:val="3"/>
                <w:szCs w:val="3"/>
                <w:color w:val="FFFFFF"/>
              </w:rPr>
              <w:t>estimated useful life)</w:t>
            </w:r>
          </w:p>
        </w:tc>
        <w:tc>
          <w:tcPr>
            <w:tcW w:w="7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An item of property and equipment  derecognized upon disposal or when no future economic bene? ts are expected from its use or disposal. Any gain or loss arising on derecognition of an asset (calculated as</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difference between the net disposal proceeds and the carrying amount of the asset) is included in the statement of comprehensive income when the asset is derecognized.</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Residual values, useful lives and methods of depreciation are reviewed at each ? nancial year end and adjusted prospectively if appropriate.</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Construction</w:t>
            </w:r>
          </w:p>
        </w:tc>
        <w:tc>
          <w:tcPr>
            <w:tcW w:w="10600" w:type="dxa"/>
            <w:vAlign w:val="bottom"/>
            <w:gridSpan w:val="2"/>
          </w:tcPr>
          <w:p>
            <w:pPr>
              <w:ind w:left="80"/>
              <w:spacing w:after="0"/>
              <w:rPr>
                <w:sz w:val="20"/>
                <w:szCs w:val="20"/>
                <w:color w:val="auto"/>
              </w:rPr>
            </w:pPr>
            <w:r>
              <w:rPr>
                <w:rFonts w:ascii="Arial" w:cs="Arial" w:eastAsia="Arial" w:hAnsi="Arial"/>
                <w:sz w:val="3"/>
                <w:szCs w:val="3"/>
                <w:color w:val="FFFFFF"/>
              </w:rPr>
              <w:t>progress represents assets under development or construction, which are stated at cost less any impairment losses, and are not depreciated. Cost comprises the direct costs of construction and</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capitalized borrowing costs on related borrowed funds during the period of construction. Construction in progress is reclassi? ed to the appropriate category of property and equipment when completed and ready</w:t>
            </w:r>
          </w:p>
        </w:tc>
        <w:tc>
          <w:tcPr>
            <w:tcW w:w="0" w:type="dxa"/>
            <w:vAlign w:val="bottom"/>
          </w:tcPr>
          <w:p>
            <w:pPr>
              <w:spacing w:after="0"/>
              <w:rPr>
                <w:sz w:val="1"/>
                <w:szCs w:val="1"/>
                <w:color w:val="auto"/>
              </w:rPr>
            </w:pPr>
          </w:p>
        </w:tc>
      </w:tr>
      <w:tr>
        <w:trPr>
          <w:trHeight w:val="41"/>
        </w:trPr>
        <w:tc>
          <w:tcPr>
            <w:tcW w:w="800" w:type="dxa"/>
            <w:vAlign w:val="bottom"/>
          </w:tcPr>
          <w:p>
            <w:pPr>
              <w:spacing w:after="0"/>
              <w:rPr>
                <w:sz w:val="20"/>
                <w:szCs w:val="20"/>
                <w:color w:val="auto"/>
              </w:rPr>
            </w:pPr>
            <w:r>
              <w:rPr>
                <w:rFonts w:ascii="Arial" w:cs="Arial" w:eastAsia="Arial" w:hAnsi="Arial"/>
                <w:sz w:val="3"/>
                <w:szCs w:val="3"/>
                <w:color w:val="FFFFFF"/>
              </w:rPr>
              <w:t>for use.</w:t>
            </w:r>
          </w:p>
        </w:tc>
        <w:tc>
          <w:tcPr>
            <w:tcW w:w="3080" w:type="dxa"/>
            <w:vAlign w:val="bottom"/>
          </w:tcPr>
          <w:p>
            <w:pPr>
              <w:spacing w:after="0"/>
              <w:rPr>
                <w:sz w:val="3"/>
                <w:szCs w:val="3"/>
                <w:color w:val="auto"/>
              </w:rPr>
            </w:pPr>
          </w:p>
        </w:tc>
        <w:tc>
          <w:tcPr>
            <w:tcW w:w="7520" w:type="dxa"/>
            <w:vAlign w:val="bottom"/>
            <w:vMerge w:val="restart"/>
          </w:tcPr>
          <w:p>
            <w:pPr>
              <w:ind w:left="100"/>
              <w:spacing w:after="0" w:line="2" w:lineRule="exact"/>
              <w:rPr>
                <w:sz w:val="20"/>
                <w:szCs w:val="20"/>
                <w:color w:val="auto"/>
              </w:rPr>
            </w:pPr>
            <w:r>
              <w:rPr>
                <w:rFonts w:ascii="Arial" w:cs="Arial" w:eastAsia="Arial" w:hAnsi="Arial"/>
                <w:sz w:val="1"/>
                <w:szCs w:val="1"/>
                <w:color w:val="FFFFFF"/>
              </w:rPr>
              <w:t>entering into or acquiring land-use rights over extend d periods of time. The total lease payments are amortized on the straight-line basis</w:t>
            </w:r>
          </w:p>
        </w:tc>
        <w:tc>
          <w:tcPr>
            <w:tcW w:w="0" w:type="dxa"/>
            <w:vAlign w:val="bottom"/>
          </w:tcPr>
          <w:p>
            <w:pPr>
              <w:spacing w:after="0"/>
              <w:rPr>
                <w:sz w:val="1"/>
                <w:szCs w:val="1"/>
                <w:color w:val="auto"/>
              </w:rPr>
            </w:pPr>
          </w:p>
        </w:tc>
      </w:tr>
      <w:tr>
        <w:trPr>
          <w:trHeight w:val="0"/>
        </w:trPr>
        <w:tc>
          <w:tcPr>
            <w:tcW w:w="3880" w:type="dxa"/>
            <w:vAlign w:val="bottom"/>
            <w:gridSpan w:val="2"/>
          </w:tcPr>
          <w:p>
            <w:pPr>
              <w:spacing w:after="0"/>
              <w:rPr>
                <w:sz w:val="20"/>
                <w:szCs w:val="20"/>
                <w:color w:val="auto"/>
              </w:rPr>
            </w:pPr>
            <w:r>
              <w:rPr>
                <w:rFonts w:ascii="Arial" w:cs="Arial" w:eastAsia="Arial" w:hAnsi="Arial"/>
                <w:sz w:val="3"/>
                <w:szCs w:val="3"/>
                <w:color w:val="FFFFFF"/>
              </w:rPr>
              <w:t>Leasehold interests in l nd under operating leases are payments made</w:t>
            </w:r>
          </w:p>
        </w:tc>
        <w:tc>
          <w:tcPr>
            <w:tcW w:w="7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4"/>
          <w:szCs w:val="14"/>
          <w:color w:val="FFFFFF"/>
        </w:rPr>
        <w:t>over the lease terms in accordance with the expected pattern of consumption of the economic bene? ts embodied in the land-use right.</w:t>
      </w:r>
    </w:p>
    <w:p>
      <w:pPr>
        <w:sectPr>
          <w:pgSz w:w="11900" w:h="16838" w:orient="portrait"/>
          <w:cols w:equalWidth="0" w:num="1">
            <w:col w:w="11400"/>
          </w:cols>
          <w:pgMar w:left="240" w:top="1440" w:right="259" w:bottom="1440" w:gutter="0" w:footer="0" w:header="0"/>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20"/>
                <w:szCs w:val="20"/>
                <w:color w:val="auto"/>
              </w:rPr>
            </w:pPr>
            <w:r>
              <w:rPr>
                <w:rFonts w:ascii="Arial" w:cs="Arial" w:eastAsia="Arial" w:hAnsi="Arial"/>
                <w:sz w:val="14"/>
                <w:szCs w:val="14"/>
                <w:color w:val="FFFFFF"/>
              </w:rPr>
              <w:t>88 Wynn Macau, Limited</w:t>
            </w:r>
          </w:p>
        </w:tc>
        <w:tc>
          <w:tcPr>
            <w:tcW w:w="250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260" w:type="dxa"/>
            <w:vAlign w:val="bottom"/>
          </w:tcPr>
          <w:p>
            <w:pPr>
              <w:spacing w:after="0"/>
              <w:rPr>
                <w:sz w:val="20"/>
                <w:szCs w:val="20"/>
                <w:color w:val="auto"/>
              </w:rPr>
            </w:pPr>
            <w:r>
              <w:rPr>
                <w:rFonts w:ascii="Arial" w:cs="Arial" w:eastAsia="Arial" w:hAnsi="Arial"/>
                <w:sz w:val="3"/>
                <w:szCs w:val="3"/>
                <w:color w:val="FFFFFF"/>
              </w:rPr>
              <w:t>Financial Statements</w:t>
            </w:r>
          </w:p>
        </w:tc>
        <w:tc>
          <w:tcPr>
            <w:tcW w:w="2500" w:type="dxa"/>
            <w:vAlign w:val="bottom"/>
          </w:tcPr>
          <w:p>
            <w:pPr>
              <w:spacing w:after="0"/>
              <w:rPr>
                <w:sz w:val="3"/>
                <w:szCs w:val="3"/>
                <w:color w:val="auto"/>
              </w:rPr>
            </w:pPr>
          </w:p>
        </w:tc>
        <w:tc>
          <w:tcPr>
            <w:tcW w:w="6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2500" w:type="dxa"/>
            <w:vAlign w:val="bottom"/>
          </w:tcPr>
          <w:p>
            <w:pPr>
              <w:spacing w:after="0"/>
              <w:rPr>
                <w:sz w:val="3"/>
                <w:szCs w:val="3"/>
                <w:color w:val="auto"/>
              </w:rPr>
            </w:pPr>
          </w:p>
        </w:tc>
        <w:tc>
          <w:tcPr>
            <w:tcW w:w="6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60" w:type="dxa"/>
            <w:vAlign w:val="bottom"/>
          </w:tcPr>
          <w:p>
            <w:pPr>
              <w:spacing w:after="0"/>
              <w:rPr>
                <w:sz w:val="20"/>
                <w:szCs w:val="20"/>
                <w:color w:val="auto"/>
              </w:rPr>
            </w:pPr>
            <w:r>
              <w:rPr>
                <w:rFonts w:ascii="Arial" w:cs="Arial" w:eastAsia="Arial" w:hAnsi="Arial"/>
                <w:sz w:val="3"/>
                <w:szCs w:val="3"/>
                <w:color w:val="FFFFFF"/>
              </w:rPr>
              <w:t>For the year ended 31 December 2012</w:t>
            </w:r>
          </w:p>
        </w:tc>
        <w:tc>
          <w:tcPr>
            <w:tcW w:w="2500" w:type="dxa"/>
            <w:vAlign w:val="bottom"/>
          </w:tcPr>
          <w:p>
            <w:pPr>
              <w:spacing w:after="0"/>
              <w:rPr>
                <w:sz w:val="3"/>
                <w:szCs w:val="3"/>
                <w:color w:val="auto"/>
              </w:rPr>
            </w:pPr>
          </w:p>
        </w:tc>
        <w:tc>
          <w:tcPr>
            <w:tcW w:w="6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60" w:type="dxa"/>
            <w:vAlign w:val="bottom"/>
            <w:gridSpan w:val="2"/>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6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380" w:type="dxa"/>
            <w:vAlign w:val="bottom"/>
            <w:gridSpan w:val="3"/>
          </w:tcPr>
          <w:p>
            <w:pPr>
              <w:spacing w:after="0" w:line="81" w:lineRule="exact"/>
              <w:rPr>
                <w:sz w:val="20"/>
                <w:szCs w:val="20"/>
                <w:color w:val="auto"/>
              </w:rPr>
            </w:pPr>
            <w:r>
              <w:rPr>
                <w:rFonts w:ascii="Arial" w:cs="Arial" w:eastAsia="Arial" w:hAnsi="Arial"/>
                <w:sz w:val="9"/>
                <w:szCs w:val="9"/>
                <w:color w:val="FFFFFF"/>
              </w:rPr>
              <w:t>Borrowing costs directly attributable to the acquisition, construction or production of an asset that necessarily takes a substantial period of time to get ready for its intended use are capitalized as part of the cost</w:t>
            </w:r>
          </w:p>
        </w:tc>
        <w:tc>
          <w:tcPr>
            <w:tcW w:w="0" w:type="dxa"/>
            <w:vAlign w:val="bottom"/>
          </w:tcPr>
          <w:p>
            <w:pPr>
              <w:spacing w:after="0"/>
              <w:rPr>
                <w:sz w:val="1"/>
                <w:szCs w:val="1"/>
                <w:color w:val="auto"/>
              </w:rPr>
            </w:pPr>
          </w:p>
        </w:tc>
      </w:tr>
      <w:tr>
        <w:trPr>
          <w:trHeight w:val="41"/>
        </w:trPr>
        <w:tc>
          <w:tcPr>
            <w:tcW w:w="11380" w:type="dxa"/>
            <w:vAlign w:val="bottom"/>
            <w:gridSpan w:val="3"/>
          </w:tcPr>
          <w:p>
            <w:pPr>
              <w:ind w:left="160"/>
              <w:spacing w:after="0"/>
              <w:rPr>
                <w:sz w:val="20"/>
                <w:szCs w:val="20"/>
                <w:color w:val="auto"/>
              </w:rPr>
            </w:pPr>
            <w:r>
              <w:rPr>
                <w:rFonts w:ascii="Arial" w:cs="Arial" w:eastAsia="Arial" w:hAnsi="Arial"/>
                <w:sz w:val="3"/>
                <w:szCs w:val="3"/>
                <w:color w:val="FFFFFF"/>
              </w:rPr>
              <w:t>the respective assets. All other borrowing costs are expensed in the period in which they are incurred. Borrowing costs consist of interest and other costs that an entity incurs in connection with the borrowing</w:t>
            </w:r>
          </w:p>
        </w:tc>
        <w:tc>
          <w:tcPr>
            <w:tcW w:w="0" w:type="dxa"/>
            <w:vAlign w:val="bottom"/>
          </w:tcPr>
          <w:p>
            <w:pPr>
              <w:spacing w:after="0"/>
              <w:rPr>
                <w:sz w:val="1"/>
                <w:szCs w:val="1"/>
                <w:color w:val="auto"/>
              </w:rPr>
            </w:pPr>
          </w:p>
        </w:tc>
      </w:tr>
      <w:tr>
        <w:trPr>
          <w:trHeight w:val="41"/>
        </w:trPr>
        <w:tc>
          <w:tcPr>
            <w:tcW w:w="2260" w:type="dxa"/>
            <w:vAlign w:val="bottom"/>
          </w:tcPr>
          <w:p>
            <w:pPr>
              <w:spacing w:after="0"/>
              <w:rPr>
                <w:sz w:val="20"/>
                <w:szCs w:val="20"/>
                <w:color w:val="auto"/>
              </w:rPr>
            </w:pPr>
            <w:r>
              <w:rPr>
                <w:rFonts w:ascii="Arial" w:cs="Arial" w:eastAsia="Arial" w:hAnsi="Arial"/>
                <w:sz w:val="3"/>
                <w:szCs w:val="3"/>
                <w:color w:val="FFFFFF"/>
              </w:rPr>
              <w:t>of funds.</w:t>
            </w:r>
          </w:p>
        </w:tc>
        <w:tc>
          <w:tcPr>
            <w:tcW w:w="2500" w:type="dxa"/>
            <w:vAlign w:val="bottom"/>
          </w:tcPr>
          <w:p>
            <w:pPr>
              <w:spacing w:after="0"/>
              <w:rPr>
                <w:sz w:val="3"/>
                <w:szCs w:val="3"/>
                <w:color w:val="auto"/>
              </w:rPr>
            </w:pPr>
          </w:p>
        </w:tc>
        <w:tc>
          <w:tcPr>
            <w:tcW w:w="6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When funds have been borrowed generally and used for the purpose of obtaining qualifying assets, certain capitalization rates would be applied to the expenditure on the individual assets.</w:t>
            </w:r>
          </w:p>
        </w:tc>
        <w:tc>
          <w:tcPr>
            <w:tcW w:w="0" w:type="dxa"/>
            <w:vAlign w:val="bottom"/>
          </w:tcPr>
          <w:p>
            <w:pPr>
              <w:spacing w:after="0"/>
              <w:rPr>
                <w:sz w:val="1"/>
                <w:szCs w:val="1"/>
                <w:color w:val="auto"/>
              </w:rPr>
            </w:pPr>
          </w:p>
        </w:tc>
      </w:tr>
      <w:tr>
        <w:trPr>
          <w:trHeight w:val="41"/>
        </w:trPr>
        <w:tc>
          <w:tcPr>
            <w:tcW w:w="2260" w:type="dxa"/>
            <w:vAlign w:val="bottom"/>
          </w:tcPr>
          <w:p>
            <w:pPr>
              <w:spacing w:after="0"/>
              <w:rPr>
                <w:sz w:val="20"/>
                <w:szCs w:val="20"/>
                <w:color w:val="auto"/>
              </w:rPr>
            </w:pPr>
            <w:r>
              <w:rPr>
                <w:rFonts w:ascii="Arial" w:cs="Arial" w:eastAsia="Arial" w:hAnsi="Arial"/>
                <w:sz w:val="3"/>
                <w:szCs w:val="3"/>
                <w:color w:val="FFFFFF"/>
              </w:rPr>
              <w:t>Impairment of non-? nancial assets</w:t>
            </w:r>
          </w:p>
        </w:tc>
        <w:tc>
          <w:tcPr>
            <w:tcW w:w="2500" w:type="dxa"/>
            <w:vAlign w:val="bottom"/>
          </w:tcPr>
          <w:p>
            <w:pPr>
              <w:spacing w:after="0"/>
              <w:rPr>
                <w:sz w:val="3"/>
                <w:szCs w:val="3"/>
                <w:color w:val="auto"/>
              </w:rPr>
            </w:pPr>
          </w:p>
        </w:tc>
        <w:tc>
          <w:tcPr>
            <w:tcW w:w="6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The Group asse ses at each reporting date whether there is an indication that an asset may be impaired. If any such indication exists, or when annual impairment testing for an asset is required, the Group</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estimates the asset’ recoverable amount. An asset’s recoverable amount is the higher of an asset’ or a cash-generating unit’ (CGU) fair value less costs to sell and its value in use and is determined by</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individual asset, unless the asset does not generate cash infl ows hat are largely independent of those from other assets or groups of assets. Where the carrying amount of an asset or CGU exceeds its recoverable</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amount, the asset is considered impaired and is written down to its recoverable amount. In assessing value   use, the estimated future cash ? ows are discounted to their present value using pre-tax discount rates</w:t>
            </w:r>
          </w:p>
        </w:tc>
        <w:tc>
          <w:tcPr>
            <w:tcW w:w="0" w:type="dxa"/>
            <w:vAlign w:val="bottom"/>
          </w:tcPr>
          <w:p>
            <w:pPr>
              <w:spacing w:after="0"/>
              <w:rPr>
                <w:sz w:val="1"/>
                <w:szCs w:val="1"/>
                <w:color w:val="auto"/>
              </w:rPr>
            </w:pPr>
          </w:p>
        </w:tc>
      </w:tr>
      <w:tr>
        <w:trPr>
          <w:trHeight w:val="41"/>
        </w:trPr>
        <w:tc>
          <w:tcPr>
            <w:tcW w:w="4760" w:type="dxa"/>
            <w:vAlign w:val="bottom"/>
            <w:gridSpan w:val="2"/>
          </w:tcPr>
          <w:p>
            <w:pPr>
              <w:spacing w:after="0"/>
              <w:rPr>
                <w:sz w:val="20"/>
                <w:szCs w:val="20"/>
                <w:color w:val="auto"/>
              </w:rPr>
            </w:pPr>
            <w:r>
              <w:rPr>
                <w:rFonts w:ascii="Arial" w:cs="Arial" w:eastAsia="Arial" w:hAnsi="Arial"/>
                <w:sz w:val="3"/>
                <w:szCs w:val="3"/>
                <w:color w:val="FFFFFF"/>
              </w:rPr>
              <w:t>that re? ect current market ass ssments of the time value of money and the risks speci?</w:t>
            </w:r>
          </w:p>
        </w:tc>
        <w:tc>
          <w:tcPr>
            <w:tcW w:w="6620" w:type="dxa"/>
            <w:vAlign w:val="bottom"/>
          </w:tcPr>
          <w:p>
            <w:pPr>
              <w:ind w:left="60"/>
              <w:spacing w:after="0"/>
              <w:rPr>
                <w:sz w:val="20"/>
                <w:szCs w:val="20"/>
                <w:color w:val="auto"/>
              </w:rPr>
            </w:pPr>
            <w:r>
              <w:rPr>
                <w:rFonts w:ascii="Arial" w:cs="Arial" w:eastAsia="Arial" w:hAnsi="Arial"/>
                <w:sz w:val="3"/>
                <w:szCs w:val="3"/>
                <w:color w:val="FFFFFF"/>
              </w:rPr>
              <w:t>to the asset. In determining fair value less costs to sell, recent market transactions are taken into account, if available. If</w:t>
            </w: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no such transactions can be identi? ed, an appropriate valuation model is used. These calculations are corroborated by valuation multiples, quoted share prices for publicly traded subsidiaries or other available</w:t>
            </w:r>
          </w:p>
        </w:tc>
        <w:tc>
          <w:tcPr>
            <w:tcW w:w="0" w:type="dxa"/>
            <w:vAlign w:val="bottom"/>
          </w:tcPr>
          <w:p>
            <w:pPr>
              <w:spacing w:after="0"/>
              <w:rPr>
                <w:sz w:val="1"/>
                <w:szCs w:val="1"/>
                <w:color w:val="auto"/>
              </w:rPr>
            </w:pPr>
          </w:p>
        </w:tc>
      </w:tr>
      <w:tr>
        <w:trPr>
          <w:trHeight w:val="41"/>
        </w:trPr>
        <w:tc>
          <w:tcPr>
            <w:tcW w:w="2260" w:type="dxa"/>
            <w:vAlign w:val="bottom"/>
          </w:tcPr>
          <w:p>
            <w:pPr>
              <w:spacing w:after="0"/>
              <w:rPr>
                <w:sz w:val="20"/>
                <w:szCs w:val="20"/>
                <w:color w:val="auto"/>
              </w:rPr>
            </w:pPr>
            <w:r>
              <w:rPr>
                <w:rFonts w:ascii="Arial" w:cs="Arial" w:eastAsia="Arial" w:hAnsi="Arial"/>
                <w:sz w:val="3"/>
                <w:szCs w:val="3"/>
                <w:color w:val="FFFFFF"/>
              </w:rPr>
              <w:t>fair value indicators.</w:t>
            </w:r>
          </w:p>
        </w:tc>
        <w:tc>
          <w:tcPr>
            <w:tcW w:w="2500" w:type="dxa"/>
            <w:vAlign w:val="bottom"/>
            <w:vMerge w:val="restart"/>
          </w:tcPr>
          <w:p>
            <w:pPr>
              <w:ind w:left="200"/>
              <w:spacing w:after="0"/>
              <w:rPr>
                <w:sz w:val="20"/>
                <w:szCs w:val="20"/>
                <w:color w:val="auto"/>
              </w:rPr>
            </w:pPr>
            <w:r>
              <w:rPr>
                <w:rFonts w:ascii="Arial" w:cs="Arial" w:eastAsia="Arial" w:hAnsi="Arial"/>
                <w:sz w:val="3"/>
                <w:szCs w:val="3"/>
                <w:color w:val="FFFFFF"/>
              </w:rPr>
              <w:t>on detailed budgets and forecast</w:t>
            </w:r>
          </w:p>
        </w:tc>
        <w:tc>
          <w:tcPr>
            <w:tcW w:w="6620" w:type="dxa"/>
            <w:vAlign w:val="bottom"/>
            <w:vMerge w:val="restart"/>
          </w:tcPr>
          <w:p>
            <w:pPr>
              <w:ind w:left="140"/>
              <w:spacing w:after="0"/>
              <w:rPr>
                <w:sz w:val="20"/>
                <w:szCs w:val="20"/>
                <w:color w:val="auto"/>
              </w:rPr>
            </w:pPr>
            <w:r>
              <w:rPr>
                <w:rFonts w:ascii="Arial" w:cs="Arial" w:eastAsia="Arial" w:hAnsi="Arial"/>
                <w:sz w:val="3"/>
                <w:szCs w:val="3"/>
                <w:color w:val="FFFFFF"/>
              </w:rPr>
              <w:t>which are prepared separately for e ch of the Group’s CGUs to which the individual assets are allocated. These budgets</w:t>
            </w:r>
          </w:p>
        </w:tc>
        <w:tc>
          <w:tcPr>
            <w:tcW w:w="0" w:type="dxa"/>
            <w:vAlign w:val="bottom"/>
          </w:tcPr>
          <w:p>
            <w:pPr>
              <w:spacing w:after="0"/>
              <w:rPr>
                <w:sz w:val="1"/>
                <w:szCs w:val="1"/>
                <w:color w:val="auto"/>
              </w:rPr>
            </w:pPr>
          </w:p>
        </w:tc>
      </w:tr>
      <w:tr>
        <w:trPr>
          <w:trHeight w:val="0"/>
        </w:trPr>
        <w:tc>
          <w:tcPr>
            <w:tcW w:w="2260" w:type="dxa"/>
            <w:vAlign w:val="bottom"/>
          </w:tcPr>
          <w:p>
            <w:pPr>
              <w:spacing w:after="0" w:line="80" w:lineRule="exact"/>
              <w:rPr>
                <w:sz w:val="20"/>
                <w:szCs w:val="20"/>
                <w:color w:val="auto"/>
              </w:rPr>
            </w:pPr>
            <w:r>
              <w:rPr>
                <w:rFonts w:ascii="Arial" w:cs="Arial" w:eastAsia="Arial" w:hAnsi="Arial"/>
                <w:sz w:val="9"/>
                <w:szCs w:val="9"/>
                <w:color w:val="FFFFFF"/>
              </w:rPr>
              <w:t>The G oup bases its impairment</w:t>
            </w:r>
          </w:p>
        </w:tc>
        <w:tc>
          <w:tcPr>
            <w:tcW w:w="2500" w:type="dxa"/>
            <w:vAlign w:val="bottom"/>
            <w:vMerge w:val="continue"/>
          </w:tcPr>
          <w:p>
            <w:pPr>
              <w:spacing w:after="0" w:line="20" w:lineRule="exact"/>
              <w:rPr>
                <w:sz w:val="1"/>
                <w:szCs w:val="1"/>
                <w:color w:val="auto"/>
              </w:rPr>
            </w:pPr>
          </w:p>
        </w:tc>
        <w:tc>
          <w:tcPr>
            <w:tcW w:w="6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and forecast calculations generallycalculationscoverperiod of fi ve years. For longer periods,calculationslong-term growth rate is calculated and applied to projected future cash fl ows after the fi fth year.</w:t>
      </w:r>
    </w:p>
    <w:p>
      <w:pPr>
        <w:ind w:right="420"/>
        <w:spacing w:after="0"/>
        <w:rPr>
          <w:sz w:val="20"/>
          <w:szCs w:val="20"/>
          <w:color w:val="auto"/>
        </w:rPr>
      </w:pPr>
      <w:r>
        <w:rPr>
          <w:rFonts w:ascii="Arial" w:cs="Arial" w:eastAsia="Arial" w:hAnsi="Arial"/>
          <w:sz w:val="11"/>
          <w:szCs w:val="11"/>
          <w:color w:val="FFFFFF"/>
        </w:rPr>
        <w:t>Impairment losses of continuing operations including impairments on inventories, are recognized in the statement of comprehensive income in those expense categories consistent with the function of the impaired assets.</w:t>
      </w:r>
    </w:p>
    <w:p>
      <w:pPr>
        <w:sectPr>
          <w:pgSz w:w="11900" w:h="16838" w:orient="portrait"/>
          <w:cols w:equalWidth="0" w:num="1">
            <w:col w:w="11380"/>
          </w:cols>
          <w:pgMar w:left="240" w:top="1440" w:right="279" w:bottom="1440" w:gutter="0" w:footer="0" w:header="0"/>
        </w:sectPr>
      </w:pPr>
    </w:p>
    <w:bookmarkStart w:id="94" w:name="page95"/>
    <w:bookmarkEnd w:id="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Arial" w:cs="Arial" w:eastAsia="Arial" w:hAnsi="Arial"/>
                <w:sz w:val="14"/>
                <w:szCs w:val="14"/>
                <w:color w:val="FFFFFF"/>
              </w:rPr>
              <w:t>Annual Report 2012 89</w:t>
            </w:r>
          </w:p>
        </w:tc>
        <w:tc>
          <w:tcPr>
            <w:tcW w:w="26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6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26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c>
          <w:tcPr>
            <w:tcW w:w="26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10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4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Impairment of non-? nancial assets (continued)</w:t>
            </w:r>
          </w:p>
        </w:tc>
        <w:tc>
          <w:tcPr>
            <w:tcW w:w="26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For assets excluding goodwill, an assessment is made at each reporting date as to whether there is any indication that previously recognized impairment losses may no longer exist or may have decreased. If such</w:t>
            </w:r>
          </w:p>
        </w:tc>
        <w:tc>
          <w:tcPr>
            <w:tcW w:w="0" w:type="dxa"/>
            <w:vAlign w:val="bottom"/>
          </w:tcPr>
          <w:p>
            <w:pPr>
              <w:spacing w:after="0"/>
              <w:rPr>
                <w:sz w:val="1"/>
                <w:szCs w:val="1"/>
                <w:color w:val="auto"/>
              </w:rPr>
            </w:pPr>
          </w:p>
        </w:tc>
      </w:tr>
      <w:tr>
        <w:trPr>
          <w:trHeight w:val="41"/>
        </w:trPr>
        <w:tc>
          <w:tcPr>
            <w:tcW w:w="3460" w:type="dxa"/>
            <w:vAlign w:val="bottom"/>
            <w:gridSpan w:val="2"/>
          </w:tcPr>
          <w:p>
            <w:pPr>
              <w:ind w:left="60"/>
              <w:spacing w:after="0"/>
              <w:rPr>
                <w:sz w:val="20"/>
                <w:szCs w:val="20"/>
                <w:color w:val="auto"/>
              </w:rPr>
            </w:pPr>
            <w:r>
              <w:rPr>
                <w:rFonts w:ascii="Arial" w:cs="Arial" w:eastAsia="Arial" w:hAnsi="Arial"/>
                <w:sz w:val="3"/>
                <w:szCs w:val="3"/>
                <w:color w:val="FFFFFF"/>
              </w:rPr>
              <w:t>n indication exists, the Group estimates the asset’s or CGU’</w:t>
            </w:r>
          </w:p>
        </w:tc>
        <w:tc>
          <w:tcPr>
            <w:tcW w:w="6720" w:type="dxa"/>
            <w:vAlign w:val="bottom"/>
            <w:gridSpan w:val="2"/>
          </w:tcPr>
          <w:p>
            <w:pPr>
              <w:ind w:left="140"/>
              <w:spacing w:after="0"/>
              <w:rPr>
                <w:sz w:val="20"/>
                <w:szCs w:val="20"/>
                <w:color w:val="auto"/>
              </w:rPr>
            </w:pPr>
            <w:r>
              <w:rPr>
                <w:rFonts w:ascii="Arial" w:cs="Arial" w:eastAsia="Arial" w:hAnsi="Arial"/>
                <w:sz w:val="3"/>
                <w:szCs w:val="3"/>
                <w:color w:val="FFFFFF"/>
              </w:rPr>
              <w:t>verable amount. A previously recognized impairment loss is reversed only if there has been a change in the estimates us</w:t>
            </w:r>
          </w:p>
        </w:tc>
        <w:tc>
          <w:tcPr>
            <w:tcW w:w="1240" w:type="dxa"/>
            <w:vAlign w:val="bottom"/>
            <w:gridSpan w:val="2"/>
          </w:tcPr>
          <w:p>
            <w:pPr>
              <w:ind w:left="100"/>
              <w:spacing w:after="0"/>
              <w:rPr>
                <w:sz w:val="20"/>
                <w:szCs w:val="20"/>
                <w:color w:val="auto"/>
              </w:rPr>
            </w:pPr>
            <w:r>
              <w:rPr>
                <w:rFonts w:ascii="Arial" w:cs="Arial" w:eastAsia="Arial" w:hAnsi="Arial"/>
                <w:sz w:val="3"/>
                <w:szCs w:val="3"/>
                <w:color w:val="FFFFFF"/>
              </w:rPr>
              <w:t>o determine the</w:t>
            </w:r>
          </w:p>
        </w:tc>
        <w:tc>
          <w:tcPr>
            <w:tcW w:w="0" w:type="dxa"/>
            <w:vAlign w:val="bottom"/>
          </w:tcPr>
          <w:p>
            <w:pPr>
              <w:spacing w:after="0"/>
              <w:rPr>
                <w:sz w:val="1"/>
                <w:szCs w:val="1"/>
                <w:color w:val="auto"/>
              </w:rPr>
            </w:pPr>
          </w:p>
        </w:tc>
      </w:tr>
      <w:tr>
        <w:trPr>
          <w:trHeight w:val="41"/>
        </w:trPr>
        <w:tc>
          <w:tcPr>
            <w:tcW w:w="6100" w:type="dxa"/>
            <w:vAlign w:val="bottom"/>
            <w:gridSpan w:val="3"/>
          </w:tcPr>
          <w:p>
            <w:pPr>
              <w:spacing w:after="0"/>
              <w:rPr>
                <w:sz w:val="20"/>
                <w:szCs w:val="20"/>
                <w:color w:val="auto"/>
              </w:rPr>
            </w:pPr>
            <w:r>
              <w:rPr>
                <w:rFonts w:ascii="Arial" w:cs="Arial" w:eastAsia="Arial" w:hAnsi="Arial"/>
                <w:sz w:val="3"/>
                <w:szCs w:val="3"/>
                <w:color w:val="FFFFFF"/>
              </w:rPr>
              <w:t>asset’s recoverable amount since the last impairment loss was recognized. The reversal is limited so that the</w:t>
            </w:r>
          </w:p>
        </w:tc>
        <w:tc>
          <w:tcPr>
            <w:tcW w:w="5320" w:type="dxa"/>
            <w:vAlign w:val="bottom"/>
            <w:gridSpan w:val="3"/>
          </w:tcPr>
          <w:p>
            <w:pPr>
              <w:ind w:left="260"/>
              <w:spacing w:after="0"/>
              <w:rPr>
                <w:sz w:val="20"/>
                <w:szCs w:val="20"/>
                <w:color w:val="auto"/>
              </w:rPr>
            </w:pPr>
            <w:r>
              <w:rPr>
                <w:rFonts w:ascii="Arial" w:cs="Arial" w:eastAsia="Arial" w:hAnsi="Arial"/>
                <w:sz w:val="3"/>
                <w:szCs w:val="3"/>
                <w:color w:val="FFFFFF"/>
              </w:rPr>
              <w:t>amount of the asset does not exceed its recov rable amount, nor exceed the carrying amount</w:t>
            </w:r>
          </w:p>
        </w:tc>
        <w:tc>
          <w:tcPr>
            <w:tcW w:w="0" w:type="dxa"/>
            <w:vAlign w:val="bottom"/>
          </w:tcPr>
          <w:p>
            <w:pPr>
              <w:spacing w:after="0"/>
              <w:rPr>
                <w:sz w:val="1"/>
                <w:szCs w:val="1"/>
                <w:color w:val="auto"/>
              </w:rPr>
            </w:pPr>
          </w:p>
        </w:tc>
      </w:tr>
      <w:tr>
        <w:trPr>
          <w:trHeight w:val="41"/>
        </w:trPr>
        <w:tc>
          <w:tcPr>
            <w:tcW w:w="740" w:type="dxa"/>
            <w:vAlign w:val="bottom"/>
          </w:tcPr>
          <w:p>
            <w:pPr>
              <w:spacing w:after="0"/>
              <w:rPr>
                <w:sz w:val="20"/>
                <w:szCs w:val="20"/>
                <w:color w:val="auto"/>
              </w:rPr>
            </w:pPr>
            <w:r>
              <w:rPr>
                <w:rFonts w:ascii="Arial" w:cs="Arial" w:eastAsia="Arial" w:hAnsi="Arial"/>
                <w:sz w:val="3"/>
                <w:szCs w:val="3"/>
                <w:color w:val="FFFFFF"/>
              </w:rPr>
              <w:t>that would</w:t>
            </w:r>
          </w:p>
        </w:tc>
        <w:tc>
          <w:tcPr>
            <w:tcW w:w="2720" w:type="dxa"/>
            <w:vAlign w:val="bottom"/>
          </w:tcPr>
          <w:p>
            <w:pPr>
              <w:ind w:left="160"/>
              <w:spacing w:after="0"/>
              <w:rPr>
                <w:sz w:val="20"/>
                <w:szCs w:val="20"/>
                <w:color w:val="auto"/>
              </w:rPr>
            </w:pPr>
            <w:r>
              <w:rPr>
                <w:rFonts w:ascii="Arial" w:cs="Arial" w:eastAsia="Arial" w:hAnsi="Arial"/>
                <w:sz w:val="3"/>
                <w:szCs w:val="3"/>
                <w:color w:val="FFFFFF"/>
              </w:rPr>
              <w:t>been determined, net of depreciation, had no</w:t>
            </w:r>
          </w:p>
        </w:tc>
        <w:tc>
          <w:tcPr>
            <w:tcW w:w="7960" w:type="dxa"/>
            <w:vAlign w:val="bottom"/>
            <w:gridSpan w:val="4"/>
          </w:tcPr>
          <w:p>
            <w:pPr>
              <w:ind w:left="540"/>
              <w:spacing w:after="0"/>
              <w:rPr>
                <w:sz w:val="20"/>
                <w:szCs w:val="20"/>
                <w:color w:val="auto"/>
              </w:rPr>
            </w:pPr>
            <w:r>
              <w:rPr>
                <w:rFonts w:ascii="Arial" w:cs="Arial" w:eastAsia="Arial" w:hAnsi="Arial"/>
                <w:sz w:val="3"/>
                <w:szCs w:val="3"/>
                <w:color w:val="FFFFFF"/>
              </w:rPr>
              <w:t>losses been recognized for the assetcarryingprior years. Such reversal is recognized in the statement of comprehensive income unless the asset</w:t>
            </w:r>
          </w:p>
        </w:tc>
        <w:tc>
          <w:tcPr>
            <w:tcW w:w="0" w:type="dxa"/>
            <w:vAlign w:val="bottom"/>
          </w:tcPr>
          <w:p>
            <w:pPr>
              <w:spacing w:after="0"/>
              <w:rPr>
                <w:sz w:val="1"/>
                <w:szCs w:val="1"/>
                <w:color w:val="auto"/>
              </w:rPr>
            </w:pPr>
          </w:p>
        </w:tc>
      </w:tr>
      <w:tr>
        <w:trPr>
          <w:trHeight w:val="41"/>
        </w:trPr>
        <w:tc>
          <w:tcPr>
            <w:tcW w:w="6100" w:type="dxa"/>
            <w:vAlign w:val="bottom"/>
            <w:gridSpan w:val="3"/>
          </w:tcPr>
          <w:p>
            <w:pPr>
              <w:spacing w:after="0"/>
              <w:rPr>
                <w:sz w:val="20"/>
                <w:szCs w:val="20"/>
                <w:color w:val="auto"/>
              </w:rPr>
            </w:pPr>
            <w:r>
              <w:rPr>
                <w:rFonts w:ascii="Arial" w:cs="Arial" w:eastAsia="Arial" w:hAnsi="Arial"/>
                <w:sz w:val="3"/>
                <w:szCs w:val="3"/>
                <w:color w:val="FFFFFF"/>
              </w:rPr>
              <w:t>is carried athaverevalued amount, in which case the reversal is treatedimpairmentasrevaluation increase.</w:t>
            </w:r>
          </w:p>
        </w:tc>
        <w:tc>
          <w:tcPr>
            <w:tcW w:w="4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60" w:type="dxa"/>
            <w:vAlign w:val="bottom"/>
            <w:gridSpan w:val="2"/>
          </w:tcPr>
          <w:p>
            <w:pPr>
              <w:spacing w:after="0"/>
              <w:rPr>
                <w:sz w:val="20"/>
                <w:szCs w:val="20"/>
                <w:color w:val="auto"/>
              </w:rPr>
            </w:pPr>
            <w:r>
              <w:rPr>
                <w:rFonts w:ascii="Arial" w:cs="Arial" w:eastAsia="Arial" w:hAnsi="Arial"/>
                <w:sz w:val="3"/>
                <w:szCs w:val="3"/>
                <w:color w:val="FFFFFF"/>
              </w:rPr>
              <w:t>Investments and other ? nan ial assets</w:t>
            </w:r>
          </w:p>
        </w:tc>
        <w:tc>
          <w:tcPr>
            <w:tcW w:w="2640" w:type="dxa"/>
            <w:vAlign w:val="bottom"/>
          </w:tcPr>
          <w:p>
            <w:pPr>
              <w:spacing w:after="0"/>
              <w:rPr>
                <w:sz w:val="3"/>
                <w:szCs w:val="3"/>
                <w:color w:val="auto"/>
              </w:rPr>
            </w:pPr>
          </w:p>
        </w:tc>
        <w:tc>
          <w:tcPr>
            <w:tcW w:w="40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as</w:t>
            </w:r>
          </w:p>
        </w:tc>
        <w:tc>
          <w:tcPr>
            <w:tcW w:w="0" w:type="dxa"/>
            <w:vAlign w:val="bottom"/>
          </w:tcPr>
          <w:p>
            <w:pPr>
              <w:spacing w:after="0"/>
              <w:rPr>
                <w:sz w:val="1"/>
                <w:szCs w:val="1"/>
                <w:color w:val="auto"/>
              </w:rPr>
            </w:pPr>
          </w:p>
        </w:tc>
      </w:tr>
      <w:tr>
        <w:trPr>
          <w:trHeight w:val="41"/>
        </w:trPr>
        <w:tc>
          <w:tcPr>
            <w:tcW w:w="10180" w:type="dxa"/>
            <w:vAlign w:val="bottom"/>
            <w:gridSpan w:val="4"/>
          </w:tcPr>
          <w:p>
            <w:pPr>
              <w:spacing w:after="0"/>
              <w:rPr>
                <w:sz w:val="20"/>
                <w:szCs w:val="20"/>
                <w:color w:val="auto"/>
              </w:rPr>
            </w:pPr>
            <w:r>
              <w:rPr>
                <w:rFonts w:ascii="Arial" w:cs="Arial" w:eastAsia="Arial" w:hAnsi="Arial"/>
                <w:sz w:val="3"/>
                <w:szCs w:val="3"/>
                <w:color w:val="FFFFFF"/>
              </w:rPr>
              <w:t>Financial assets within the scope of IAS 39 are classi? ed as ? nancial assets at fair value through pro?  or loss, loans and receivables, held-to-maturity investments, or available-for-sale</w:t>
            </w:r>
          </w:p>
        </w:tc>
        <w:tc>
          <w:tcPr>
            <w:tcW w:w="5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0720" w:type="dxa"/>
            <w:vAlign w:val="bottom"/>
            <w:gridSpan w:val="5"/>
          </w:tcPr>
          <w:p>
            <w:pPr>
              <w:spacing w:after="0"/>
              <w:rPr>
                <w:sz w:val="20"/>
                <w:szCs w:val="20"/>
                <w:color w:val="auto"/>
              </w:rPr>
            </w:pPr>
            <w:r>
              <w:rPr>
                <w:rFonts w:ascii="Arial" w:cs="Arial" w:eastAsia="Arial" w:hAnsi="Arial"/>
                <w:sz w:val="3"/>
                <w:szCs w:val="3"/>
                <w:color w:val="FFFFFF"/>
              </w:rPr>
              <w:t>appropriate. When ? nancial assets are recognized initially, they are measured at fair value plus transaction costs, except in the case of ? nancial assets recorded at fair value through pro? investments,orloss.</w:t>
            </w: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The Group determines the classi? cation of its ? nancial assets on initial recognition and, where allowed and appropriate, re-evaluates this designation at each ? nancial year end.</w:t>
      </w:r>
    </w:p>
    <w:p>
      <w:pPr>
        <w:jc w:val="both"/>
        <w:ind w:right="60"/>
        <w:spacing w:after="0"/>
        <w:rPr>
          <w:sz w:val="20"/>
          <w:szCs w:val="20"/>
          <w:color w:val="auto"/>
        </w:rPr>
      </w:pPr>
      <w:r>
        <w:rPr>
          <w:rFonts w:ascii="Arial" w:cs="Arial" w:eastAsia="Arial" w:hAnsi="Arial"/>
          <w:sz w:val="7"/>
          <w:szCs w:val="7"/>
          <w:color w:val="FFFFFF"/>
        </w:rPr>
        <w:t>All regular way purchases and sales of ? nancial assets are recognized on the trade date, which is the date that the Group commits to purchase the asset. Regular way purchases or sales are purchases or sales of ? nancial assets that require delivery of assets within the period generally established by regulation or convention in the marketplace.</w:t>
      </w:r>
    </w:p>
    <w:p>
      <w:pPr>
        <w:spacing w:after="0" w:line="29" w:lineRule="exact"/>
        <w:rPr>
          <w:sz w:val="20"/>
          <w:szCs w:val="20"/>
          <w:color w:val="auto"/>
        </w:rPr>
      </w:pPr>
    </w:p>
    <w:p>
      <w:pPr>
        <w:jc w:val="both"/>
        <w:ind w:right="80"/>
        <w:spacing w:after="0" w:line="196" w:lineRule="auto"/>
        <w:rPr>
          <w:sz w:val="20"/>
          <w:szCs w:val="20"/>
          <w:color w:val="auto"/>
        </w:rPr>
      </w:pPr>
      <w:r>
        <w:rPr>
          <w:rFonts w:ascii="Arial" w:cs="Arial" w:eastAsia="Arial" w:hAnsi="Arial"/>
          <w:sz w:val="9"/>
          <w:szCs w:val="9"/>
          <w:color w:val="FFFFFF"/>
        </w:rPr>
        <w:t>Loans and receivables are non-derivative ? nancial assets with ? xed or determinable payments that are not quoted in an active market. After initial measurement, loans and receivables (including trade and other receivables, deposits, amounts due from related companies and cash and cash equivalents) are subsequently measured at amortized cost using the effective interest rate method less impairment. Gains and losses are recognized in the statement of comprehensive income when the loans and receivables are derecognized or impaired, as well as through the amortization process.</w:t>
      </w:r>
    </w:p>
    <w:p>
      <w:pPr>
        <w:sectPr>
          <w:pgSz w:w="11900" w:h="16838" w:orient="portrait"/>
          <w:cols w:equalWidth="0" w:num="1">
            <w:col w:w="11420"/>
          </w:cols>
          <w:pgMar w:left="240" w:top="1440" w:right="23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color w:val="FFFFFF"/>
                <w:w w:val="94"/>
              </w:rPr>
              <w:t>90 Wynn Macau, Limited</w:t>
            </w:r>
          </w:p>
        </w:tc>
        <w:tc>
          <w:tcPr>
            <w:tcW w:w="8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20"/>
                <w:szCs w:val="20"/>
                <w:color w:val="auto"/>
              </w:rPr>
            </w:pPr>
            <w:r>
              <w:rPr>
                <w:rFonts w:ascii="Arial" w:cs="Arial" w:eastAsia="Arial" w:hAnsi="Arial"/>
                <w:sz w:val="3"/>
                <w:szCs w:val="3"/>
                <w:color w:val="FFFFFF"/>
              </w:rPr>
              <w:t>Financial Statements</w:t>
            </w:r>
          </w:p>
        </w:tc>
        <w:tc>
          <w:tcPr>
            <w:tcW w:w="800" w:type="dxa"/>
            <w:vAlign w:val="bottom"/>
          </w:tcPr>
          <w:p>
            <w:pPr>
              <w:spacing w:after="0"/>
              <w:rPr>
                <w:sz w:val="3"/>
                <w:szCs w:val="3"/>
                <w:color w:val="auto"/>
              </w:rPr>
            </w:pPr>
          </w:p>
        </w:tc>
        <w:tc>
          <w:tcPr>
            <w:tcW w:w="39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39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c>
          <w:tcPr>
            <w:tcW w:w="39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2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5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220" w:type="dxa"/>
            <w:vAlign w:val="bottom"/>
            <w:gridSpan w:val="3"/>
          </w:tcPr>
          <w:p>
            <w:pPr>
              <w:spacing w:after="0"/>
              <w:rPr>
                <w:sz w:val="20"/>
                <w:szCs w:val="20"/>
                <w:color w:val="auto"/>
              </w:rPr>
            </w:pPr>
            <w:r>
              <w:rPr>
                <w:rFonts w:ascii="Arial" w:cs="Arial" w:eastAsia="Arial" w:hAnsi="Arial"/>
                <w:sz w:val="3"/>
                <w:szCs w:val="3"/>
                <w:color w:val="FFFFFF"/>
              </w:rPr>
              <w:t>Investments and other ? nancial assets (continued)</w:t>
            </w:r>
          </w:p>
        </w:tc>
        <w:tc>
          <w:tcPr>
            <w:tcW w:w="5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Held-to-maturity investments</w:t>
            </w:r>
          </w:p>
        </w:tc>
        <w:tc>
          <w:tcPr>
            <w:tcW w:w="39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Non-derivative ? nancial assets with ? xed or determinable payments and ? xed maturity are classi? ed as held-to-maturity when the Group has the positive intention and ability to hold them to maturity. Held-to-</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maturity investments are initially recognized on the settlement date and are subsequently measured at amortized cost using the effective interest method less any allowance for impairment. Amortized cost is</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calculated by taking into account any discount or premium on acquisition and fees or costs that are an integral part of the effective interest rate. The effective interest rate amortization is included in ? nance</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revenues in the statement of comprehensive income. The loss arising from impairment is recognized in the statement of comprehensive income in other operating expenses.</w:t>
            </w:r>
          </w:p>
        </w:tc>
        <w:tc>
          <w:tcPr>
            <w:tcW w:w="0" w:type="dxa"/>
            <w:vAlign w:val="bottom"/>
          </w:tcPr>
          <w:p>
            <w:pPr>
              <w:spacing w:after="0"/>
              <w:rPr>
                <w:sz w:val="1"/>
                <w:szCs w:val="1"/>
                <w:color w:val="auto"/>
              </w:rPr>
            </w:pPr>
          </w:p>
        </w:tc>
      </w:tr>
      <w:tr>
        <w:trPr>
          <w:trHeight w:val="81"/>
        </w:trPr>
        <w:tc>
          <w:tcPr>
            <w:tcW w:w="1480" w:type="dxa"/>
            <w:vAlign w:val="bottom"/>
          </w:tcPr>
          <w:p>
            <w:pPr>
              <w:spacing w:after="0" w:line="81" w:lineRule="exact"/>
              <w:rPr>
                <w:sz w:val="20"/>
                <w:szCs w:val="20"/>
                <w:color w:val="auto"/>
              </w:rPr>
            </w:pPr>
            <w:r>
              <w:rPr>
                <w:rFonts w:ascii="Arial" w:cs="Arial" w:eastAsia="Arial" w:hAnsi="Arial"/>
                <w:sz w:val="9"/>
                <w:szCs w:val="9"/>
                <w:color w:val="FFFFFF"/>
              </w:rPr>
              <w:t>Available-for-sale</w:t>
            </w:r>
          </w:p>
        </w:tc>
        <w:tc>
          <w:tcPr>
            <w:tcW w:w="9860" w:type="dxa"/>
            <w:vAlign w:val="bottom"/>
            <w:gridSpan w:val="3"/>
          </w:tcPr>
          <w:p>
            <w:pPr>
              <w:ind w:left="220"/>
              <w:spacing w:after="0" w:line="81" w:lineRule="exact"/>
              <w:rPr>
                <w:sz w:val="20"/>
                <w:szCs w:val="20"/>
                <w:color w:val="auto"/>
              </w:rPr>
            </w:pPr>
            <w:r>
              <w:rPr>
                <w:rFonts w:ascii="Arial" w:cs="Arial" w:eastAsia="Arial" w:hAnsi="Arial"/>
                <w:sz w:val="9"/>
                <w:szCs w:val="9"/>
                <w:color w:val="FFFFFF"/>
              </w:rPr>
              <w:t>are non-derivative ? nancial assets in listed and unlisted debt securities. Debt securities in this category are those which are intended to be held for an inde? nite period of time and</w:t>
            </w:r>
          </w:p>
        </w:tc>
        <w:tc>
          <w:tcPr>
            <w:tcW w:w="0" w:type="dxa"/>
            <w:vAlign w:val="bottom"/>
          </w:tcPr>
          <w:p>
            <w:pPr>
              <w:spacing w:after="0"/>
              <w:rPr>
                <w:sz w:val="1"/>
                <w:szCs w:val="1"/>
                <w:color w:val="auto"/>
              </w:rPr>
            </w:pPr>
          </w:p>
        </w:tc>
      </w:tr>
      <w:tr>
        <w:trPr>
          <w:trHeight w:val="41"/>
        </w:trPr>
        <w:tc>
          <w:tcPr>
            <w:tcW w:w="6220" w:type="dxa"/>
            <w:vAlign w:val="bottom"/>
            <w:gridSpan w:val="3"/>
          </w:tcPr>
          <w:p>
            <w:pPr>
              <w:spacing w:after="0"/>
              <w:rPr>
                <w:sz w:val="20"/>
                <w:szCs w:val="20"/>
                <w:color w:val="auto"/>
              </w:rPr>
            </w:pPr>
            <w:r>
              <w:rPr>
                <w:rFonts w:ascii="Arial" w:cs="Arial" w:eastAsia="Arial" w:hAnsi="Arial"/>
                <w:sz w:val="3"/>
                <w:szCs w:val="3"/>
                <w:color w:val="FFFFFF"/>
              </w:rPr>
              <w:t>which may be soldinvestmentsresponse to needs for liquidity or in response to changes in market conditions.</w:t>
            </w:r>
          </w:p>
        </w:tc>
        <w:tc>
          <w:tcPr>
            <w:tcW w:w="5120" w:type="dxa"/>
            <w:vAlign w:val="bottom"/>
            <w:vMerge w:val="restart"/>
          </w:tcPr>
          <w:p>
            <w:pPr>
              <w:ind w:left="180"/>
              <w:spacing w:after="0" w:line="81" w:lineRule="exact"/>
              <w:rPr>
                <w:sz w:val="20"/>
                <w:szCs w:val="20"/>
                <w:color w:val="auto"/>
              </w:rPr>
            </w:pPr>
            <w:r>
              <w:rPr>
                <w:rFonts w:ascii="Arial" w:cs="Arial" w:eastAsia="Arial" w:hAnsi="Arial"/>
                <w:sz w:val="9"/>
                <w:szCs w:val="9"/>
                <w:color w:val="FFFFFF"/>
              </w:rPr>
              <w:t>or losses recognized as other comprehensive income   the available-for-sale investment</w:t>
            </w:r>
          </w:p>
        </w:tc>
        <w:tc>
          <w:tcPr>
            <w:tcW w:w="0" w:type="dxa"/>
            <w:vAlign w:val="bottom"/>
          </w:tcPr>
          <w:p>
            <w:pPr>
              <w:spacing w:after="0"/>
              <w:rPr>
                <w:sz w:val="1"/>
                <w:szCs w:val="1"/>
                <w:color w:val="auto"/>
              </w:rPr>
            </w:pPr>
          </w:p>
        </w:tc>
      </w:tr>
      <w:tr>
        <w:trPr>
          <w:trHeight w:val="41"/>
        </w:trPr>
        <w:tc>
          <w:tcPr>
            <w:tcW w:w="6220" w:type="dxa"/>
            <w:vAlign w:val="bottom"/>
            <w:gridSpan w:val="3"/>
          </w:tcPr>
          <w:p>
            <w:pPr>
              <w:spacing w:after="0"/>
              <w:rPr>
                <w:sz w:val="20"/>
                <w:szCs w:val="20"/>
                <w:color w:val="auto"/>
              </w:rPr>
            </w:pPr>
            <w:r>
              <w:rPr>
                <w:rFonts w:ascii="Arial" w:cs="Arial" w:eastAsia="Arial" w:hAnsi="Arial"/>
                <w:sz w:val="3"/>
                <w:szCs w:val="3"/>
                <w:color w:val="FFFFFF"/>
              </w:rPr>
              <w:t>After initial recognition, available-for-sale investments are subsequently measured   fair value, with unrealized</w:t>
            </w:r>
          </w:p>
        </w:tc>
        <w:tc>
          <w:tcPr>
            <w:tcW w:w="5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80" w:type="dxa"/>
            <w:vAlign w:val="bottom"/>
            <w:gridSpan w:val="2"/>
          </w:tcPr>
          <w:p>
            <w:pPr>
              <w:spacing w:after="0"/>
              <w:rPr>
                <w:sz w:val="20"/>
                <w:szCs w:val="20"/>
                <w:color w:val="auto"/>
              </w:rPr>
            </w:pPr>
            <w:r>
              <w:rPr>
                <w:rFonts w:ascii="Arial" w:cs="Arial" w:eastAsia="Arial" w:hAnsi="Arial"/>
                <w:sz w:val="3"/>
                <w:szCs w:val="3"/>
                <w:color w:val="FFFFFF"/>
              </w:rPr>
              <w:t>revaluation reserve until the investment is</w:t>
            </w:r>
          </w:p>
        </w:tc>
        <w:tc>
          <w:tcPr>
            <w:tcW w:w="9060" w:type="dxa"/>
            <w:vAlign w:val="bottom"/>
            <w:gridSpan w:val="2"/>
          </w:tcPr>
          <w:p>
            <w:pPr>
              <w:ind w:left="820"/>
              <w:spacing w:after="0"/>
              <w:rPr>
                <w:sz w:val="20"/>
                <w:szCs w:val="20"/>
                <w:color w:val="auto"/>
              </w:rPr>
            </w:pPr>
            <w:r>
              <w:rPr>
                <w:rFonts w:ascii="Arial" w:cs="Arial" w:eastAsia="Arial" w:hAnsi="Arial"/>
                <w:sz w:val="3"/>
                <w:szCs w:val="3"/>
                <w:color w:val="FFFFFF"/>
              </w:rPr>
              <w:t>at which time the cumulative gain or loss is recognized gainsthe statement of comprehensive income, or until the investment is determined to be impaired,</w:t>
            </w:r>
          </w:p>
        </w:tc>
        <w:tc>
          <w:tcPr>
            <w:tcW w:w="0" w:type="dxa"/>
            <w:vAlign w:val="bottom"/>
          </w:tcPr>
          <w:p>
            <w:pPr>
              <w:spacing w:after="0"/>
              <w:rPr>
                <w:sz w:val="1"/>
                <w:szCs w:val="1"/>
                <w:color w:val="auto"/>
              </w:rPr>
            </w:pPr>
          </w:p>
        </w:tc>
      </w:tr>
      <w:tr>
        <w:trPr>
          <w:trHeight w:val="0"/>
        </w:trPr>
        <w:tc>
          <w:tcPr>
            <w:tcW w:w="1480" w:type="dxa"/>
            <w:vAlign w:val="bottom"/>
          </w:tcPr>
          <w:p>
            <w:pPr>
              <w:spacing w:after="0" w:line="80" w:lineRule="exact"/>
              <w:rPr>
                <w:sz w:val="20"/>
                <w:szCs w:val="20"/>
                <w:color w:val="auto"/>
              </w:rPr>
            </w:pPr>
            <w:r>
              <w:rPr>
                <w:rFonts w:ascii="Arial" w:cs="Arial" w:eastAsia="Arial" w:hAnsi="Arial"/>
                <w:sz w:val="9"/>
                <w:szCs w:val="9"/>
                <w:color w:val="FFFFFF"/>
              </w:rPr>
              <w:t>when the cumulative gain</w:t>
            </w:r>
          </w:p>
        </w:tc>
        <w:tc>
          <w:tcPr>
            <w:tcW w:w="800" w:type="dxa"/>
            <w:vAlign w:val="bottom"/>
          </w:tcPr>
          <w:p>
            <w:pPr>
              <w:ind w:left="100"/>
              <w:spacing w:after="0" w:line="80" w:lineRule="exact"/>
              <w:rPr>
                <w:sz w:val="20"/>
                <w:szCs w:val="20"/>
                <w:color w:val="auto"/>
              </w:rPr>
            </w:pPr>
            <w:r>
              <w:rPr>
                <w:rFonts w:ascii="Arial" w:cs="Arial" w:eastAsia="Arial" w:hAnsi="Arial"/>
                <w:sz w:val="9"/>
                <w:szCs w:val="9"/>
                <w:color w:val="FFFFFF"/>
              </w:rPr>
              <w:t>loss</w:t>
            </w:r>
          </w:p>
        </w:tc>
        <w:tc>
          <w:tcPr>
            <w:tcW w:w="9060" w:type="dxa"/>
            <w:vAlign w:val="bottom"/>
            <w:gridSpan w:val="2"/>
          </w:tcPr>
          <w:p>
            <w:pPr>
              <w:ind w:left="20"/>
              <w:spacing w:after="0" w:line="80" w:lineRule="exact"/>
              <w:rPr>
                <w:sz w:val="20"/>
                <w:szCs w:val="20"/>
                <w:color w:val="auto"/>
              </w:rPr>
            </w:pPr>
            <w:r>
              <w:rPr>
                <w:rFonts w:ascii="Arial" w:cs="Arial" w:eastAsia="Arial" w:hAnsi="Arial"/>
                <w:sz w:val="9"/>
                <w:szCs w:val="9"/>
                <w:color w:val="FFFFFF"/>
              </w:rPr>
              <w:t>derecognized,fromtheavailable-for-sale investment revaluation reserve to the statement of comprehensive income in other expenses. Interest earned while holding the available-</w:t>
            </w:r>
          </w:p>
        </w:tc>
        <w:tc>
          <w:tcPr>
            <w:tcW w:w="0" w:type="dxa"/>
            <w:vAlign w:val="bottom"/>
          </w:tcPr>
          <w:p>
            <w:pPr>
              <w:spacing w:after="0" w:line="20" w:lineRule="exact"/>
              <w:rPr>
                <w:sz w:val="1"/>
                <w:szCs w:val="1"/>
                <w:color w:val="auto"/>
              </w:rPr>
            </w:pPr>
          </w:p>
        </w:tc>
      </w:tr>
    </w:tbl>
    <w:p>
      <w:pPr>
        <w:ind w:left="1260"/>
        <w:spacing w:after="0" w:line="25" w:lineRule="auto"/>
        <w:tabs>
          <w:tab w:leader="none" w:pos="1800" w:val="left"/>
        </w:tabs>
        <w:rPr>
          <w:sz w:val="20"/>
          <w:szCs w:val="20"/>
          <w:color w:val="auto"/>
        </w:rPr>
      </w:pPr>
      <w:r>
        <w:rPr>
          <w:rFonts w:ascii="Arial" w:cs="Arial" w:eastAsia="Arial" w:hAnsi="Arial"/>
          <w:sz w:val="1"/>
          <w:szCs w:val="1"/>
          <w:color w:val="FFFFFF"/>
        </w:rPr>
        <w:t>reported</w:t>
      </w:r>
      <w:r>
        <w:rPr>
          <w:sz w:val="20"/>
          <w:szCs w:val="20"/>
          <w:color w:val="auto"/>
        </w:rPr>
        <w:tab/>
      </w:r>
      <w:r>
        <w:rPr>
          <w:rFonts w:ascii="Arial" w:cs="Arial" w:eastAsia="Arial" w:hAnsi="Arial"/>
          <w:sz w:val="1"/>
          <w:szCs w:val="1"/>
          <w:color w:val="FFFFFF"/>
        </w:rPr>
        <w:t>reclassi?</w:t>
      </w:r>
    </w:p>
    <w:p>
      <w:pPr>
        <w:spacing w:after="0"/>
        <w:tabs>
          <w:tab w:leader="none" w:pos="1960" w:val="left"/>
        </w:tabs>
        <w:rPr>
          <w:sz w:val="20"/>
          <w:szCs w:val="20"/>
          <w:color w:val="auto"/>
        </w:rPr>
      </w:pPr>
      <w:r>
        <w:rPr>
          <w:rFonts w:ascii="Arial" w:cs="Arial" w:eastAsia="Arial" w:hAnsi="Arial"/>
          <w:sz w:val="3"/>
          <w:szCs w:val="3"/>
          <w:color w:val="FFFFFF"/>
        </w:rPr>
        <w:t>Impairmentfor-saleinvestmentsof?nancialis assets as</w:t>
      </w:r>
      <w:r>
        <w:rPr>
          <w:sz w:val="20"/>
          <w:szCs w:val="20"/>
          <w:color w:val="auto"/>
        </w:rPr>
        <w:tab/>
      </w:r>
      <w:r>
        <w:rPr>
          <w:rFonts w:ascii="Arial" w:cs="Arial" w:eastAsia="Arial" w:hAnsi="Arial"/>
          <w:sz w:val="3"/>
          <w:szCs w:val="3"/>
          <w:color w:val="FFFFFF"/>
        </w:rPr>
        <w:t>nance revenue in the statement of comprehensive income in accordance with the policy set out for “Revenue recognition” below.</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The Group assesses at each statement of ? nancial position date whether there is objective evidence that a ? nancial asset or a group of ? nancial assets is impaired.</w:t>
      </w:r>
    </w:p>
    <w:p>
      <w:pPr>
        <w:sectPr>
          <w:pgSz w:w="11900" w:h="16838" w:orient="portrait"/>
          <w:cols w:equalWidth="0" w:num="1">
            <w:col w:w="11340"/>
          </w:cols>
          <w:pgMar w:left="240" w:top="1440" w:right="31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20"/>
                <w:szCs w:val="20"/>
                <w:color w:val="auto"/>
              </w:rPr>
            </w:pPr>
            <w:r>
              <w:rPr>
                <w:rFonts w:ascii="Arial" w:cs="Arial" w:eastAsia="Arial" w:hAnsi="Arial"/>
                <w:sz w:val="14"/>
                <w:szCs w:val="14"/>
                <w:color w:val="FFFFFF"/>
              </w:rPr>
              <w:t>Annual Report 2012 91</w:t>
            </w: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820" w:type="dxa"/>
            <w:vAlign w:val="bottom"/>
          </w:tcPr>
          <w:p>
            <w:pPr>
              <w:spacing w:after="0"/>
              <w:rPr>
                <w:sz w:val="20"/>
                <w:szCs w:val="20"/>
                <w:color w:val="auto"/>
              </w:rPr>
            </w:pPr>
            <w:r>
              <w:rPr>
                <w:rFonts w:ascii="Arial" w:cs="Arial" w:eastAsia="Arial" w:hAnsi="Arial"/>
                <w:sz w:val="3"/>
                <w:szCs w:val="3"/>
                <w:color w:val="FFFFFF"/>
              </w:rPr>
              <w:t>Financial Statements</w:t>
            </w: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8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20" w:type="dxa"/>
            <w:vAlign w:val="bottom"/>
            <w:gridSpan w:val="4"/>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31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680" w:type="dxa"/>
            <w:vAlign w:val="bottom"/>
            <w:gridSpan w:val="2"/>
          </w:tcPr>
          <w:p>
            <w:pPr>
              <w:spacing w:after="0"/>
              <w:rPr>
                <w:sz w:val="20"/>
                <w:szCs w:val="20"/>
                <w:color w:val="auto"/>
              </w:rPr>
            </w:pPr>
            <w:r>
              <w:rPr>
                <w:rFonts w:ascii="Arial" w:cs="Arial" w:eastAsia="Arial" w:hAnsi="Arial"/>
                <w:sz w:val="3"/>
                <w:szCs w:val="3"/>
                <w:color w:val="FFFFFF"/>
              </w:rPr>
              <w:t>Impairment of ? nancial assets (continued)</w:t>
            </w: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tcPr>
          <w:p>
            <w:pPr>
              <w:spacing w:after="0"/>
              <w:rPr>
                <w:sz w:val="20"/>
                <w:szCs w:val="20"/>
                <w:color w:val="auto"/>
              </w:rPr>
            </w:pPr>
            <w:r>
              <w:rPr>
                <w:rFonts w:ascii="Arial" w:cs="Arial" w:eastAsia="Arial" w:hAnsi="Arial"/>
                <w:sz w:val="3"/>
                <w:szCs w:val="3"/>
                <w:color w:val="FFFFFF"/>
              </w:rPr>
              <w:t>Assets carried at amortized cost</w:t>
            </w: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600" w:type="dxa"/>
            <w:vAlign w:val="bottom"/>
            <w:vMerge w:val="restart"/>
          </w:tcPr>
          <w:p>
            <w:pPr>
              <w:ind w:left="40"/>
              <w:spacing w:after="0" w:line="81" w:lineRule="exact"/>
              <w:rPr>
                <w:sz w:val="20"/>
                <w:szCs w:val="20"/>
                <w:color w:val="auto"/>
              </w:rPr>
            </w:pPr>
            <w:r>
              <w:rPr>
                <w:rFonts w:ascii="Arial" w:cs="Arial" w:eastAsia="Arial" w:hAnsi="Arial"/>
                <w:sz w:val="9"/>
                <w:szCs w:val="9"/>
                <w:color w:val="FFFFFF"/>
              </w:rPr>
              <w:t>the difference between the asset’s carrying amount and the</w:t>
            </w:r>
          </w:p>
        </w:tc>
        <w:tc>
          <w:tcPr>
            <w:tcW w:w="0" w:type="dxa"/>
            <w:vAlign w:val="bottom"/>
          </w:tcPr>
          <w:p>
            <w:pPr>
              <w:spacing w:after="0"/>
              <w:rPr>
                <w:sz w:val="1"/>
                <w:szCs w:val="1"/>
                <w:color w:val="auto"/>
              </w:rPr>
            </w:pPr>
          </w:p>
        </w:tc>
      </w:tr>
      <w:tr>
        <w:trPr>
          <w:trHeight w:val="41"/>
        </w:trPr>
        <w:tc>
          <w:tcPr>
            <w:tcW w:w="7820" w:type="dxa"/>
            <w:vAlign w:val="bottom"/>
            <w:gridSpan w:val="5"/>
          </w:tcPr>
          <w:p>
            <w:pPr>
              <w:spacing w:after="0"/>
              <w:rPr>
                <w:sz w:val="20"/>
                <w:szCs w:val="20"/>
                <w:color w:val="auto"/>
              </w:rPr>
            </w:pPr>
            <w:r>
              <w:rPr>
                <w:rFonts w:ascii="Arial" w:cs="Arial" w:eastAsia="Arial" w:hAnsi="Arial"/>
                <w:sz w:val="3"/>
                <w:szCs w:val="3"/>
                <w:color w:val="FFFFFF"/>
              </w:rPr>
              <w:t>If there is objective evidence that an impairment loss on assets carried at amortized cost has b en incurred, the amount of the loss is measured</w:t>
            </w:r>
          </w:p>
        </w:tc>
        <w:tc>
          <w:tcPr>
            <w:tcW w:w="3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present value of estimated future cash fl ows (excluding future expected credit losses that have not been incurred) discounted at the ? nancial asset’ original effective interest rate (i. . the effective interest rate</w:t>
            </w:r>
          </w:p>
        </w:tc>
        <w:tc>
          <w:tcPr>
            <w:tcW w:w="0" w:type="dxa"/>
            <w:vAlign w:val="bottom"/>
          </w:tcPr>
          <w:p>
            <w:pPr>
              <w:spacing w:after="0"/>
              <w:rPr>
                <w:sz w:val="1"/>
                <w:szCs w:val="1"/>
                <w:color w:val="auto"/>
              </w:rPr>
            </w:pPr>
          </w:p>
        </w:tc>
      </w:tr>
      <w:tr>
        <w:trPr>
          <w:trHeight w:val="41"/>
        </w:trPr>
        <w:tc>
          <w:tcPr>
            <w:tcW w:w="4720" w:type="dxa"/>
            <w:vAlign w:val="bottom"/>
            <w:gridSpan w:val="4"/>
          </w:tcPr>
          <w:p>
            <w:pPr>
              <w:spacing w:after="0"/>
              <w:rPr>
                <w:sz w:val="20"/>
                <w:szCs w:val="20"/>
                <w:color w:val="auto"/>
              </w:rPr>
            </w:pPr>
            <w:r>
              <w:rPr>
                <w:rFonts w:ascii="Arial" w:cs="Arial" w:eastAsia="Arial" w:hAnsi="Arial"/>
                <w:sz w:val="3"/>
                <w:szCs w:val="3"/>
                <w:color w:val="FFFFFF"/>
              </w:rPr>
              <w:t>computed at initial  cognition). The carrying amount of the asset is reduced through</w:t>
            </w:r>
          </w:p>
        </w:tc>
        <w:tc>
          <w:tcPr>
            <w:tcW w:w="6700" w:type="dxa"/>
            <w:vAlign w:val="bottom"/>
            <w:gridSpan w:val="2"/>
          </w:tcPr>
          <w:p>
            <w:pPr>
              <w:ind w:left="120"/>
              <w:spacing w:after="0"/>
              <w:rPr>
                <w:sz w:val="20"/>
                <w:szCs w:val="20"/>
                <w:color w:val="auto"/>
              </w:rPr>
            </w:pPr>
            <w:r>
              <w:rPr>
                <w:rFonts w:ascii="Arial" w:cs="Arial" w:eastAsia="Arial" w:hAnsi="Arial"/>
                <w:sz w:val="3"/>
                <w:szCs w:val="3"/>
                <w:color w:val="FFFFFF"/>
              </w:rPr>
              <w:t>of an allowance account and the loss is recognized in the statement of comprehensive income.</w:t>
            </w:r>
          </w:p>
        </w:tc>
        <w:tc>
          <w:tcPr>
            <w:tcW w:w="0" w:type="dxa"/>
            <w:vAlign w:val="bottom"/>
          </w:tcPr>
          <w:p>
            <w:pPr>
              <w:spacing w:after="0"/>
              <w:rPr>
                <w:sz w:val="1"/>
                <w:szCs w:val="1"/>
                <w:color w:val="auto"/>
              </w:rPr>
            </w:pPr>
          </w:p>
        </w:tc>
      </w:tr>
      <w:tr>
        <w:trPr>
          <w:trHeight w:val="41"/>
        </w:trPr>
        <w:tc>
          <w:tcPr>
            <w:tcW w:w="2680" w:type="dxa"/>
            <w:vAlign w:val="bottom"/>
            <w:gridSpan w:val="2"/>
          </w:tcPr>
          <w:p>
            <w:pPr>
              <w:spacing w:after="0"/>
              <w:rPr>
                <w:sz w:val="20"/>
                <w:szCs w:val="20"/>
                <w:color w:val="auto"/>
              </w:rPr>
            </w:pPr>
            <w:r>
              <w:rPr>
                <w:rFonts w:ascii="Arial" w:cs="Arial" w:eastAsia="Arial" w:hAnsi="Arial"/>
                <w:sz w:val="3"/>
                <w:szCs w:val="3"/>
                <w:color w:val="FFFFFF"/>
              </w:rPr>
              <w:t>If, in a subsequent period, the amount of the</w:t>
            </w:r>
          </w:p>
        </w:tc>
        <w:tc>
          <w:tcPr>
            <w:tcW w:w="8740" w:type="dxa"/>
            <w:vAlign w:val="bottom"/>
            <w:gridSpan w:val="4"/>
          </w:tcPr>
          <w:p>
            <w:pPr>
              <w:ind w:left="300"/>
              <w:spacing w:after="0"/>
              <w:rPr>
                <w:sz w:val="20"/>
                <w:szCs w:val="20"/>
                <w:color w:val="auto"/>
              </w:rPr>
            </w:pPr>
            <w:r>
              <w:rPr>
                <w:rFonts w:ascii="Arial" w:cs="Arial" w:eastAsia="Arial" w:hAnsi="Arial"/>
                <w:sz w:val="3"/>
                <w:szCs w:val="3"/>
                <w:color w:val="FFFFFF"/>
              </w:rPr>
              <w:t>impairment loss decreases because of an event occurring after the impairment was recognized, the previously recognized impairment loss is increased or</w:t>
            </w:r>
          </w:p>
        </w:tc>
        <w:tc>
          <w:tcPr>
            <w:tcW w:w="0" w:type="dxa"/>
            <w:vAlign w:val="bottom"/>
          </w:tcPr>
          <w:p>
            <w:pPr>
              <w:spacing w:after="0"/>
              <w:rPr>
                <w:sz w:val="1"/>
                <w:szCs w:val="1"/>
                <w:color w:val="auto"/>
              </w:rPr>
            </w:pPr>
          </w:p>
        </w:tc>
      </w:tr>
      <w:tr>
        <w:trPr>
          <w:trHeight w:val="41"/>
        </w:trPr>
        <w:tc>
          <w:tcPr>
            <w:tcW w:w="1820" w:type="dxa"/>
            <w:vAlign w:val="bottom"/>
          </w:tcPr>
          <w:p>
            <w:pPr>
              <w:spacing w:after="0"/>
              <w:rPr>
                <w:sz w:val="20"/>
                <w:szCs w:val="20"/>
                <w:color w:val="auto"/>
              </w:rPr>
            </w:pPr>
            <w:r>
              <w:rPr>
                <w:rFonts w:ascii="Arial" w:cs="Arial" w:eastAsia="Arial" w:hAnsi="Arial"/>
                <w:sz w:val="3"/>
                <w:szCs w:val="3"/>
                <w:color w:val="FFFFFF"/>
              </w:rPr>
              <w:t>reduced by adjusting the</w:t>
            </w:r>
          </w:p>
        </w:tc>
        <w:tc>
          <w:tcPr>
            <w:tcW w:w="9600" w:type="dxa"/>
            <w:vAlign w:val="bottom"/>
            <w:gridSpan w:val="5"/>
          </w:tcPr>
          <w:p>
            <w:pPr>
              <w:ind w:left="120"/>
              <w:spacing w:after="0"/>
              <w:rPr>
                <w:sz w:val="20"/>
                <w:szCs w:val="20"/>
                <w:color w:val="auto"/>
              </w:rPr>
            </w:pPr>
            <w:r>
              <w:rPr>
                <w:rFonts w:ascii="Arial" w:cs="Arial" w:eastAsia="Arial" w:hAnsi="Arial"/>
                <w:sz w:val="3"/>
                <w:szCs w:val="3"/>
                <w:color w:val="FFFFFF"/>
              </w:rPr>
              <w:t>account. estimatedIffuture write-off is later recovered, the recovery is credited to ? nance costs in the stat ment of comprehensive income.</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In relation to trade receivables,allowanceprovision for impairment is made when there is objective evidence (such as the prob  ility of insolvency or signi? cant ? nancial dif? culties of the debtor) that the Group will not</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be able to collect all of the amounts due under the original terms of the transaction. The carrying amount of the receivables is reduced through the use of an allowance account. Impaired debts are derecognized</w:t>
            </w:r>
          </w:p>
        </w:tc>
        <w:tc>
          <w:tcPr>
            <w:tcW w:w="0" w:type="dxa"/>
            <w:vAlign w:val="bottom"/>
          </w:tcPr>
          <w:p>
            <w:pPr>
              <w:spacing w:after="0"/>
              <w:rPr>
                <w:sz w:val="1"/>
                <w:szCs w:val="1"/>
                <w:color w:val="auto"/>
              </w:rPr>
            </w:pPr>
          </w:p>
        </w:tc>
      </w:tr>
      <w:tr>
        <w:trPr>
          <w:trHeight w:val="41"/>
        </w:trPr>
        <w:tc>
          <w:tcPr>
            <w:tcW w:w="2680" w:type="dxa"/>
            <w:vAlign w:val="bottom"/>
            <w:gridSpan w:val="2"/>
          </w:tcPr>
          <w:p>
            <w:pPr>
              <w:spacing w:after="0"/>
              <w:rPr>
                <w:sz w:val="20"/>
                <w:szCs w:val="20"/>
                <w:color w:val="auto"/>
              </w:rPr>
            </w:pPr>
            <w:r>
              <w:rPr>
                <w:rFonts w:ascii="Arial" w:cs="Arial" w:eastAsia="Arial" w:hAnsi="Arial"/>
                <w:sz w:val="3"/>
                <w:szCs w:val="3"/>
                <w:color w:val="FFFFFF"/>
              </w:rPr>
              <w:t>when they are assessed as uncollectible.</w:t>
            </w:r>
          </w:p>
        </w:tc>
        <w:tc>
          <w:tcPr>
            <w:tcW w:w="8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100" w:type="dxa"/>
            <w:vAlign w:val="bottom"/>
          </w:tcPr>
          <w:p>
            <w:pPr>
              <w:spacing w:after="0"/>
              <w:rPr>
                <w:sz w:val="3"/>
                <w:szCs w:val="3"/>
                <w:color w:val="auto"/>
              </w:rPr>
            </w:pPr>
          </w:p>
        </w:tc>
        <w:tc>
          <w:tcPr>
            <w:tcW w:w="3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20" w:type="dxa"/>
            <w:vAlign w:val="bottom"/>
          </w:tcPr>
          <w:p>
            <w:pPr>
              <w:spacing w:after="0"/>
              <w:rPr>
                <w:sz w:val="20"/>
                <w:szCs w:val="20"/>
                <w:color w:val="auto"/>
              </w:rPr>
            </w:pPr>
            <w:r>
              <w:rPr>
                <w:rFonts w:ascii="Arial" w:cs="Arial" w:eastAsia="Arial" w:hAnsi="Arial"/>
                <w:sz w:val="3"/>
                <w:szCs w:val="3"/>
                <w:color w:val="FFFFFF"/>
              </w:rPr>
              <w:t>Available-for-sale investments</w:t>
            </w:r>
          </w:p>
        </w:tc>
        <w:tc>
          <w:tcPr>
            <w:tcW w:w="6000" w:type="dxa"/>
            <w:vAlign w:val="bottom"/>
            <w:gridSpan w:val="4"/>
            <w:vMerge w:val="restart"/>
          </w:tcPr>
          <w:p>
            <w:pPr>
              <w:ind w:left="100"/>
              <w:spacing w:after="0" w:line="81" w:lineRule="exact"/>
              <w:rPr>
                <w:sz w:val="20"/>
                <w:szCs w:val="20"/>
                <w:color w:val="auto"/>
              </w:rPr>
            </w:pPr>
            <w:r>
              <w:rPr>
                <w:rFonts w:ascii="Arial" w:cs="Arial" w:eastAsia="Arial" w:hAnsi="Arial"/>
                <w:sz w:val="9"/>
                <w:szCs w:val="9"/>
                <w:color w:val="FFFFFF"/>
              </w:rPr>
              <w:t>the Group assesses at the end of each reporting period whether there is objective evidence that an investment</w:t>
            </w:r>
          </w:p>
        </w:tc>
        <w:tc>
          <w:tcPr>
            <w:tcW w:w="3600" w:type="dxa"/>
            <w:vAlign w:val="bottom"/>
            <w:vMerge w:val="restart"/>
          </w:tcPr>
          <w:p>
            <w:pPr>
              <w:ind w:left="160"/>
              <w:spacing w:after="0" w:line="81" w:lineRule="exact"/>
              <w:rPr>
                <w:sz w:val="20"/>
                <w:szCs w:val="20"/>
                <w:color w:val="auto"/>
              </w:rPr>
            </w:pPr>
            <w:r>
              <w:rPr>
                <w:rFonts w:ascii="Arial" w:cs="Arial" w:eastAsia="Arial" w:hAnsi="Arial"/>
                <w:sz w:val="9"/>
                <w:szCs w:val="9"/>
                <w:color w:val="FFFFFF"/>
              </w:rPr>
              <w:t>a group of investments is impaired.</w:t>
            </w:r>
          </w:p>
        </w:tc>
        <w:tc>
          <w:tcPr>
            <w:tcW w:w="0" w:type="dxa"/>
            <w:vAlign w:val="bottom"/>
          </w:tcPr>
          <w:p>
            <w:pPr>
              <w:spacing w:after="0"/>
              <w:rPr>
                <w:sz w:val="1"/>
                <w:szCs w:val="1"/>
                <w:color w:val="auto"/>
              </w:rPr>
            </w:pPr>
          </w:p>
        </w:tc>
      </w:tr>
      <w:tr>
        <w:trPr>
          <w:trHeight w:val="41"/>
        </w:trPr>
        <w:tc>
          <w:tcPr>
            <w:tcW w:w="1820" w:type="dxa"/>
            <w:vAlign w:val="bottom"/>
          </w:tcPr>
          <w:p>
            <w:pPr>
              <w:spacing w:after="0"/>
              <w:rPr>
                <w:sz w:val="20"/>
                <w:szCs w:val="20"/>
                <w:color w:val="auto"/>
              </w:rPr>
            </w:pPr>
            <w:r>
              <w:rPr>
                <w:rFonts w:ascii="Arial" w:cs="Arial" w:eastAsia="Arial" w:hAnsi="Arial"/>
                <w:sz w:val="3"/>
                <w:szCs w:val="3"/>
                <w:color w:val="FFFFFF"/>
              </w:rPr>
              <w:t>For available-for-sale</w:t>
            </w:r>
          </w:p>
        </w:tc>
        <w:tc>
          <w:tcPr>
            <w:tcW w:w="6000" w:type="dxa"/>
            <w:vAlign w:val="bottom"/>
            <w:gridSpan w:val="4"/>
            <w:vMerge w:val="continue"/>
          </w:tcPr>
          <w:p>
            <w:pPr>
              <w:spacing w:after="0"/>
              <w:rPr>
                <w:sz w:val="3"/>
                <w:szCs w:val="3"/>
                <w:color w:val="auto"/>
              </w:rPr>
            </w:pPr>
          </w:p>
        </w:tc>
        <w:tc>
          <w:tcPr>
            <w:tcW w:w="3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820" w:type="dxa"/>
            <w:vAlign w:val="bottom"/>
          </w:tcPr>
          <w:p>
            <w:pPr>
              <w:spacing w:after="0" w:line="121" w:lineRule="exact"/>
              <w:rPr>
                <w:sz w:val="20"/>
                <w:szCs w:val="20"/>
                <w:color w:val="auto"/>
              </w:rPr>
            </w:pPr>
            <w:r>
              <w:rPr>
                <w:rFonts w:ascii="Arial" w:cs="Arial" w:eastAsia="Arial" w:hAnsi="Arial"/>
                <w:sz w:val="12"/>
                <w:szCs w:val="12"/>
                <w:color w:val="FFFFFF"/>
              </w:rPr>
              <w:t>If an available-for-sale</w:t>
            </w:r>
          </w:p>
        </w:tc>
        <w:tc>
          <w:tcPr>
            <w:tcW w:w="1660" w:type="dxa"/>
            <w:vAlign w:val="bottom"/>
            <w:gridSpan w:val="2"/>
          </w:tcPr>
          <w:p>
            <w:pPr>
              <w:ind w:left="80"/>
              <w:spacing w:after="0" w:line="121" w:lineRule="exact"/>
              <w:rPr>
                <w:sz w:val="20"/>
                <w:szCs w:val="20"/>
                <w:color w:val="auto"/>
              </w:rPr>
            </w:pPr>
            <w:r>
              <w:rPr>
                <w:rFonts w:ascii="Arial" w:cs="Arial" w:eastAsia="Arial" w:hAnsi="Arial"/>
                <w:sz w:val="12"/>
                <w:szCs w:val="12"/>
                <w:color w:val="FFFFFF"/>
              </w:rPr>
              <w:t>is impaired, an amount</w:t>
            </w:r>
          </w:p>
        </w:tc>
        <w:tc>
          <w:tcPr>
            <w:tcW w:w="7940" w:type="dxa"/>
            <w:vAlign w:val="bottom"/>
            <w:gridSpan w:val="3"/>
          </w:tcPr>
          <w:p>
            <w:pPr>
              <w:ind w:left="320"/>
              <w:spacing w:after="0" w:line="121" w:lineRule="exact"/>
              <w:rPr>
                <w:sz w:val="20"/>
                <w:szCs w:val="20"/>
                <w:color w:val="auto"/>
              </w:rPr>
            </w:pPr>
            <w:r>
              <w:rPr>
                <w:rFonts w:ascii="Arial" w:cs="Arial" w:eastAsia="Arial" w:hAnsi="Arial"/>
                <w:sz w:val="12"/>
                <w:szCs w:val="12"/>
                <w:color w:val="FFFFFF"/>
              </w:rPr>
              <w:t>the difference between its cost (net of any principal payment and amortization) and its current fair value, less any impairment loss</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previously recognized investments,thestatement of comprehensive income,comprisingremoved from other comprehensive income and recognized in the statement of comprehensive income.</w:t>
      </w:r>
    </w:p>
    <w:p>
      <w:pPr>
        <w:sectPr>
          <w:pgSz w:w="11900" w:h="16838" w:orient="portrait"/>
          <w:cols w:equalWidth="0" w:num="1">
            <w:col w:w="11420"/>
          </w:cols>
          <w:pgMar w:left="240" w:top="1440" w:right="23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Arial" w:cs="Arial" w:eastAsia="Arial" w:hAnsi="Arial"/>
                <w:sz w:val="14"/>
                <w:szCs w:val="14"/>
                <w:color w:val="FFFFFF"/>
              </w:rPr>
              <w:t>92 Wynn Macau, Limited</w:t>
            </w:r>
          </w:p>
        </w:tc>
        <w:tc>
          <w:tcPr>
            <w:tcW w:w="8840" w:type="dxa"/>
            <w:vAlign w:val="bottom"/>
          </w:tcPr>
          <w:p>
            <w:pPr>
              <w:spacing w:after="0"/>
              <w:rPr>
                <w:sz w:val="14"/>
                <w:szCs w:val="14"/>
                <w:color w:val="auto"/>
              </w:rPr>
            </w:pPr>
          </w:p>
        </w:tc>
      </w:tr>
      <w:tr>
        <w:trPr>
          <w:trHeight w:val="41"/>
        </w:trPr>
        <w:tc>
          <w:tcPr>
            <w:tcW w:w="2540" w:type="dxa"/>
            <w:vAlign w:val="bottom"/>
          </w:tcPr>
          <w:p>
            <w:pPr>
              <w:spacing w:after="0"/>
              <w:rPr>
                <w:sz w:val="20"/>
                <w:szCs w:val="20"/>
                <w:color w:val="auto"/>
              </w:rPr>
            </w:pPr>
            <w:r>
              <w:rPr>
                <w:rFonts w:ascii="Arial" w:cs="Arial" w:eastAsia="Arial" w:hAnsi="Arial"/>
                <w:sz w:val="3"/>
                <w:szCs w:val="3"/>
                <w:color w:val="FFFFFF"/>
              </w:rPr>
              <w:t>Financial Statements</w:t>
            </w:r>
          </w:p>
        </w:tc>
        <w:tc>
          <w:tcPr>
            <w:tcW w:w="8840" w:type="dxa"/>
            <w:vAlign w:val="bottom"/>
          </w:tcPr>
          <w:p>
            <w:pPr>
              <w:spacing w:after="0"/>
              <w:rPr>
                <w:sz w:val="3"/>
                <w:szCs w:val="3"/>
                <w:color w:val="auto"/>
              </w:rPr>
            </w:pPr>
          </w:p>
        </w:tc>
      </w:tr>
      <w:tr>
        <w:trPr>
          <w:trHeight w:val="41"/>
        </w:trPr>
        <w:tc>
          <w:tcPr>
            <w:tcW w:w="254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8840" w:type="dxa"/>
            <w:vAlign w:val="bottom"/>
          </w:tcPr>
          <w:p>
            <w:pPr>
              <w:spacing w:after="0"/>
              <w:rPr>
                <w:sz w:val="3"/>
                <w:szCs w:val="3"/>
                <w:color w:val="auto"/>
              </w:rPr>
            </w:pPr>
          </w:p>
        </w:tc>
      </w:tr>
      <w:tr>
        <w:trPr>
          <w:trHeight w:val="41"/>
        </w:trPr>
        <w:tc>
          <w:tcPr>
            <w:tcW w:w="2540" w:type="dxa"/>
            <w:vAlign w:val="bottom"/>
          </w:tcPr>
          <w:p>
            <w:pPr>
              <w:spacing w:after="0"/>
              <w:rPr>
                <w:sz w:val="20"/>
                <w:szCs w:val="20"/>
                <w:color w:val="auto"/>
              </w:rPr>
            </w:pPr>
            <w:r>
              <w:rPr>
                <w:rFonts w:ascii="Arial" w:cs="Arial" w:eastAsia="Arial" w:hAnsi="Arial"/>
                <w:sz w:val="3"/>
                <w:szCs w:val="3"/>
                <w:color w:val="FFFFFF"/>
              </w:rPr>
              <w:t>For the year ended 31 December 2012</w:t>
            </w:r>
          </w:p>
        </w:tc>
        <w:tc>
          <w:tcPr>
            <w:tcW w:w="8840" w:type="dxa"/>
            <w:vAlign w:val="bottom"/>
          </w:tcPr>
          <w:p>
            <w:pPr>
              <w:spacing w:after="0"/>
              <w:rPr>
                <w:sz w:val="3"/>
                <w:szCs w:val="3"/>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2.2 SUMMARY OF SIGNIFICANT ACCOUNTING POLICIES (CONTINUED)</w:t>
            </w:r>
          </w:p>
        </w:tc>
      </w:tr>
      <w:tr>
        <w:trPr>
          <w:trHeight w:val="41"/>
        </w:trPr>
        <w:tc>
          <w:tcPr>
            <w:tcW w:w="2540" w:type="dxa"/>
            <w:vAlign w:val="bottom"/>
          </w:tcPr>
          <w:p>
            <w:pPr>
              <w:spacing w:after="0"/>
              <w:rPr>
                <w:sz w:val="20"/>
                <w:szCs w:val="20"/>
                <w:color w:val="auto"/>
              </w:rPr>
            </w:pPr>
            <w:r>
              <w:rPr>
                <w:rFonts w:ascii="Arial" w:cs="Arial" w:eastAsia="Arial" w:hAnsi="Arial"/>
                <w:sz w:val="3"/>
                <w:szCs w:val="3"/>
                <w:color w:val="FFFFFF"/>
              </w:rPr>
              <w:t>Impairment of ? nancial assets (continued)</w:t>
            </w:r>
          </w:p>
        </w:tc>
        <w:tc>
          <w:tcPr>
            <w:tcW w:w="8840" w:type="dxa"/>
            <w:vAlign w:val="bottom"/>
          </w:tcPr>
          <w:p>
            <w:pPr>
              <w:spacing w:after="0"/>
              <w:rPr>
                <w:sz w:val="3"/>
                <w:szCs w:val="3"/>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Available-for-sale ? nancial investments (continued)</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In the case of debt instruments classi? ed as available-for-sale, impairment is assessed based on the same criteria as ? nancial assets carried at amortized cost. However, the amount recorded for impairment is the</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cumulative loss measured as the difference between the amortized cost and the current fair value, less any impairment loss on that investment previously recognized in the statement of comprehensive income.</w:t>
            </w:r>
          </w:p>
        </w:tc>
      </w:tr>
      <w:tr>
        <w:trPr>
          <w:trHeight w:val="41"/>
        </w:trPr>
        <w:tc>
          <w:tcPr>
            <w:tcW w:w="2540" w:type="dxa"/>
            <w:vAlign w:val="bottom"/>
          </w:tcPr>
          <w:p>
            <w:pPr>
              <w:spacing w:after="0"/>
              <w:rPr>
                <w:sz w:val="20"/>
                <w:szCs w:val="20"/>
                <w:color w:val="auto"/>
              </w:rPr>
            </w:pPr>
            <w:r>
              <w:rPr>
                <w:rFonts w:ascii="Arial" w:cs="Arial" w:eastAsia="Arial" w:hAnsi="Arial"/>
                <w:sz w:val="3"/>
                <w:szCs w:val="3"/>
                <w:color w:val="FFFFFF"/>
              </w:rPr>
              <w:t>Future interest income continues to be accrued</w:t>
            </w:r>
          </w:p>
        </w:tc>
        <w:tc>
          <w:tcPr>
            <w:tcW w:w="8840" w:type="dxa"/>
            <w:vAlign w:val="bottom"/>
          </w:tcPr>
          <w:p>
            <w:pPr>
              <w:ind w:left="360"/>
              <w:spacing w:after="0"/>
              <w:rPr>
                <w:sz w:val="20"/>
                <w:szCs w:val="20"/>
                <w:color w:val="auto"/>
              </w:rPr>
            </w:pPr>
            <w:r>
              <w:rPr>
                <w:rFonts w:ascii="Arial" w:cs="Arial" w:eastAsia="Arial" w:hAnsi="Arial"/>
                <w:sz w:val="3"/>
                <w:szCs w:val="3"/>
                <w:color w:val="FFFFFF"/>
              </w:rPr>
              <w:t>on the reduced carrying amount of the asset and is accrued using the rate of interest used to discount the future cash ? ows for the purpose of measuring the</w:t>
            </w:r>
          </w:p>
        </w:tc>
      </w:tr>
      <w:tr>
        <w:trPr>
          <w:trHeight w:val="0"/>
        </w:trPr>
        <w:tc>
          <w:tcPr>
            <w:tcW w:w="2540" w:type="dxa"/>
            <w:vAlign w:val="bottom"/>
          </w:tcPr>
          <w:p>
            <w:pPr>
              <w:ind w:left="40"/>
              <w:spacing w:after="0" w:line="80" w:lineRule="exact"/>
              <w:rPr>
                <w:sz w:val="20"/>
                <w:szCs w:val="20"/>
                <w:color w:val="auto"/>
              </w:rPr>
            </w:pPr>
            <w:r>
              <w:rPr>
                <w:rFonts w:ascii="Arial" w:cs="Arial" w:eastAsia="Arial" w:hAnsi="Arial"/>
                <w:sz w:val="9"/>
                <w:szCs w:val="9"/>
                <w:color w:val="FFFFFF"/>
              </w:rPr>
              <w:t>mpairment loss. The interest income is record</w:t>
            </w:r>
          </w:p>
        </w:tc>
        <w:tc>
          <w:tcPr>
            <w:tcW w:w="8840" w:type="dxa"/>
            <w:vAlign w:val="bottom"/>
          </w:tcPr>
          <w:p>
            <w:pPr>
              <w:ind w:left="20"/>
              <w:spacing w:after="0" w:line="80" w:lineRule="exact"/>
              <w:rPr>
                <w:sz w:val="20"/>
                <w:szCs w:val="20"/>
                <w:color w:val="auto"/>
              </w:rPr>
            </w:pPr>
            <w:r>
              <w:rPr>
                <w:rFonts w:ascii="Arial" w:cs="Arial" w:eastAsia="Arial" w:hAnsi="Arial"/>
                <w:sz w:val="9"/>
                <w:szCs w:val="9"/>
                <w:color w:val="FFFFFF"/>
              </w:rPr>
              <w:t>basedpart of ? nance revenue. Impairment losses on debt instruments are reversed through the statement of comprehensive income if the increase in fair value of the</w:t>
            </w:r>
          </w:p>
        </w:tc>
      </w:tr>
    </w:tbl>
    <w:p>
      <w:pPr>
        <w:spacing w:after="0" w:line="25" w:lineRule="auto"/>
        <w:rPr>
          <w:sz w:val="20"/>
          <w:szCs w:val="20"/>
          <w:color w:val="auto"/>
        </w:rPr>
      </w:pPr>
      <w:r>
        <w:rPr>
          <w:rFonts w:ascii="Arial" w:cs="Arial" w:eastAsia="Arial" w:hAnsi="Arial"/>
          <w:sz w:val="1"/>
          <w:szCs w:val="1"/>
          <w:color w:val="FFFFFF"/>
        </w:rPr>
        <w:t>instruments can be objectively related to an event occurring after the impairment loss was recognized in the statement of comprehensive income.</w:t>
      </w:r>
    </w:p>
    <w:p>
      <w:pPr>
        <w:spacing w:after="0" w:line="28" w:lineRule="exact"/>
        <w:rPr>
          <w:sz w:val="20"/>
          <w:szCs w:val="20"/>
          <w:color w:val="auto"/>
        </w:rPr>
      </w:pPr>
    </w:p>
    <w:p>
      <w:pPr>
        <w:jc w:val="both"/>
        <w:spacing w:after="0" w:line="216" w:lineRule="auto"/>
        <w:rPr>
          <w:sz w:val="20"/>
          <w:szCs w:val="20"/>
          <w:color w:val="auto"/>
        </w:rPr>
      </w:pPr>
      <w:r>
        <w:rPr>
          <w:rFonts w:ascii="Arial" w:cs="Arial" w:eastAsia="Arial" w:hAnsi="Arial"/>
          <w:sz w:val="9"/>
          <w:szCs w:val="9"/>
          <w:color w:val="FFFFFF"/>
        </w:rPr>
        <w:t>Inventories are valued at the lower of cost and net realizable value. Cost is determined on the ? rst-in, ? rst-out, average or speci? c identi? cation methods. Net realizable value is based on estimated selling prices less estimated costs to be incurred on completion and disposal.</w:t>
      </w:r>
    </w:p>
    <w:p>
      <w:pPr>
        <w:spacing w:after="0" w:line="188" w:lineRule="auto"/>
        <w:rPr>
          <w:sz w:val="20"/>
          <w:szCs w:val="20"/>
          <w:color w:val="auto"/>
        </w:rPr>
      </w:pPr>
      <w:r>
        <w:rPr>
          <w:rFonts w:ascii="Arial" w:cs="Arial" w:eastAsia="Arial" w:hAnsi="Arial"/>
          <w:sz w:val="9"/>
          <w:szCs w:val="9"/>
          <w:color w:val="FFFFFF"/>
        </w:rPr>
        <w:t>Cash and cash equivalents</w:t>
      </w:r>
    </w:p>
    <w:p>
      <w:pPr>
        <w:spacing w:after="0" w:line="213" w:lineRule="auto"/>
        <w:rPr>
          <w:sz w:val="20"/>
          <w:szCs w:val="20"/>
          <w:color w:val="auto"/>
        </w:rPr>
      </w:pPr>
      <w:r>
        <w:rPr>
          <w:rFonts w:ascii="Arial" w:cs="Arial" w:eastAsia="Arial" w:hAnsi="Arial"/>
          <w:sz w:val="4"/>
          <w:szCs w:val="4"/>
          <w:color w:val="FFFFFF"/>
          <w:vertAlign w:val="subscript"/>
        </w:rPr>
        <w:t>Financial</w:t>
      </w:r>
      <w:r>
        <w:rPr>
          <w:rFonts w:ascii="Arial" w:cs="Arial" w:eastAsia="Arial" w:hAnsi="Arial"/>
          <w:sz w:val="2"/>
          <w:szCs w:val="2"/>
          <w:color w:val="FFFFFF"/>
        </w:rPr>
        <w:t>orthepurpose of the consolidatedinthestatementstatementof ?ofnancialcash? ows,positioncashcompriseandcashcashequivalentsatbanksconsistandon ofhandcashandandshortcashtermequivalentsdepositsaswithde?annedoriginalabove.maturity of three months or less, which are not restricted as to use.</w:t>
      </w:r>
    </w:p>
    <w:p>
      <w:pPr>
        <w:spacing w:after="0" w:line="181" w:lineRule="auto"/>
        <w:rPr>
          <w:sz w:val="20"/>
          <w:szCs w:val="20"/>
          <w:color w:val="auto"/>
        </w:rPr>
      </w:pPr>
      <w:r>
        <w:rPr>
          <w:rFonts w:ascii="Arial" w:cs="Arial" w:eastAsia="Arial" w:hAnsi="Arial"/>
          <w:sz w:val="7"/>
          <w:szCs w:val="7"/>
          <w:color w:val="FFFFFF"/>
        </w:rPr>
        <w:t>The Group’liabilitiesandthe Company’s fi nancial liabilities are generally classi? ed as other ? nancial liabilities, which include accounts payable, other payables, amounts due to related companies, interest-bearing bank loans, other current and long-term liabilities and derivatives, and are subsequently measured at amortized cost, using the effective interest rate method.</w:t>
      </w:r>
    </w:p>
    <w:p>
      <w:pPr>
        <w:spacing w:after="0"/>
        <w:rPr>
          <w:sz w:val="20"/>
          <w:szCs w:val="20"/>
          <w:color w:val="auto"/>
        </w:rPr>
      </w:pPr>
      <w:r>
        <w:rPr>
          <w:rFonts w:ascii="Arial" w:cs="Arial" w:eastAsia="Arial" w:hAnsi="Arial"/>
          <w:sz w:val="3"/>
          <w:szCs w:val="3"/>
          <w:color w:val="FFFFFF"/>
        </w:rPr>
        <w:t>Interest-bearing loans and borrowings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All loans and borrowings are initially recognized at fair value less directly attributable transaction costs, and have not been designated as “fair value through profi t or loss”.</w:t>
      </w:r>
    </w:p>
    <w:p>
      <w:pPr>
        <w:sectPr>
          <w:pgSz w:w="11900" w:h="16838" w:orient="portrait"/>
          <w:cols w:equalWidth="0" w:num="1">
            <w:col w:w="11400"/>
          </w:cols>
          <w:pgMar w:left="240" w:top="1440" w:right="25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spacing w:after="0"/>
              <w:rPr>
                <w:sz w:val="20"/>
                <w:szCs w:val="20"/>
                <w:color w:val="auto"/>
              </w:rPr>
            </w:pPr>
            <w:r>
              <w:rPr>
                <w:rFonts w:ascii="Arial" w:cs="Arial" w:eastAsia="Arial" w:hAnsi="Arial"/>
                <w:sz w:val="14"/>
                <w:szCs w:val="14"/>
                <w:color w:val="FFFFFF"/>
              </w:rPr>
              <w:t>Annual Report 2012 93</w:t>
            </w:r>
          </w:p>
        </w:tc>
        <w:tc>
          <w:tcPr>
            <w:tcW w:w="2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900" w:type="dxa"/>
            <w:vAlign w:val="bottom"/>
          </w:tcPr>
          <w:p>
            <w:pPr>
              <w:spacing w:after="0"/>
              <w:rPr>
                <w:sz w:val="14"/>
                <w:szCs w:val="14"/>
                <w:color w:val="auto"/>
              </w:rPr>
            </w:pP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8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900" w:type="dxa"/>
            <w:vAlign w:val="bottom"/>
          </w:tcPr>
          <w:p>
            <w:pPr>
              <w:spacing w:after="0"/>
              <w:rPr>
                <w:sz w:val="3"/>
                <w:szCs w:val="3"/>
                <w:color w:val="auto"/>
              </w:rPr>
            </w:pP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28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900" w:type="dxa"/>
            <w:vAlign w:val="bottom"/>
          </w:tcPr>
          <w:p>
            <w:pPr>
              <w:spacing w:after="0"/>
              <w:rPr>
                <w:sz w:val="3"/>
                <w:szCs w:val="3"/>
                <w:color w:val="auto"/>
              </w:rPr>
            </w:pPr>
          </w:p>
        </w:tc>
      </w:tr>
      <w:tr>
        <w:trPr>
          <w:trHeight w:val="41"/>
        </w:trPr>
        <w:tc>
          <w:tcPr>
            <w:tcW w:w="4640" w:type="dxa"/>
            <w:vAlign w:val="bottom"/>
            <w:gridSpan w:val="3"/>
          </w:tcPr>
          <w:p>
            <w:pPr>
              <w:spacing w:after="0"/>
              <w:rPr>
                <w:sz w:val="20"/>
                <w:szCs w:val="20"/>
                <w:color w:val="auto"/>
              </w:rPr>
            </w:pPr>
            <w:r>
              <w:rPr>
                <w:rFonts w:ascii="Arial" w:cs="Arial" w:eastAsia="Arial" w:hAnsi="Arial"/>
                <w:sz w:val="3"/>
                <w:szCs w:val="3"/>
                <w:color w:val="FFFFFF"/>
              </w:rPr>
              <w:t>For the year ended 31 December 2012</w:t>
            </w:r>
          </w:p>
        </w:tc>
        <w:tc>
          <w:tcPr>
            <w:tcW w:w="1880" w:type="dxa"/>
            <w:vAlign w:val="bottom"/>
          </w:tcPr>
          <w:p>
            <w:pPr>
              <w:spacing w:after="0"/>
              <w:rPr>
                <w:sz w:val="3"/>
                <w:szCs w:val="3"/>
                <w:color w:val="auto"/>
              </w:rPr>
            </w:pPr>
          </w:p>
        </w:tc>
        <w:tc>
          <w:tcPr>
            <w:tcW w:w="4900" w:type="dxa"/>
            <w:vAlign w:val="bottom"/>
          </w:tcPr>
          <w:p>
            <w:pPr>
              <w:spacing w:after="0"/>
              <w:rPr>
                <w:sz w:val="3"/>
                <w:szCs w:val="3"/>
                <w:color w:val="auto"/>
              </w:rPr>
            </w:pPr>
          </w:p>
        </w:tc>
      </w:tr>
      <w:tr>
        <w:trPr>
          <w:trHeight w:val="41"/>
        </w:trPr>
        <w:tc>
          <w:tcPr>
            <w:tcW w:w="464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1880" w:type="dxa"/>
            <w:vAlign w:val="bottom"/>
          </w:tcPr>
          <w:p>
            <w:pPr>
              <w:spacing w:after="0"/>
              <w:rPr>
                <w:sz w:val="3"/>
                <w:szCs w:val="3"/>
                <w:color w:val="auto"/>
              </w:rPr>
            </w:pPr>
          </w:p>
        </w:tc>
        <w:tc>
          <w:tcPr>
            <w:tcW w:w="4900" w:type="dxa"/>
            <w:vAlign w:val="bottom"/>
          </w:tcPr>
          <w:p>
            <w:pPr>
              <w:spacing w:after="0"/>
              <w:rPr>
                <w:sz w:val="3"/>
                <w:szCs w:val="3"/>
                <w:color w:val="auto"/>
              </w:rPr>
            </w:pP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Financial liabilities (continued)</w:t>
            </w:r>
          </w:p>
        </w:tc>
        <w:tc>
          <w:tcPr>
            <w:tcW w:w="28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900" w:type="dxa"/>
            <w:vAlign w:val="bottom"/>
          </w:tcPr>
          <w:p>
            <w:pPr>
              <w:spacing w:after="0"/>
              <w:rPr>
                <w:sz w:val="3"/>
                <w:szCs w:val="3"/>
                <w:color w:val="auto"/>
              </w:rPr>
            </w:pPr>
          </w:p>
        </w:tc>
      </w:tr>
      <w:tr>
        <w:trPr>
          <w:trHeight w:val="41"/>
        </w:trPr>
        <w:tc>
          <w:tcPr>
            <w:tcW w:w="4640" w:type="dxa"/>
            <w:vAlign w:val="bottom"/>
            <w:gridSpan w:val="3"/>
          </w:tcPr>
          <w:p>
            <w:pPr>
              <w:spacing w:after="0"/>
              <w:rPr>
                <w:sz w:val="20"/>
                <w:szCs w:val="20"/>
                <w:color w:val="auto"/>
              </w:rPr>
            </w:pPr>
            <w:r>
              <w:rPr>
                <w:rFonts w:ascii="Arial" w:cs="Arial" w:eastAsia="Arial" w:hAnsi="Arial"/>
                <w:sz w:val="3"/>
                <w:szCs w:val="3"/>
                <w:color w:val="FFFFFF"/>
              </w:rPr>
              <w:t>Interest-bearing loans and borrowings (continued)</w:t>
            </w:r>
          </w:p>
        </w:tc>
        <w:tc>
          <w:tcPr>
            <w:tcW w:w="1880" w:type="dxa"/>
            <w:vAlign w:val="bottom"/>
          </w:tcPr>
          <w:p>
            <w:pPr>
              <w:spacing w:after="0"/>
              <w:rPr>
                <w:sz w:val="3"/>
                <w:szCs w:val="3"/>
                <w:color w:val="auto"/>
              </w:rPr>
            </w:pPr>
          </w:p>
        </w:tc>
        <w:tc>
          <w:tcPr>
            <w:tcW w:w="4900" w:type="dxa"/>
            <w:vAlign w:val="bottom"/>
          </w:tcPr>
          <w:p>
            <w:pPr>
              <w:spacing w:after="0"/>
              <w:rPr>
                <w:sz w:val="3"/>
                <w:szCs w:val="3"/>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After initial recognition, inter st-bearing loans and borrowings are subsequently measured at amortized cost, using the effective interest rate method.</w:t>
            </w: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Gains and losses are recognized</w:t>
            </w:r>
          </w:p>
        </w:tc>
        <w:tc>
          <w:tcPr>
            <w:tcW w:w="9580" w:type="dxa"/>
            <w:vAlign w:val="bottom"/>
            <w:gridSpan w:val="3"/>
          </w:tcPr>
          <w:p>
            <w:pPr>
              <w:jc w:val="center"/>
              <w:ind w:right="803"/>
              <w:spacing w:after="0"/>
              <w:rPr>
                <w:sz w:val="20"/>
                <w:szCs w:val="20"/>
                <w:color w:val="auto"/>
              </w:rPr>
            </w:pPr>
            <w:r>
              <w:rPr>
                <w:rFonts w:ascii="Arial" w:cs="Arial" w:eastAsia="Arial" w:hAnsi="Arial"/>
                <w:sz w:val="3"/>
                <w:szCs w:val="3"/>
                <w:color w:val="FFFFFF"/>
              </w:rPr>
              <w:t>the statement of comprehensive income when the liabilities are derecognized as well as through the effective interest rate method (“EIR”) amortization process.</w:t>
            </w: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Amortized cost is calculated by taking into account any discount or premium on acquisition and fees or costs that are an integral part of the EIR. The EIR amortization is included in ? nance costs in the statement</w:t>
            </w: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of comprehensive income.</w:t>
            </w:r>
          </w:p>
        </w:tc>
        <w:tc>
          <w:tcPr>
            <w:tcW w:w="28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900" w:type="dxa"/>
            <w:vAlign w:val="bottom"/>
          </w:tcPr>
          <w:p>
            <w:pPr>
              <w:spacing w:after="0"/>
              <w:rPr>
                <w:sz w:val="3"/>
                <w:szCs w:val="3"/>
                <w:color w:val="auto"/>
              </w:rPr>
            </w:pPr>
          </w:p>
        </w:tc>
      </w:tr>
      <w:tr>
        <w:trPr>
          <w:trHeight w:val="41"/>
        </w:trPr>
        <w:tc>
          <w:tcPr>
            <w:tcW w:w="1840" w:type="dxa"/>
            <w:vAlign w:val="bottom"/>
            <w:gridSpan w:val="2"/>
          </w:tcPr>
          <w:p>
            <w:pPr>
              <w:spacing w:after="0"/>
              <w:rPr>
                <w:sz w:val="20"/>
                <w:szCs w:val="20"/>
                <w:color w:val="auto"/>
              </w:rPr>
            </w:pPr>
            <w:r>
              <w:rPr>
                <w:rFonts w:ascii="Arial" w:cs="Arial" w:eastAsia="Arial" w:hAnsi="Arial"/>
                <w:sz w:val="3"/>
                <w:szCs w:val="3"/>
                <w:color w:val="FFFFFF"/>
              </w:rPr>
              <w:t>Derivative ? nancial instruments</w:t>
            </w:r>
          </w:p>
        </w:tc>
        <w:tc>
          <w:tcPr>
            <w:tcW w:w="28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4900" w:type="dxa"/>
            <w:vAlign w:val="bottom"/>
          </w:tcPr>
          <w:p>
            <w:pPr>
              <w:spacing w:after="0"/>
              <w:rPr>
                <w:sz w:val="3"/>
                <w:szCs w:val="3"/>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The Group uses derivative ? nancial instruments, such as interest rate swaps, to manage risks associated with interest rate ? uctuations. Such derivative ? nancial instruments are initially recognized at fair value</w:t>
            </w: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on the date</w:t>
            </w:r>
          </w:p>
        </w:tc>
        <w:tc>
          <w:tcPr>
            <w:tcW w:w="5860" w:type="dxa"/>
            <w:vAlign w:val="bottom"/>
            <w:gridSpan w:val="3"/>
          </w:tcPr>
          <w:p>
            <w:pPr>
              <w:ind w:left="60"/>
              <w:spacing w:after="0"/>
              <w:rPr>
                <w:sz w:val="20"/>
                <w:szCs w:val="20"/>
                <w:color w:val="auto"/>
              </w:rPr>
            </w:pPr>
            <w:r>
              <w:rPr>
                <w:rFonts w:ascii="Arial" w:cs="Arial" w:eastAsia="Arial" w:hAnsi="Arial"/>
                <w:sz w:val="3"/>
                <w:szCs w:val="3"/>
                <w:color w:val="FFFFFF"/>
              </w:rPr>
              <w:t>derivative contract is entered into and are subsequently remeasured at fair value. Fair value is estimated</w:t>
            </w:r>
          </w:p>
        </w:tc>
        <w:tc>
          <w:tcPr>
            <w:tcW w:w="4900" w:type="dxa"/>
            <w:vAlign w:val="bottom"/>
          </w:tcPr>
          <w:p>
            <w:pPr>
              <w:ind w:left="180"/>
              <w:spacing w:after="0"/>
              <w:rPr>
                <w:sz w:val="20"/>
                <w:szCs w:val="20"/>
                <w:color w:val="auto"/>
              </w:rPr>
            </w:pPr>
            <w:r>
              <w:rPr>
                <w:rFonts w:ascii="Arial" w:cs="Arial" w:eastAsia="Arial" w:hAnsi="Arial"/>
                <w:sz w:val="3"/>
                <w:szCs w:val="3"/>
                <w:color w:val="FFFFFF"/>
              </w:rPr>
              <w:t>upon current, and predictions of future interest rate levels along a yield curve, the</w:t>
            </w:r>
          </w:p>
        </w:tc>
      </w:tr>
      <w:tr>
        <w:trPr>
          <w:trHeight w:val="20"/>
        </w:trPr>
        <w:tc>
          <w:tcPr>
            <w:tcW w:w="4640" w:type="dxa"/>
            <w:vAlign w:val="bottom"/>
            <w:gridSpan w:val="3"/>
          </w:tcPr>
          <w:p>
            <w:pPr>
              <w:spacing w:after="0" w:line="21" w:lineRule="exact"/>
              <w:rPr>
                <w:sz w:val="20"/>
                <w:szCs w:val="20"/>
                <w:color w:val="auto"/>
              </w:rPr>
            </w:pPr>
            <w:r>
              <w:rPr>
                <w:rFonts w:ascii="Arial" w:cs="Arial" w:eastAsia="Arial" w:hAnsi="Arial"/>
                <w:sz w:val="2"/>
                <w:szCs w:val="2"/>
                <w:color w:val="FFFFFF"/>
              </w:rPr>
              <w:t>by applyingdurationnon-performance valuation after considering the Group’s</w:t>
            </w:r>
          </w:p>
        </w:tc>
        <w:tc>
          <w:tcPr>
            <w:tcW w:w="6780" w:type="dxa"/>
            <w:vAlign w:val="bottom"/>
            <w:gridSpan w:val="2"/>
          </w:tcPr>
          <w:p>
            <w:pPr>
              <w:ind w:left="180"/>
              <w:spacing w:after="0" w:line="21" w:lineRule="exact"/>
              <w:rPr>
                <w:sz w:val="20"/>
                <w:szCs w:val="20"/>
                <w:color w:val="auto"/>
              </w:rPr>
            </w:pPr>
            <w:r>
              <w:rPr>
                <w:rFonts w:ascii="Arial" w:cs="Arial" w:eastAsia="Arial" w:hAnsi="Arial"/>
                <w:sz w:val="2"/>
                <w:szCs w:val="2"/>
                <w:color w:val="FFFFFF"/>
              </w:rPr>
              <w:t>or the creditworthiness of the Group’s counterparties at each settlement date. Derivatives are carried as assets when the</w:t>
            </w:r>
          </w:p>
        </w:tc>
      </w:tr>
      <w:tr>
        <w:trPr>
          <w:trHeight w:val="20"/>
        </w:trPr>
        <w:tc>
          <w:tcPr>
            <w:tcW w:w="660" w:type="dxa"/>
            <w:vAlign w:val="bottom"/>
          </w:tcPr>
          <w:p>
            <w:pPr>
              <w:spacing w:after="0" w:line="21" w:lineRule="exact"/>
              <w:rPr>
                <w:sz w:val="20"/>
                <w:szCs w:val="20"/>
                <w:color w:val="auto"/>
              </w:rPr>
            </w:pPr>
            <w:r>
              <w:rPr>
                <w:rFonts w:ascii="Arial" w:cs="Arial" w:eastAsia="Arial" w:hAnsi="Arial"/>
                <w:sz w:val="2"/>
                <w:szCs w:val="2"/>
                <w:color w:val="FFFFFF"/>
              </w:rPr>
              <w:t>remaining</w:t>
            </w:r>
          </w:p>
        </w:tc>
        <w:tc>
          <w:tcPr>
            <w:tcW w:w="10760" w:type="dxa"/>
            <w:vAlign w:val="bottom"/>
            <w:gridSpan w:val="4"/>
          </w:tcPr>
          <w:p>
            <w:pPr>
              <w:jc w:val="center"/>
              <w:ind w:left="385"/>
              <w:spacing w:after="0" w:line="21" w:lineRule="exact"/>
              <w:rPr>
                <w:sz w:val="20"/>
                <w:szCs w:val="20"/>
                <w:color w:val="auto"/>
              </w:rPr>
            </w:pPr>
            <w:r>
              <w:rPr>
                <w:rFonts w:ascii="Arial" w:cs="Arial" w:eastAsia="Arial" w:hAnsi="Arial"/>
                <w:sz w:val="2"/>
                <w:szCs w:val="2"/>
                <w:color w:val="FFFFFF"/>
              </w:rPr>
              <w:t>of the instrument and other market conditions and, therefore, is subject to signi? cant estimation andbasedhigh degree of variability of ? uctuation between periods. The Group adjusts this amount</w:t>
            </w:r>
          </w:p>
        </w:tc>
      </w:tr>
      <w:tr>
        <w:trPr>
          <w:trHeight w:val="81"/>
        </w:trPr>
        <w:tc>
          <w:tcPr>
            <w:tcW w:w="11420" w:type="dxa"/>
            <w:vAlign w:val="bottom"/>
            <w:gridSpan w:val="5"/>
          </w:tcPr>
          <w:p>
            <w:pPr>
              <w:spacing w:after="0" w:line="81" w:lineRule="exact"/>
              <w:rPr>
                <w:sz w:val="20"/>
                <w:szCs w:val="20"/>
                <w:color w:val="auto"/>
              </w:rPr>
            </w:pPr>
            <w:r>
              <w:rPr>
                <w:rFonts w:ascii="Arial" w:cs="Arial" w:eastAsia="Arial" w:hAnsi="Arial"/>
                <w:sz w:val="9"/>
                <w:szCs w:val="9"/>
                <w:color w:val="FFFFFF"/>
              </w:rPr>
              <w:t>fair value is positive and as liabilities when the fair value is negative. Allcreditworthinessgainslosses arising from changes in fair value on derivatives are taken directly to the statement of comprehensive income as none of</w:t>
            </w:r>
          </w:p>
        </w:tc>
      </w:tr>
      <w:tr>
        <w:trPr>
          <w:trHeight w:val="41"/>
        </w:trPr>
        <w:tc>
          <w:tcPr>
            <w:tcW w:w="4640" w:type="dxa"/>
            <w:vAlign w:val="bottom"/>
            <w:gridSpan w:val="3"/>
          </w:tcPr>
          <w:p>
            <w:pPr>
              <w:spacing w:after="0"/>
              <w:rPr>
                <w:sz w:val="20"/>
                <w:szCs w:val="20"/>
                <w:color w:val="auto"/>
              </w:rPr>
            </w:pPr>
            <w:r>
              <w:rPr>
                <w:rFonts w:ascii="Arial" w:cs="Arial" w:eastAsia="Arial" w:hAnsi="Arial"/>
                <w:sz w:val="3"/>
                <w:szCs w:val="3"/>
                <w:color w:val="FFFFFF"/>
              </w:rPr>
              <w:t>the derivatives qualify for hedge accounting.</w:t>
            </w:r>
          </w:p>
        </w:tc>
        <w:tc>
          <w:tcPr>
            <w:tcW w:w="1880" w:type="dxa"/>
            <w:vAlign w:val="bottom"/>
          </w:tcPr>
          <w:p>
            <w:pPr>
              <w:spacing w:after="0"/>
              <w:rPr>
                <w:sz w:val="3"/>
                <w:szCs w:val="3"/>
                <w:color w:val="auto"/>
              </w:rPr>
            </w:pPr>
          </w:p>
        </w:tc>
        <w:tc>
          <w:tcPr>
            <w:tcW w:w="4900" w:type="dxa"/>
            <w:vAlign w:val="bottom"/>
          </w:tcPr>
          <w:p>
            <w:pPr>
              <w:spacing w:after="0"/>
              <w:rPr>
                <w:sz w:val="3"/>
                <w:szCs w:val="3"/>
                <w:color w:val="auto"/>
              </w:rPr>
            </w:pPr>
          </w:p>
        </w:tc>
      </w:tr>
      <w:tr>
        <w:trPr>
          <w:trHeight w:val="41"/>
        </w:trPr>
        <w:tc>
          <w:tcPr>
            <w:tcW w:w="6520" w:type="dxa"/>
            <w:vAlign w:val="bottom"/>
            <w:gridSpan w:val="4"/>
          </w:tcPr>
          <w:p>
            <w:pPr>
              <w:spacing w:after="0"/>
              <w:rPr>
                <w:sz w:val="20"/>
                <w:szCs w:val="20"/>
                <w:color w:val="auto"/>
              </w:rPr>
            </w:pPr>
            <w:r>
              <w:rPr>
                <w:rFonts w:ascii="Arial" w:cs="Arial" w:eastAsia="Arial" w:hAnsi="Arial"/>
                <w:sz w:val="3"/>
                <w:szCs w:val="3"/>
                <w:color w:val="FFFFFF"/>
              </w:rPr>
              <w:t>The fair value of interest rate swap contracts is determined by using appropriate valuation techniques.</w:t>
            </w:r>
          </w:p>
        </w:tc>
        <w:tc>
          <w:tcPr>
            <w:tcW w:w="4900" w:type="dxa"/>
            <w:vAlign w:val="bottom"/>
          </w:tcPr>
          <w:p>
            <w:pPr>
              <w:spacing w:after="0"/>
              <w:rPr>
                <w:sz w:val="3"/>
                <w:szCs w:val="3"/>
                <w:color w:val="auto"/>
              </w:rPr>
            </w:pPr>
          </w:p>
        </w:tc>
      </w:tr>
      <w:tr>
        <w:trPr>
          <w:trHeight w:val="41"/>
        </w:trPr>
        <w:tc>
          <w:tcPr>
            <w:tcW w:w="4640" w:type="dxa"/>
            <w:vAlign w:val="bottom"/>
            <w:gridSpan w:val="3"/>
          </w:tcPr>
          <w:p>
            <w:pPr>
              <w:spacing w:after="0"/>
              <w:rPr>
                <w:sz w:val="20"/>
                <w:szCs w:val="20"/>
                <w:color w:val="auto"/>
              </w:rPr>
            </w:pPr>
            <w:r>
              <w:rPr>
                <w:rFonts w:ascii="Arial" w:cs="Arial" w:eastAsia="Arial" w:hAnsi="Arial"/>
                <w:sz w:val="3"/>
                <w:szCs w:val="3"/>
                <w:color w:val="FFFFFF"/>
              </w:rPr>
              <w:t>Cu rent versus non-current classi? cation</w:t>
            </w:r>
          </w:p>
        </w:tc>
        <w:tc>
          <w:tcPr>
            <w:tcW w:w="1880" w:type="dxa"/>
            <w:vAlign w:val="bottom"/>
          </w:tcPr>
          <w:p>
            <w:pPr>
              <w:spacing w:after="0"/>
              <w:rPr>
                <w:sz w:val="3"/>
                <w:szCs w:val="3"/>
                <w:color w:val="auto"/>
              </w:rPr>
            </w:pPr>
          </w:p>
        </w:tc>
        <w:tc>
          <w:tcPr>
            <w:tcW w:w="4900" w:type="dxa"/>
            <w:vAlign w:val="bottom"/>
          </w:tcPr>
          <w:p>
            <w:pPr>
              <w:spacing w:after="0"/>
              <w:rPr>
                <w:sz w:val="3"/>
                <w:szCs w:val="3"/>
                <w:color w:val="auto"/>
              </w:rPr>
            </w:pPr>
          </w:p>
        </w:tc>
      </w:tr>
      <w:tr>
        <w:trPr>
          <w:trHeight w:val="41"/>
        </w:trPr>
        <w:tc>
          <w:tcPr>
            <w:tcW w:w="660" w:type="dxa"/>
            <w:vAlign w:val="bottom"/>
          </w:tcPr>
          <w:p>
            <w:pPr>
              <w:spacing w:after="0"/>
              <w:rPr>
                <w:sz w:val="20"/>
                <w:szCs w:val="20"/>
                <w:color w:val="auto"/>
              </w:rPr>
            </w:pPr>
            <w:r>
              <w:rPr>
                <w:rFonts w:ascii="Arial" w:cs="Arial" w:eastAsia="Arial" w:hAnsi="Arial"/>
                <w:sz w:val="3"/>
                <w:szCs w:val="3"/>
                <w:color w:val="FFFFFF"/>
              </w:rPr>
              <w:t>Derivative</w:t>
            </w:r>
          </w:p>
        </w:tc>
        <w:tc>
          <w:tcPr>
            <w:tcW w:w="10760" w:type="dxa"/>
            <w:vAlign w:val="bottom"/>
            <w:gridSpan w:val="4"/>
          </w:tcPr>
          <w:p>
            <w:pPr>
              <w:ind w:left="620"/>
              <w:spacing w:after="0"/>
              <w:rPr>
                <w:sz w:val="20"/>
                <w:szCs w:val="20"/>
                <w:color w:val="auto"/>
              </w:rPr>
            </w:pPr>
            <w:r>
              <w:rPr>
                <w:rFonts w:ascii="Arial" w:cs="Arial" w:eastAsia="Arial" w:hAnsi="Arial"/>
                <w:sz w:val="3"/>
                <w:szCs w:val="3"/>
                <w:color w:val="FFFFFF"/>
              </w:rPr>
              <w:t>that are not designated as effective hedging instruments are classi? ed as current or non-current, or are separated into current and non-current portions, based on an assessment of the facts</w:t>
            </w:r>
          </w:p>
        </w:tc>
      </w:tr>
      <w:tr>
        <w:trPr>
          <w:trHeight w:val="213"/>
        </w:trPr>
        <w:tc>
          <w:tcPr>
            <w:tcW w:w="4640" w:type="dxa"/>
            <w:vAlign w:val="bottom"/>
            <w:gridSpan w:val="3"/>
          </w:tcPr>
          <w:p>
            <w:pPr>
              <w:spacing w:after="0"/>
              <w:rPr>
                <w:sz w:val="20"/>
                <w:szCs w:val="20"/>
                <w:color w:val="auto"/>
              </w:rPr>
            </w:pPr>
            <w:r>
              <w:rPr>
                <w:rFonts w:ascii="Arial" w:cs="Arial" w:eastAsia="Arial" w:hAnsi="Arial"/>
                <w:sz w:val="14"/>
                <w:szCs w:val="14"/>
                <w:color w:val="FFFFFF"/>
              </w:rPr>
              <w:t>and circumstancesinstruments(i.. the underlying contracted cash ? ows).</w:t>
            </w:r>
          </w:p>
        </w:tc>
        <w:tc>
          <w:tcPr>
            <w:tcW w:w="1880" w:type="dxa"/>
            <w:vAlign w:val="bottom"/>
          </w:tcPr>
          <w:p>
            <w:pPr>
              <w:spacing w:after="0"/>
              <w:rPr>
                <w:sz w:val="18"/>
                <w:szCs w:val="18"/>
                <w:color w:val="auto"/>
              </w:rPr>
            </w:pPr>
          </w:p>
        </w:tc>
        <w:tc>
          <w:tcPr>
            <w:tcW w:w="4900" w:type="dxa"/>
            <w:vAlign w:val="bottom"/>
          </w:tcPr>
          <w:p>
            <w:pPr>
              <w:spacing w:after="0"/>
              <w:rPr>
                <w:sz w:val="18"/>
                <w:szCs w:val="18"/>
                <w:color w:val="auto"/>
              </w:rPr>
            </w:pPr>
          </w:p>
        </w:tc>
      </w:tr>
    </w:tbl>
    <w:p>
      <w:pPr>
        <w:sectPr>
          <w:pgSz w:w="11900" w:h="16838" w:orient="portrait"/>
          <w:cols w:equalWidth="0" w:num="1">
            <w:col w:w="11420"/>
          </w:cols>
          <w:pgMar w:left="240" w:top="1440" w:right="239" w:bottom="1440" w:gutter="0" w:footer="0" w:header="0"/>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40" w:type="dxa"/>
            <w:vAlign w:val="bottom"/>
          </w:tcPr>
          <w:p>
            <w:pPr>
              <w:spacing w:after="0"/>
              <w:rPr>
                <w:sz w:val="20"/>
                <w:szCs w:val="20"/>
                <w:color w:val="auto"/>
              </w:rPr>
            </w:pPr>
            <w:r>
              <w:rPr>
                <w:rFonts w:ascii="Arial" w:cs="Arial" w:eastAsia="Arial" w:hAnsi="Arial"/>
                <w:sz w:val="14"/>
                <w:szCs w:val="14"/>
                <w:color w:val="FFFFFF"/>
              </w:rPr>
              <w:t>94 Wynn Macau, Limited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0040" w:type="dxa"/>
            <w:vAlign w:val="bottom"/>
          </w:tcPr>
          <w:p>
            <w:pPr>
              <w:spacing w:after="0"/>
              <w:rPr>
                <w:sz w:val="20"/>
                <w:szCs w:val="20"/>
                <w:color w:val="auto"/>
              </w:rPr>
            </w:pPr>
            <w:r>
              <w:rPr>
                <w:rFonts w:ascii="Arial" w:cs="Arial" w:eastAsia="Arial" w:hAnsi="Arial"/>
                <w:sz w:val="3"/>
                <w:szCs w:val="3"/>
                <w:color w:val="FFFFFF"/>
              </w:rPr>
              <w:t>Financial Statements</w:t>
            </w: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4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40" w:type="dxa"/>
            <w:vAlign w:val="bottom"/>
          </w:tcPr>
          <w:p>
            <w:pPr>
              <w:spacing w:after="0"/>
              <w:rPr>
                <w:sz w:val="20"/>
                <w:szCs w:val="20"/>
                <w:color w:val="auto"/>
              </w:rPr>
            </w:pPr>
            <w:r>
              <w:rPr>
                <w:rFonts w:ascii="Arial" w:cs="Arial" w:eastAsia="Arial" w:hAnsi="Arial"/>
                <w:sz w:val="3"/>
                <w:szCs w:val="3"/>
                <w:color w:val="FFFFFF"/>
              </w:rPr>
              <w:t>For the year ended 31 December 2012</w:t>
            </w: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40" w:type="dxa"/>
            <w:vAlign w:val="bottom"/>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40" w:type="dxa"/>
            <w:vAlign w:val="bottom"/>
          </w:tcPr>
          <w:p>
            <w:pPr>
              <w:spacing w:after="0"/>
              <w:rPr>
                <w:sz w:val="20"/>
                <w:szCs w:val="20"/>
                <w:color w:val="auto"/>
              </w:rPr>
            </w:pPr>
            <w:r>
              <w:rPr>
                <w:rFonts w:ascii="Arial" w:cs="Arial" w:eastAsia="Arial" w:hAnsi="Arial"/>
                <w:sz w:val="3"/>
                <w:szCs w:val="3"/>
                <w:color w:val="FFFFFF"/>
              </w:rPr>
              <w:t>Derecognition of ? nancial assets and liabilities</w:t>
            </w: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40" w:type="dxa"/>
            <w:vAlign w:val="bottom"/>
          </w:tcPr>
          <w:p>
            <w:pPr>
              <w:spacing w:after="0"/>
              <w:rPr>
                <w:sz w:val="20"/>
                <w:szCs w:val="20"/>
                <w:color w:val="auto"/>
              </w:rPr>
            </w:pPr>
            <w:r>
              <w:rPr>
                <w:rFonts w:ascii="Arial" w:cs="Arial" w:eastAsia="Arial" w:hAnsi="Arial"/>
                <w:sz w:val="3"/>
                <w:szCs w:val="3"/>
                <w:color w:val="FFFFFF"/>
              </w:rPr>
              <w:t>Financial assets</w:t>
            </w: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40" w:type="dxa"/>
            <w:vAlign w:val="bottom"/>
          </w:tcPr>
          <w:p>
            <w:pPr>
              <w:spacing w:after="0"/>
              <w:rPr>
                <w:sz w:val="20"/>
                <w:szCs w:val="20"/>
                <w:color w:val="auto"/>
              </w:rPr>
            </w:pPr>
            <w:r>
              <w:rPr>
                <w:rFonts w:ascii="Arial" w:cs="Arial" w:eastAsia="Arial" w:hAnsi="Arial"/>
                <w:sz w:val="3"/>
                <w:szCs w:val="3"/>
                <w:color w:val="FFFFFF"/>
              </w:rPr>
              <w:t>A ? nancial asset (or, where applicable, a part of  ? nancial asset or part of a group of similar ? nancial assets) is derecognized when:</w:t>
            </w: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40" w:type="dxa"/>
            <w:vAlign w:val="bottom"/>
          </w:tcPr>
          <w:p>
            <w:pPr>
              <w:ind w:left="280"/>
              <w:spacing w:after="0"/>
              <w:rPr>
                <w:sz w:val="20"/>
                <w:szCs w:val="20"/>
                <w:color w:val="auto"/>
              </w:rPr>
            </w:pPr>
            <w:r>
              <w:rPr>
                <w:rFonts w:ascii="Arial" w:cs="Arial" w:eastAsia="Arial" w:hAnsi="Arial"/>
                <w:sz w:val="3"/>
                <w:szCs w:val="3"/>
                <w:color w:val="FFFFFF"/>
              </w:rPr>
              <w:t>rights to receive cash fl ows from the asset have expired; or</w:t>
            </w: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 the Group has transferred its rights to receive cash fl ows from the asset or has assumed an obligation to pay cash ? ow receipts in full without material delay to  third party under a “pass-through”</w:t>
            </w: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arrangement; and either (a) the Group has transferred substantially all the risks and rewards of the asset, or (b) the Group has neither transferred nor retained substantially all the risks and rewards of the asset, but</w:t>
            </w:r>
          </w:p>
        </w:tc>
        <w:tc>
          <w:tcPr>
            <w:tcW w:w="0" w:type="dxa"/>
            <w:vAlign w:val="bottom"/>
          </w:tcPr>
          <w:p>
            <w:pPr>
              <w:spacing w:after="0"/>
              <w:rPr>
                <w:sz w:val="1"/>
                <w:szCs w:val="1"/>
                <w:color w:val="auto"/>
              </w:rPr>
            </w:pPr>
          </w:p>
        </w:tc>
      </w:tr>
      <w:tr>
        <w:trPr>
          <w:trHeight w:val="41"/>
        </w:trPr>
        <w:tc>
          <w:tcPr>
            <w:tcW w:w="10040" w:type="dxa"/>
            <w:vAlign w:val="bottom"/>
          </w:tcPr>
          <w:p>
            <w:pPr>
              <w:spacing w:after="0"/>
              <w:rPr>
                <w:sz w:val="20"/>
                <w:szCs w:val="20"/>
                <w:color w:val="auto"/>
              </w:rPr>
            </w:pPr>
            <w:r>
              <w:rPr>
                <w:rFonts w:ascii="Arial" w:cs="Arial" w:eastAsia="Arial" w:hAnsi="Arial"/>
                <w:sz w:val="3"/>
                <w:szCs w:val="3"/>
                <w:color w:val="FFFFFF"/>
              </w:rPr>
              <w:t>has transferred control of the asset.</w:t>
            </w:r>
          </w:p>
        </w:tc>
        <w:tc>
          <w:tcPr>
            <w:tcW w:w="1360" w:type="dxa"/>
            <w:vAlign w:val="bottom"/>
            <w:vMerge w:val="restart"/>
          </w:tcPr>
          <w:p>
            <w:pPr>
              <w:ind w:left="480"/>
              <w:spacing w:after="0" w:line="81" w:lineRule="exact"/>
              <w:rPr>
                <w:sz w:val="20"/>
                <w:szCs w:val="20"/>
                <w:color w:val="auto"/>
              </w:rPr>
            </w:pPr>
            <w:r>
              <w:rPr>
                <w:rFonts w:ascii="Arial" w:cs="Arial" w:eastAsia="Arial" w:hAnsi="Arial"/>
                <w:sz w:val="9"/>
                <w:szCs w:val="9"/>
                <w:color w:val="FFFFFF"/>
              </w:rPr>
              <w:t>of ownership of</w:t>
            </w:r>
          </w:p>
        </w:tc>
        <w:tc>
          <w:tcPr>
            <w:tcW w:w="0" w:type="dxa"/>
            <w:vAlign w:val="bottom"/>
          </w:tcPr>
          <w:p>
            <w:pPr>
              <w:spacing w:after="0"/>
              <w:rPr>
                <w:sz w:val="1"/>
                <w:szCs w:val="1"/>
                <w:color w:val="auto"/>
              </w:rPr>
            </w:pPr>
          </w:p>
        </w:tc>
      </w:tr>
      <w:tr>
        <w:trPr>
          <w:trHeight w:val="41"/>
        </w:trPr>
        <w:tc>
          <w:tcPr>
            <w:tcW w:w="10040" w:type="dxa"/>
            <w:vAlign w:val="bottom"/>
          </w:tcPr>
          <w:p>
            <w:pPr>
              <w:spacing w:after="0"/>
              <w:rPr>
                <w:sz w:val="20"/>
                <w:szCs w:val="20"/>
                <w:color w:val="auto"/>
              </w:rPr>
            </w:pPr>
            <w:r>
              <w:rPr>
                <w:rFonts w:ascii="Arial" w:cs="Arial" w:eastAsia="Arial" w:hAnsi="Arial"/>
                <w:sz w:val="3"/>
                <w:szCs w:val="3"/>
                <w:color w:val="FFFFFF"/>
              </w:rPr>
              <w:t>When the Group has transferred its rights to receive cash ? ows from an asset or has  ntered into a pass-through arrangement, it evaluates if and to what extent it has retained the risk and</w:t>
            </w:r>
          </w:p>
        </w:tc>
        <w:tc>
          <w:tcPr>
            <w:tcW w:w="13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the asset. When it has neither transferred nor retained substantially all the risks and rewards of the asset nor transferred control of the asset, the asset is recognized to the extent of the Group’rewardscontinuing</w:t>
            </w:r>
          </w:p>
        </w:tc>
        <w:tc>
          <w:tcPr>
            <w:tcW w:w="0" w:type="dxa"/>
            <w:vAlign w:val="bottom"/>
          </w:tcPr>
          <w:p>
            <w:pPr>
              <w:spacing w:after="0"/>
              <w:rPr>
                <w:sz w:val="1"/>
                <w:szCs w:val="1"/>
                <w:color w:val="auto"/>
              </w:rPr>
            </w:pP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involvement in the asset. Continuing involvement that takes the form of a guarantee over the transferred asset is measured at the lower of the original carrying amount of the asset and the maximum amount of</w:t>
            </w:r>
          </w:p>
        </w:tc>
        <w:tc>
          <w:tcPr>
            <w:tcW w:w="0" w:type="dxa"/>
            <w:vAlign w:val="bottom"/>
          </w:tcPr>
          <w:p>
            <w:pPr>
              <w:spacing w:after="0"/>
              <w:rPr>
                <w:sz w:val="1"/>
                <w:szCs w:val="1"/>
                <w:color w:val="auto"/>
              </w:rPr>
            </w:pPr>
          </w:p>
        </w:tc>
      </w:tr>
      <w:tr>
        <w:trPr>
          <w:trHeight w:val="41"/>
        </w:trPr>
        <w:tc>
          <w:tcPr>
            <w:tcW w:w="10040" w:type="dxa"/>
            <w:vAlign w:val="bottom"/>
          </w:tcPr>
          <w:p>
            <w:pPr>
              <w:spacing w:after="0"/>
              <w:rPr>
                <w:sz w:val="20"/>
                <w:szCs w:val="20"/>
                <w:color w:val="auto"/>
              </w:rPr>
            </w:pPr>
            <w:r>
              <w:rPr>
                <w:rFonts w:ascii="Arial" w:cs="Arial" w:eastAsia="Arial" w:hAnsi="Arial"/>
                <w:sz w:val="3"/>
                <w:szCs w:val="3"/>
                <w:color w:val="FFFFFF"/>
              </w:rPr>
              <w:t>consideration that the Group could be required to repay.</w:t>
            </w:r>
          </w:p>
        </w:tc>
        <w:tc>
          <w:tcPr>
            <w:tcW w:w="1360" w:type="dxa"/>
            <w:vAlign w:val="bottom"/>
            <w:vMerge w:val="restart"/>
          </w:tcPr>
          <w:p>
            <w:pPr>
              <w:spacing w:after="0"/>
              <w:rPr>
                <w:sz w:val="20"/>
                <w:szCs w:val="20"/>
                <w:color w:val="auto"/>
              </w:rPr>
            </w:pPr>
            <w:r>
              <w:rPr>
                <w:rFonts w:ascii="Arial" w:cs="Arial" w:eastAsia="Arial" w:hAnsi="Arial"/>
                <w:sz w:val="3"/>
                <w:szCs w:val="3"/>
                <w:color w:val="FFFFFF"/>
              </w:rPr>
              <w:t>continuing involvement</w:t>
            </w:r>
          </w:p>
        </w:tc>
        <w:tc>
          <w:tcPr>
            <w:tcW w:w="0" w:type="dxa"/>
            <w:vAlign w:val="bottom"/>
          </w:tcPr>
          <w:p>
            <w:pPr>
              <w:spacing w:after="0"/>
              <w:rPr>
                <w:sz w:val="1"/>
                <w:szCs w:val="1"/>
                <w:color w:val="auto"/>
              </w:rPr>
            </w:pPr>
          </w:p>
        </w:tc>
      </w:tr>
      <w:tr>
        <w:trPr>
          <w:trHeight w:val="0"/>
        </w:trPr>
        <w:tc>
          <w:tcPr>
            <w:tcW w:w="10040" w:type="dxa"/>
            <w:vAlign w:val="bottom"/>
          </w:tcPr>
          <w:p>
            <w:pPr>
              <w:spacing w:after="0" w:line="80" w:lineRule="exact"/>
              <w:rPr>
                <w:sz w:val="20"/>
                <w:szCs w:val="20"/>
                <w:color w:val="auto"/>
              </w:rPr>
            </w:pPr>
            <w:r>
              <w:rPr>
                <w:rFonts w:ascii="Arial" w:cs="Arial" w:eastAsia="Arial" w:hAnsi="Arial"/>
                <w:sz w:val="9"/>
                <w:szCs w:val="9"/>
                <w:color w:val="FFFFFF"/>
              </w:rPr>
              <w:t>When continuing involvement takes the form of a written and/or purchased option (including a cash settled option or similar provision) on the transferred asset, the extent of the Group’</w:t>
            </w: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7" w:lineRule="auto"/>
        <w:rPr>
          <w:sz w:val="20"/>
          <w:szCs w:val="20"/>
          <w:color w:val="auto"/>
        </w:rPr>
      </w:pPr>
      <w:r>
        <w:rPr>
          <w:rFonts w:ascii="Arial" w:cs="Arial" w:eastAsia="Arial" w:hAnsi="Arial"/>
          <w:sz w:val="2"/>
          <w:szCs w:val="2"/>
          <w:color w:val="FFFFFF"/>
        </w:rPr>
        <w:t xml:space="preserve">is the amount of the transferred asset that the Group may repurchase, except that in the case </w:t>
      </w:r>
      <w:r>
        <w:rPr>
          <w:rFonts w:ascii="Arial" w:cs="Arial" w:eastAsia="Arial" w:hAnsi="Arial"/>
          <w:sz w:val="4"/>
          <w:szCs w:val="4"/>
          <w:color w:val="FFFFFF"/>
          <w:vertAlign w:val="subscript"/>
        </w:rPr>
        <w:t>transferred</w:t>
      </w:r>
      <w:r>
        <w:rPr>
          <w:rFonts w:ascii="Arial" w:cs="Arial" w:eastAsia="Arial" w:hAnsi="Arial"/>
          <w:sz w:val="2"/>
          <w:szCs w:val="2"/>
          <w:color w:val="FFFFFF"/>
        </w:rPr>
        <w:t>ofwritten put option (including a cash settled option or similar provision) on an asset measured at fair value, the</w:t>
      </w:r>
    </w:p>
    <w:p>
      <w:pPr>
        <w:spacing w:after="0"/>
        <w:tabs>
          <w:tab w:leader="none" w:pos="5560" w:val="left"/>
        </w:tabs>
        <w:rPr>
          <w:sz w:val="20"/>
          <w:szCs w:val="20"/>
          <w:color w:val="auto"/>
        </w:rPr>
      </w:pPr>
      <w:r>
        <w:rPr>
          <w:rFonts w:ascii="Arial" w:cs="Arial" w:eastAsia="Arial" w:hAnsi="Arial"/>
          <w:sz w:val="3"/>
          <w:szCs w:val="3"/>
          <w:color w:val="FFFFFF"/>
        </w:rPr>
        <w:t>Financialextentof theliabilitiesGroup’s continuing involvement is limited to the lower of the fair value of the</w:t>
      </w:r>
      <w:r>
        <w:rPr>
          <w:sz w:val="20"/>
          <w:szCs w:val="20"/>
          <w:color w:val="auto"/>
        </w:rPr>
        <w:tab/>
      </w:r>
      <w:r>
        <w:rPr>
          <w:rFonts w:ascii="Arial" w:cs="Arial" w:eastAsia="Arial" w:hAnsi="Arial"/>
          <w:sz w:val="3"/>
          <w:szCs w:val="3"/>
          <w:color w:val="FFFFFF"/>
        </w:rPr>
        <w:t>asset and the option exercise price.</w:t>
      </w:r>
    </w:p>
    <w:p>
      <w:pPr>
        <w:spacing w:after="0" w:line="6" w:lineRule="exact"/>
        <w:rPr>
          <w:sz w:val="20"/>
          <w:szCs w:val="20"/>
          <w:color w:val="auto"/>
        </w:rPr>
      </w:pPr>
    </w:p>
    <w:p>
      <w:pPr>
        <w:ind w:right="40"/>
        <w:spacing w:after="0"/>
        <w:rPr>
          <w:sz w:val="20"/>
          <w:szCs w:val="20"/>
          <w:color w:val="auto"/>
        </w:rPr>
      </w:pPr>
      <w:r>
        <w:rPr>
          <w:rFonts w:ascii="Arial" w:cs="Arial" w:eastAsia="Arial" w:hAnsi="Arial"/>
          <w:sz w:val="6"/>
          <w:szCs w:val="6"/>
          <w:color w:val="FFFFFF"/>
        </w:rPr>
        <w:t xml:space="preserve">A ? nancial liability is derecognized when the obligation under the liability is discharged or cancelled, or expires. When an existing ? nancial liability is replaced by another from the same lender on substantially </w:t>
      </w:r>
      <w:r>
        <w:rPr>
          <w:rFonts w:ascii="Arial" w:cs="Arial" w:eastAsia="Arial" w:hAnsi="Arial"/>
          <w:sz w:val="7"/>
          <w:szCs w:val="7"/>
          <w:color w:val="FFFFFF"/>
          <w:vertAlign w:val="subscript"/>
        </w:rPr>
        <w:t>difference</w:t>
      </w:r>
      <w:r>
        <w:rPr>
          <w:rFonts w:ascii="Arial" w:cs="Arial" w:eastAsia="Arial" w:hAnsi="Arial"/>
          <w:sz w:val="6"/>
          <w:szCs w:val="6"/>
          <w:color w:val="FFFFFF"/>
        </w:rPr>
        <w:t>tterms, or the terms of an existing liability are substantially modi? ed, such an exchange or modi? cation is treated as a derecognition of the original liability and the recognition of a new liability, and the</w:t>
      </w:r>
    </w:p>
    <w:p>
      <w:pPr>
        <w:ind w:left="580"/>
        <w:spacing w:after="0"/>
        <w:rPr>
          <w:sz w:val="20"/>
          <w:szCs w:val="20"/>
          <w:color w:val="auto"/>
        </w:rPr>
      </w:pPr>
      <w:r>
        <w:rPr>
          <w:rFonts w:ascii="Arial" w:cs="Arial" w:eastAsia="Arial" w:hAnsi="Arial"/>
          <w:sz w:val="14"/>
          <w:szCs w:val="14"/>
          <w:color w:val="FFFFFF"/>
        </w:rPr>
        <w:t>in the respective carrying amounts is recognized in the statement of comprehensive income.</w:t>
      </w:r>
    </w:p>
    <w:p>
      <w:pPr>
        <w:sectPr>
          <w:pgSz w:w="11900" w:h="16838" w:orient="portrait"/>
          <w:cols w:equalWidth="0" w:num="1">
            <w:col w:w="11400"/>
          </w:cols>
          <w:pgMar w:left="240" w:top="1440" w:right="259" w:bottom="1440" w:gutter="0" w:footer="0" w:header="0"/>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3"/>
          </w:tcPr>
          <w:p>
            <w:pPr>
              <w:spacing w:after="0"/>
              <w:rPr>
                <w:sz w:val="20"/>
                <w:szCs w:val="20"/>
                <w:color w:val="auto"/>
              </w:rPr>
            </w:pPr>
            <w:r>
              <w:rPr>
                <w:rFonts w:ascii="Arial" w:cs="Arial" w:eastAsia="Arial" w:hAnsi="Arial"/>
                <w:sz w:val="14"/>
                <w:szCs w:val="14"/>
                <w:color w:val="FFFFFF"/>
              </w:rPr>
              <w:t>Annual Report 2012 95</w:t>
            </w:r>
          </w:p>
        </w:tc>
        <w:tc>
          <w:tcPr>
            <w:tcW w:w="1980" w:type="dxa"/>
            <w:vAlign w:val="bottom"/>
          </w:tcPr>
          <w:p>
            <w:pPr>
              <w:spacing w:after="0"/>
              <w:rPr>
                <w:sz w:val="14"/>
                <w:szCs w:val="14"/>
                <w:color w:val="auto"/>
              </w:rPr>
            </w:pPr>
          </w:p>
        </w:tc>
      </w:tr>
      <w:tr>
        <w:trPr>
          <w:trHeight w:val="41"/>
        </w:trPr>
        <w:tc>
          <w:tcPr>
            <w:tcW w:w="322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1980" w:type="dxa"/>
            <w:vAlign w:val="bottom"/>
          </w:tcPr>
          <w:p>
            <w:pPr>
              <w:spacing w:after="0"/>
              <w:rPr>
                <w:sz w:val="3"/>
                <w:szCs w:val="3"/>
                <w:color w:val="auto"/>
              </w:rPr>
            </w:pPr>
          </w:p>
        </w:tc>
      </w:tr>
      <w:tr>
        <w:trPr>
          <w:trHeight w:val="41"/>
        </w:trPr>
        <w:tc>
          <w:tcPr>
            <w:tcW w:w="322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1980" w:type="dxa"/>
            <w:vAlign w:val="bottom"/>
          </w:tcPr>
          <w:p>
            <w:pPr>
              <w:spacing w:after="0"/>
              <w:rPr>
                <w:sz w:val="3"/>
                <w:szCs w:val="3"/>
                <w:color w:val="auto"/>
              </w:rPr>
            </w:pPr>
          </w:p>
        </w:tc>
      </w:tr>
      <w:tr>
        <w:trPr>
          <w:trHeight w:val="41"/>
        </w:trPr>
        <w:tc>
          <w:tcPr>
            <w:tcW w:w="3220" w:type="dxa"/>
            <w:vAlign w:val="bottom"/>
            <w:gridSpan w:val="3"/>
          </w:tcPr>
          <w:p>
            <w:pPr>
              <w:spacing w:after="0"/>
              <w:rPr>
                <w:sz w:val="20"/>
                <w:szCs w:val="20"/>
                <w:color w:val="auto"/>
              </w:rPr>
            </w:pPr>
            <w:r>
              <w:rPr>
                <w:rFonts w:ascii="Arial" w:cs="Arial" w:eastAsia="Arial" w:hAnsi="Arial"/>
                <w:sz w:val="3"/>
                <w:szCs w:val="3"/>
                <w:color w:val="FFFFFF"/>
              </w:rPr>
              <w:t>For the year ended 31 December 2012</w:t>
            </w:r>
          </w:p>
        </w:tc>
        <w:tc>
          <w:tcPr>
            <w:tcW w:w="1980" w:type="dxa"/>
            <w:vAlign w:val="bottom"/>
          </w:tcPr>
          <w:p>
            <w:pPr>
              <w:spacing w:after="0"/>
              <w:rPr>
                <w:sz w:val="3"/>
                <w:szCs w:val="3"/>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2.2</w:t>
            </w:r>
          </w:p>
        </w:tc>
        <w:tc>
          <w:tcPr>
            <w:tcW w:w="4880" w:type="dxa"/>
            <w:vAlign w:val="bottom"/>
            <w:gridSpan w:val="3"/>
          </w:tcPr>
          <w:p>
            <w:pPr>
              <w:ind w:left="140"/>
              <w:spacing w:after="0"/>
              <w:rPr>
                <w:sz w:val="20"/>
                <w:szCs w:val="20"/>
                <w:color w:val="auto"/>
              </w:rPr>
            </w:pPr>
            <w:r>
              <w:rPr>
                <w:rFonts w:ascii="Arial" w:cs="Arial" w:eastAsia="Arial" w:hAnsi="Arial"/>
                <w:sz w:val="3"/>
                <w:szCs w:val="3"/>
                <w:color w:val="FFFFFF"/>
              </w:rPr>
              <w:t>SUMMARY OF SIGNIFICANT ACCOUNTING POLICIES (CONTINUED)</w:t>
            </w:r>
          </w:p>
        </w:tc>
      </w:tr>
      <w:tr>
        <w:trPr>
          <w:trHeight w:val="95"/>
        </w:trPr>
        <w:tc>
          <w:tcPr>
            <w:tcW w:w="5200" w:type="dxa"/>
            <w:vAlign w:val="bottom"/>
            <w:gridSpan w:val="4"/>
          </w:tcPr>
          <w:p>
            <w:pPr>
              <w:spacing w:after="0" w:line="95" w:lineRule="exact"/>
              <w:rPr>
                <w:sz w:val="20"/>
                <w:szCs w:val="20"/>
                <w:color w:val="auto"/>
              </w:rPr>
            </w:pPr>
            <w:r>
              <w:rPr>
                <w:rFonts w:ascii="Arial" w:cs="Arial" w:eastAsia="Arial" w:hAnsi="Arial"/>
                <w:sz w:val="10"/>
                <w:szCs w:val="10"/>
                <w:color w:val="FFFFFF"/>
              </w:rPr>
              <w:t>Provisions are recognized when the Group has a present obligation (legal or constructive) as a</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result of a past event, it is probable that   out?ow of resources embodying economic bene?ts</w:t>
            </w:r>
          </w:p>
        </w:tc>
      </w:tr>
      <w:tr>
        <w:trPr>
          <w:trHeight w:val="41"/>
        </w:trPr>
        <w:tc>
          <w:tcPr>
            <w:tcW w:w="3220" w:type="dxa"/>
            <w:vAlign w:val="bottom"/>
            <w:gridSpan w:val="3"/>
          </w:tcPr>
          <w:p>
            <w:pPr>
              <w:spacing w:after="0"/>
              <w:rPr>
                <w:sz w:val="20"/>
                <w:szCs w:val="20"/>
                <w:color w:val="auto"/>
              </w:rPr>
            </w:pPr>
            <w:r>
              <w:rPr>
                <w:rFonts w:ascii="Arial" w:cs="Arial" w:eastAsia="Arial" w:hAnsi="Arial"/>
                <w:sz w:val="3"/>
                <w:szCs w:val="3"/>
                <w:color w:val="FFFFFF"/>
              </w:rPr>
              <w:t>will be required to settle the obligation and a reliable</w:t>
            </w:r>
          </w:p>
        </w:tc>
        <w:tc>
          <w:tcPr>
            <w:tcW w:w="1980" w:type="dxa"/>
            <w:vAlign w:val="bottom"/>
          </w:tcPr>
          <w:p>
            <w:pPr>
              <w:ind w:left="160"/>
              <w:spacing w:after="0"/>
              <w:rPr>
                <w:sz w:val="20"/>
                <w:szCs w:val="20"/>
                <w:color w:val="auto"/>
              </w:rPr>
            </w:pPr>
            <w:r>
              <w:rPr>
                <w:rFonts w:ascii="Arial" w:cs="Arial" w:eastAsia="Arial" w:hAnsi="Arial"/>
                <w:sz w:val="3"/>
                <w:szCs w:val="3"/>
                <w:color w:val="FFFFFF"/>
              </w:rPr>
              <w:t>can be made of the amount</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of the obligation. Where the Group expects some or allestimateofprovision to be reimbursed, for</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example under an insurance contract, the reimbursement is recognized as a separate asset</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but only when the reimbursement is virtually certain. The expense relating to any provision is</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presented in the consolidated statement of comprehensive income net of any reimbursement. If</w:t>
            </w:r>
          </w:p>
        </w:tc>
      </w:tr>
      <w:tr>
        <w:trPr>
          <w:trHeight w:val="41"/>
        </w:trPr>
        <w:tc>
          <w:tcPr>
            <w:tcW w:w="5200" w:type="dxa"/>
            <w:vAlign w:val="bottom"/>
            <w:gridSpan w:val="4"/>
          </w:tcPr>
          <w:p>
            <w:pPr>
              <w:ind w:left="40"/>
              <w:spacing w:after="0"/>
              <w:rPr>
                <w:sz w:val="20"/>
                <w:szCs w:val="20"/>
                <w:color w:val="auto"/>
              </w:rPr>
            </w:pPr>
            <w:r>
              <w:rPr>
                <w:rFonts w:ascii="Arial" w:cs="Arial" w:eastAsia="Arial" w:hAnsi="Arial"/>
                <w:sz w:val="3"/>
                <w:szCs w:val="3"/>
                <w:color w:val="FFFFFF"/>
              </w:rPr>
              <w:t>he effect of the time value of money is material, provisions are discounted using a current pre-</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tax rate that re?ects, where appropriate, the risks speci?c to the liability. Where discounting is</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used, the increase in the provision due to the passage of time is recognized as a ?nance cost.</w:t>
            </w:r>
          </w:p>
        </w:tc>
      </w:tr>
      <w:tr>
        <w:trPr>
          <w:trHeight w:val="41"/>
        </w:trPr>
        <w:tc>
          <w:tcPr>
            <w:tcW w:w="3220" w:type="dxa"/>
            <w:vAlign w:val="bottom"/>
            <w:gridSpan w:val="3"/>
          </w:tcPr>
          <w:p>
            <w:pPr>
              <w:spacing w:after="0"/>
              <w:rPr>
                <w:sz w:val="20"/>
                <w:szCs w:val="20"/>
                <w:color w:val="auto"/>
              </w:rPr>
            </w:pPr>
            <w:r>
              <w:rPr>
                <w:rFonts w:ascii="Arial" w:cs="Arial" w:eastAsia="Arial" w:hAnsi="Arial"/>
                <w:sz w:val="3"/>
                <w:szCs w:val="3"/>
                <w:color w:val="FFFFFF"/>
              </w:rPr>
              <w:t>Pensions and other post employment bene?ts</w:t>
            </w:r>
          </w:p>
        </w:tc>
        <w:tc>
          <w:tcPr>
            <w:tcW w:w="1980" w:type="dxa"/>
            <w:vAlign w:val="bottom"/>
          </w:tcPr>
          <w:p>
            <w:pPr>
              <w:spacing w:after="0"/>
              <w:rPr>
                <w:sz w:val="3"/>
                <w:szCs w:val="3"/>
                <w:color w:val="auto"/>
              </w:rPr>
            </w:pP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The Group operates a defined contribution retirement benefit scheme (the “Scheme”). The</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Scheme allows eligible employees to contribute 5% of their salary to the Scheme and the Group</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matches the contributions with an equal amount. The assets of the Scheme are held separately</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from those of the Group in an independently administered fund. The Group’ matching</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contributions vest to the employees at 10% per year with full vesting in ten years. Forfeitures</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of unvested contributions are used to reduce the Group’s liability for its contributions</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payable under the Scheme. The contributions are charged to the consolidated statement of</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comprehensive income as they become payable in accordance with the rules of the Scheme.</w:t>
            </w:r>
          </w:p>
        </w:tc>
      </w:tr>
      <w:tr>
        <w:trPr>
          <w:trHeight w:val="41"/>
        </w:trPr>
        <w:tc>
          <w:tcPr>
            <w:tcW w:w="3220" w:type="dxa"/>
            <w:vAlign w:val="bottom"/>
            <w:gridSpan w:val="3"/>
          </w:tcPr>
          <w:p>
            <w:pPr>
              <w:spacing w:after="0"/>
              <w:rPr>
                <w:sz w:val="20"/>
                <w:szCs w:val="20"/>
                <w:color w:val="auto"/>
              </w:rPr>
            </w:pPr>
            <w:r>
              <w:rPr>
                <w:rFonts w:ascii="Arial" w:cs="Arial" w:eastAsia="Arial" w:hAnsi="Arial"/>
                <w:sz w:val="3"/>
                <w:szCs w:val="3"/>
                <w:color w:val="FFFFFF"/>
              </w:rPr>
              <w:t>Share-based payme ts</w:t>
            </w:r>
          </w:p>
        </w:tc>
        <w:tc>
          <w:tcPr>
            <w:tcW w:w="1980" w:type="dxa"/>
            <w:vAlign w:val="bottom"/>
          </w:tcPr>
          <w:p>
            <w:pPr>
              <w:spacing w:after="0"/>
              <w:rPr>
                <w:sz w:val="3"/>
                <w:szCs w:val="3"/>
                <w:color w:val="auto"/>
              </w:rPr>
            </w:pP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Employees</w:t>
            </w:r>
          </w:p>
        </w:tc>
        <w:tc>
          <w:tcPr>
            <w:tcW w:w="4560" w:type="dxa"/>
            <w:vAlign w:val="bottom"/>
            <w:gridSpan w:val="2"/>
          </w:tcPr>
          <w:p>
            <w:pPr>
              <w:spacing w:after="0"/>
              <w:rPr>
                <w:sz w:val="20"/>
                <w:szCs w:val="20"/>
                <w:color w:val="auto"/>
              </w:rPr>
            </w:pPr>
            <w:r>
              <w:rPr>
                <w:rFonts w:ascii="Arial" w:cs="Arial" w:eastAsia="Arial" w:hAnsi="Arial"/>
                <w:sz w:val="3"/>
                <w:szCs w:val="3"/>
                <w:color w:val="FFFFFF"/>
              </w:rPr>
              <w:t>(including senior executives and directors) of the Group receive remuneration in the</w:t>
            </w:r>
          </w:p>
        </w:tc>
      </w:tr>
      <w:tr>
        <w:trPr>
          <w:trHeight w:val="41"/>
        </w:trPr>
        <w:tc>
          <w:tcPr>
            <w:tcW w:w="5200" w:type="dxa"/>
            <w:vAlign w:val="bottom"/>
            <w:gridSpan w:val="4"/>
          </w:tcPr>
          <w:p>
            <w:pPr>
              <w:spacing w:after="0"/>
              <w:rPr>
                <w:sz w:val="20"/>
                <w:szCs w:val="20"/>
                <w:color w:val="auto"/>
              </w:rPr>
            </w:pPr>
            <w:r>
              <w:rPr>
                <w:rFonts w:ascii="Arial" w:cs="Arial" w:eastAsia="Arial" w:hAnsi="Arial"/>
                <w:sz w:val="3"/>
                <w:szCs w:val="3"/>
                <w:color w:val="FFFFFF"/>
              </w:rPr>
              <w:t>form of share-based payments, whereby employees render services as consideration for equity</w:t>
            </w:r>
          </w:p>
        </w:tc>
      </w:tr>
      <w:tr>
        <w:trPr>
          <w:trHeight w:val="41"/>
        </w:trPr>
        <w:tc>
          <w:tcPr>
            <w:tcW w:w="640" w:type="dxa"/>
            <w:vAlign w:val="bottom"/>
            <w:gridSpan w:val="2"/>
          </w:tcPr>
          <w:p>
            <w:pPr>
              <w:spacing w:after="0"/>
              <w:rPr>
                <w:sz w:val="20"/>
                <w:szCs w:val="20"/>
                <w:color w:val="auto"/>
              </w:rPr>
            </w:pPr>
            <w:r>
              <w:rPr>
                <w:rFonts w:ascii="Arial" w:cs="Arial" w:eastAsia="Arial" w:hAnsi="Arial"/>
                <w:sz w:val="3"/>
                <w:szCs w:val="3"/>
                <w:color w:val="FFFFFF"/>
              </w:rPr>
              <w:t>instruments</w:t>
            </w:r>
          </w:p>
        </w:tc>
        <w:tc>
          <w:tcPr>
            <w:tcW w:w="4560" w:type="dxa"/>
            <w:vAlign w:val="bottom"/>
            <w:gridSpan w:val="2"/>
          </w:tcPr>
          <w:p>
            <w:pPr>
              <w:ind w:left="180"/>
              <w:spacing w:after="0"/>
              <w:rPr>
                <w:sz w:val="20"/>
                <w:szCs w:val="20"/>
                <w:color w:val="auto"/>
              </w:rPr>
            </w:pPr>
            <w:r>
              <w:rPr>
                <w:rFonts w:ascii="Arial" w:cs="Arial" w:eastAsia="Arial" w:hAnsi="Arial"/>
                <w:sz w:val="3"/>
                <w:szCs w:val="3"/>
                <w:color w:val="FFFFFF"/>
              </w:rPr>
              <w:t>the form of common shares of the ultimate parent company, Wynn Resorts,</w:t>
            </w:r>
          </w:p>
        </w:tc>
      </w:tr>
      <w:tr>
        <w:trPr>
          <w:trHeight w:val="0"/>
        </w:trPr>
        <w:tc>
          <w:tcPr>
            <w:tcW w:w="3220" w:type="dxa"/>
            <w:vAlign w:val="bottom"/>
            <w:gridSpan w:val="3"/>
          </w:tcPr>
          <w:p>
            <w:pPr>
              <w:spacing w:after="0"/>
              <w:rPr>
                <w:sz w:val="20"/>
                <w:szCs w:val="20"/>
                <w:color w:val="auto"/>
              </w:rPr>
            </w:pPr>
            <w:r>
              <w:rPr>
                <w:rFonts w:ascii="Arial" w:cs="Arial" w:eastAsia="Arial" w:hAnsi="Arial"/>
                <w:sz w:val="3"/>
                <w:szCs w:val="3"/>
                <w:color w:val="FFFFFF"/>
              </w:rPr>
              <w:t>Limited, or beginning in September 2009, the Company.</w:t>
            </w:r>
          </w:p>
        </w:tc>
        <w:tc>
          <w:tcPr>
            <w:tcW w:w="1980" w:type="dxa"/>
            <w:vAlign w:val="bottom"/>
          </w:tcPr>
          <w:p>
            <w:pPr>
              <w:spacing w:after="0" w:line="20" w:lineRule="exact"/>
              <w:rPr>
                <w:sz w:val="1"/>
                <w:szCs w:val="1"/>
                <w:color w:val="auto"/>
              </w:rPr>
            </w:pPr>
          </w:p>
        </w:tc>
      </w:tr>
    </w:tbl>
    <w:p>
      <w:pPr>
        <w:ind w:right="5099"/>
        <w:spacing w:after="0"/>
        <w:rPr>
          <w:sz w:val="20"/>
          <w:szCs w:val="20"/>
          <w:color w:val="auto"/>
        </w:rPr>
      </w:pPr>
      <w:r>
        <w:rPr>
          <w:rFonts w:ascii="Arial" w:cs="Arial" w:eastAsia="Arial" w:hAnsi="Arial"/>
          <w:sz w:val="8"/>
          <w:szCs w:val="8"/>
          <w:color w:val="FFFFFF"/>
        </w:rPr>
        <w:t>In situations where equity instruments are issued and some or all of the goods or services received by the entity as consideration cannot be speci?cally identi?ed, they are measured as the difference between the fair value of the share-based payment transactions and the fair value of any identi?able goods or services received at the grant date. This is then capitalized or expensed as appropriate.</w:t>
      </w:r>
    </w:p>
    <w:p>
      <w:pPr>
        <w:sectPr>
          <w:pgSz w:w="11900" w:h="16838" w:orient="portrait"/>
          <w:cols w:equalWidth="0" w:num="1">
            <w:col w:w="10219"/>
          </w:cols>
          <w:pgMar w:left="240" w:top="1440" w:right="1440"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20"/>
                <w:szCs w:val="20"/>
                <w:color w:val="auto"/>
              </w:rPr>
            </w:pPr>
            <w:r>
              <w:rPr>
                <w:rFonts w:ascii="Arial" w:cs="Arial" w:eastAsia="Arial" w:hAnsi="Arial"/>
                <w:sz w:val="14"/>
                <w:szCs w:val="14"/>
                <w:color w:val="FFFFFF"/>
              </w:rPr>
              <w:t>96 Wynn Macau, Limited</w:t>
            </w:r>
          </w:p>
        </w:tc>
        <w:tc>
          <w:tcPr>
            <w:tcW w:w="18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41"/>
        </w:trPr>
        <w:tc>
          <w:tcPr>
            <w:tcW w:w="3360" w:type="dxa"/>
            <w:vAlign w:val="bottom"/>
          </w:tcPr>
          <w:p>
            <w:pPr>
              <w:spacing w:after="0"/>
              <w:rPr>
                <w:sz w:val="20"/>
                <w:szCs w:val="20"/>
                <w:color w:val="auto"/>
              </w:rPr>
            </w:pPr>
            <w:r>
              <w:rPr>
                <w:rFonts w:ascii="Arial" w:cs="Arial" w:eastAsia="Arial" w:hAnsi="Arial"/>
                <w:sz w:val="3"/>
                <w:szCs w:val="3"/>
                <w:color w:val="FFFFFF"/>
              </w:rPr>
              <w:t>Financial Statements</w:t>
            </w:r>
          </w:p>
        </w:tc>
        <w:tc>
          <w:tcPr>
            <w:tcW w:w="18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336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8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3360" w:type="dxa"/>
            <w:vAlign w:val="bottom"/>
          </w:tcPr>
          <w:p>
            <w:pPr>
              <w:spacing w:after="0"/>
              <w:rPr>
                <w:sz w:val="20"/>
                <w:szCs w:val="20"/>
                <w:color w:val="auto"/>
              </w:rPr>
            </w:pPr>
            <w:r>
              <w:rPr>
                <w:rFonts w:ascii="Arial" w:cs="Arial" w:eastAsia="Arial" w:hAnsi="Arial"/>
                <w:sz w:val="3"/>
                <w:szCs w:val="3"/>
                <w:color w:val="FFFFFF"/>
              </w:rPr>
              <w:t>For the year ended 31 December 2012</w:t>
            </w:r>
          </w:p>
        </w:tc>
        <w:tc>
          <w:tcPr>
            <w:tcW w:w="18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3360" w:type="dxa"/>
            <w:vAlign w:val="bottom"/>
          </w:tcPr>
          <w:p>
            <w:pPr>
              <w:spacing w:after="0"/>
              <w:rPr>
                <w:sz w:val="20"/>
                <w:szCs w:val="20"/>
                <w:color w:val="auto"/>
              </w:rPr>
            </w:pPr>
            <w:r>
              <w:rPr>
                <w:rFonts w:ascii="Arial" w:cs="Arial" w:eastAsia="Arial" w:hAnsi="Arial"/>
                <w:sz w:val="3"/>
                <w:szCs w:val="3"/>
                <w:color w:val="FFFFFF"/>
              </w:rPr>
              <w:t>Share-based payments (continued)</w:t>
            </w:r>
          </w:p>
        </w:tc>
        <w:tc>
          <w:tcPr>
            <w:tcW w:w="18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3360" w:type="dxa"/>
            <w:vAlign w:val="bottom"/>
          </w:tcPr>
          <w:p>
            <w:pPr>
              <w:spacing w:after="0"/>
              <w:rPr>
                <w:sz w:val="20"/>
                <w:szCs w:val="20"/>
                <w:color w:val="auto"/>
              </w:rPr>
            </w:pPr>
            <w:r>
              <w:rPr>
                <w:rFonts w:ascii="Arial" w:cs="Arial" w:eastAsia="Arial" w:hAnsi="Arial"/>
                <w:sz w:val="3"/>
                <w:szCs w:val="3"/>
                <w:color w:val="FFFFFF"/>
              </w:rPr>
              <w:t>Equity-settled transac ions</w:t>
            </w:r>
          </w:p>
        </w:tc>
        <w:tc>
          <w:tcPr>
            <w:tcW w:w="1880" w:type="dxa"/>
            <w:vAlign w:val="bottom"/>
          </w:tcPr>
          <w:p>
            <w:pPr>
              <w:spacing w:after="0"/>
              <w:rPr>
                <w:sz w:val="3"/>
                <w:szCs w:val="3"/>
                <w:color w:val="auto"/>
              </w:rPr>
            </w:pP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cost of equity-settled transactions with employees, for awards granted after 7 November 2002, is measured by reference to the fair value at the date on which they are granted. The fair value is determined by</w:t>
            </w:r>
          </w:p>
        </w:tc>
      </w:tr>
      <w:tr>
        <w:trPr>
          <w:trHeight w:val="41"/>
        </w:trPr>
        <w:tc>
          <w:tcPr>
            <w:tcW w:w="5240" w:type="dxa"/>
            <w:vAlign w:val="bottom"/>
            <w:gridSpan w:val="2"/>
          </w:tcPr>
          <w:p>
            <w:pPr>
              <w:spacing w:after="0"/>
              <w:rPr>
                <w:sz w:val="20"/>
                <w:szCs w:val="20"/>
                <w:color w:val="auto"/>
              </w:rPr>
            </w:pPr>
            <w:r>
              <w:rPr>
                <w:rFonts w:ascii="Arial" w:cs="Arial" w:eastAsia="Arial" w:hAnsi="Arial"/>
                <w:sz w:val="3"/>
                <w:szCs w:val="3"/>
                <w:color w:val="FFFFFF"/>
              </w:rPr>
              <w:t>using an appropriate pricing model, further details of which are given   note 24.</w:t>
            </w:r>
          </w:p>
        </w:tc>
        <w:tc>
          <w:tcPr>
            <w:tcW w:w="4080" w:type="dxa"/>
            <w:vAlign w:val="bottom"/>
          </w:tcPr>
          <w:p>
            <w:pPr>
              <w:spacing w:after="0"/>
              <w:rPr>
                <w:sz w:val="3"/>
                <w:szCs w:val="3"/>
                <w:color w:val="auto"/>
              </w:rPr>
            </w:pPr>
          </w:p>
        </w:tc>
        <w:tc>
          <w:tcPr>
            <w:tcW w:w="2080" w:type="dxa"/>
            <w:vAlign w:val="bottom"/>
          </w:tcPr>
          <w:p>
            <w:pPr>
              <w:spacing w:after="0"/>
              <w:rPr>
                <w:sz w:val="3"/>
                <w:szCs w:val="3"/>
                <w:color w:val="auto"/>
              </w:rPr>
            </w:pPr>
          </w:p>
        </w:tc>
      </w:tr>
      <w:tr>
        <w:trPr>
          <w:trHeight w:val="41"/>
        </w:trPr>
        <w:tc>
          <w:tcPr>
            <w:tcW w:w="3360" w:type="dxa"/>
            <w:vAlign w:val="bottom"/>
          </w:tcPr>
          <w:p>
            <w:pPr>
              <w:spacing w:after="0"/>
              <w:rPr>
                <w:sz w:val="20"/>
                <w:szCs w:val="20"/>
                <w:color w:val="auto"/>
              </w:rPr>
            </w:pPr>
            <w:r>
              <w:rPr>
                <w:rFonts w:ascii="Arial" w:cs="Arial" w:eastAsia="Arial" w:hAnsi="Arial"/>
                <w:sz w:val="3"/>
                <w:szCs w:val="3"/>
                <w:color w:val="FFFFFF"/>
              </w:rPr>
              <w:t>The cost of equity-settled transactions is recognized,</w:t>
            </w:r>
          </w:p>
        </w:tc>
        <w:tc>
          <w:tcPr>
            <w:tcW w:w="8040" w:type="dxa"/>
            <w:vAlign w:val="bottom"/>
            <w:gridSpan w:val="3"/>
          </w:tcPr>
          <w:p>
            <w:pPr>
              <w:spacing w:after="0"/>
              <w:rPr>
                <w:sz w:val="20"/>
                <w:szCs w:val="20"/>
                <w:color w:val="auto"/>
              </w:rPr>
            </w:pPr>
            <w:r>
              <w:rPr>
                <w:rFonts w:ascii="Arial" w:cs="Arial" w:eastAsia="Arial" w:hAnsi="Arial"/>
                <w:sz w:val="3"/>
                <w:szCs w:val="3"/>
                <w:color w:val="FFFFFF"/>
              </w:rPr>
              <w:t>with a corresponding increase in equity, over the period in which the performance and/or service conditions are fulfi lled, ending on the date on</w:t>
            </w:r>
          </w:p>
        </w:tc>
      </w:tr>
      <w:tr>
        <w:trPr>
          <w:trHeight w:val="41"/>
        </w:trPr>
        <w:tc>
          <w:tcPr>
            <w:tcW w:w="9320" w:type="dxa"/>
            <w:vAlign w:val="bottom"/>
            <w:gridSpan w:val="3"/>
          </w:tcPr>
          <w:p>
            <w:pPr>
              <w:spacing w:after="0"/>
              <w:rPr>
                <w:sz w:val="20"/>
                <w:szCs w:val="20"/>
                <w:color w:val="auto"/>
              </w:rPr>
            </w:pPr>
            <w:r>
              <w:rPr>
                <w:rFonts w:ascii="Arial" w:cs="Arial" w:eastAsia="Arial" w:hAnsi="Arial"/>
                <w:sz w:val="3"/>
                <w:szCs w:val="3"/>
                <w:color w:val="FFFFFF"/>
              </w:rPr>
              <w:t>which he relevant employees become fully entitled totogetheraward (the “vesting date”). The cumulative expense recognized for equity-settled transactions at each reporting</w:t>
            </w:r>
          </w:p>
        </w:tc>
        <w:tc>
          <w:tcPr>
            <w:tcW w:w="2080" w:type="dxa"/>
            <w:vAlign w:val="bottom"/>
          </w:tcPr>
          <w:p>
            <w:pPr>
              <w:ind w:left="160"/>
              <w:spacing w:after="0"/>
              <w:rPr>
                <w:sz w:val="20"/>
                <w:szCs w:val="20"/>
                <w:color w:val="auto"/>
              </w:rPr>
            </w:pPr>
            <w:r>
              <w:rPr>
                <w:rFonts w:ascii="Arial" w:cs="Arial" w:eastAsia="Arial" w:hAnsi="Arial"/>
                <w:sz w:val="3"/>
                <w:szCs w:val="3"/>
                <w:color w:val="FFFFFF"/>
              </w:rPr>
              <w:t>until the vesting date refl ects the</w:t>
            </w:r>
          </w:p>
        </w:tc>
      </w:tr>
      <w:tr>
        <w:trPr>
          <w:trHeight w:val="41"/>
        </w:trPr>
        <w:tc>
          <w:tcPr>
            <w:tcW w:w="3360" w:type="dxa"/>
            <w:vAlign w:val="bottom"/>
          </w:tcPr>
          <w:p>
            <w:pPr>
              <w:spacing w:after="0"/>
              <w:rPr>
                <w:sz w:val="20"/>
                <w:szCs w:val="20"/>
                <w:color w:val="auto"/>
              </w:rPr>
            </w:pPr>
            <w:r>
              <w:rPr>
                <w:rFonts w:ascii="Arial" w:cs="Arial" w:eastAsia="Arial" w:hAnsi="Arial"/>
                <w:sz w:val="3"/>
                <w:szCs w:val="3"/>
                <w:color w:val="FFFFFF"/>
              </w:rPr>
              <w:t>extent to which the vesting period has expired and the Group’</w:t>
            </w:r>
          </w:p>
        </w:tc>
        <w:tc>
          <w:tcPr>
            <w:tcW w:w="8040" w:type="dxa"/>
            <w:vAlign w:val="bottom"/>
            <w:gridSpan w:val="3"/>
          </w:tcPr>
          <w:p>
            <w:pPr>
              <w:ind w:left="60"/>
              <w:spacing w:after="0"/>
              <w:rPr>
                <w:sz w:val="20"/>
                <w:szCs w:val="20"/>
                <w:color w:val="auto"/>
              </w:rPr>
            </w:pPr>
            <w:r>
              <w:rPr>
                <w:rFonts w:ascii="Arial" w:cs="Arial" w:eastAsia="Arial" w:hAnsi="Arial"/>
                <w:sz w:val="3"/>
                <w:szCs w:val="3"/>
                <w:color w:val="FFFFFF"/>
              </w:rPr>
              <w:t>best estimate of the number of equity instruments that will ultimately vest. The charge or credit to the consolidated statement of comprehensive</w:t>
            </w:r>
          </w:p>
        </w:tc>
      </w:tr>
      <w:tr>
        <w:trPr>
          <w:trHeight w:val="41"/>
        </w:trPr>
        <w:tc>
          <w:tcPr>
            <w:tcW w:w="9320" w:type="dxa"/>
            <w:vAlign w:val="bottom"/>
            <w:gridSpan w:val="3"/>
          </w:tcPr>
          <w:p>
            <w:pPr>
              <w:spacing w:after="0"/>
              <w:rPr>
                <w:sz w:val="20"/>
                <w:szCs w:val="20"/>
                <w:color w:val="auto"/>
              </w:rPr>
            </w:pPr>
            <w:r>
              <w:rPr>
                <w:rFonts w:ascii="Arial" w:cs="Arial" w:eastAsia="Arial" w:hAnsi="Arial"/>
                <w:sz w:val="3"/>
                <w:szCs w:val="3"/>
                <w:color w:val="FFFFFF"/>
              </w:rPr>
              <w:t>income for a period represents the movement in cumulative expense recognized as of the beginning and end of that period and is recognized in staff costs.</w:t>
            </w:r>
          </w:p>
        </w:tc>
        <w:tc>
          <w:tcPr>
            <w:tcW w:w="2080" w:type="dxa"/>
            <w:vAlign w:val="bottom"/>
          </w:tcPr>
          <w:p>
            <w:pPr>
              <w:spacing w:after="0"/>
              <w:rPr>
                <w:sz w:val="3"/>
                <w:szCs w:val="3"/>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No expense is recognized for awards that do not ultimately vest, except for equity-settled transactions where vesting is conditional upon a market or non-vesting condition, which are treated as vesting</w:t>
            </w:r>
          </w:p>
        </w:tc>
      </w:tr>
      <w:tr>
        <w:trPr>
          <w:trHeight w:val="41"/>
        </w:trPr>
        <w:tc>
          <w:tcPr>
            <w:tcW w:w="9320" w:type="dxa"/>
            <w:vAlign w:val="bottom"/>
            <w:gridSpan w:val="3"/>
          </w:tcPr>
          <w:p>
            <w:pPr>
              <w:spacing w:after="0"/>
              <w:rPr>
                <w:sz w:val="20"/>
                <w:szCs w:val="20"/>
                <w:color w:val="auto"/>
              </w:rPr>
            </w:pPr>
            <w:r>
              <w:rPr>
                <w:rFonts w:ascii="Arial" w:cs="Arial" w:eastAsia="Arial" w:hAnsi="Arial"/>
                <w:sz w:val="3"/>
                <w:szCs w:val="3"/>
                <w:color w:val="FFFFFF"/>
              </w:rPr>
              <w:t>irrespective of whether or not the market or non-vesting condition is satis? ed, provided that all other performance and/or service conditions are satis? ed.</w:t>
            </w:r>
          </w:p>
        </w:tc>
        <w:tc>
          <w:tcPr>
            <w:tcW w:w="2080" w:type="dxa"/>
            <w:vAlign w:val="bottom"/>
          </w:tcPr>
          <w:p>
            <w:pPr>
              <w:spacing w:after="0"/>
              <w:rPr>
                <w:sz w:val="3"/>
                <w:szCs w:val="3"/>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Where the terms of an equity-settled award are modi? ed, the minimum expense recognized is the expense as if the terms had not been modi? ed, if the original terms of the award are met. An additional expense</w:t>
            </w: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is recognized for any modi? cation that increases the total fair value of the share-based payment transactions, or is otherwise bene? cial to the employee as measured at the date of modi? cation.</w:t>
            </w:r>
          </w:p>
        </w:tc>
      </w:tr>
      <w:tr>
        <w:trPr>
          <w:trHeight w:val="0"/>
        </w:trPr>
        <w:tc>
          <w:tcPr>
            <w:tcW w:w="5240" w:type="dxa"/>
            <w:vAlign w:val="bottom"/>
            <w:gridSpan w:val="2"/>
          </w:tcPr>
          <w:p>
            <w:pPr>
              <w:spacing w:after="0" w:line="80" w:lineRule="exact"/>
              <w:rPr>
                <w:sz w:val="20"/>
                <w:szCs w:val="20"/>
                <w:color w:val="auto"/>
              </w:rPr>
            </w:pPr>
            <w:r>
              <w:rPr>
                <w:rFonts w:ascii="Arial" w:cs="Arial" w:eastAsia="Arial" w:hAnsi="Arial"/>
                <w:sz w:val="9"/>
                <w:szCs w:val="9"/>
                <w:color w:val="FFFFFF"/>
              </w:rPr>
              <w:t>Where an equity-settled award is cancelled, it is treated as if it had vested on the date of</w:t>
            </w:r>
          </w:p>
        </w:tc>
        <w:tc>
          <w:tcPr>
            <w:tcW w:w="4080" w:type="dxa"/>
            <w:vAlign w:val="bottom"/>
          </w:tcPr>
          <w:p>
            <w:pPr>
              <w:ind w:left="500"/>
              <w:spacing w:after="0" w:line="80" w:lineRule="exact"/>
              <w:rPr>
                <w:sz w:val="20"/>
                <w:szCs w:val="20"/>
                <w:color w:val="auto"/>
              </w:rPr>
            </w:pPr>
            <w:r>
              <w:rPr>
                <w:rFonts w:ascii="Arial" w:cs="Arial" w:eastAsia="Arial" w:hAnsi="Arial"/>
                <w:sz w:val="9"/>
                <w:szCs w:val="9"/>
                <w:color w:val="FFFFFF"/>
              </w:rPr>
              <w:t>any expense not yet recognized for the award is recognized</w:t>
            </w:r>
          </w:p>
        </w:tc>
        <w:tc>
          <w:tcPr>
            <w:tcW w:w="2080" w:type="dxa"/>
            <w:vAlign w:val="bottom"/>
          </w:tcPr>
          <w:p>
            <w:pPr>
              <w:ind w:left="300"/>
              <w:spacing w:after="0" w:line="80" w:lineRule="exact"/>
              <w:rPr>
                <w:sz w:val="20"/>
                <w:szCs w:val="20"/>
                <w:color w:val="auto"/>
              </w:rPr>
            </w:pPr>
            <w:r>
              <w:rPr>
                <w:rFonts w:ascii="Arial" w:cs="Arial" w:eastAsia="Arial" w:hAnsi="Arial"/>
                <w:sz w:val="9"/>
                <w:szCs w:val="9"/>
                <w:color w:val="FFFFFF"/>
              </w:rPr>
              <w:t>. This includes any award where</w:t>
            </w:r>
          </w:p>
        </w:tc>
      </w:tr>
    </w:tbl>
    <w:p>
      <w:pPr>
        <w:spacing w:after="0"/>
        <w:rPr>
          <w:sz w:val="20"/>
          <w:szCs w:val="20"/>
          <w:color w:val="auto"/>
        </w:rPr>
      </w:pPr>
      <w:r>
        <w:rPr>
          <w:rFonts w:ascii="Arial" w:cs="Arial" w:eastAsia="Arial" w:hAnsi="Arial"/>
          <w:sz w:val="5"/>
          <w:szCs w:val="5"/>
          <w:color w:val="FFFFFF"/>
        </w:rPr>
        <w:t>non-vesting conditions within the control of either the entity or the employee are not met.cancellation,Howeverifandnew award is substituted for the cancelled award, and designatedimmediatelyasreplacement award on the date that it is granted, the cancelled and new awards are treated as if they were a modi? cation of the original award, as described in the previous paragraph. All cancellations of equity-settled transaction awards are treated equally.</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FFFFFF"/>
        </w:rPr>
        <w:t>The dilutive effect of outstanding options is re? ected as additional share dilution in the computation of diluted earnings per share.</w:t>
      </w:r>
    </w:p>
    <w:p>
      <w:pPr>
        <w:sectPr>
          <w:pgSz w:w="11900" w:h="16838" w:orient="portrait"/>
          <w:cols w:equalWidth="0" w:num="1">
            <w:col w:w="11420"/>
          </w:cols>
          <w:pgMar w:left="240" w:top="1440" w:right="23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2"/>
          </w:tcPr>
          <w:p>
            <w:pPr>
              <w:spacing w:after="0"/>
              <w:rPr>
                <w:sz w:val="20"/>
                <w:szCs w:val="20"/>
                <w:color w:val="auto"/>
              </w:rPr>
            </w:pPr>
            <w:r>
              <w:rPr>
                <w:rFonts w:ascii="Arial" w:cs="Arial" w:eastAsia="Arial" w:hAnsi="Arial"/>
                <w:sz w:val="14"/>
                <w:szCs w:val="14"/>
                <w:color w:val="FFFFFF"/>
              </w:rPr>
              <w:t>Annual Report 2012 97</w:t>
            </w:r>
          </w:p>
        </w:tc>
        <w:tc>
          <w:tcPr>
            <w:tcW w:w="27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0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7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27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c>
          <w:tcPr>
            <w:tcW w:w="27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0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4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Leases</w:t>
            </w:r>
          </w:p>
        </w:tc>
        <w:tc>
          <w:tcPr>
            <w:tcW w:w="1800" w:type="dxa"/>
            <w:vAlign w:val="bottom"/>
          </w:tcPr>
          <w:p>
            <w:pPr>
              <w:spacing w:after="0"/>
              <w:rPr>
                <w:sz w:val="3"/>
                <w:szCs w:val="3"/>
                <w:color w:val="auto"/>
              </w:rPr>
            </w:pPr>
          </w:p>
        </w:tc>
        <w:tc>
          <w:tcPr>
            <w:tcW w:w="9120" w:type="dxa"/>
            <w:vAlign w:val="bottom"/>
            <w:gridSpan w:val="4"/>
            <w:vMerge w:val="restart"/>
          </w:tcPr>
          <w:p>
            <w:pPr>
              <w:ind w:left="220"/>
              <w:spacing w:after="0" w:line="81" w:lineRule="exact"/>
              <w:rPr>
                <w:sz w:val="20"/>
                <w:szCs w:val="20"/>
                <w:color w:val="auto"/>
              </w:rPr>
            </w:pPr>
            <w:r>
              <w:rPr>
                <w:rFonts w:ascii="Arial" w:cs="Arial" w:eastAsia="Arial" w:hAnsi="Arial"/>
                <w:sz w:val="9"/>
                <w:szCs w:val="9"/>
                <w:color w:val="FFFFFF"/>
              </w:rPr>
              <w:t>is or contains a lease is based on the substance of the arrangement at its inception and whether the ful? llment of the arrangement is dependent on the use of a speci?</w:t>
            </w:r>
          </w:p>
        </w:tc>
        <w:tc>
          <w:tcPr>
            <w:tcW w:w="0" w:type="dxa"/>
            <w:vAlign w:val="bottom"/>
          </w:tcPr>
          <w:p>
            <w:pPr>
              <w:spacing w:after="0"/>
              <w:rPr>
                <w:sz w:val="1"/>
                <w:szCs w:val="1"/>
                <w:color w:val="auto"/>
              </w:rPr>
            </w:pPr>
          </w:p>
        </w:tc>
      </w:tr>
      <w:tr>
        <w:trPr>
          <w:trHeight w:val="41"/>
        </w:trPr>
        <w:tc>
          <w:tcPr>
            <w:tcW w:w="2300" w:type="dxa"/>
            <w:vAlign w:val="bottom"/>
            <w:gridSpan w:val="2"/>
          </w:tcPr>
          <w:p>
            <w:pPr>
              <w:spacing w:after="0"/>
              <w:rPr>
                <w:sz w:val="20"/>
                <w:szCs w:val="20"/>
                <w:color w:val="auto"/>
              </w:rPr>
            </w:pPr>
            <w:r>
              <w:rPr>
                <w:rFonts w:ascii="Arial" w:cs="Arial" w:eastAsia="Arial" w:hAnsi="Arial"/>
                <w:sz w:val="3"/>
                <w:szCs w:val="3"/>
                <w:color w:val="FFFFFF"/>
              </w:rPr>
              <w:t>The determination of whether an</w:t>
            </w:r>
          </w:p>
        </w:tc>
        <w:tc>
          <w:tcPr>
            <w:tcW w:w="912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00" w:type="dxa"/>
            <w:vAlign w:val="bottom"/>
            <w:gridSpan w:val="3"/>
          </w:tcPr>
          <w:p>
            <w:pPr>
              <w:spacing w:after="0"/>
              <w:rPr>
                <w:sz w:val="20"/>
                <w:szCs w:val="20"/>
                <w:color w:val="auto"/>
              </w:rPr>
            </w:pPr>
            <w:r>
              <w:rPr>
                <w:rFonts w:ascii="Arial" w:cs="Arial" w:eastAsia="Arial" w:hAnsi="Arial"/>
                <w:sz w:val="3"/>
                <w:szCs w:val="3"/>
                <w:color w:val="FFFFFF"/>
              </w:rPr>
              <w:t>c asset or the arrangement conveysarrangementrighttouse the asset.</w:t>
            </w:r>
          </w:p>
        </w:tc>
        <w:tc>
          <w:tcPr>
            <w:tcW w:w="4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00" w:type="dxa"/>
            <w:vAlign w:val="bottom"/>
            <w:gridSpan w:val="2"/>
          </w:tcPr>
          <w:p>
            <w:pPr>
              <w:spacing w:after="0"/>
              <w:rPr>
                <w:sz w:val="20"/>
                <w:szCs w:val="20"/>
                <w:color w:val="auto"/>
              </w:rPr>
            </w:pPr>
            <w:r>
              <w:rPr>
                <w:rFonts w:ascii="Arial" w:cs="Arial" w:eastAsia="Arial" w:hAnsi="Arial"/>
                <w:sz w:val="3"/>
                <w:szCs w:val="3"/>
                <w:color w:val="FFFFFF"/>
              </w:rPr>
              <w:t>Group as a lessee</w:t>
            </w:r>
          </w:p>
        </w:tc>
        <w:tc>
          <w:tcPr>
            <w:tcW w:w="27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Leases where the Group does not transfer substantially all the risks and bene? ts of ownership of the asset are classi? ed as operating leases. Operating lease payments are recognized as an operating expense in</w:t>
            </w:r>
          </w:p>
        </w:tc>
        <w:tc>
          <w:tcPr>
            <w:tcW w:w="0" w:type="dxa"/>
            <w:vAlign w:val="bottom"/>
          </w:tcPr>
          <w:p>
            <w:pPr>
              <w:spacing w:after="0"/>
              <w:rPr>
                <w:sz w:val="1"/>
                <w:szCs w:val="1"/>
                <w:color w:val="auto"/>
              </w:rPr>
            </w:pP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the</w:t>
            </w:r>
          </w:p>
        </w:tc>
        <w:tc>
          <w:tcPr>
            <w:tcW w:w="4500" w:type="dxa"/>
            <w:vAlign w:val="bottom"/>
            <w:gridSpan w:val="2"/>
          </w:tcPr>
          <w:p>
            <w:pPr>
              <w:ind w:left="260"/>
              <w:spacing w:after="0"/>
              <w:rPr>
                <w:sz w:val="20"/>
                <w:szCs w:val="20"/>
                <w:color w:val="auto"/>
              </w:rPr>
            </w:pPr>
            <w:r>
              <w:rPr>
                <w:rFonts w:ascii="Arial" w:cs="Arial" w:eastAsia="Arial" w:hAnsi="Arial"/>
                <w:sz w:val="3"/>
                <w:szCs w:val="3"/>
                <w:color w:val="FFFFFF"/>
              </w:rPr>
              <w:t>of comprehensive income on the straight-line basis over the lease terms.</w:t>
            </w:r>
          </w:p>
        </w:tc>
        <w:tc>
          <w:tcPr>
            <w:tcW w:w="4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0" w:type="dxa"/>
            <w:vAlign w:val="bottom"/>
          </w:tcPr>
          <w:p>
            <w:pPr>
              <w:spacing w:after="0"/>
              <w:rPr>
                <w:sz w:val="20"/>
                <w:szCs w:val="20"/>
                <w:color w:val="auto"/>
              </w:rPr>
            </w:pPr>
            <w:r>
              <w:rPr>
                <w:rFonts w:ascii="Arial" w:cs="Arial" w:eastAsia="Arial" w:hAnsi="Arial"/>
                <w:sz w:val="3"/>
                <w:szCs w:val="3"/>
                <w:color w:val="FFFFFF"/>
              </w:rPr>
              <w:t>Group as</w:t>
            </w:r>
          </w:p>
        </w:tc>
        <w:tc>
          <w:tcPr>
            <w:tcW w:w="1800" w:type="dxa"/>
            <w:vAlign w:val="bottom"/>
          </w:tcPr>
          <w:p>
            <w:pPr>
              <w:ind w:left="120"/>
              <w:spacing w:after="0"/>
              <w:rPr>
                <w:sz w:val="20"/>
                <w:szCs w:val="20"/>
                <w:color w:val="auto"/>
              </w:rPr>
            </w:pPr>
            <w:r>
              <w:rPr>
                <w:rFonts w:ascii="Arial" w:cs="Arial" w:eastAsia="Arial" w:hAnsi="Arial"/>
                <w:sz w:val="3"/>
                <w:szCs w:val="3"/>
                <w:color w:val="FFFFFF"/>
              </w:rPr>
              <w:t>lessor</w:t>
            </w:r>
          </w:p>
        </w:tc>
        <w:tc>
          <w:tcPr>
            <w:tcW w:w="27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680" w:type="dxa"/>
            <w:vAlign w:val="bottom"/>
            <w:vMerge w:val="restart"/>
          </w:tcPr>
          <w:p>
            <w:pPr>
              <w:ind w:left="220"/>
              <w:spacing w:after="0" w:line="81" w:lineRule="exact"/>
              <w:rPr>
                <w:sz w:val="20"/>
                <w:szCs w:val="20"/>
                <w:color w:val="auto"/>
              </w:rPr>
            </w:pPr>
            <w:r>
              <w:rPr>
                <w:rFonts w:ascii="Arial" w:cs="Arial" w:eastAsia="Arial" w:hAnsi="Arial"/>
                <w:sz w:val="9"/>
                <w:szCs w:val="9"/>
                <w:color w:val="FFFFFF"/>
              </w:rPr>
              <w:t>in</w:t>
            </w:r>
          </w:p>
        </w:tc>
        <w:tc>
          <w:tcPr>
            <w:tcW w:w="1680" w:type="dxa"/>
            <w:vAlign w:val="bottom"/>
            <w:vMerge w:val="restart"/>
          </w:tcPr>
          <w:p>
            <w:pPr>
              <w:ind w:left="320"/>
              <w:spacing w:after="0" w:line="81" w:lineRule="exact"/>
              <w:rPr>
                <w:sz w:val="20"/>
                <w:szCs w:val="20"/>
                <w:color w:val="auto"/>
              </w:rPr>
            </w:pPr>
            <w:r>
              <w:rPr>
                <w:rFonts w:ascii="Arial" w:cs="Arial" w:eastAsia="Arial" w:hAnsi="Arial"/>
                <w:sz w:val="9"/>
                <w:szCs w:val="9"/>
                <w:color w:val="FFFFFF"/>
              </w:rPr>
              <w:t>an operating lease are</w:t>
            </w:r>
          </w:p>
        </w:tc>
        <w:tc>
          <w:tcPr>
            <w:tcW w:w="0" w:type="dxa"/>
            <w:vAlign w:val="bottom"/>
          </w:tcPr>
          <w:p>
            <w:pPr>
              <w:spacing w:after="0"/>
              <w:rPr>
                <w:sz w:val="1"/>
                <w:szCs w:val="1"/>
                <w:color w:val="auto"/>
              </w:rPr>
            </w:pPr>
          </w:p>
        </w:tc>
      </w:tr>
      <w:tr>
        <w:trPr>
          <w:trHeight w:val="41"/>
        </w:trPr>
        <w:tc>
          <w:tcPr>
            <w:tcW w:w="9060" w:type="dxa"/>
            <w:vAlign w:val="bottom"/>
            <w:gridSpan w:val="4"/>
          </w:tcPr>
          <w:p>
            <w:pPr>
              <w:spacing w:after="0"/>
              <w:rPr>
                <w:sz w:val="20"/>
                <w:szCs w:val="20"/>
                <w:color w:val="auto"/>
              </w:rPr>
            </w:pPr>
            <w:r>
              <w:rPr>
                <w:rFonts w:ascii="Arial" w:cs="Arial" w:eastAsia="Arial" w:hAnsi="Arial"/>
                <w:sz w:val="3"/>
                <w:szCs w:val="3"/>
                <w:color w:val="FFFFFF"/>
              </w:rPr>
              <w:t>Whstatementanasset is leased out under an operating lease, the asset is included in the statement of ? nancial position based on the nature of the asset. Initial direct costs</w:t>
            </w:r>
          </w:p>
        </w:tc>
        <w:tc>
          <w:tcPr>
            <w:tcW w:w="680" w:type="dxa"/>
            <w:vAlign w:val="bottom"/>
            <w:vMerge w:val="continue"/>
          </w:tcPr>
          <w:p>
            <w:pPr>
              <w:spacing w:after="0"/>
              <w:rPr>
                <w:sz w:val="3"/>
                <w:szCs w:val="3"/>
                <w:color w:val="auto"/>
              </w:rPr>
            </w:pPr>
          </w:p>
        </w:tc>
        <w:tc>
          <w:tcPr>
            <w:tcW w:w="1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added to the carrying amount of the leased asset and recognized over the lease term on the same basis as rental income. Contingent rents are recognized as revenueincurredtheperiodnegotiatingwhich they are earned.</w:t>
            </w:r>
          </w:p>
        </w:tc>
        <w:tc>
          <w:tcPr>
            <w:tcW w:w="0" w:type="dxa"/>
            <w:vAlign w:val="bottom"/>
          </w:tcPr>
          <w:p>
            <w:pPr>
              <w:spacing w:after="0"/>
              <w:rPr>
                <w:sz w:val="1"/>
                <w:szCs w:val="1"/>
                <w:color w:val="auto"/>
              </w:rPr>
            </w:pPr>
          </w:p>
        </w:tc>
      </w:tr>
      <w:tr>
        <w:trPr>
          <w:trHeight w:val="41"/>
        </w:trPr>
        <w:tc>
          <w:tcPr>
            <w:tcW w:w="500" w:type="dxa"/>
            <w:vAlign w:val="bottom"/>
          </w:tcPr>
          <w:p>
            <w:pPr>
              <w:spacing w:after="0"/>
              <w:rPr>
                <w:sz w:val="3"/>
                <w:szCs w:val="3"/>
                <w:color w:val="auto"/>
              </w:rPr>
            </w:pPr>
          </w:p>
        </w:tc>
        <w:tc>
          <w:tcPr>
            <w:tcW w:w="1800" w:type="dxa"/>
            <w:vAlign w:val="bottom"/>
          </w:tcPr>
          <w:p>
            <w:pPr>
              <w:ind w:left="20"/>
              <w:spacing w:after="0"/>
              <w:rPr>
                <w:sz w:val="20"/>
                <w:szCs w:val="20"/>
                <w:color w:val="auto"/>
              </w:rPr>
            </w:pPr>
            <w:r>
              <w:rPr>
                <w:rFonts w:ascii="Arial" w:cs="Arial" w:eastAsia="Arial" w:hAnsi="Arial"/>
                <w:sz w:val="3"/>
                <w:szCs w:val="3"/>
                <w:color w:val="FFFFFF"/>
              </w:rPr>
              <w:t>recognition</w:t>
            </w:r>
          </w:p>
        </w:tc>
        <w:tc>
          <w:tcPr>
            <w:tcW w:w="2700" w:type="dxa"/>
            <w:vAlign w:val="bottom"/>
          </w:tcPr>
          <w:p>
            <w:pPr>
              <w:spacing w:after="0"/>
              <w:rPr>
                <w:sz w:val="3"/>
                <w:szCs w:val="3"/>
                <w:color w:val="auto"/>
              </w:rPr>
            </w:pPr>
          </w:p>
        </w:tc>
        <w:tc>
          <w:tcPr>
            <w:tcW w:w="4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Revenue is recognized to the extent that it is probable the economic bene? ts will ? ow to the Group and the revenue can be reliably measured, regardless of when the payment is being made. Revenue is</w:t>
            </w:r>
          </w:p>
        </w:tc>
        <w:tc>
          <w:tcPr>
            <w:tcW w:w="0" w:type="dxa"/>
            <w:vAlign w:val="bottom"/>
          </w:tcPr>
          <w:p>
            <w:pPr>
              <w:spacing w:after="0"/>
              <w:rPr>
                <w:sz w:val="1"/>
                <w:szCs w:val="1"/>
                <w:color w:val="auto"/>
              </w:rPr>
            </w:pPr>
          </w:p>
        </w:tc>
      </w:tr>
      <w:tr>
        <w:trPr>
          <w:trHeight w:val="41"/>
        </w:trPr>
        <w:tc>
          <w:tcPr>
            <w:tcW w:w="9060" w:type="dxa"/>
            <w:vAlign w:val="bottom"/>
            <w:gridSpan w:val="4"/>
          </w:tcPr>
          <w:p>
            <w:pPr>
              <w:spacing w:after="0"/>
              <w:rPr>
                <w:sz w:val="20"/>
                <w:szCs w:val="20"/>
                <w:color w:val="auto"/>
              </w:rPr>
            </w:pPr>
            <w:r>
              <w:rPr>
                <w:rFonts w:ascii="Arial" w:cs="Arial" w:eastAsia="Arial" w:hAnsi="Arial"/>
                <w:sz w:val="3"/>
                <w:szCs w:val="3"/>
                <w:color w:val="FFFFFF"/>
              </w:rPr>
              <w:t>measured at the fair value of the consideration received or receivable, taking into account contractually de? ned terms of payment and excluding taxes or duties.</w:t>
            </w:r>
          </w:p>
        </w:tc>
        <w:tc>
          <w:tcPr>
            <w:tcW w:w="2360" w:type="dxa"/>
            <w:vAlign w:val="bottom"/>
            <w:gridSpan w:val="2"/>
            <w:vMerge w:val="restart"/>
          </w:tcPr>
          <w:p>
            <w:pPr>
              <w:ind w:left="240"/>
              <w:spacing w:after="0"/>
              <w:rPr>
                <w:sz w:val="20"/>
                <w:szCs w:val="20"/>
                <w:color w:val="auto"/>
              </w:rPr>
            </w:pPr>
            <w:r>
              <w:rPr>
                <w:rFonts w:ascii="Arial" w:cs="Arial" w:eastAsia="Arial" w:hAnsi="Arial"/>
                <w:sz w:val="3"/>
                <w:szCs w:val="3"/>
                <w:color w:val="FFFFFF"/>
              </w:rPr>
              <w:t>play occurs and for chips in customers’</w:t>
            </w:r>
          </w:p>
        </w:tc>
        <w:tc>
          <w:tcPr>
            <w:tcW w:w="0" w:type="dxa"/>
            <w:vAlign w:val="bottom"/>
          </w:tcPr>
          <w:p>
            <w:pPr>
              <w:spacing w:after="0"/>
              <w:rPr>
                <w:sz w:val="1"/>
                <w:szCs w:val="1"/>
                <w:color w:val="auto"/>
              </w:rPr>
            </w:pPr>
          </w:p>
        </w:tc>
      </w:tr>
      <w:tr>
        <w:trPr>
          <w:trHeight w:val="0"/>
        </w:trPr>
        <w:tc>
          <w:tcPr>
            <w:tcW w:w="5000" w:type="dxa"/>
            <w:vAlign w:val="bottom"/>
            <w:gridSpan w:val="3"/>
          </w:tcPr>
          <w:p>
            <w:pPr>
              <w:spacing w:after="0" w:line="80" w:lineRule="exact"/>
              <w:rPr>
                <w:sz w:val="20"/>
                <w:szCs w:val="20"/>
                <w:color w:val="auto"/>
              </w:rPr>
            </w:pPr>
            <w:r>
              <w:rPr>
                <w:rFonts w:ascii="Arial" w:cs="Arial" w:eastAsia="Arial" w:hAnsi="Arial"/>
                <w:sz w:val="9"/>
                <w:szCs w:val="9"/>
                <w:color w:val="FFFFFF"/>
              </w:rPr>
              <w:t>Casino revenues are measured by the aggregate net difference between gaming wins and</w:t>
            </w:r>
          </w:p>
        </w:tc>
        <w:tc>
          <w:tcPr>
            <w:tcW w:w="4060" w:type="dxa"/>
            <w:vAlign w:val="bottom"/>
          </w:tcPr>
          <w:p>
            <w:pPr>
              <w:ind w:left="220"/>
              <w:spacing w:after="0" w:line="80" w:lineRule="exact"/>
              <w:rPr>
                <w:sz w:val="20"/>
                <w:szCs w:val="20"/>
                <w:color w:val="auto"/>
              </w:rPr>
            </w:pPr>
            <w:r>
              <w:rPr>
                <w:rFonts w:ascii="Arial" w:cs="Arial" w:eastAsia="Arial" w:hAnsi="Arial"/>
                <w:sz w:val="9"/>
                <w:szCs w:val="9"/>
                <w:color w:val="FFFFFF"/>
              </w:rPr>
              <w:t>with liabilities recognized for funds deposited by customers before</w:t>
            </w:r>
          </w:p>
        </w:tc>
        <w:tc>
          <w:tcPr>
            <w:tcW w:w="23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possession. Revenues are recognized net of certain sales incentives. Accordingly, the Group’losses,casino revenues are reduced by discounts, commissions and points earnedgamingcustomer loyalty programs.</w:t>
      </w:r>
    </w:p>
    <w:p>
      <w:pPr>
        <w:ind w:right="140"/>
        <w:spacing w:after="0" w:line="190" w:lineRule="auto"/>
        <w:rPr>
          <w:sz w:val="20"/>
          <w:szCs w:val="20"/>
          <w:color w:val="auto"/>
        </w:rPr>
      </w:pPr>
      <w:r>
        <w:rPr>
          <w:rFonts w:ascii="Arial" w:cs="Arial" w:eastAsia="Arial" w:hAnsi="Arial"/>
          <w:sz w:val="11"/>
          <w:szCs w:val="11"/>
          <w:color w:val="FFFFFF"/>
        </w:rPr>
        <w:t>Rooms, food and beverage, retail and other operating revenues are recognized when services are performed or the retail goods are sold. Deposits received from customers in advance on rooms or other services are recorded as liabilities until services are provided to the customers.</w:t>
      </w:r>
    </w:p>
    <w:p>
      <w:pPr>
        <w:sectPr>
          <w:pgSz w:w="11900" w:h="16838" w:orient="portrait"/>
          <w:cols w:equalWidth="0" w:num="1">
            <w:col w:w="11420"/>
          </w:cols>
          <w:pgMar w:left="240" w:top="1440" w:right="239" w:bottom="1440" w:gutter="0" w:footer="0" w:header="0"/>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Financial98Wynn Macau,StatementsLimited</w:t>
      </w:r>
    </w:p>
    <w:p>
      <w:pPr>
        <w:spacing w:after="0"/>
        <w:rPr>
          <w:sz w:val="20"/>
          <w:szCs w:val="20"/>
          <w:color w:val="auto"/>
        </w:rPr>
      </w:pPr>
      <w:r>
        <w:rPr>
          <w:rFonts w:ascii="Arial" w:cs="Arial" w:eastAsia="Arial" w:hAnsi="Arial"/>
          <w:sz w:val="3"/>
          <w:szCs w:val="3"/>
          <w:color w:val="FFFFFF"/>
        </w:rPr>
        <w:t>Notes to Financial Statements</w:t>
      </w:r>
    </w:p>
    <w:p>
      <w:pPr>
        <w:spacing w:after="0" w:line="181" w:lineRule="auto"/>
        <w:rPr>
          <w:sz w:val="20"/>
          <w:szCs w:val="20"/>
          <w:color w:val="auto"/>
        </w:rPr>
      </w:pPr>
      <w:r>
        <w:rPr>
          <w:rFonts w:ascii="Arial" w:cs="Arial" w:eastAsia="Arial" w:hAnsi="Arial"/>
          <w:sz w:val="10"/>
          <w:szCs w:val="10"/>
          <w:color w:val="FFFFFF"/>
        </w:rPr>
        <w:t>For the year ended 31 December 2012</w:t>
      </w:r>
    </w:p>
    <w:p>
      <w:pPr>
        <w:spacing w:after="0"/>
        <w:rPr>
          <w:sz w:val="20"/>
          <w:szCs w:val="20"/>
          <w:color w:val="auto"/>
        </w:rPr>
      </w:pPr>
      <w:r>
        <w:rPr>
          <w:rFonts w:ascii="Arial" w:cs="Arial" w:eastAsia="Arial" w:hAnsi="Arial"/>
          <w:sz w:val="3"/>
          <w:szCs w:val="3"/>
          <w:color w:val="FFFFFF"/>
        </w:rPr>
        <w:t>Revenue2.2SUMMARYrecognitionOF SIGNIFICANT(continued) ACCOUNTING POLICIES (CONTINUED)</w:t>
      </w:r>
    </w:p>
    <w:p>
      <w:pPr>
        <w:spacing w:after="0" w:line="6" w:lineRule="exact"/>
        <w:rPr>
          <w:sz w:val="20"/>
          <w:szCs w:val="20"/>
          <w:color w:val="auto"/>
        </w:rPr>
      </w:pPr>
    </w:p>
    <w:p>
      <w:pPr>
        <w:ind w:right="660"/>
        <w:spacing w:after="0"/>
        <w:rPr>
          <w:sz w:val="20"/>
          <w:szCs w:val="20"/>
          <w:color w:val="auto"/>
        </w:rPr>
      </w:pPr>
      <w:r>
        <w:rPr>
          <w:rFonts w:ascii="Arial" w:cs="Arial" w:eastAsia="Arial" w:hAnsi="Arial"/>
          <w:sz w:val="7"/>
          <w:szCs w:val="7"/>
          <w:color w:val="FFFFFF"/>
        </w:rPr>
        <w:t>The retail value of accommodation, food and beverage, and other services furnished to guests without charge is excluded from total operating revenues in the accompanying consolidated statement of comprehensive income. The amounts of such promotional allowances excluded from total operating revenues are as follows: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Group</w:t>
      </w:r>
    </w:p>
    <w:p>
      <w:pPr>
        <w:spacing w:after="0" w:line="194" w:lineRule="auto"/>
        <w:rPr>
          <w:sz w:val="20"/>
          <w:szCs w:val="20"/>
          <w:color w:val="auto"/>
        </w:rPr>
      </w:pPr>
      <w:r>
        <w:rPr>
          <w:rFonts w:ascii="Arial" w:cs="Arial" w:eastAsia="Arial" w:hAnsi="Arial"/>
          <w:sz w:val="5"/>
          <w:szCs w:val="5"/>
          <w:color w:val="FFFFFF"/>
        </w:rPr>
        <w:t>For the year ended</w:t>
      </w:r>
    </w:p>
    <w:p>
      <w:pPr>
        <w:spacing w:after="0" w:line="188" w:lineRule="auto"/>
        <w:tabs>
          <w:tab w:leader="none" w:pos="440" w:val="left"/>
        </w:tabs>
        <w:rPr>
          <w:sz w:val="20"/>
          <w:szCs w:val="20"/>
          <w:color w:val="auto"/>
        </w:rPr>
      </w:pPr>
      <w:r>
        <w:rPr>
          <w:rFonts w:ascii="Arial" w:cs="Arial" w:eastAsia="Arial" w:hAnsi="Arial"/>
          <w:sz w:val="6"/>
          <w:szCs w:val="6"/>
          <w:color w:val="FFFFFF"/>
        </w:rPr>
        <w:t>31</w:t>
      </w:r>
      <w:r>
        <w:rPr>
          <w:sz w:val="20"/>
          <w:szCs w:val="20"/>
          <w:color w:val="auto"/>
        </w:rPr>
        <w:tab/>
      </w:r>
      <w:r>
        <w:rPr>
          <w:rFonts w:ascii="Arial" w:cs="Arial" w:eastAsia="Arial" w:hAnsi="Arial"/>
          <w:sz w:val="6"/>
          <w:szCs w:val="6"/>
          <w:color w:val="FFFFFF"/>
        </w:rPr>
        <w:t>December</w:t>
      </w:r>
    </w:p>
    <w:p>
      <w:pPr>
        <w:spacing w:after="0" w:line="188" w:lineRule="auto"/>
        <w:rPr>
          <w:sz w:val="20"/>
          <w:szCs w:val="20"/>
          <w:color w:val="auto"/>
        </w:rPr>
      </w:pPr>
      <w:r>
        <w:rPr>
          <w:rFonts w:ascii="Arial" w:cs="Arial" w:eastAsia="Arial" w:hAnsi="Arial"/>
          <w:sz w:val="9"/>
          <w:szCs w:val="9"/>
          <w:color w:val="FFFFFF"/>
        </w:rPr>
        <w:t>2012 2011</w:t>
      </w:r>
    </w:p>
    <w:p>
      <w:pPr>
        <w:spacing w:after="0"/>
        <w:rPr>
          <w:sz w:val="20"/>
          <w:szCs w:val="20"/>
          <w:color w:val="auto"/>
        </w:rPr>
      </w:pPr>
      <w:r>
        <w:rPr>
          <w:rFonts w:ascii="Arial" w:cs="Arial" w:eastAsia="Arial" w:hAnsi="Arial"/>
          <w:sz w:val="3"/>
          <w:szCs w:val="3"/>
          <w:color w:val="FFFFFF"/>
        </w:rPr>
        <w:t>(inHKthousands)$HK$</w:t>
      </w:r>
    </w:p>
    <w:p>
      <w:pPr>
        <w:spacing w:after="0" w:line="194" w:lineRule="auto"/>
        <w:rPr>
          <w:sz w:val="20"/>
          <w:szCs w:val="20"/>
          <w:color w:val="auto"/>
        </w:rPr>
      </w:pPr>
      <w:r>
        <w:rPr>
          <w:rFonts w:ascii="Arial" w:cs="Arial" w:eastAsia="Arial" w:hAnsi="Arial"/>
          <w:sz w:val="5"/>
          <w:szCs w:val="5"/>
          <w:color w:val="FFFFFF"/>
        </w:rPr>
        <w:t>Rooms 769,782 778,438</w:t>
      </w:r>
    </w:p>
    <w:p>
      <w:pPr>
        <w:spacing w:after="0" w:line="188" w:lineRule="auto"/>
        <w:rPr>
          <w:sz w:val="20"/>
          <w:szCs w:val="20"/>
          <w:color w:val="auto"/>
        </w:rPr>
      </w:pPr>
      <w:r>
        <w:rPr>
          <w:rFonts w:ascii="Arial" w:cs="Arial" w:eastAsia="Arial" w:hAnsi="Arial"/>
          <w:sz w:val="9"/>
          <w:szCs w:val="9"/>
          <w:color w:val="FFFFFF"/>
        </w:rPr>
        <w:t>Food and beverage 571,096 536,053</w:t>
      </w:r>
    </w:p>
    <w:p>
      <w:pPr>
        <w:spacing w:after="0"/>
        <w:rPr>
          <w:sz w:val="20"/>
          <w:szCs w:val="20"/>
          <w:color w:val="auto"/>
        </w:rPr>
      </w:pPr>
      <w:r>
        <w:rPr>
          <w:rFonts w:ascii="Arial" w:cs="Arial" w:eastAsia="Arial" w:hAnsi="Arial"/>
          <w:sz w:val="3"/>
          <w:szCs w:val="3"/>
          <w:color w:val="FFFFFF"/>
        </w:rPr>
        <w:t>1,392,688Retailand 1,351,977other51,810 37,486</w:t>
      </w:r>
    </w:p>
    <w:p>
      <w:pPr>
        <w:spacing w:after="0" w:line="6" w:lineRule="exact"/>
        <w:rPr>
          <w:sz w:val="20"/>
          <w:szCs w:val="20"/>
          <w:color w:val="auto"/>
        </w:rPr>
      </w:pPr>
    </w:p>
    <w:p>
      <w:pPr>
        <w:ind w:right="400"/>
        <w:spacing w:after="0" w:line="181" w:lineRule="auto"/>
        <w:rPr>
          <w:sz w:val="20"/>
          <w:szCs w:val="20"/>
          <w:color w:val="auto"/>
        </w:rPr>
      </w:pPr>
      <w:r>
        <w:rPr>
          <w:rFonts w:ascii="Arial" w:cs="Arial" w:eastAsia="Arial" w:hAnsi="Arial"/>
          <w:sz w:val="9"/>
          <w:szCs w:val="9"/>
          <w:color w:val="FFFFFF"/>
        </w:rPr>
        <w:t xml:space="preserve">Retail and other revenue includes rental income which is recognized on a time proportion basis over the lease terms. Contingent rental income is recognized when the right to receive such rental income is established according to the </w:t>
      </w:r>
      <w:r>
        <w:rPr>
          <w:rFonts w:ascii="Arial" w:cs="Arial" w:eastAsia="Arial" w:hAnsi="Arial"/>
          <w:sz w:val="14"/>
          <w:szCs w:val="14"/>
          <w:color w:val="FFFFFF"/>
          <w:vertAlign w:val="superscript"/>
        </w:rPr>
        <w:t>lease</w:t>
      </w:r>
      <w:r>
        <w:rPr>
          <w:rFonts w:ascii="Arial" w:cs="Arial" w:eastAsia="Arial" w:hAnsi="Arial"/>
          <w:sz w:val="9"/>
          <w:szCs w:val="9"/>
          <w:color w:val="FFFFFF"/>
        </w:rPr>
        <w:t xml:space="preserve"> agreements.</w:t>
      </w:r>
    </w:p>
    <w:p>
      <w:pPr>
        <w:spacing w:after="0"/>
        <w:tabs>
          <w:tab w:leader="none" w:pos="1760" w:val="left"/>
        </w:tabs>
        <w:rPr>
          <w:sz w:val="20"/>
          <w:szCs w:val="20"/>
          <w:color w:val="auto"/>
        </w:rPr>
      </w:pPr>
      <w:r>
        <w:rPr>
          <w:rFonts w:ascii="Arial" w:cs="Arial" w:eastAsia="Arial" w:hAnsi="Arial"/>
          <w:sz w:val="3"/>
          <w:szCs w:val="3"/>
          <w:color w:val="FFFFFF"/>
        </w:rPr>
        <w:t>TaxesFinance revenue is accrued on</w:t>
      </w:r>
      <w:r>
        <w:rPr>
          <w:sz w:val="20"/>
          <w:szCs w:val="20"/>
          <w:color w:val="auto"/>
        </w:rPr>
        <w:tab/>
      </w:r>
      <w:r>
        <w:rPr>
          <w:rFonts w:ascii="Arial" w:cs="Arial" w:eastAsia="Arial" w:hAnsi="Arial"/>
          <w:sz w:val="3"/>
          <w:szCs w:val="3"/>
          <w:color w:val="FFFFFF"/>
        </w:rPr>
        <w:t>time basis by reference to the principal outstanding and at the applicable interest rates.</w:t>
      </w:r>
    </w:p>
    <w:p>
      <w:pPr>
        <w:spacing w:after="0" w:line="34" w:lineRule="exact"/>
        <w:rPr>
          <w:sz w:val="20"/>
          <w:szCs w:val="20"/>
          <w:color w:val="auto"/>
        </w:rPr>
      </w:pPr>
    </w:p>
    <w:p>
      <w:pPr>
        <w:spacing w:after="0" w:line="185" w:lineRule="auto"/>
        <w:rPr>
          <w:sz w:val="20"/>
          <w:szCs w:val="20"/>
          <w:color w:val="auto"/>
        </w:rPr>
      </w:pPr>
      <w:r>
        <w:rPr>
          <w:rFonts w:ascii="Arial" w:cs="Arial" w:eastAsia="Arial" w:hAnsi="Arial"/>
          <w:sz w:val="12"/>
          <w:szCs w:val="12"/>
          <w:color w:val="FFFFFF"/>
        </w:rPr>
        <w:t>Current income tax assets and liabilities for the current and prior periods are measured at the amounts expected to be recovered from or paid to the taxation authorities. The tax rates and tax laws used to compute the amount are those that are enacted or substantively enacted by the statement of ? nancial position date.</w:t>
      </w:r>
    </w:p>
    <w:p>
      <w:pPr>
        <w:sectPr>
          <w:pgSz w:w="11900" w:h="16838" w:orient="portrait"/>
          <w:cols w:equalWidth="0" w:num="1">
            <w:col w:w="11400"/>
          </w:cols>
          <w:pgMar w:left="240" w:top="1440" w:right="25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gridSpan w:val="2"/>
          </w:tcPr>
          <w:p>
            <w:pPr>
              <w:spacing w:after="0"/>
              <w:rPr>
                <w:sz w:val="20"/>
                <w:szCs w:val="20"/>
                <w:color w:val="auto"/>
              </w:rPr>
            </w:pPr>
            <w:r>
              <w:rPr>
                <w:rFonts w:ascii="Arial" w:cs="Arial" w:eastAsia="Arial" w:hAnsi="Arial"/>
                <w:sz w:val="14"/>
                <w:szCs w:val="14"/>
                <w:color w:val="FFFFFF"/>
              </w:rPr>
              <w:t>Annual Report 2012 99</w:t>
            </w:r>
          </w:p>
        </w:tc>
        <w:tc>
          <w:tcPr>
            <w:tcW w:w="230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Financial Statements</w:t>
            </w:r>
          </w:p>
        </w:tc>
        <w:tc>
          <w:tcPr>
            <w:tcW w:w="5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7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2300" w:type="dxa"/>
            <w:vAlign w:val="bottom"/>
          </w:tcPr>
          <w:p>
            <w:pPr>
              <w:spacing w:after="0"/>
              <w:rPr>
                <w:sz w:val="3"/>
                <w:szCs w:val="3"/>
                <w:color w:val="auto"/>
              </w:rPr>
            </w:pPr>
          </w:p>
        </w:tc>
        <w:tc>
          <w:tcPr>
            <w:tcW w:w="7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980" w:type="dxa"/>
            <w:vAlign w:val="bottom"/>
            <w:gridSpan w:val="3"/>
          </w:tcPr>
          <w:p>
            <w:pPr>
              <w:spacing w:after="0"/>
              <w:rPr>
                <w:sz w:val="20"/>
                <w:szCs w:val="20"/>
                <w:color w:val="auto"/>
              </w:rPr>
            </w:pPr>
            <w:r>
              <w:rPr>
                <w:rFonts w:ascii="Arial" w:cs="Arial" w:eastAsia="Arial" w:hAnsi="Arial"/>
                <w:sz w:val="3"/>
                <w:szCs w:val="3"/>
                <w:color w:val="FFFFFF"/>
              </w:rPr>
              <w:t>For the year ended 31 December 2012</w:t>
            </w:r>
          </w:p>
        </w:tc>
        <w:tc>
          <w:tcPr>
            <w:tcW w:w="7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Taxes (continued)</w:t>
            </w:r>
          </w:p>
        </w:tc>
        <w:tc>
          <w:tcPr>
            <w:tcW w:w="540" w:type="dxa"/>
            <w:vAlign w:val="bottom"/>
          </w:tcPr>
          <w:p>
            <w:pPr>
              <w:spacing w:after="0"/>
              <w:rPr>
                <w:sz w:val="3"/>
                <w:szCs w:val="3"/>
                <w:color w:val="auto"/>
              </w:rPr>
            </w:pPr>
          </w:p>
        </w:tc>
        <w:tc>
          <w:tcPr>
            <w:tcW w:w="2300" w:type="dxa"/>
            <w:vAlign w:val="bottom"/>
          </w:tcPr>
          <w:p>
            <w:pPr>
              <w:spacing w:after="0"/>
              <w:rPr>
                <w:sz w:val="3"/>
                <w:szCs w:val="3"/>
                <w:color w:val="auto"/>
              </w:rPr>
            </w:pPr>
          </w:p>
        </w:tc>
        <w:tc>
          <w:tcPr>
            <w:tcW w:w="7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11380" w:type="dxa"/>
            <w:vAlign w:val="bottom"/>
            <w:gridSpan w:val="4"/>
          </w:tcPr>
          <w:p>
            <w:pPr>
              <w:spacing w:after="0" w:line="81" w:lineRule="exact"/>
              <w:rPr>
                <w:sz w:val="20"/>
                <w:szCs w:val="20"/>
                <w:color w:val="auto"/>
              </w:rPr>
            </w:pPr>
            <w:r>
              <w:rPr>
                <w:rFonts w:ascii="Arial" w:cs="Arial" w:eastAsia="Arial" w:hAnsi="Arial"/>
                <w:sz w:val="9"/>
                <w:szCs w:val="9"/>
                <w:color w:val="FFFFFF"/>
              </w:rPr>
              <w:t>Deferred income tax is provided using the liability method on temporary differences at the statement of ? nancial position date between the tax basis of assets and liabilities and their carrying amounts for ?</w:t>
            </w:r>
          </w:p>
        </w:tc>
        <w:tc>
          <w:tcPr>
            <w:tcW w:w="0" w:type="dxa"/>
            <w:vAlign w:val="bottom"/>
          </w:tcPr>
          <w:p>
            <w:pPr>
              <w:spacing w:after="0"/>
              <w:rPr>
                <w:sz w:val="1"/>
                <w:szCs w:val="1"/>
                <w:color w:val="auto"/>
              </w:rPr>
            </w:pP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nancial reporting purposes.</w:t>
            </w:r>
          </w:p>
        </w:tc>
        <w:tc>
          <w:tcPr>
            <w:tcW w:w="2300" w:type="dxa"/>
            <w:vAlign w:val="bottom"/>
          </w:tcPr>
          <w:p>
            <w:pPr>
              <w:spacing w:after="0"/>
              <w:rPr>
                <w:sz w:val="3"/>
                <w:szCs w:val="3"/>
                <w:color w:val="auto"/>
              </w:rPr>
            </w:pPr>
          </w:p>
        </w:tc>
        <w:tc>
          <w:tcPr>
            <w:tcW w:w="7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Deferred income tax liabilities are recognized for all taxable temporary differences, except:</w:t>
            </w:r>
          </w:p>
        </w:tc>
        <w:tc>
          <w:tcPr>
            <w:tcW w:w="0" w:type="dxa"/>
            <w:vAlign w:val="bottom"/>
          </w:tcPr>
          <w:p>
            <w:pPr>
              <w:spacing w:after="0"/>
              <w:rPr>
                <w:sz w:val="1"/>
                <w:szCs w:val="1"/>
                <w:color w:val="auto"/>
              </w:rPr>
            </w:pPr>
          </w:p>
        </w:tc>
      </w:tr>
      <w:tr>
        <w:trPr>
          <w:trHeight w:val="41"/>
        </w:trPr>
        <w:tc>
          <w:tcPr>
            <w:tcW w:w="1680" w:type="dxa"/>
            <w:vAlign w:val="bottom"/>
            <w:gridSpan w:val="2"/>
          </w:tcPr>
          <w:p>
            <w:pPr>
              <w:spacing w:after="0"/>
              <w:rPr>
                <w:sz w:val="20"/>
                <w:szCs w:val="20"/>
                <w:color w:val="auto"/>
              </w:rPr>
            </w:pPr>
            <w:r>
              <w:rPr>
                <w:rFonts w:ascii="Arial" w:cs="Arial" w:eastAsia="Arial" w:hAnsi="Arial"/>
                <w:sz w:val="3"/>
                <w:szCs w:val="3"/>
                <w:color w:val="FFFFFF"/>
              </w:rPr>
              <w:t>• when the deferred income</w:t>
            </w:r>
          </w:p>
        </w:tc>
        <w:tc>
          <w:tcPr>
            <w:tcW w:w="9700" w:type="dxa"/>
            <w:vAlign w:val="bottom"/>
            <w:gridSpan w:val="2"/>
          </w:tcPr>
          <w:p>
            <w:pPr>
              <w:ind w:left="40"/>
              <w:spacing w:after="0"/>
              <w:rPr>
                <w:sz w:val="20"/>
                <w:szCs w:val="20"/>
                <w:color w:val="auto"/>
              </w:rPr>
            </w:pPr>
            <w:r>
              <w:rPr>
                <w:rFonts w:ascii="Arial" w:cs="Arial" w:eastAsia="Arial" w:hAnsi="Arial"/>
                <w:sz w:val="3"/>
                <w:szCs w:val="3"/>
                <w:color w:val="FFFFFF"/>
              </w:rPr>
              <w:t>liability arises from the initial recognition of goodwill or of an asset or liability in a transaction that is not a business combination and, at the time of the transaction, affects neither</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the accounting profi</w:t>
            </w:r>
          </w:p>
        </w:tc>
        <w:tc>
          <w:tcPr>
            <w:tcW w:w="2840" w:type="dxa"/>
            <w:vAlign w:val="bottom"/>
            <w:gridSpan w:val="2"/>
          </w:tcPr>
          <w:p>
            <w:pPr>
              <w:ind w:left="60"/>
              <w:spacing w:after="0"/>
              <w:rPr>
                <w:sz w:val="20"/>
                <w:szCs w:val="20"/>
                <w:color w:val="auto"/>
              </w:rPr>
            </w:pPr>
            <w:r>
              <w:rPr>
                <w:rFonts w:ascii="Arial" w:cs="Arial" w:eastAsia="Arial" w:hAnsi="Arial"/>
                <w:sz w:val="3"/>
                <w:szCs w:val="3"/>
                <w:color w:val="FFFFFF"/>
              </w:rPr>
              <w:t>nor taxable pro? t or loss; and</w:t>
            </w:r>
          </w:p>
        </w:tc>
        <w:tc>
          <w:tcPr>
            <w:tcW w:w="7400" w:type="dxa"/>
            <w:vAlign w:val="bottom"/>
            <w:vMerge w:val="restart"/>
          </w:tcPr>
          <w:p>
            <w:pPr>
              <w:spacing w:after="0" w:line="81" w:lineRule="exact"/>
              <w:rPr>
                <w:sz w:val="20"/>
                <w:szCs w:val="20"/>
                <w:color w:val="auto"/>
              </w:rPr>
            </w:pPr>
            <w:r>
              <w:rPr>
                <w:rFonts w:ascii="Arial" w:cs="Arial" w:eastAsia="Arial" w:hAnsi="Arial"/>
                <w:sz w:val="9"/>
                <w:szCs w:val="9"/>
                <w:color w:val="FFFFFF"/>
              </w:rPr>
              <w:t>in subsidiaries, associates and interests in joint ventures, when the timing of the reversal of the temporary differences can be controlled</w:t>
            </w:r>
          </w:p>
        </w:tc>
        <w:tc>
          <w:tcPr>
            <w:tcW w:w="0" w:type="dxa"/>
            <w:vAlign w:val="bottom"/>
          </w:tcPr>
          <w:p>
            <w:pPr>
              <w:spacing w:after="0"/>
              <w:rPr>
                <w:sz w:val="1"/>
                <w:szCs w:val="1"/>
                <w:color w:val="auto"/>
              </w:rPr>
            </w:pPr>
          </w:p>
        </w:tc>
      </w:tr>
      <w:tr>
        <w:trPr>
          <w:trHeight w:val="41"/>
        </w:trPr>
        <w:tc>
          <w:tcPr>
            <w:tcW w:w="3980" w:type="dxa"/>
            <w:vAlign w:val="bottom"/>
            <w:gridSpan w:val="3"/>
          </w:tcPr>
          <w:p>
            <w:pPr>
              <w:spacing w:after="0"/>
              <w:rPr>
                <w:sz w:val="20"/>
                <w:szCs w:val="20"/>
                <w:color w:val="auto"/>
              </w:rPr>
            </w:pPr>
            <w:r>
              <w:rPr>
                <w:rFonts w:ascii="Arial" w:cs="Arial" w:eastAsia="Arial" w:hAnsi="Arial"/>
                <w:sz w:val="3"/>
                <w:szCs w:val="3"/>
                <w:color w:val="FFFFFF"/>
              </w:rPr>
              <w:t>• in respect of taxable temporary differences associated with</w:t>
            </w: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and it is probable that the temporary differences will not reverseinvestmentstheforeseeable future.</w:t>
            </w:r>
          </w:p>
        </w:tc>
        <w:tc>
          <w:tcPr>
            <w:tcW w:w="0" w:type="dxa"/>
            <w:vAlign w:val="bottom"/>
          </w:tcPr>
          <w:p>
            <w:pPr>
              <w:spacing w:after="0"/>
              <w:rPr>
                <w:sz w:val="1"/>
                <w:szCs w:val="1"/>
                <w:color w:val="auto"/>
              </w:rPr>
            </w:pPr>
          </w:p>
        </w:tc>
      </w:tr>
      <w:tr>
        <w:trPr>
          <w:trHeight w:val="41"/>
        </w:trPr>
        <w:tc>
          <w:tcPr>
            <w:tcW w:w="1140" w:type="dxa"/>
            <w:vAlign w:val="bottom"/>
          </w:tcPr>
          <w:p>
            <w:pPr>
              <w:spacing w:after="0"/>
              <w:rPr>
                <w:sz w:val="20"/>
                <w:szCs w:val="20"/>
                <w:color w:val="auto"/>
              </w:rPr>
            </w:pPr>
            <w:r>
              <w:rPr>
                <w:rFonts w:ascii="Arial" w:cs="Arial" w:eastAsia="Arial" w:hAnsi="Arial"/>
                <w:sz w:val="3"/>
                <w:szCs w:val="3"/>
                <w:color w:val="FFFFFF"/>
              </w:rPr>
              <w:t>Deferred income</w:t>
            </w:r>
          </w:p>
        </w:tc>
        <w:tc>
          <w:tcPr>
            <w:tcW w:w="10240" w:type="dxa"/>
            <w:vAlign w:val="bottom"/>
            <w:gridSpan w:val="3"/>
          </w:tcPr>
          <w:p>
            <w:pPr>
              <w:ind w:left="20"/>
              <w:spacing w:after="0"/>
              <w:rPr>
                <w:sz w:val="20"/>
                <w:szCs w:val="20"/>
                <w:color w:val="auto"/>
              </w:rPr>
            </w:pPr>
            <w:r>
              <w:rPr>
                <w:rFonts w:ascii="Arial" w:cs="Arial" w:eastAsia="Arial" w:hAnsi="Arial"/>
                <w:sz w:val="3"/>
                <w:szCs w:val="3"/>
                <w:color w:val="FFFFFF"/>
              </w:rPr>
              <w:t>assets are recognized for all deductible temporary differences, the carry forward of unused tax credits and any unused tax losses. Deferred tax assets are recognized to the extent that it is</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probable that taxable pro? t will be available against which the deductible temporary differences and the carry forward of unused tax credits and unused tax losses can be utilized, except:</w:t>
            </w:r>
          </w:p>
        </w:tc>
        <w:tc>
          <w:tcPr>
            <w:tcW w:w="0" w:type="dxa"/>
            <w:vAlign w:val="bottom"/>
          </w:tcPr>
          <w:p>
            <w:pPr>
              <w:spacing w:after="0"/>
              <w:rPr>
                <w:sz w:val="1"/>
                <w:szCs w:val="1"/>
                <w:color w:val="auto"/>
              </w:rPr>
            </w:pPr>
          </w:p>
        </w:tc>
      </w:tr>
      <w:tr>
        <w:trPr>
          <w:trHeight w:val="41"/>
        </w:trPr>
        <w:tc>
          <w:tcPr>
            <w:tcW w:w="3980" w:type="dxa"/>
            <w:vAlign w:val="bottom"/>
            <w:gridSpan w:val="3"/>
          </w:tcPr>
          <w:p>
            <w:pPr>
              <w:spacing w:after="0"/>
              <w:rPr>
                <w:sz w:val="20"/>
                <w:szCs w:val="20"/>
                <w:color w:val="auto"/>
              </w:rPr>
            </w:pPr>
            <w:r>
              <w:rPr>
                <w:rFonts w:ascii="Arial" w:cs="Arial" w:eastAsia="Arial" w:hAnsi="Arial"/>
                <w:sz w:val="3"/>
                <w:szCs w:val="3"/>
                <w:color w:val="FFFFFF"/>
              </w:rPr>
              <w:t>• when the deferred income tax asset relating to the deductible</w:t>
            </w:r>
          </w:p>
        </w:tc>
        <w:tc>
          <w:tcPr>
            <w:tcW w:w="7400" w:type="dxa"/>
            <w:vAlign w:val="bottom"/>
          </w:tcPr>
          <w:p>
            <w:pPr>
              <w:ind w:left="20"/>
              <w:spacing w:after="0"/>
              <w:rPr>
                <w:sz w:val="20"/>
                <w:szCs w:val="20"/>
                <w:color w:val="auto"/>
              </w:rPr>
            </w:pPr>
            <w:r>
              <w:rPr>
                <w:rFonts w:ascii="Arial" w:cs="Arial" w:eastAsia="Arial" w:hAnsi="Arial"/>
                <w:sz w:val="3"/>
                <w:szCs w:val="3"/>
                <w:color w:val="FFFFFF"/>
              </w:rPr>
              <w:t>difference arises from the initial recognition of an asset or liability in a transaction that is not a business combination and, at the time of</w:t>
            </w:r>
          </w:p>
        </w:tc>
        <w:tc>
          <w:tcPr>
            <w:tcW w:w="0" w:type="dxa"/>
            <w:vAlign w:val="bottom"/>
          </w:tcPr>
          <w:p>
            <w:pPr>
              <w:spacing w:after="0"/>
              <w:rPr>
                <w:sz w:val="1"/>
                <w:szCs w:val="1"/>
                <w:color w:val="auto"/>
              </w:rPr>
            </w:pPr>
          </w:p>
        </w:tc>
      </w:tr>
      <w:tr>
        <w:trPr>
          <w:trHeight w:val="0"/>
        </w:trPr>
        <w:tc>
          <w:tcPr>
            <w:tcW w:w="3980" w:type="dxa"/>
            <w:vAlign w:val="bottom"/>
            <w:gridSpan w:val="3"/>
          </w:tcPr>
          <w:p>
            <w:pPr>
              <w:spacing w:after="0" w:line="80" w:lineRule="exact"/>
              <w:rPr>
                <w:sz w:val="20"/>
                <w:szCs w:val="20"/>
                <w:color w:val="auto"/>
              </w:rPr>
            </w:pPr>
            <w:r>
              <w:rPr>
                <w:rFonts w:ascii="Arial" w:cs="Arial" w:eastAsia="Arial" w:hAnsi="Arial"/>
                <w:sz w:val="9"/>
                <w:szCs w:val="9"/>
                <w:color w:val="FFFFFF"/>
              </w:rPr>
              <w:t>the transaction, affects neither the accounting profi  nor taxabletemporaryprofi</w:t>
            </w:r>
          </w:p>
        </w:tc>
        <w:tc>
          <w:tcPr>
            <w:tcW w:w="7400" w:type="dxa"/>
            <w:vAlign w:val="bottom"/>
          </w:tcPr>
          <w:p>
            <w:pPr>
              <w:ind w:left="40"/>
              <w:spacing w:after="0" w:line="80" w:lineRule="exact"/>
              <w:rPr>
                <w:sz w:val="20"/>
                <w:szCs w:val="20"/>
                <w:color w:val="auto"/>
              </w:rPr>
            </w:pPr>
            <w:r>
              <w:rPr>
                <w:rFonts w:ascii="Arial" w:cs="Arial" w:eastAsia="Arial" w:hAnsi="Arial"/>
                <w:sz w:val="9"/>
                <w:szCs w:val="9"/>
                <w:color w:val="FFFFFF"/>
              </w:rPr>
              <w:t>loss; and</w:t>
            </w:r>
          </w:p>
        </w:tc>
        <w:tc>
          <w:tcPr>
            <w:tcW w:w="0" w:type="dxa"/>
            <w:vAlign w:val="bottom"/>
          </w:tcPr>
          <w:p>
            <w:pPr>
              <w:spacing w:after="0" w:line="20" w:lineRule="exact"/>
              <w:rPr>
                <w:sz w:val="1"/>
                <w:szCs w:val="1"/>
                <w:color w:val="auto"/>
              </w:rPr>
            </w:pPr>
          </w:p>
        </w:tc>
      </w:tr>
    </w:tbl>
    <w:p>
      <w:pPr>
        <w:jc w:val="both"/>
        <w:spacing w:after="0" w:line="187" w:lineRule="auto"/>
        <w:rPr>
          <w:sz w:val="20"/>
          <w:szCs w:val="20"/>
          <w:color w:val="auto"/>
        </w:rPr>
      </w:pPr>
      <w:r>
        <w:rPr>
          <w:rFonts w:ascii="Arial" w:cs="Arial" w:eastAsia="Arial" w:hAnsi="Arial"/>
          <w:sz w:val="9"/>
          <w:szCs w:val="9"/>
          <w:color w:val="FFFFFF"/>
        </w:rPr>
        <w:t>• in respect of deductible temporary differences associated with investments in subsidiaries, associates and interests in joint ventures, deferred income tax assets are recognized only to the extent it is probable the temporary differences will reverse in the foreseeable future and taxable profi ts will be available against which the temporary differences can be utilized.</w:t>
      </w:r>
    </w:p>
    <w:p>
      <w:pPr>
        <w:sectPr>
          <w:pgSz w:w="11900" w:h="16838" w:orient="portrait"/>
          <w:cols w:equalWidth="0" w:num="1">
            <w:col w:w="11400"/>
          </w:cols>
          <w:pgMar w:left="240" w:top="1440" w:right="259" w:bottom="1440" w:gutter="0" w:footer="0" w:header="0"/>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FFFFFF"/>
              </w:rPr>
              <w:t>100 Wynn Macau, Limited</w:t>
            </w:r>
          </w:p>
        </w:tc>
        <w:tc>
          <w:tcPr>
            <w:tcW w:w="63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Financial Statements</w:t>
            </w:r>
          </w:p>
        </w:tc>
        <w:tc>
          <w:tcPr>
            <w:tcW w:w="63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63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2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20" w:type="dxa"/>
            <w:vAlign w:val="bottom"/>
            <w:gridSpan w:val="2"/>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Taxes (continued)</w:t>
            </w:r>
          </w:p>
        </w:tc>
        <w:tc>
          <w:tcPr>
            <w:tcW w:w="63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020" w:type="dxa"/>
            <w:vAlign w:val="bottom"/>
            <w:gridSpan w:val="2"/>
          </w:tcPr>
          <w:p>
            <w:pPr>
              <w:spacing w:after="0"/>
              <w:rPr>
                <w:sz w:val="20"/>
                <w:szCs w:val="20"/>
                <w:color w:val="auto"/>
              </w:rPr>
            </w:pPr>
            <w:r>
              <w:rPr>
                <w:rFonts w:ascii="Arial" w:cs="Arial" w:eastAsia="Arial" w:hAnsi="Arial"/>
                <w:sz w:val="3"/>
                <w:szCs w:val="3"/>
                <w:color w:val="FFFFFF"/>
              </w:rPr>
              <w:t>Deferred income tax (continued)</w:t>
            </w: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The carrying am unt of deferred income tax assets is reviewed at each statement of ? nancial position date and reduced to the extent that it is no longer probable that suf? cient taxable pro? ts will be available to</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allow all or part of the deferred income tax asset to be utilized. Unrecognized deferred income tax assets are reassessed at each statement of ? nancial position date and are recognized to the extent it has become</w:t>
            </w:r>
          </w:p>
        </w:tc>
        <w:tc>
          <w:tcPr>
            <w:tcW w:w="0" w:type="dxa"/>
            <w:vAlign w:val="bottom"/>
          </w:tcPr>
          <w:p>
            <w:pPr>
              <w:spacing w:after="0"/>
              <w:rPr>
                <w:sz w:val="1"/>
                <w:szCs w:val="1"/>
                <w:color w:val="auto"/>
              </w:rPr>
            </w:pPr>
          </w:p>
        </w:tc>
      </w:tr>
      <w:tr>
        <w:trPr>
          <w:trHeight w:val="41"/>
        </w:trPr>
        <w:tc>
          <w:tcPr>
            <w:tcW w:w="8020" w:type="dxa"/>
            <w:vAlign w:val="bottom"/>
            <w:gridSpan w:val="2"/>
          </w:tcPr>
          <w:p>
            <w:pPr>
              <w:spacing w:after="0"/>
              <w:rPr>
                <w:sz w:val="20"/>
                <w:szCs w:val="20"/>
                <w:color w:val="auto"/>
              </w:rPr>
            </w:pPr>
            <w:r>
              <w:rPr>
                <w:rFonts w:ascii="Arial" w:cs="Arial" w:eastAsia="Arial" w:hAnsi="Arial"/>
                <w:sz w:val="3"/>
                <w:szCs w:val="3"/>
                <w:color w:val="FFFFFF"/>
              </w:rPr>
              <w:t>probable that future taxable pro? ts will allow the deferred tax asset to be recovered.</w:t>
            </w: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Deferred income tax assets and liabilities are measured at the tax rates that are expected to apply in the year when the asset is realized or the liability is settled, based on tax rates (and tax laws) that have been</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enacted or substantively enacted at the statement of ? nancial position date. Deferred income tax items are recognized in correlation to the underlying transaction either in other comprehensive income or directly</w:t>
            </w: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in equity. Deferred income</w:t>
            </w:r>
          </w:p>
        </w:tc>
        <w:tc>
          <w:tcPr>
            <w:tcW w:w="9700" w:type="dxa"/>
            <w:vAlign w:val="bottom"/>
            <w:gridSpan w:val="2"/>
          </w:tcPr>
          <w:p>
            <w:pPr>
              <w:ind w:left="20"/>
              <w:spacing w:after="0"/>
              <w:rPr>
                <w:sz w:val="20"/>
                <w:szCs w:val="20"/>
                <w:color w:val="auto"/>
              </w:rPr>
            </w:pPr>
            <w:r>
              <w:rPr>
                <w:rFonts w:ascii="Arial" w:cs="Arial" w:eastAsia="Arial" w:hAnsi="Arial"/>
                <w:sz w:val="3"/>
                <w:szCs w:val="3"/>
                <w:color w:val="FFFFFF"/>
              </w:rPr>
              <w:t>assets and deferred income tax liabilities are offset if a legally enforceable right exists to set off current tax assets against current income tax liabilities and the deferred income</w:t>
            </w:r>
          </w:p>
        </w:tc>
        <w:tc>
          <w:tcPr>
            <w:tcW w:w="0" w:type="dxa"/>
            <w:vAlign w:val="bottom"/>
          </w:tcPr>
          <w:p>
            <w:pPr>
              <w:spacing w:after="0"/>
              <w:rPr>
                <w:sz w:val="1"/>
                <w:szCs w:val="1"/>
                <w:color w:val="auto"/>
              </w:rPr>
            </w:pPr>
          </w:p>
        </w:tc>
      </w:tr>
      <w:tr>
        <w:trPr>
          <w:trHeight w:val="41"/>
        </w:trPr>
        <w:tc>
          <w:tcPr>
            <w:tcW w:w="8020" w:type="dxa"/>
            <w:vAlign w:val="bottom"/>
            <w:gridSpan w:val="2"/>
          </w:tcPr>
          <w:p>
            <w:pPr>
              <w:spacing w:after="0"/>
              <w:rPr>
                <w:sz w:val="20"/>
                <w:szCs w:val="20"/>
                <w:color w:val="auto"/>
              </w:rPr>
            </w:pPr>
            <w:r>
              <w:rPr>
                <w:rFonts w:ascii="Arial" w:cs="Arial" w:eastAsia="Arial" w:hAnsi="Arial"/>
                <w:sz w:val="3"/>
                <w:szCs w:val="3"/>
                <w:color w:val="FFFFFF"/>
              </w:rPr>
              <w:t>taxes relate to the same taxable entity and the same taxation authority.</w:t>
            </w: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Gaming taxes and premiums</w:t>
            </w:r>
          </w:p>
        </w:tc>
        <w:tc>
          <w:tcPr>
            <w:tcW w:w="6360" w:type="dxa"/>
            <w:vAlign w:val="bottom"/>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According to the Concession Agreement granted by the Macau Government and the relevant legislation, the Group is required to pay  35% gaming tax on the gross gaming win. The Group is also required to</w:t>
            </w: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pay an additional 4% of gross</w:t>
            </w:r>
          </w:p>
        </w:tc>
        <w:tc>
          <w:tcPr>
            <w:tcW w:w="9700" w:type="dxa"/>
            <w:vAlign w:val="bottom"/>
            <w:gridSpan w:val="2"/>
          </w:tcPr>
          <w:p>
            <w:pPr>
              <w:ind w:left="420"/>
              <w:spacing w:after="0"/>
              <w:rPr>
                <w:sz w:val="20"/>
                <w:szCs w:val="20"/>
                <w:color w:val="auto"/>
              </w:rPr>
            </w:pPr>
            <w:r>
              <w:rPr>
                <w:rFonts w:ascii="Arial" w:cs="Arial" w:eastAsia="Arial" w:hAnsi="Arial"/>
                <w:sz w:val="3"/>
                <w:szCs w:val="3"/>
                <w:color w:val="FFFFFF"/>
              </w:rPr>
              <w:t>win as public development and social related contributions. The Group also makes certain variable and ? xed payments to the Macau Government based on the number of</w:t>
            </w:r>
          </w:p>
        </w:tc>
        <w:tc>
          <w:tcPr>
            <w:tcW w:w="0" w:type="dxa"/>
            <w:vAlign w:val="bottom"/>
          </w:tcPr>
          <w:p>
            <w:pPr>
              <w:spacing w:after="0"/>
              <w:rPr>
                <w:sz w:val="1"/>
                <w:szCs w:val="1"/>
                <w:color w:val="auto"/>
              </w:rPr>
            </w:pPr>
          </w:p>
        </w:tc>
      </w:tr>
      <w:tr>
        <w:trPr>
          <w:trHeight w:val="41"/>
        </w:trPr>
        <w:tc>
          <w:tcPr>
            <w:tcW w:w="11360" w:type="dxa"/>
            <w:vAlign w:val="bottom"/>
            <w:gridSpan w:val="3"/>
          </w:tcPr>
          <w:p>
            <w:pPr>
              <w:spacing w:after="0"/>
              <w:rPr>
                <w:sz w:val="20"/>
                <w:szCs w:val="20"/>
                <w:color w:val="auto"/>
              </w:rPr>
            </w:pPr>
            <w:r>
              <w:rPr>
                <w:rFonts w:ascii="Arial" w:cs="Arial" w:eastAsia="Arial" w:hAnsi="Arial"/>
                <w:sz w:val="3"/>
                <w:szCs w:val="3"/>
                <w:color w:val="FFFFFF"/>
              </w:rPr>
              <w:t>slot machines and table gamesgamingoperation on a monthly and yearly basis, respectively. These expenses are reported as “gaming taxes and premiums” in the consolidated statement of comprehensive income.</w:t>
            </w: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A diamond and ? ne art</w:t>
            </w:r>
          </w:p>
        </w:tc>
        <w:tc>
          <w:tcPr>
            <w:tcW w:w="6360" w:type="dxa"/>
            <w:vAlign w:val="bottom"/>
          </w:tcPr>
          <w:p>
            <w:pPr>
              <w:spacing w:after="0"/>
              <w:rPr>
                <w:sz w:val="3"/>
                <w:szCs w:val="3"/>
                <w:color w:val="auto"/>
              </w:rPr>
            </w:pPr>
          </w:p>
        </w:tc>
        <w:tc>
          <w:tcPr>
            <w:tcW w:w="3340" w:type="dxa"/>
            <w:vAlign w:val="bottom"/>
            <w:vMerge w:val="restart"/>
          </w:tcPr>
          <w:p>
            <w:pPr>
              <w:ind w:left="240"/>
              <w:spacing w:after="0"/>
              <w:rPr>
                <w:sz w:val="20"/>
                <w:szCs w:val="20"/>
                <w:color w:val="auto"/>
              </w:rPr>
            </w:pPr>
            <w:r>
              <w:rPr>
                <w:rFonts w:ascii="Arial" w:cs="Arial" w:eastAsia="Arial" w:hAnsi="Arial"/>
                <w:sz w:val="3"/>
                <w:szCs w:val="3"/>
                <w:color w:val="FFFFFF"/>
              </w:rPr>
              <w:t>. Any diamond and artwork impairment is assessed based</w:t>
            </w:r>
          </w:p>
        </w:tc>
        <w:tc>
          <w:tcPr>
            <w:tcW w:w="0" w:type="dxa"/>
            <w:vAlign w:val="bottom"/>
          </w:tcPr>
          <w:p>
            <w:pPr>
              <w:spacing w:after="0"/>
              <w:rPr>
                <w:sz w:val="1"/>
                <w:szCs w:val="1"/>
                <w:color w:val="auto"/>
              </w:rPr>
            </w:pPr>
          </w:p>
        </w:tc>
      </w:tr>
      <w:tr>
        <w:trPr>
          <w:trHeight w:val="0"/>
        </w:trPr>
        <w:tc>
          <w:tcPr>
            <w:tcW w:w="8020" w:type="dxa"/>
            <w:vAlign w:val="bottom"/>
            <w:gridSpan w:val="2"/>
          </w:tcPr>
          <w:p>
            <w:pPr>
              <w:spacing w:after="0" w:line="80" w:lineRule="exact"/>
              <w:rPr>
                <w:sz w:val="20"/>
                <w:szCs w:val="20"/>
                <w:color w:val="auto"/>
              </w:rPr>
            </w:pPr>
            <w:r>
              <w:rPr>
                <w:rFonts w:ascii="Arial" w:cs="Arial" w:eastAsia="Arial" w:hAnsi="Arial"/>
                <w:sz w:val="9"/>
                <w:szCs w:val="9"/>
                <w:color w:val="FFFFFF"/>
              </w:rPr>
              <w:t>The Group’s diamond and fi ne art are stated at cost less accumulated impairment. The amount represents the aggregate cost of the diamond and</w:t>
            </w:r>
          </w:p>
        </w:tc>
        <w:tc>
          <w:tcPr>
            <w:tcW w:w="33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on the cash-generating unit to which it belongs, which is usually the property in its entirety. No impairment has been recognized for the diamond artworkartwork for the years ended 31 December 2012 and 2011.</w:t>
      </w:r>
    </w:p>
    <w:p>
      <w:pPr>
        <w:sectPr>
          <w:pgSz w:w="11900" w:h="16838" w:orient="portrait"/>
          <w:cols w:equalWidth="0" w:num="1">
            <w:col w:w="11360"/>
          </w:cols>
          <w:pgMar w:left="240" w:top="1440" w:right="299" w:bottom="1440" w:gutter="0" w:footer="0" w:header="0"/>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20"/>
                <w:szCs w:val="20"/>
                <w:color w:val="auto"/>
              </w:rPr>
            </w:pPr>
            <w:r>
              <w:rPr>
                <w:rFonts w:ascii="Arial" w:cs="Arial" w:eastAsia="Arial" w:hAnsi="Arial"/>
                <w:sz w:val="14"/>
                <w:szCs w:val="14"/>
                <w:color w:val="FFFFFF"/>
              </w:rPr>
              <w:t>Annual Report 2012 101</w:t>
            </w:r>
          </w:p>
        </w:tc>
        <w:tc>
          <w:tcPr>
            <w:tcW w:w="1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Financial Statements</w:t>
            </w:r>
          </w:p>
        </w:tc>
        <w:tc>
          <w:tcPr>
            <w:tcW w:w="14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400" w:type="dxa"/>
            <w:vAlign w:val="bottom"/>
          </w:tcPr>
          <w:p>
            <w:pPr>
              <w:spacing w:after="0"/>
              <w:rPr>
                <w:sz w:val="3"/>
                <w:szCs w:val="3"/>
                <w:color w:val="auto"/>
              </w:rPr>
            </w:pP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14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00" w:type="dxa"/>
            <w:vAlign w:val="bottom"/>
            <w:gridSpan w:val="3"/>
          </w:tcPr>
          <w:p>
            <w:pPr>
              <w:spacing w:after="0"/>
              <w:rPr>
                <w:sz w:val="20"/>
                <w:szCs w:val="20"/>
                <w:color w:val="auto"/>
              </w:rPr>
            </w:pPr>
            <w:r>
              <w:rPr>
                <w:rFonts w:ascii="Arial" w:cs="Arial" w:eastAsia="Arial" w:hAnsi="Arial"/>
                <w:sz w:val="3"/>
                <w:szCs w:val="3"/>
                <w:color w:val="FFFFFF"/>
              </w:rPr>
              <w:t>2.2 SUMMARY OF SIGNIFICANT ACCOUNTING POLICIES (CONTINUED)</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Dividends</w:t>
            </w:r>
          </w:p>
        </w:tc>
        <w:tc>
          <w:tcPr>
            <w:tcW w:w="1400" w:type="dxa"/>
            <w:vAlign w:val="bottom"/>
          </w:tcPr>
          <w:p>
            <w:pPr>
              <w:spacing w:after="0"/>
              <w:rPr>
                <w:sz w:val="3"/>
                <w:szCs w:val="3"/>
                <w:color w:val="auto"/>
              </w:rPr>
            </w:pPr>
          </w:p>
        </w:tc>
        <w:tc>
          <w:tcPr>
            <w:tcW w:w="196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separate allocation of retained</w:t>
            </w:r>
          </w:p>
        </w:tc>
        <w:tc>
          <w:tcPr>
            <w:tcW w:w="0" w:type="dxa"/>
            <w:vAlign w:val="bottom"/>
          </w:tcPr>
          <w:p>
            <w:pPr>
              <w:spacing w:after="0"/>
              <w:rPr>
                <w:sz w:val="1"/>
                <w:szCs w:val="1"/>
                <w:color w:val="auto"/>
              </w:rPr>
            </w:pPr>
          </w:p>
        </w:tc>
      </w:tr>
      <w:tr>
        <w:trPr>
          <w:trHeight w:val="41"/>
        </w:trPr>
        <w:tc>
          <w:tcPr>
            <w:tcW w:w="3140" w:type="dxa"/>
            <w:vAlign w:val="bottom"/>
            <w:gridSpan w:val="2"/>
          </w:tcPr>
          <w:p>
            <w:pPr>
              <w:spacing w:after="0"/>
              <w:rPr>
                <w:sz w:val="20"/>
                <w:szCs w:val="20"/>
                <w:color w:val="auto"/>
              </w:rPr>
            </w:pPr>
            <w:r>
              <w:rPr>
                <w:rFonts w:ascii="Arial" w:cs="Arial" w:eastAsia="Arial" w:hAnsi="Arial"/>
                <w:sz w:val="3"/>
                <w:szCs w:val="3"/>
                <w:color w:val="FFFFFF"/>
              </w:rPr>
              <w:t>Final dividends proposed by the directors are classi?ed as</w:t>
            </w:r>
          </w:p>
        </w:tc>
        <w:tc>
          <w:tcPr>
            <w:tcW w:w="1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00" w:type="dxa"/>
            <w:vAlign w:val="bottom"/>
            <w:gridSpan w:val="3"/>
          </w:tcPr>
          <w:p>
            <w:pPr>
              <w:spacing w:after="0"/>
              <w:rPr>
                <w:sz w:val="20"/>
                <w:szCs w:val="20"/>
                <w:color w:val="auto"/>
              </w:rPr>
            </w:pPr>
            <w:r>
              <w:rPr>
                <w:rFonts w:ascii="Arial" w:cs="Arial" w:eastAsia="Arial" w:hAnsi="Arial"/>
                <w:sz w:val="3"/>
                <w:szCs w:val="3"/>
                <w:color w:val="FFFFFF"/>
              </w:rPr>
              <w:t>earnings within the equity section of the statement of ?nancial position, until they have been</w:t>
            </w:r>
          </w:p>
        </w:tc>
        <w:tc>
          <w:tcPr>
            <w:tcW w:w="0" w:type="dxa"/>
            <w:vAlign w:val="bottom"/>
          </w:tcPr>
          <w:p>
            <w:pPr>
              <w:spacing w:after="0"/>
              <w:rPr>
                <w:sz w:val="1"/>
                <w:szCs w:val="1"/>
                <w:color w:val="auto"/>
              </w:rPr>
            </w:pPr>
          </w:p>
        </w:tc>
      </w:tr>
      <w:tr>
        <w:trPr>
          <w:trHeight w:val="41"/>
        </w:trPr>
        <w:tc>
          <w:tcPr>
            <w:tcW w:w="5100" w:type="dxa"/>
            <w:vAlign w:val="bottom"/>
            <w:gridSpan w:val="3"/>
          </w:tcPr>
          <w:p>
            <w:pPr>
              <w:spacing w:after="0"/>
              <w:rPr>
                <w:sz w:val="20"/>
                <w:szCs w:val="20"/>
                <w:color w:val="auto"/>
              </w:rPr>
            </w:pPr>
            <w:r>
              <w:rPr>
                <w:rFonts w:ascii="Arial" w:cs="Arial" w:eastAsia="Arial" w:hAnsi="Arial"/>
                <w:sz w:val="3"/>
                <w:szCs w:val="3"/>
                <w:color w:val="FFFFFF"/>
              </w:rPr>
              <w:t>approved by the shareholders in a general meeting. When these dividends have been approved</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by the shareholders and</w:t>
            </w:r>
          </w:p>
        </w:tc>
        <w:tc>
          <w:tcPr>
            <w:tcW w:w="1400" w:type="dxa"/>
            <w:vAlign w:val="bottom"/>
          </w:tcPr>
          <w:p>
            <w:pPr>
              <w:ind w:left="100"/>
              <w:spacing w:after="0"/>
              <w:rPr>
                <w:sz w:val="20"/>
                <w:szCs w:val="20"/>
                <w:color w:val="auto"/>
              </w:rPr>
            </w:pPr>
            <w:r>
              <w:rPr>
                <w:rFonts w:ascii="Arial" w:cs="Arial" w:eastAsia="Arial" w:hAnsi="Arial"/>
                <w:sz w:val="3"/>
                <w:szCs w:val="3"/>
                <w:color w:val="FFFFFF"/>
              </w:rPr>
              <w:t>they are recognized as</w:t>
            </w:r>
          </w:p>
        </w:tc>
        <w:tc>
          <w:tcPr>
            <w:tcW w:w="1960" w:type="dxa"/>
            <w:vAlign w:val="bottom"/>
          </w:tcPr>
          <w:p>
            <w:pPr>
              <w:ind w:left="40"/>
              <w:spacing w:after="0"/>
              <w:rPr>
                <w:sz w:val="20"/>
                <w:szCs w:val="20"/>
                <w:color w:val="auto"/>
              </w:rPr>
            </w:pPr>
            <w:r>
              <w:rPr>
                <w:rFonts w:ascii="Arial" w:cs="Arial" w:eastAsia="Arial" w:hAnsi="Arial"/>
                <w:sz w:val="3"/>
                <w:szCs w:val="3"/>
                <w:color w:val="FFFFFF"/>
              </w:rPr>
              <w:t>liability.</w:t>
            </w:r>
          </w:p>
        </w:tc>
        <w:tc>
          <w:tcPr>
            <w:tcW w:w="0" w:type="dxa"/>
            <w:vAlign w:val="bottom"/>
          </w:tcPr>
          <w:p>
            <w:pPr>
              <w:spacing w:after="0"/>
              <w:rPr>
                <w:sz w:val="1"/>
                <w:szCs w:val="1"/>
                <w:color w:val="auto"/>
              </w:rPr>
            </w:pPr>
          </w:p>
        </w:tc>
      </w:tr>
      <w:tr>
        <w:trPr>
          <w:trHeight w:val="41"/>
        </w:trPr>
        <w:tc>
          <w:tcPr>
            <w:tcW w:w="5100" w:type="dxa"/>
            <w:vAlign w:val="bottom"/>
            <w:gridSpan w:val="3"/>
          </w:tcPr>
          <w:p>
            <w:pPr>
              <w:spacing w:after="0"/>
              <w:rPr>
                <w:sz w:val="20"/>
                <w:szCs w:val="20"/>
                <w:color w:val="auto"/>
              </w:rPr>
            </w:pPr>
            <w:r>
              <w:rPr>
                <w:rFonts w:ascii="Arial" w:cs="Arial" w:eastAsia="Arial" w:hAnsi="Arial"/>
                <w:sz w:val="3"/>
                <w:szCs w:val="3"/>
                <w:color w:val="FFFFFF"/>
              </w:rPr>
              <w:t>Interim/special dividendsdeclared,simultaneously proposed and declared because the Company’s</w:t>
            </w:r>
          </w:p>
        </w:tc>
        <w:tc>
          <w:tcPr>
            <w:tcW w:w="0" w:type="dxa"/>
            <w:vAlign w:val="bottom"/>
          </w:tcPr>
          <w:p>
            <w:pPr>
              <w:spacing w:after="0"/>
              <w:rPr>
                <w:sz w:val="1"/>
                <w:szCs w:val="1"/>
                <w:color w:val="auto"/>
              </w:rPr>
            </w:pPr>
          </w:p>
        </w:tc>
      </w:tr>
      <w:tr>
        <w:trPr>
          <w:trHeight w:val="41"/>
        </w:trPr>
        <w:tc>
          <w:tcPr>
            <w:tcW w:w="5100" w:type="dxa"/>
            <w:vAlign w:val="bottom"/>
            <w:gridSpan w:val="3"/>
          </w:tcPr>
          <w:p>
            <w:pPr>
              <w:spacing w:after="0"/>
              <w:rPr>
                <w:sz w:val="20"/>
                <w:szCs w:val="20"/>
                <w:color w:val="auto"/>
              </w:rPr>
            </w:pPr>
            <w:r>
              <w:rPr>
                <w:rFonts w:ascii="Arial" w:cs="Arial" w:eastAsia="Arial" w:hAnsi="Arial"/>
                <w:sz w:val="3"/>
                <w:szCs w:val="3"/>
                <w:color w:val="FFFFFF"/>
              </w:rPr>
              <w:t>memorandum and articles of association grant the Directors the authority to declare interim/</w:t>
            </w:r>
          </w:p>
        </w:tc>
        <w:tc>
          <w:tcPr>
            <w:tcW w:w="0" w:type="dxa"/>
            <w:vAlign w:val="bottom"/>
          </w:tcPr>
          <w:p>
            <w:pPr>
              <w:spacing w:after="0"/>
              <w:rPr>
                <w:sz w:val="1"/>
                <w:szCs w:val="1"/>
                <w:color w:val="auto"/>
              </w:rPr>
            </w:pPr>
          </w:p>
        </w:tc>
      </w:tr>
      <w:tr>
        <w:trPr>
          <w:trHeight w:val="41"/>
        </w:trPr>
        <w:tc>
          <w:tcPr>
            <w:tcW w:w="5100" w:type="dxa"/>
            <w:vAlign w:val="bottom"/>
            <w:gridSpan w:val="3"/>
          </w:tcPr>
          <w:p>
            <w:pPr>
              <w:spacing w:after="0"/>
              <w:rPr>
                <w:sz w:val="20"/>
                <w:szCs w:val="20"/>
                <w:color w:val="auto"/>
              </w:rPr>
            </w:pPr>
            <w:r>
              <w:rPr>
                <w:rFonts w:ascii="Arial" w:cs="Arial" w:eastAsia="Arial" w:hAnsi="Arial"/>
                <w:sz w:val="3"/>
                <w:szCs w:val="3"/>
                <w:color w:val="FFFFFF"/>
              </w:rPr>
              <w:t>special dividends. Consequently, interim/special dividends are recognized immediately as a</w:t>
            </w:r>
          </w:p>
        </w:tc>
        <w:tc>
          <w:tcPr>
            <w:tcW w:w="0" w:type="dxa"/>
            <w:vAlign w:val="bottom"/>
          </w:tcPr>
          <w:p>
            <w:pPr>
              <w:spacing w:after="0"/>
              <w:rPr>
                <w:sz w:val="1"/>
                <w:szCs w:val="1"/>
                <w:color w:val="auto"/>
              </w:rPr>
            </w:pPr>
          </w:p>
        </w:tc>
      </w:tr>
      <w:tr>
        <w:trPr>
          <w:trHeight w:val="41"/>
        </w:trPr>
        <w:tc>
          <w:tcPr>
            <w:tcW w:w="3140" w:type="dxa"/>
            <w:vAlign w:val="bottom"/>
            <w:gridSpan w:val="2"/>
          </w:tcPr>
          <w:p>
            <w:pPr>
              <w:spacing w:after="0"/>
              <w:rPr>
                <w:sz w:val="20"/>
                <w:szCs w:val="20"/>
                <w:color w:val="auto"/>
              </w:rPr>
            </w:pPr>
            <w:r>
              <w:rPr>
                <w:rFonts w:ascii="Arial" w:cs="Arial" w:eastAsia="Arial" w:hAnsi="Arial"/>
                <w:sz w:val="3"/>
                <w:szCs w:val="3"/>
                <w:color w:val="FFFFFF"/>
              </w:rPr>
              <w:t>liability when they are proposed and declared.</w:t>
            </w:r>
          </w:p>
        </w:tc>
        <w:tc>
          <w:tcPr>
            <w:tcW w:w="1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40" w:type="dxa"/>
            <w:vAlign w:val="bottom"/>
          </w:tcPr>
          <w:p>
            <w:pPr>
              <w:spacing w:after="0"/>
              <w:rPr>
                <w:sz w:val="20"/>
                <w:szCs w:val="20"/>
                <w:color w:val="auto"/>
              </w:rPr>
            </w:pPr>
            <w:r>
              <w:rPr>
                <w:rFonts w:ascii="Arial" w:cs="Arial" w:eastAsia="Arial" w:hAnsi="Arial"/>
                <w:sz w:val="3"/>
                <w:szCs w:val="3"/>
                <w:color w:val="FFFFFF"/>
              </w:rPr>
              <w:t>Statutory reserve</w:t>
            </w:r>
          </w:p>
        </w:tc>
        <w:tc>
          <w:tcPr>
            <w:tcW w:w="1400" w:type="dxa"/>
            <w:vAlign w:val="bottom"/>
          </w:tcPr>
          <w:p>
            <w:pPr>
              <w:spacing w:after="0"/>
              <w:rPr>
                <w:sz w:val="3"/>
                <w:szCs w:val="3"/>
                <w:color w:val="auto"/>
              </w:rPr>
            </w:pPr>
          </w:p>
        </w:tc>
        <w:tc>
          <w:tcPr>
            <w:tcW w:w="1960" w:type="dxa"/>
            <w:vAlign w:val="bottom"/>
            <w:vMerge w:val="restart"/>
          </w:tcPr>
          <w:p>
            <w:pPr>
              <w:ind w:left="180"/>
              <w:spacing w:after="0"/>
              <w:rPr>
                <w:sz w:val="20"/>
                <w:szCs w:val="20"/>
                <w:color w:val="auto"/>
              </w:rPr>
            </w:pPr>
            <w:r>
              <w:rPr>
                <w:rFonts w:ascii="Arial" w:cs="Arial" w:eastAsia="Arial" w:hAnsi="Arial"/>
                <w:sz w:val="3"/>
                <w:szCs w:val="3"/>
                <w:color w:val="FFFFFF"/>
              </w:rPr>
              <w:t>Code, Wynn Macau, Limited’s</w:t>
            </w:r>
          </w:p>
        </w:tc>
        <w:tc>
          <w:tcPr>
            <w:tcW w:w="0" w:type="dxa"/>
            <w:vAlign w:val="bottom"/>
          </w:tcPr>
          <w:p>
            <w:pPr>
              <w:spacing w:after="0"/>
              <w:rPr>
                <w:sz w:val="1"/>
                <w:szCs w:val="1"/>
                <w:color w:val="auto"/>
              </w:rPr>
            </w:pPr>
          </w:p>
        </w:tc>
      </w:tr>
      <w:tr>
        <w:trPr>
          <w:trHeight w:val="0"/>
        </w:trPr>
        <w:tc>
          <w:tcPr>
            <w:tcW w:w="3140" w:type="dxa"/>
            <w:vAlign w:val="bottom"/>
            <w:gridSpan w:val="2"/>
          </w:tcPr>
          <w:p>
            <w:pPr>
              <w:spacing w:after="0" w:line="80" w:lineRule="exact"/>
              <w:rPr>
                <w:sz w:val="20"/>
                <w:szCs w:val="20"/>
                <w:color w:val="auto"/>
              </w:rPr>
            </w:pPr>
            <w:r>
              <w:rPr>
                <w:rFonts w:ascii="Arial" w:cs="Arial" w:eastAsia="Arial" w:hAnsi="Arial"/>
                <w:sz w:val="9"/>
                <w:szCs w:val="9"/>
                <w:color w:val="FFFFFF"/>
              </w:rPr>
              <w:t>In accordance with the provisions of the Macau</w:t>
            </w:r>
          </w:p>
        </w:tc>
        <w:tc>
          <w:tcPr>
            <w:tcW w:w="1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620"/>
        <w:spacing w:after="0" w:line="25" w:lineRule="auto"/>
        <w:rPr>
          <w:sz w:val="20"/>
          <w:szCs w:val="20"/>
          <w:color w:val="auto"/>
        </w:rPr>
      </w:pPr>
      <w:r>
        <w:rPr>
          <w:rFonts w:ascii="Arial" w:cs="Arial" w:eastAsia="Arial" w:hAnsi="Arial"/>
          <w:sz w:val="1"/>
          <w:szCs w:val="1"/>
          <w:color w:val="FFFFFF"/>
        </w:rPr>
        <w:t>Commercial</w:t>
      </w:r>
    </w:p>
    <w:p>
      <w:pPr>
        <w:spacing w:after="0" w:line="211" w:lineRule="auto"/>
        <w:rPr>
          <w:sz w:val="20"/>
          <w:szCs w:val="20"/>
          <w:color w:val="auto"/>
        </w:rPr>
      </w:pPr>
      <w:r>
        <w:rPr>
          <w:rFonts w:ascii="Arial" w:cs="Arial" w:eastAsia="Arial" w:hAnsi="Arial"/>
          <w:sz w:val="4"/>
          <w:szCs w:val="4"/>
          <w:color w:val="FFFFFF"/>
          <w:vertAlign w:val="subscript"/>
        </w:rPr>
        <w:t>not</w:t>
      </w:r>
      <w:r>
        <w:rPr>
          <w:rFonts w:ascii="Arial" w:cs="Arial" w:eastAsia="Arial" w:hAnsi="Arial"/>
          <w:sz w:val="2"/>
          <w:szCs w:val="2"/>
          <w:color w:val="FFFFFF"/>
        </w:rPr>
        <w:t>subsidiariesetpro?t</w:t>
      </w:r>
      <w:r>
        <w:rPr>
          <w:rFonts w:ascii="Arial" w:cs="Arial" w:eastAsia="Arial" w:hAnsi="Arial"/>
          <w:sz w:val="4"/>
          <w:szCs w:val="4"/>
          <w:color w:val="FFFFFF"/>
          <w:vertAlign w:val="subscript"/>
        </w:rPr>
        <w:t>distributable</w:t>
      </w:r>
      <w:r>
        <w:rPr>
          <w:rFonts w:ascii="Arial" w:cs="Arial" w:eastAsia="Arial" w:hAnsi="Arial"/>
          <w:sz w:val="2"/>
          <w:szCs w:val="2"/>
          <w:color w:val="FFFFFF"/>
        </w:rPr>
        <w:t>toincorporatedlegalreserveinuntilMacauthatarereserverequiredequalstotransfer25%of theirminimumissued ofcapital.10% ofThistheirreserveannualis</w:t>
      </w:r>
    </w:p>
    <w:p>
      <w:pPr>
        <w:ind w:left="920"/>
        <w:spacing w:after="0" w:line="188" w:lineRule="auto"/>
        <w:rPr>
          <w:sz w:val="20"/>
          <w:szCs w:val="20"/>
          <w:color w:val="auto"/>
        </w:rPr>
      </w:pPr>
      <w:r>
        <w:rPr>
          <w:rFonts w:ascii="Arial" w:cs="Arial" w:eastAsia="Arial" w:hAnsi="Arial"/>
          <w:sz w:val="9"/>
          <w:szCs w:val="9"/>
          <w:color w:val="FFFFFF"/>
        </w:rPr>
        <w:t>to the shareholders.</w:t>
      </w:r>
    </w:p>
    <w:p>
      <w:pPr>
        <w:spacing w:after="0" w:line="188" w:lineRule="auto"/>
        <w:rPr>
          <w:sz w:val="20"/>
          <w:szCs w:val="20"/>
          <w:color w:val="auto"/>
        </w:rPr>
      </w:pPr>
      <w:r>
        <w:rPr>
          <w:rFonts w:ascii="Arial" w:cs="Arial" w:eastAsia="Arial" w:hAnsi="Arial"/>
          <w:sz w:val="9"/>
          <w:szCs w:val="9"/>
          <w:color w:val="FFFFFF"/>
        </w:rPr>
        <w:t>STANDARDS2.3IMPACTOF NEW AND REVISED INTERNATIONAL FINANCIAL REPORTING</w:t>
      </w:r>
    </w:p>
    <w:p>
      <w:pPr>
        <w:spacing w:after="0" w:line="187" w:lineRule="auto"/>
        <w:rPr>
          <w:sz w:val="20"/>
          <w:szCs w:val="20"/>
          <w:color w:val="auto"/>
        </w:rPr>
      </w:pPr>
      <w:r>
        <w:rPr>
          <w:rFonts w:ascii="Arial" w:cs="Arial" w:eastAsia="Arial" w:hAnsi="Arial"/>
          <w:sz w:val="7"/>
          <w:szCs w:val="7"/>
          <w:color w:val="FFFFFF"/>
        </w:rPr>
        <w:t>yearThe Group?nancialhas</w:t>
      </w:r>
      <w:r>
        <w:rPr>
          <w:rFonts w:ascii="Arial" w:cs="Arial" w:eastAsia="Arial" w:hAnsi="Arial"/>
          <w:sz w:val="9"/>
          <w:szCs w:val="9"/>
          <w:color w:val="FFFFFF"/>
          <w:vertAlign w:val="subscript"/>
        </w:rPr>
        <w:t>statements:</w:t>
      </w:r>
      <w:r>
        <w:rPr>
          <w:rFonts w:ascii="Arial" w:cs="Arial" w:eastAsia="Arial" w:hAnsi="Arial"/>
          <w:sz w:val="7"/>
          <w:szCs w:val="7"/>
          <w:color w:val="FFFFFF"/>
        </w:rPr>
        <w:t>adoptedthe following new and revised IFRSs for the ?rst time for the current</w:t>
      </w:r>
    </w:p>
    <w:p>
      <w:pPr>
        <w:spacing w:after="0"/>
        <w:rPr>
          <w:sz w:val="20"/>
          <w:szCs w:val="20"/>
          <w:color w:val="auto"/>
        </w:rPr>
      </w:pPr>
      <w:r>
        <w:rPr>
          <w:rFonts w:ascii="Arial" w:cs="Arial" w:eastAsia="Arial" w:hAnsi="Arial"/>
          <w:sz w:val="3"/>
          <w:szCs w:val="3"/>
          <w:color w:val="FFFFFF"/>
        </w:rPr>
        <w:t>FinancialIFRS1AmendmentReporting StandardsAmendments— SeveretoIFRSHyperinflation1First-TimeAdoptionand of International</w:t>
      </w:r>
    </w:p>
    <w:p>
      <w:pPr>
        <w:spacing w:after="0" w:line="181" w:lineRule="auto"/>
        <w:rPr>
          <w:sz w:val="20"/>
          <w:szCs w:val="20"/>
          <w:color w:val="auto"/>
        </w:rPr>
      </w:pPr>
      <w:r>
        <w:rPr>
          <w:rFonts w:ascii="Arial" w:cs="Arial" w:eastAsia="Arial" w:hAnsi="Arial"/>
          <w:sz w:val="10"/>
          <w:szCs w:val="10"/>
          <w:color w:val="FFFFFF"/>
        </w:rPr>
        <w:t>Removal of Fixed Dates for First-Time Adopters</w:t>
      </w:r>
    </w:p>
    <w:p>
      <w:pPr>
        <w:spacing w:after="0" w:line="188" w:lineRule="auto"/>
        <w:rPr>
          <w:sz w:val="20"/>
          <w:szCs w:val="20"/>
          <w:color w:val="auto"/>
        </w:rPr>
      </w:pPr>
      <w:r>
        <w:rPr>
          <w:rFonts w:ascii="Arial" w:cs="Arial" w:eastAsia="Arial" w:hAnsi="Arial"/>
          <w:sz w:val="9"/>
          <w:szCs w:val="9"/>
          <w:color w:val="FFFFFF"/>
        </w:rPr>
        <w:t>TransfersIFRS7AmendmentsofFinancialAmendmentsAssets to IFRS 7 Financial Instruments: Disclosures —</w:t>
      </w:r>
    </w:p>
    <w:p>
      <w:pPr>
        <w:spacing w:after="0"/>
        <w:rPr>
          <w:sz w:val="20"/>
          <w:szCs w:val="20"/>
          <w:color w:val="auto"/>
        </w:rPr>
      </w:pPr>
      <w:r>
        <w:rPr>
          <w:rFonts w:ascii="Arial" w:cs="Arial" w:eastAsia="Arial" w:hAnsi="Arial"/>
          <w:sz w:val="3"/>
          <w:szCs w:val="3"/>
          <w:color w:val="FFFFFF"/>
        </w:rPr>
        <w:t>RecoveryIAS12AmendmentsofUnderlyingAmendmentsAssets to IAS 12 Income Taxes — Deferred Tax:</w:t>
      </w:r>
    </w:p>
    <w:p>
      <w:pPr>
        <w:spacing w:after="0" w:line="181" w:lineRule="auto"/>
        <w:rPr>
          <w:sz w:val="20"/>
          <w:szCs w:val="20"/>
          <w:color w:val="auto"/>
        </w:rPr>
      </w:pPr>
      <w:r>
        <w:rPr>
          <w:rFonts w:ascii="Arial" w:cs="Arial" w:eastAsia="Arial" w:hAnsi="Arial"/>
          <w:sz w:val="10"/>
          <w:szCs w:val="10"/>
          <w:color w:val="FFFFFF"/>
        </w:rPr>
        <w:t>The adoption of these new and revised IFRSs and interpretations has had no signi?cant</w:t>
      </w:r>
    </w:p>
    <w:p>
      <w:pPr>
        <w:spacing w:after="0"/>
        <w:rPr>
          <w:sz w:val="20"/>
          <w:szCs w:val="20"/>
          <w:color w:val="auto"/>
        </w:rPr>
      </w:pPr>
      <w:r>
        <w:rPr>
          <w:rFonts w:ascii="Arial" w:cs="Arial" w:eastAsia="Arial" w:hAnsi="Arial"/>
          <w:sz w:val="8"/>
          <w:szCs w:val="8"/>
          <w:color w:val="FFFFFF"/>
        </w:rPr>
        <w:t>accounting?nancialeffectspoliciesontheapplied?nancialinthestatements?nancial andstatements.therehave been no signi?cant changes to the</w:t>
      </w:r>
    </w:p>
    <w:p>
      <w:pPr>
        <w:sectPr>
          <w:pgSz w:w="11900" w:h="16838" w:orient="portrait"/>
          <w:cols w:equalWidth="0" w:num="1">
            <w:col w:w="10219"/>
          </w:cols>
          <w:pgMar w:left="240" w:top="1440" w:right="1440"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3"/>
          </w:tcPr>
          <w:p>
            <w:pPr>
              <w:spacing w:after="0"/>
              <w:rPr>
                <w:sz w:val="20"/>
                <w:szCs w:val="20"/>
                <w:color w:val="auto"/>
              </w:rPr>
            </w:pPr>
            <w:r>
              <w:rPr>
                <w:rFonts w:ascii="Arial" w:cs="Arial" w:eastAsia="Arial" w:hAnsi="Arial"/>
                <w:sz w:val="14"/>
                <w:szCs w:val="14"/>
                <w:color w:val="FFFFFF"/>
              </w:rPr>
              <w:t>102 Wynn Macau, Limited</w:t>
            </w:r>
          </w:p>
        </w:tc>
        <w:tc>
          <w:tcPr>
            <w:tcW w:w="1480" w:type="dxa"/>
            <w:vAlign w:val="bottom"/>
          </w:tcPr>
          <w:p>
            <w:pPr>
              <w:spacing w:after="0"/>
              <w:rPr>
                <w:sz w:val="14"/>
                <w:szCs w:val="14"/>
                <w:color w:val="auto"/>
              </w:rPr>
            </w:pPr>
          </w:p>
        </w:tc>
        <w:tc>
          <w:tcPr>
            <w:tcW w:w="6360" w:type="dxa"/>
            <w:vAlign w:val="bottom"/>
          </w:tcPr>
          <w:p>
            <w:pPr>
              <w:spacing w:after="0"/>
              <w:rPr>
                <w:sz w:val="14"/>
                <w:szCs w:val="14"/>
                <w:color w:val="auto"/>
              </w:rPr>
            </w:pPr>
          </w:p>
        </w:tc>
      </w:tr>
      <w:tr>
        <w:trPr>
          <w:trHeight w:val="41"/>
        </w:trPr>
        <w:tc>
          <w:tcPr>
            <w:tcW w:w="196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148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196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148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For the year ended 31 December 2012</w:t>
            </w:r>
          </w:p>
        </w:tc>
        <w:tc>
          <w:tcPr>
            <w:tcW w:w="6360" w:type="dxa"/>
            <w:vAlign w:val="bottom"/>
          </w:tcPr>
          <w:p>
            <w:pPr>
              <w:spacing w:after="0"/>
              <w:rPr>
                <w:sz w:val="3"/>
                <w:szCs w:val="3"/>
                <w:color w:val="auto"/>
              </w:rPr>
            </w:pPr>
          </w:p>
        </w:tc>
      </w:tr>
      <w:tr>
        <w:trPr>
          <w:trHeight w:val="41"/>
        </w:trPr>
        <w:tc>
          <w:tcPr>
            <w:tcW w:w="9800" w:type="dxa"/>
            <w:vAlign w:val="bottom"/>
            <w:gridSpan w:val="5"/>
          </w:tcPr>
          <w:p>
            <w:pPr>
              <w:spacing w:after="0"/>
              <w:rPr>
                <w:sz w:val="20"/>
                <w:szCs w:val="20"/>
                <w:color w:val="auto"/>
              </w:rPr>
            </w:pPr>
            <w:r>
              <w:rPr>
                <w:rFonts w:ascii="Arial" w:cs="Arial" w:eastAsia="Arial" w:hAnsi="Arial"/>
                <w:sz w:val="3"/>
                <w:szCs w:val="3"/>
                <w:color w:val="FFFFFF"/>
              </w:rPr>
              <w:t>2.4 IMPACT OF ISSUED BUT NOT YET EFFECTIVE INTERNATIONAL FINANCIAL REPORTING STANDARDS</w:t>
            </w:r>
          </w:p>
        </w:tc>
      </w:tr>
      <w:tr>
        <w:trPr>
          <w:trHeight w:val="41"/>
        </w:trPr>
        <w:tc>
          <w:tcPr>
            <w:tcW w:w="9800" w:type="dxa"/>
            <w:vAlign w:val="bottom"/>
            <w:gridSpan w:val="5"/>
          </w:tcPr>
          <w:p>
            <w:pPr>
              <w:spacing w:after="0"/>
              <w:rPr>
                <w:sz w:val="20"/>
                <w:szCs w:val="20"/>
                <w:color w:val="auto"/>
              </w:rPr>
            </w:pPr>
            <w:r>
              <w:rPr>
                <w:rFonts w:ascii="Arial" w:cs="Arial" w:eastAsia="Arial" w:hAnsi="Arial"/>
                <w:sz w:val="3"/>
                <w:szCs w:val="3"/>
                <w:color w:val="FFFFFF"/>
              </w:rPr>
              <w:t>The following new/revised standards, amendments to standards and interpretations to existing standards have been issued but are not effective for the year ended 31 December 2012:</w:t>
            </w: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IFRS 1</w:t>
            </w:r>
          </w:p>
        </w:tc>
        <w:tc>
          <w:tcPr>
            <w:tcW w:w="9400" w:type="dxa"/>
            <w:vAlign w:val="bottom"/>
            <w:gridSpan w:val="4"/>
          </w:tcPr>
          <w:p>
            <w:pPr>
              <w:ind w:left="20"/>
              <w:spacing w:after="0"/>
              <w:rPr>
                <w:sz w:val="20"/>
                <w:szCs w:val="20"/>
                <w:color w:val="auto"/>
              </w:rPr>
            </w:pPr>
            <w:r>
              <w:rPr>
                <w:rFonts w:ascii="Arial" w:cs="Arial" w:eastAsia="Arial" w:hAnsi="Arial"/>
                <w:sz w:val="3"/>
                <w:szCs w:val="3"/>
                <w:color w:val="FFFFFF"/>
              </w:rPr>
              <w:t>Amendments Amendments to IFRS 1 First-time Adoption of International</w:t>
            </w: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Financial Reporting Standards — Government Loans2</w:t>
            </w:r>
          </w:p>
        </w:tc>
        <w:tc>
          <w:tcPr>
            <w:tcW w:w="6360" w:type="dxa"/>
            <w:vAlign w:val="bottom"/>
          </w:tcPr>
          <w:p>
            <w:pPr>
              <w:spacing w:after="0"/>
              <w:rPr>
                <w:sz w:val="3"/>
                <w:szCs w:val="3"/>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IFRS 7</w:t>
            </w:r>
          </w:p>
        </w:tc>
        <w:tc>
          <w:tcPr>
            <w:tcW w:w="9400" w:type="dxa"/>
            <w:vAlign w:val="bottom"/>
            <w:gridSpan w:val="4"/>
          </w:tcPr>
          <w:p>
            <w:pPr>
              <w:ind w:left="20"/>
              <w:spacing w:after="0"/>
              <w:rPr>
                <w:sz w:val="20"/>
                <w:szCs w:val="20"/>
                <w:color w:val="auto"/>
              </w:rPr>
            </w:pPr>
            <w:r>
              <w:rPr>
                <w:rFonts w:ascii="Arial" w:cs="Arial" w:eastAsia="Arial" w:hAnsi="Arial"/>
                <w:sz w:val="3"/>
                <w:szCs w:val="3"/>
                <w:color w:val="FFFFFF"/>
              </w:rPr>
              <w:t>Amendments Amendments to IFRS 7 Financial Instruments: Disclosures —</w:t>
            </w: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Offsetting Financial Assets and Financial Liabilities2</w:t>
            </w:r>
          </w:p>
        </w:tc>
        <w:tc>
          <w:tcPr>
            <w:tcW w:w="6360" w:type="dxa"/>
            <w:vAlign w:val="bottom"/>
          </w:tcPr>
          <w:p>
            <w:pPr>
              <w:spacing w:after="0"/>
              <w:rPr>
                <w:sz w:val="3"/>
                <w:szCs w:val="3"/>
                <w:color w:val="auto"/>
              </w:rPr>
            </w:pPr>
          </w:p>
        </w:tc>
      </w:tr>
      <w:tr>
        <w:trPr>
          <w:trHeight w:val="41"/>
        </w:trPr>
        <w:tc>
          <w:tcPr>
            <w:tcW w:w="400" w:type="dxa"/>
            <w:vAlign w:val="bottom"/>
          </w:tcPr>
          <w:p>
            <w:pPr>
              <w:jc w:val="right"/>
              <w:spacing w:after="0"/>
              <w:rPr>
                <w:sz w:val="20"/>
                <w:szCs w:val="20"/>
                <w:color w:val="auto"/>
              </w:rPr>
            </w:pPr>
            <w:r>
              <w:rPr>
                <w:rFonts w:ascii="Arial" w:cs="Arial" w:eastAsia="Arial" w:hAnsi="Arial"/>
                <w:sz w:val="3"/>
                <w:szCs w:val="3"/>
                <w:color w:val="FFFFFF"/>
              </w:rPr>
              <w:t>9</w:t>
            </w:r>
          </w:p>
        </w:tc>
        <w:tc>
          <w:tcPr>
            <w:tcW w:w="1560" w:type="dxa"/>
            <w:vAlign w:val="bottom"/>
            <w:gridSpan w:val="2"/>
          </w:tcPr>
          <w:p>
            <w:pPr>
              <w:ind w:left="20"/>
              <w:spacing w:after="0"/>
              <w:rPr>
                <w:sz w:val="20"/>
                <w:szCs w:val="20"/>
                <w:color w:val="auto"/>
              </w:rPr>
            </w:pPr>
            <w:r>
              <w:rPr>
                <w:rFonts w:ascii="Arial" w:cs="Arial" w:eastAsia="Arial" w:hAnsi="Arial"/>
                <w:sz w:val="3"/>
                <w:szCs w:val="3"/>
                <w:color w:val="FFFFFF"/>
              </w:rPr>
              <w:t>Financial Instruments4</w:t>
            </w:r>
          </w:p>
        </w:tc>
        <w:tc>
          <w:tcPr>
            <w:tcW w:w="148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400" w:type="dxa"/>
            <w:vAlign w:val="bottom"/>
          </w:tcPr>
          <w:p>
            <w:pPr>
              <w:spacing w:after="0"/>
              <w:rPr>
                <w:sz w:val="3"/>
                <w:szCs w:val="3"/>
                <w:color w:val="auto"/>
              </w:rPr>
            </w:pPr>
          </w:p>
        </w:tc>
        <w:tc>
          <w:tcPr>
            <w:tcW w:w="3040" w:type="dxa"/>
            <w:vAlign w:val="bottom"/>
            <w:gridSpan w:val="3"/>
          </w:tcPr>
          <w:p>
            <w:pPr>
              <w:spacing w:after="0"/>
              <w:rPr>
                <w:sz w:val="20"/>
                <w:szCs w:val="20"/>
                <w:color w:val="auto"/>
              </w:rPr>
            </w:pPr>
            <w:r>
              <w:rPr>
                <w:rFonts w:ascii="Arial" w:cs="Arial" w:eastAsia="Arial" w:hAnsi="Arial"/>
                <w:sz w:val="3"/>
                <w:szCs w:val="3"/>
                <w:color w:val="FFFFFF"/>
              </w:rPr>
              <w:t>0 Consolidated Financial Statements2</w:t>
            </w:r>
          </w:p>
        </w:tc>
        <w:tc>
          <w:tcPr>
            <w:tcW w:w="6360" w:type="dxa"/>
            <w:vAlign w:val="bottom"/>
          </w:tcPr>
          <w:p>
            <w:pPr>
              <w:spacing w:after="0"/>
              <w:rPr>
                <w:sz w:val="3"/>
                <w:szCs w:val="3"/>
                <w:color w:val="auto"/>
              </w:rPr>
            </w:pPr>
          </w:p>
        </w:tc>
      </w:tr>
      <w:tr>
        <w:trPr>
          <w:trHeight w:val="41"/>
        </w:trPr>
        <w:tc>
          <w:tcPr>
            <w:tcW w:w="1960" w:type="dxa"/>
            <w:vAlign w:val="bottom"/>
            <w:gridSpan w:val="3"/>
          </w:tcPr>
          <w:p>
            <w:pPr>
              <w:ind w:left="380"/>
              <w:spacing w:after="0"/>
              <w:rPr>
                <w:sz w:val="20"/>
                <w:szCs w:val="20"/>
                <w:color w:val="auto"/>
              </w:rPr>
            </w:pPr>
            <w:r>
              <w:rPr>
                <w:rFonts w:ascii="Arial" w:cs="Arial" w:eastAsia="Arial" w:hAnsi="Arial"/>
                <w:sz w:val="3"/>
                <w:szCs w:val="3"/>
                <w:color w:val="FFFFFF"/>
              </w:rPr>
              <w:t>1 Joint Arrangements2</w:t>
            </w:r>
          </w:p>
        </w:tc>
        <w:tc>
          <w:tcPr>
            <w:tcW w:w="148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400" w:type="dxa"/>
            <w:vAlign w:val="bottom"/>
          </w:tcPr>
          <w:p>
            <w:pPr>
              <w:spacing w:after="0"/>
              <w:rPr>
                <w:sz w:val="3"/>
                <w:szCs w:val="3"/>
                <w:color w:val="auto"/>
              </w:rPr>
            </w:pPr>
          </w:p>
        </w:tc>
        <w:tc>
          <w:tcPr>
            <w:tcW w:w="100" w:type="dxa"/>
            <w:vAlign w:val="bottom"/>
          </w:tcPr>
          <w:p>
            <w:pPr>
              <w:spacing w:after="0"/>
              <w:rPr>
                <w:sz w:val="20"/>
                <w:szCs w:val="20"/>
                <w:color w:val="auto"/>
              </w:rPr>
            </w:pPr>
            <w:r>
              <w:rPr>
                <w:rFonts w:ascii="Arial" w:cs="Arial" w:eastAsia="Arial" w:hAnsi="Arial"/>
                <w:sz w:val="3"/>
                <w:szCs w:val="3"/>
                <w:color w:val="FFFFFF"/>
              </w:rPr>
              <w:t>2</w:t>
            </w:r>
          </w:p>
        </w:tc>
        <w:tc>
          <w:tcPr>
            <w:tcW w:w="2940" w:type="dxa"/>
            <w:vAlign w:val="bottom"/>
            <w:gridSpan w:val="2"/>
          </w:tcPr>
          <w:p>
            <w:pPr>
              <w:spacing w:after="0"/>
              <w:rPr>
                <w:sz w:val="20"/>
                <w:szCs w:val="20"/>
                <w:color w:val="auto"/>
              </w:rPr>
            </w:pPr>
            <w:r>
              <w:rPr>
                <w:rFonts w:ascii="Arial" w:cs="Arial" w:eastAsia="Arial" w:hAnsi="Arial"/>
                <w:sz w:val="3"/>
                <w:szCs w:val="3"/>
                <w:color w:val="FFFFFF"/>
              </w:rPr>
              <w:t>Disclosure of Interests in Other Entities2</w:t>
            </w:r>
          </w:p>
        </w:tc>
        <w:tc>
          <w:tcPr>
            <w:tcW w:w="6360" w:type="dxa"/>
            <w:vAlign w:val="bottom"/>
          </w:tcPr>
          <w:p>
            <w:pPr>
              <w:spacing w:after="0"/>
              <w:rPr>
                <w:sz w:val="3"/>
                <w:szCs w:val="3"/>
                <w:color w:val="auto"/>
              </w:rPr>
            </w:pPr>
          </w:p>
        </w:tc>
      </w:tr>
      <w:tr>
        <w:trPr>
          <w:trHeight w:val="41"/>
        </w:trPr>
        <w:tc>
          <w:tcPr>
            <w:tcW w:w="400" w:type="dxa"/>
            <w:vAlign w:val="bottom"/>
          </w:tcPr>
          <w:p>
            <w:pPr>
              <w:spacing w:after="0"/>
              <w:rPr>
                <w:sz w:val="3"/>
                <w:szCs w:val="3"/>
                <w:color w:val="auto"/>
              </w:rPr>
            </w:pPr>
          </w:p>
        </w:tc>
        <w:tc>
          <w:tcPr>
            <w:tcW w:w="100" w:type="dxa"/>
            <w:vAlign w:val="bottom"/>
          </w:tcPr>
          <w:p>
            <w:pPr>
              <w:spacing w:after="0"/>
              <w:rPr>
                <w:sz w:val="20"/>
                <w:szCs w:val="20"/>
                <w:color w:val="auto"/>
              </w:rPr>
            </w:pPr>
            <w:r>
              <w:rPr>
                <w:rFonts w:ascii="Arial" w:cs="Arial" w:eastAsia="Arial" w:hAnsi="Arial"/>
                <w:sz w:val="3"/>
                <w:szCs w:val="3"/>
                <w:color w:val="FFFFFF"/>
              </w:rPr>
              <w:t>0,</w:t>
            </w:r>
          </w:p>
        </w:tc>
        <w:tc>
          <w:tcPr>
            <w:tcW w:w="9300" w:type="dxa"/>
            <w:vAlign w:val="bottom"/>
            <w:gridSpan w:val="3"/>
          </w:tcPr>
          <w:p>
            <w:pPr>
              <w:ind w:left="20"/>
              <w:spacing w:after="0"/>
              <w:rPr>
                <w:sz w:val="20"/>
                <w:szCs w:val="20"/>
                <w:color w:val="auto"/>
              </w:rPr>
            </w:pPr>
            <w:r>
              <w:rPr>
                <w:rFonts w:ascii="Arial" w:cs="Arial" w:eastAsia="Arial" w:hAnsi="Arial"/>
                <w:sz w:val="3"/>
                <w:szCs w:val="3"/>
                <w:color w:val="FFFFFF"/>
              </w:rPr>
              <w:t>IFRS 11 and Amendments to IFRS 10, IFRS 11 and IFRS 12 —</w:t>
            </w:r>
          </w:p>
        </w:tc>
      </w:tr>
      <w:tr>
        <w:trPr>
          <w:trHeight w:val="41"/>
        </w:trPr>
        <w:tc>
          <w:tcPr>
            <w:tcW w:w="400" w:type="dxa"/>
            <w:vAlign w:val="bottom"/>
          </w:tcPr>
          <w:p>
            <w:pPr>
              <w:spacing w:after="0"/>
              <w:rPr>
                <w:sz w:val="3"/>
                <w:szCs w:val="3"/>
                <w:color w:val="auto"/>
              </w:rPr>
            </w:pPr>
          </w:p>
        </w:tc>
        <w:tc>
          <w:tcPr>
            <w:tcW w:w="100" w:type="dxa"/>
            <w:vAlign w:val="bottom"/>
          </w:tcPr>
          <w:p>
            <w:pPr>
              <w:spacing w:after="0"/>
              <w:rPr>
                <w:sz w:val="20"/>
                <w:szCs w:val="20"/>
                <w:color w:val="auto"/>
              </w:rPr>
            </w:pPr>
            <w:r>
              <w:rPr>
                <w:rFonts w:ascii="Arial" w:cs="Arial" w:eastAsia="Arial" w:hAnsi="Arial"/>
                <w:sz w:val="3"/>
                <w:szCs w:val="3"/>
                <w:color w:val="FFFFFF"/>
              </w:rPr>
              <w:t>2</w:t>
            </w:r>
          </w:p>
        </w:tc>
        <w:tc>
          <w:tcPr>
            <w:tcW w:w="2940" w:type="dxa"/>
            <w:vAlign w:val="bottom"/>
            <w:gridSpan w:val="2"/>
          </w:tcPr>
          <w:p>
            <w:pPr>
              <w:spacing w:after="0"/>
              <w:rPr>
                <w:sz w:val="20"/>
                <w:szCs w:val="20"/>
                <w:color w:val="auto"/>
              </w:rPr>
            </w:pPr>
            <w:r>
              <w:rPr>
                <w:rFonts w:ascii="Arial" w:cs="Arial" w:eastAsia="Arial" w:hAnsi="Arial"/>
                <w:sz w:val="3"/>
                <w:szCs w:val="3"/>
                <w:color w:val="FFFFFF"/>
              </w:rPr>
              <w:t>Amendments Transition Guidance2</w:t>
            </w:r>
          </w:p>
        </w:tc>
        <w:tc>
          <w:tcPr>
            <w:tcW w:w="6360" w:type="dxa"/>
            <w:vAlign w:val="bottom"/>
          </w:tcPr>
          <w:p>
            <w:pPr>
              <w:spacing w:after="0"/>
              <w:rPr>
                <w:sz w:val="3"/>
                <w:szCs w:val="3"/>
                <w:color w:val="auto"/>
              </w:rPr>
            </w:pPr>
          </w:p>
        </w:tc>
      </w:tr>
      <w:tr>
        <w:trPr>
          <w:trHeight w:val="41"/>
        </w:trPr>
        <w:tc>
          <w:tcPr>
            <w:tcW w:w="9800" w:type="dxa"/>
            <w:vAlign w:val="bottom"/>
            <w:gridSpan w:val="5"/>
          </w:tcPr>
          <w:p>
            <w:pPr>
              <w:ind w:left="60"/>
              <w:spacing w:after="0"/>
              <w:rPr>
                <w:sz w:val="20"/>
                <w:szCs w:val="20"/>
                <w:color w:val="auto"/>
              </w:rPr>
            </w:pPr>
            <w:r>
              <w:rPr>
                <w:rFonts w:ascii="Arial" w:cs="Arial" w:eastAsia="Arial" w:hAnsi="Arial"/>
                <w:sz w:val="3"/>
                <w:szCs w:val="3"/>
                <w:color w:val="FFFFFF"/>
              </w:rPr>
              <w:t>FRS 10, IFRS 12 and Amendments to IFRS 10, IFRS 12 and IAS 27 (Revised) —</w:t>
            </w:r>
          </w:p>
        </w:tc>
      </w:tr>
      <w:tr>
        <w:trPr>
          <w:trHeight w:val="41"/>
        </w:trPr>
        <w:tc>
          <w:tcPr>
            <w:tcW w:w="400" w:type="dxa"/>
            <w:vAlign w:val="bottom"/>
          </w:tcPr>
          <w:p>
            <w:pPr>
              <w:ind w:left="60"/>
              <w:spacing w:after="0"/>
              <w:rPr>
                <w:sz w:val="20"/>
                <w:szCs w:val="20"/>
                <w:color w:val="auto"/>
              </w:rPr>
            </w:pPr>
            <w:r>
              <w:rPr>
                <w:rFonts w:ascii="Arial" w:cs="Arial" w:eastAsia="Arial" w:hAnsi="Arial"/>
                <w:sz w:val="3"/>
                <w:szCs w:val="3"/>
                <w:color w:val="FFFFFF"/>
              </w:rPr>
              <w:t>AS 27</w:t>
            </w:r>
          </w:p>
        </w:tc>
        <w:tc>
          <w:tcPr>
            <w:tcW w:w="3040" w:type="dxa"/>
            <w:vAlign w:val="bottom"/>
            <w:gridSpan w:val="3"/>
          </w:tcPr>
          <w:p>
            <w:pPr>
              <w:ind w:left="20"/>
              <w:spacing w:after="0"/>
              <w:rPr>
                <w:sz w:val="20"/>
                <w:szCs w:val="20"/>
                <w:color w:val="auto"/>
              </w:rPr>
            </w:pPr>
            <w:r>
              <w:rPr>
                <w:rFonts w:ascii="Arial" w:cs="Arial" w:eastAsia="Arial" w:hAnsi="Arial"/>
                <w:sz w:val="3"/>
                <w:szCs w:val="3"/>
                <w:color w:val="FFFFFF"/>
              </w:rPr>
              <w:t>(Revised) Amendments Investment Entities3</w:t>
            </w:r>
          </w:p>
        </w:tc>
        <w:tc>
          <w:tcPr>
            <w:tcW w:w="6360" w:type="dxa"/>
            <w:vAlign w:val="bottom"/>
          </w:tcPr>
          <w:p>
            <w:pPr>
              <w:spacing w:after="0"/>
              <w:rPr>
                <w:sz w:val="3"/>
                <w:szCs w:val="3"/>
                <w:color w:val="auto"/>
              </w:rPr>
            </w:pPr>
          </w:p>
        </w:tc>
      </w:tr>
      <w:tr>
        <w:trPr>
          <w:trHeight w:val="41"/>
        </w:trPr>
        <w:tc>
          <w:tcPr>
            <w:tcW w:w="1960" w:type="dxa"/>
            <w:vAlign w:val="bottom"/>
            <w:gridSpan w:val="3"/>
          </w:tcPr>
          <w:p>
            <w:pPr>
              <w:ind w:left="60"/>
              <w:spacing w:after="0"/>
              <w:rPr>
                <w:sz w:val="20"/>
                <w:szCs w:val="20"/>
                <w:color w:val="auto"/>
              </w:rPr>
            </w:pPr>
            <w:r>
              <w:rPr>
                <w:rFonts w:ascii="Arial" w:cs="Arial" w:eastAsia="Arial" w:hAnsi="Arial"/>
                <w:sz w:val="3"/>
                <w:szCs w:val="3"/>
                <w:color w:val="FFFFFF"/>
              </w:rPr>
              <w:t>FRS 13 Fair Value Measurement2</w:t>
            </w:r>
          </w:p>
        </w:tc>
        <w:tc>
          <w:tcPr>
            <w:tcW w:w="1480" w:type="dxa"/>
            <w:vAlign w:val="bottom"/>
          </w:tcPr>
          <w:p>
            <w:pPr>
              <w:spacing w:after="0"/>
              <w:rPr>
                <w:sz w:val="3"/>
                <w:szCs w:val="3"/>
                <w:color w:val="auto"/>
              </w:rPr>
            </w:pPr>
          </w:p>
        </w:tc>
        <w:tc>
          <w:tcPr>
            <w:tcW w:w="6360" w:type="dxa"/>
            <w:vAlign w:val="bottom"/>
          </w:tcPr>
          <w:p>
            <w:pPr>
              <w:spacing w:after="0"/>
              <w:rPr>
                <w:sz w:val="3"/>
                <w:szCs w:val="3"/>
                <w:color w:val="auto"/>
              </w:rPr>
            </w:pPr>
          </w:p>
        </w:tc>
      </w:tr>
      <w:tr>
        <w:trPr>
          <w:trHeight w:val="41"/>
        </w:trPr>
        <w:tc>
          <w:tcPr>
            <w:tcW w:w="9800" w:type="dxa"/>
            <w:vAlign w:val="bottom"/>
            <w:gridSpan w:val="5"/>
          </w:tcPr>
          <w:p>
            <w:pPr>
              <w:spacing w:after="0"/>
              <w:rPr>
                <w:sz w:val="20"/>
                <w:szCs w:val="20"/>
                <w:color w:val="auto"/>
              </w:rPr>
            </w:pPr>
            <w:r>
              <w:rPr>
                <w:rFonts w:ascii="Arial" w:cs="Arial" w:eastAsia="Arial" w:hAnsi="Arial"/>
                <w:sz w:val="3"/>
                <w:szCs w:val="3"/>
                <w:color w:val="FFFFFF"/>
              </w:rPr>
              <w:t>IAS 1 Amendments Amendments to IAS 1 Presentation of Financial Statements —</w:t>
            </w: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Presentation of Items of Other Comprehensive Income1</w:t>
            </w:r>
          </w:p>
        </w:tc>
        <w:tc>
          <w:tcPr>
            <w:tcW w:w="6360" w:type="dxa"/>
            <w:vAlign w:val="bottom"/>
          </w:tcPr>
          <w:p>
            <w:pPr>
              <w:spacing w:after="0"/>
              <w:rPr>
                <w:sz w:val="3"/>
                <w:szCs w:val="3"/>
                <w:color w:val="auto"/>
              </w:rPr>
            </w:pPr>
          </w:p>
        </w:tc>
      </w:tr>
      <w:tr>
        <w:trPr>
          <w:trHeight w:val="41"/>
        </w:trPr>
        <w:tc>
          <w:tcPr>
            <w:tcW w:w="9800" w:type="dxa"/>
            <w:vAlign w:val="bottom"/>
            <w:gridSpan w:val="5"/>
          </w:tcPr>
          <w:p>
            <w:pPr>
              <w:ind w:left="260"/>
              <w:spacing w:after="0"/>
              <w:rPr>
                <w:sz w:val="20"/>
                <w:szCs w:val="20"/>
                <w:color w:val="auto"/>
              </w:rPr>
            </w:pPr>
            <w:r>
              <w:rPr>
                <w:rFonts w:ascii="Arial" w:cs="Arial" w:eastAsia="Arial" w:hAnsi="Arial"/>
                <w:sz w:val="3"/>
                <w:szCs w:val="3"/>
                <w:color w:val="FFFFFF"/>
              </w:rPr>
              <w:t>19 Amendments Amendments to IAS 19 Employee Bene?ts2</w:t>
            </w:r>
          </w:p>
        </w:tc>
      </w:tr>
      <w:tr>
        <w:trPr>
          <w:trHeight w:val="41"/>
        </w:trPr>
        <w:tc>
          <w:tcPr>
            <w:tcW w:w="400" w:type="dxa"/>
            <w:vAlign w:val="bottom"/>
          </w:tcPr>
          <w:p>
            <w:pPr>
              <w:jc w:val="right"/>
              <w:spacing w:after="0"/>
              <w:rPr>
                <w:sz w:val="20"/>
                <w:szCs w:val="20"/>
                <w:color w:val="auto"/>
              </w:rPr>
            </w:pPr>
            <w:r>
              <w:rPr>
                <w:rFonts w:ascii="Arial" w:cs="Arial" w:eastAsia="Arial" w:hAnsi="Arial"/>
                <w:sz w:val="3"/>
                <w:szCs w:val="3"/>
                <w:color w:val="FFFFFF"/>
              </w:rPr>
              <w:t>7</w:t>
            </w:r>
          </w:p>
        </w:tc>
        <w:tc>
          <w:tcPr>
            <w:tcW w:w="100" w:type="dxa"/>
            <w:vAlign w:val="bottom"/>
          </w:tcPr>
          <w:p>
            <w:pPr>
              <w:spacing w:after="0"/>
              <w:rPr>
                <w:sz w:val="3"/>
                <w:szCs w:val="3"/>
                <w:color w:val="auto"/>
              </w:rPr>
            </w:pPr>
          </w:p>
        </w:tc>
        <w:tc>
          <w:tcPr>
            <w:tcW w:w="1460" w:type="dxa"/>
            <w:vAlign w:val="bottom"/>
          </w:tcPr>
          <w:p>
            <w:pPr>
              <w:ind w:left="480"/>
              <w:spacing w:after="0"/>
              <w:rPr>
                <w:sz w:val="20"/>
                <w:szCs w:val="20"/>
                <w:color w:val="auto"/>
              </w:rPr>
            </w:pPr>
            <w:r>
              <w:rPr>
                <w:rFonts w:ascii="Arial" w:cs="Arial" w:eastAsia="Arial" w:hAnsi="Arial"/>
                <w:sz w:val="3"/>
                <w:szCs w:val="3"/>
                <w:color w:val="FFFFFF"/>
              </w:rPr>
              <w:t>Separate</w:t>
            </w:r>
          </w:p>
        </w:tc>
        <w:tc>
          <w:tcPr>
            <w:tcW w:w="1480" w:type="dxa"/>
            <w:vAlign w:val="bottom"/>
          </w:tcPr>
          <w:p>
            <w:pPr>
              <w:ind w:left="60"/>
              <w:spacing w:after="0"/>
              <w:rPr>
                <w:sz w:val="20"/>
                <w:szCs w:val="20"/>
                <w:color w:val="auto"/>
              </w:rPr>
            </w:pPr>
            <w:r>
              <w:rPr>
                <w:rFonts w:ascii="Arial" w:cs="Arial" w:eastAsia="Arial" w:hAnsi="Arial"/>
                <w:sz w:val="3"/>
                <w:szCs w:val="3"/>
                <w:color w:val="FFFFFF"/>
              </w:rPr>
              <w:t>Statements2</w:t>
            </w:r>
          </w:p>
        </w:tc>
        <w:tc>
          <w:tcPr>
            <w:tcW w:w="6360" w:type="dxa"/>
            <w:vAlign w:val="bottom"/>
          </w:tcPr>
          <w:p>
            <w:pPr>
              <w:spacing w:after="0"/>
              <w:rPr>
                <w:sz w:val="3"/>
                <w:szCs w:val="3"/>
                <w:color w:val="auto"/>
              </w:rPr>
            </w:pPr>
          </w:p>
        </w:tc>
      </w:tr>
      <w:tr>
        <w:trPr>
          <w:trHeight w:val="41"/>
        </w:trPr>
        <w:tc>
          <w:tcPr>
            <w:tcW w:w="400" w:type="dxa"/>
            <w:vAlign w:val="bottom"/>
          </w:tcPr>
          <w:p>
            <w:pPr>
              <w:jc w:val="right"/>
              <w:spacing w:after="0"/>
              <w:rPr>
                <w:sz w:val="20"/>
                <w:szCs w:val="20"/>
                <w:color w:val="auto"/>
              </w:rPr>
            </w:pPr>
            <w:r>
              <w:rPr>
                <w:rFonts w:ascii="Arial" w:cs="Arial" w:eastAsia="Arial" w:hAnsi="Arial"/>
                <w:sz w:val="3"/>
                <w:szCs w:val="3"/>
                <w:color w:val="FFFFFF"/>
              </w:rPr>
              <w:t>28</w:t>
            </w:r>
          </w:p>
        </w:tc>
        <w:tc>
          <w:tcPr>
            <w:tcW w:w="9400" w:type="dxa"/>
            <w:vAlign w:val="bottom"/>
            <w:gridSpan w:val="4"/>
          </w:tcPr>
          <w:p>
            <w:pPr>
              <w:ind w:left="20"/>
              <w:spacing w:after="0"/>
              <w:rPr>
                <w:sz w:val="20"/>
                <w:szCs w:val="20"/>
                <w:color w:val="auto"/>
              </w:rPr>
            </w:pPr>
            <w:r>
              <w:rPr>
                <w:rFonts w:ascii="Arial" w:cs="Arial" w:eastAsia="Arial" w:hAnsi="Arial"/>
                <w:sz w:val="3"/>
                <w:szCs w:val="3"/>
                <w:color w:val="FFFFFF"/>
              </w:rPr>
              <w:t>(Revised) InvestmentsFinancialAssociates and Joint Ventures2</w:t>
            </w: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IAS 32</w:t>
            </w:r>
          </w:p>
        </w:tc>
        <w:tc>
          <w:tcPr>
            <w:tcW w:w="9400" w:type="dxa"/>
            <w:vAlign w:val="bottom"/>
            <w:gridSpan w:val="4"/>
          </w:tcPr>
          <w:p>
            <w:pPr>
              <w:ind w:left="20"/>
              <w:spacing w:after="0"/>
              <w:rPr>
                <w:sz w:val="20"/>
                <w:szCs w:val="20"/>
                <w:color w:val="auto"/>
              </w:rPr>
            </w:pPr>
            <w:r>
              <w:rPr>
                <w:rFonts w:ascii="Arial" w:cs="Arial" w:eastAsia="Arial" w:hAnsi="Arial"/>
                <w:sz w:val="3"/>
                <w:szCs w:val="3"/>
                <w:color w:val="FFFFFF"/>
              </w:rPr>
              <w:t>Amendments Amendments to IAS 32 Financial Instruments: Presentation —</w:t>
            </w: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Offsetting Financial Assets and Financial Liabilities3</w:t>
            </w:r>
          </w:p>
        </w:tc>
        <w:tc>
          <w:tcPr>
            <w:tcW w:w="6360" w:type="dxa"/>
            <w:vAlign w:val="bottom"/>
          </w:tcPr>
          <w:p>
            <w:pPr>
              <w:spacing w:after="0"/>
              <w:rPr>
                <w:sz w:val="3"/>
                <w:szCs w:val="3"/>
                <w:color w:val="auto"/>
              </w:rPr>
            </w:pPr>
          </w:p>
        </w:tc>
      </w:tr>
      <w:tr>
        <w:trPr>
          <w:trHeight w:val="41"/>
        </w:trPr>
        <w:tc>
          <w:tcPr>
            <w:tcW w:w="3440" w:type="dxa"/>
            <w:vAlign w:val="bottom"/>
            <w:gridSpan w:val="4"/>
          </w:tcPr>
          <w:p>
            <w:pPr>
              <w:spacing w:after="0"/>
              <w:rPr>
                <w:sz w:val="20"/>
                <w:szCs w:val="20"/>
                <w:color w:val="auto"/>
              </w:rPr>
            </w:pPr>
            <w:r>
              <w:rPr>
                <w:rFonts w:ascii="Arial" w:cs="Arial" w:eastAsia="Arial" w:hAnsi="Arial"/>
                <w:sz w:val="3"/>
                <w:szCs w:val="3"/>
                <w:color w:val="FFFFFF"/>
              </w:rPr>
              <w:t>IFRIC 20 Stripping Costs in the Production Phase of a Surface</w:t>
            </w:r>
          </w:p>
        </w:tc>
        <w:tc>
          <w:tcPr>
            <w:tcW w:w="6360" w:type="dxa"/>
            <w:vAlign w:val="bottom"/>
          </w:tcPr>
          <w:p>
            <w:pPr>
              <w:spacing w:after="0"/>
              <w:rPr>
                <w:sz w:val="3"/>
                <w:szCs w:val="3"/>
                <w:color w:val="auto"/>
              </w:rPr>
            </w:pPr>
          </w:p>
        </w:tc>
      </w:tr>
      <w:tr>
        <w:trPr>
          <w:trHeight w:val="41"/>
        </w:trPr>
        <w:tc>
          <w:tcPr>
            <w:tcW w:w="9800" w:type="dxa"/>
            <w:vAlign w:val="bottom"/>
            <w:gridSpan w:val="5"/>
          </w:tcPr>
          <w:p>
            <w:pPr>
              <w:spacing w:after="0"/>
              <w:rPr>
                <w:sz w:val="20"/>
                <w:szCs w:val="20"/>
                <w:color w:val="auto"/>
              </w:rPr>
            </w:pPr>
            <w:r>
              <w:rPr>
                <w:rFonts w:ascii="Arial" w:cs="Arial" w:eastAsia="Arial" w:hAnsi="Arial"/>
                <w:sz w:val="3"/>
                <w:szCs w:val="3"/>
                <w:color w:val="FFFFFF"/>
              </w:rPr>
              <w:t>Annual Improvements Amendments to a number of IFRSs issuedMine2May 20122</w:t>
            </w:r>
          </w:p>
        </w:tc>
      </w:tr>
      <w:tr>
        <w:trPr>
          <w:trHeight w:val="42"/>
        </w:trPr>
        <w:tc>
          <w:tcPr>
            <w:tcW w:w="1960" w:type="dxa"/>
            <w:vAlign w:val="bottom"/>
            <w:gridSpan w:val="3"/>
          </w:tcPr>
          <w:p>
            <w:pPr>
              <w:spacing w:after="0"/>
              <w:rPr>
                <w:sz w:val="20"/>
                <w:szCs w:val="20"/>
                <w:color w:val="auto"/>
              </w:rPr>
            </w:pPr>
            <w:r>
              <w:rPr>
                <w:rFonts w:ascii="Arial" w:cs="Arial" w:eastAsia="Arial" w:hAnsi="Arial"/>
                <w:sz w:val="3"/>
                <w:szCs w:val="3"/>
                <w:color w:val="FFFFFF"/>
              </w:rPr>
              <w:t>2009–2011 Cycle</w:t>
            </w:r>
          </w:p>
        </w:tc>
        <w:tc>
          <w:tcPr>
            <w:tcW w:w="1480" w:type="dxa"/>
            <w:vAlign w:val="bottom"/>
          </w:tcPr>
          <w:p>
            <w:pPr>
              <w:ind w:left="920"/>
              <w:spacing w:after="0"/>
              <w:rPr>
                <w:sz w:val="20"/>
                <w:szCs w:val="20"/>
                <w:color w:val="auto"/>
              </w:rPr>
            </w:pPr>
            <w:r>
              <w:rPr>
                <w:rFonts w:ascii="Arial" w:cs="Arial" w:eastAsia="Arial" w:hAnsi="Arial"/>
                <w:sz w:val="3"/>
                <w:szCs w:val="3"/>
                <w:color w:val="FFFFFF"/>
              </w:rPr>
              <w:t>uly 2012</w:t>
            </w:r>
          </w:p>
        </w:tc>
        <w:tc>
          <w:tcPr>
            <w:tcW w:w="6360" w:type="dxa"/>
            <w:vAlign w:val="bottom"/>
          </w:tcPr>
          <w:p>
            <w:pPr>
              <w:jc w:val="right"/>
              <w:ind w:right="6243"/>
              <w:spacing w:after="0"/>
              <w:rPr>
                <w:sz w:val="20"/>
                <w:szCs w:val="20"/>
                <w:color w:val="auto"/>
              </w:rPr>
            </w:pPr>
            <w:r>
              <w:rPr>
                <w:rFonts w:ascii="Arial" w:cs="Arial" w:eastAsia="Arial" w:hAnsi="Arial"/>
                <w:sz w:val="3"/>
                <w:szCs w:val="3"/>
                <w:color w:val="FFFFFF"/>
              </w:rPr>
              <w:t>3</w:t>
            </w:r>
          </w:p>
        </w:tc>
      </w:tr>
    </w:tbl>
    <w:p>
      <w:pPr>
        <w:spacing w:after="0" w:line="28" w:lineRule="exact"/>
        <w:rPr>
          <w:sz w:val="20"/>
          <w:szCs w:val="20"/>
          <w:color w:val="auto"/>
        </w:rPr>
      </w:pPr>
    </w:p>
    <w:p>
      <w:pPr>
        <w:jc w:val="right"/>
        <w:ind w:right="6679"/>
        <w:spacing w:after="0"/>
        <w:rPr>
          <w:sz w:val="20"/>
          <w:szCs w:val="20"/>
          <w:color w:val="auto"/>
        </w:rPr>
      </w:pPr>
      <w:r>
        <w:rPr>
          <w:rFonts w:ascii="Arial" w:cs="Arial" w:eastAsia="Arial" w:hAnsi="Arial"/>
          <w:sz w:val="12"/>
          <w:szCs w:val="12"/>
          <w:color w:val="FFFFFF"/>
        </w:rPr>
        <w:t>Effective for annual periods beginning on or after 1 January 20154</w:t>
      </w:r>
    </w:p>
    <w:p>
      <w:pPr>
        <w:sectPr>
          <w:pgSz w:w="11900" w:h="16838" w:orient="portrait"/>
          <w:cols w:equalWidth="0" w:num="1">
            <w:col w:w="10219"/>
          </w:cols>
          <w:pgMar w:left="240" w:top="1440" w:right="1440" w:bottom="1440" w:gutter="0" w:footer="0" w:header="0"/>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20" w:type="dxa"/>
            <w:vAlign w:val="bottom"/>
            <w:gridSpan w:val="2"/>
          </w:tcPr>
          <w:p>
            <w:pPr>
              <w:spacing w:after="0"/>
              <w:rPr>
                <w:sz w:val="20"/>
                <w:szCs w:val="20"/>
                <w:color w:val="auto"/>
              </w:rPr>
            </w:pPr>
            <w:r>
              <w:rPr>
                <w:rFonts w:ascii="Arial" w:cs="Arial" w:eastAsia="Arial" w:hAnsi="Arial"/>
                <w:sz w:val="14"/>
                <w:szCs w:val="14"/>
                <w:color w:val="FFFFFF"/>
              </w:rPr>
              <w:t>Annual Report 2012 103</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Financial Statements</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2.4 IMPACT OF ISSUED BUT NOT YET EFFECTIVE INTERNATIONAL FINANCIAL REPORTING STANDARDS (CONTINUED)</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Group has not early adopted any of the above standards, interpretations and amendments to the existing standards, and continues to assess the impact of these new and revised IFRSs on the Group’s results of</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operations, fi nancial position, and its ? nancial reporting disclosures. While the adoption of some of the amendments and the new and revised IFRSs may result in change in accounting policies and new</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disclosures, none of these are expected to have a signi? cant ? nancial impact on the Group.</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2.5 SIGNIFICANT ACCOUNTING JUDGMENTS AND ESTIMATES</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preparation of the Group’s fi nancial statements requires management to make judgments, estimates and assumptions that affect the reported amounts of revenues, expenses, assets and liabilities, and their</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accompanying disclosures and the disclosure of contingent liabilities. Uncertainty about these assumptions and estimates may result   outcomes that may require a material adjustment to the carrying amount of</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asset or liability affected in the future. Key sources of estimation uncertainty and critical judgments in applying the Group’s accounting policies which have a signifi cant effect on the ? nancial statements are</w:t>
            </w:r>
          </w:p>
        </w:tc>
      </w:tr>
      <w:tr>
        <w:trPr>
          <w:trHeight w:val="41"/>
        </w:trPr>
        <w:tc>
          <w:tcPr>
            <w:tcW w:w="820" w:type="dxa"/>
            <w:vAlign w:val="bottom"/>
          </w:tcPr>
          <w:p>
            <w:pPr>
              <w:spacing w:after="0"/>
              <w:rPr>
                <w:sz w:val="20"/>
                <w:szCs w:val="20"/>
                <w:color w:val="auto"/>
              </w:rPr>
            </w:pPr>
            <w:r>
              <w:rPr>
                <w:rFonts w:ascii="Arial" w:cs="Arial" w:eastAsia="Arial" w:hAnsi="Arial"/>
                <w:sz w:val="3"/>
                <w:szCs w:val="3"/>
                <w:color w:val="FFFFFF"/>
              </w:rPr>
              <w:t>set out below.</w:t>
            </w:r>
          </w:p>
        </w:tc>
        <w:tc>
          <w:tcPr>
            <w:tcW w:w="10600" w:type="dxa"/>
            <w:vAlign w:val="bottom"/>
          </w:tcPr>
          <w:p>
            <w:pPr>
              <w:spacing w:after="0"/>
              <w:rPr>
                <w:sz w:val="3"/>
                <w:szCs w:val="3"/>
                <w:color w:val="auto"/>
              </w:rPr>
            </w:pP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Us ful lives of property and equipment</w:t>
            </w:r>
          </w:p>
        </w:tc>
      </w:tr>
      <w:tr>
        <w:trPr>
          <w:trHeight w:val="41"/>
        </w:trPr>
        <w:tc>
          <w:tcPr>
            <w:tcW w:w="11420" w:type="dxa"/>
            <w:vAlign w:val="bottom"/>
            <w:gridSpan w:val="2"/>
          </w:tcPr>
          <w:p>
            <w:pPr>
              <w:spacing w:after="0"/>
              <w:rPr>
                <w:sz w:val="20"/>
                <w:szCs w:val="20"/>
                <w:color w:val="auto"/>
              </w:rPr>
            </w:pPr>
            <w:r>
              <w:rPr>
                <w:rFonts w:ascii="Arial" w:cs="Arial" w:eastAsia="Arial" w:hAnsi="Arial"/>
                <w:sz w:val="3"/>
                <w:szCs w:val="3"/>
                <w:color w:val="FFFFFF"/>
              </w:rPr>
              <w:t>The useful lives of assets are based on management’s estimations. Management considers the impact of changes in technology customer service requirements, availability of capital funding and the required</w:t>
            </w:r>
          </w:p>
        </w:tc>
      </w:tr>
      <w:tr>
        <w:trPr>
          <w:trHeight w:val="0"/>
        </w:trPr>
        <w:tc>
          <w:tcPr>
            <w:tcW w:w="820" w:type="dxa"/>
            <w:vAlign w:val="bottom"/>
          </w:tcPr>
          <w:p>
            <w:pPr>
              <w:spacing w:after="0" w:line="80" w:lineRule="exact"/>
              <w:rPr>
                <w:sz w:val="20"/>
                <w:szCs w:val="20"/>
                <w:color w:val="auto"/>
              </w:rPr>
            </w:pPr>
            <w:r>
              <w:rPr>
                <w:rFonts w:ascii="Arial" w:cs="Arial" w:eastAsia="Arial" w:hAnsi="Arial"/>
                <w:sz w:val="9"/>
                <w:szCs w:val="9"/>
                <w:color w:val="FFFFFF"/>
              </w:rPr>
              <w:t>return on</w:t>
            </w:r>
          </w:p>
        </w:tc>
        <w:tc>
          <w:tcPr>
            <w:tcW w:w="10600" w:type="dxa"/>
            <w:vAlign w:val="bottom"/>
          </w:tcPr>
          <w:p>
            <w:pPr>
              <w:ind w:left="60"/>
              <w:spacing w:after="0" w:line="80" w:lineRule="exact"/>
              <w:rPr>
                <w:sz w:val="20"/>
                <w:szCs w:val="20"/>
                <w:color w:val="auto"/>
              </w:rPr>
            </w:pPr>
            <w:r>
              <w:rPr>
                <w:rFonts w:ascii="Arial" w:cs="Arial" w:eastAsia="Arial" w:hAnsi="Arial"/>
                <w:sz w:val="9"/>
                <w:szCs w:val="9"/>
                <w:color w:val="FFFFFF"/>
              </w:rPr>
              <w:t>and equity to determine the optimum useful life expectation for each of the individual categories of property, plant, and equipment. The estimations of residual values of assets are also based on</w:t>
            </w:r>
          </w:p>
        </w:tc>
      </w:tr>
    </w:tbl>
    <w:p>
      <w:pPr>
        <w:jc w:val="both"/>
        <w:ind w:right="40"/>
        <w:spacing w:after="0"/>
        <w:rPr>
          <w:sz w:val="20"/>
          <w:szCs w:val="20"/>
          <w:color w:val="auto"/>
        </w:rPr>
      </w:pPr>
      <w:r>
        <w:rPr>
          <w:rFonts w:ascii="Arial" w:cs="Arial" w:eastAsia="Arial" w:hAnsi="Arial"/>
          <w:sz w:val="8"/>
          <w:szCs w:val="8"/>
          <w:color w:val="FFFFFF"/>
        </w:rPr>
        <w:t>management’assetsjudgments as to whether the assets will be sold or used to the end of their useful lives and what their condition will be like at that time. Depreciation is calculated on the straight-line basis to write off the cost of each item of property and equipment to its residual value over the shorter of the remaining term of the gaming concession (for designated gaming assets and space) or land concession (for all other assets), as applicable, and their estimated useful lives. Management’s periodic reviews on the estimations made could result in changes in depreciable lives and, therefore, depreciation expense in future periods.</w:t>
      </w:r>
    </w:p>
    <w:p>
      <w:pPr>
        <w:sectPr>
          <w:pgSz w:w="11900" w:h="16838" w:orient="portrait"/>
          <w:cols w:equalWidth="0" w:num="1">
            <w:col w:w="11420"/>
          </w:cols>
          <w:pgMar w:left="240" w:top="1440" w:right="239"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20"/>
                <w:szCs w:val="20"/>
                <w:color w:val="auto"/>
              </w:rPr>
            </w:pPr>
            <w:r>
              <w:rPr>
                <w:rFonts w:ascii="Arial" w:cs="Arial" w:eastAsia="Arial" w:hAnsi="Arial"/>
                <w:sz w:val="14"/>
                <w:szCs w:val="14"/>
                <w:color w:val="FFFFFF"/>
              </w:rPr>
              <w:t>104 Wynn Macau, Limited</w:t>
            </w:r>
          </w:p>
        </w:tc>
        <w:tc>
          <w:tcPr>
            <w:tcW w:w="1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360" w:type="dxa"/>
            <w:vAlign w:val="bottom"/>
          </w:tcPr>
          <w:p>
            <w:pPr>
              <w:spacing w:after="0"/>
              <w:rPr>
                <w:sz w:val="20"/>
                <w:szCs w:val="20"/>
                <w:color w:val="auto"/>
              </w:rPr>
            </w:pPr>
            <w:r>
              <w:rPr>
                <w:rFonts w:ascii="Arial" w:cs="Arial" w:eastAsia="Arial" w:hAnsi="Arial"/>
                <w:sz w:val="3"/>
                <w:szCs w:val="3"/>
                <w:color w:val="FFFFFF"/>
              </w:rPr>
              <w:t>Financial Statements</w:t>
            </w:r>
          </w:p>
        </w:tc>
        <w:tc>
          <w:tcPr>
            <w:tcW w:w="1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6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1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60" w:type="dxa"/>
            <w:vAlign w:val="bottom"/>
          </w:tcPr>
          <w:p>
            <w:pPr>
              <w:spacing w:after="0"/>
              <w:rPr>
                <w:sz w:val="20"/>
                <w:szCs w:val="20"/>
                <w:color w:val="auto"/>
              </w:rPr>
            </w:pPr>
            <w:r>
              <w:rPr>
                <w:rFonts w:ascii="Arial" w:cs="Arial" w:eastAsia="Arial" w:hAnsi="Arial"/>
                <w:sz w:val="3"/>
                <w:szCs w:val="3"/>
                <w:color w:val="FFFFFF"/>
              </w:rPr>
              <w:t>For the year ended 31 December 2012</w:t>
            </w:r>
          </w:p>
        </w:tc>
        <w:tc>
          <w:tcPr>
            <w:tcW w:w="1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60" w:type="dxa"/>
            <w:vAlign w:val="bottom"/>
          </w:tcPr>
          <w:p>
            <w:pPr>
              <w:spacing w:after="0"/>
              <w:rPr>
                <w:sz w:val="20"/>
                <w:szCs w:val="20"/>
                <w:color w:val="auto"/>
              </w:rPr>
            </w:pPr>
            <w:r>
              <w:rPr>
                <w:rFonts w:ascii="Arial" w:cs="Arial" w:eastAsia="Arial" w:hAnsi="Arial"/>
                <w:sz w:val="3"/>
                <w:szCs w:val="3"/>
                <w:color w:val="FFFFFF"/>
              </w:rPr>
              <w:t>2.5 SIGNIFICANT ACCOUNTING JUDGMENTS AND ESTIMATES (CONTINUED)</w:t>
            </w:r>
          </w:p>
        </w:tc>
        <w:tc>
          <w:tcPr>
            <w:tcW w:w="1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60" w:type="dxa"/>
            <w:vAlign w:val="bottom"/>
          </w:tcPr>
          <w:p>
            <w:pPr>
              <w:spacing w:after="0"/>
              <w:rPr>
                <w:sz w:val="20"/>
                <w:szCs w:val="20"/>
                <w:color w:val="auto"/>
              </w:rPr>
            </w:pPr>
            <w:r>
              <w:rPr>
                <w:rFonts w:ascii="Arial" w:cs="Arial" w:eastAsia="Arial" w:hAnsi="Arial"/>
                <w:sz w:val="3"/>
                <w:szCs w:val="3"/>
                <w:color w:val="FFFFFF"/>
              </w:rPr>
              <w:t>Impairment of non-? nancial assets</w:t>
            </w:r>
          </w:p>
        </w:tc>
        <w:tc>
          <w:tcPr>
            <w:tcW w:w="14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Management is required to make judgments concerning the cause, timing and amount of impairments. In the identi? cation of impairment indicators, management considers the impact of changes in current</w:t>
            </w:r>
          </w:p>
        </w:tc>
        <w:tc>
          <w:tcPr>
            <w:tcW w:w="0" w:type="dxa"/>
            <w:vAlign w:val="bottom"/>
          </w:tcPr>
          <w:p>
            <w:pPr>
              <w:spacing w:after="0"/>
              <w:rPr>
                <w:sz w:val="1"/>
                <w:szCs w:val="1"/>
                <w:color w:val="auto"/>
              </w:rPr>
            </w:pPr>
          </w:p>
        </w:tc>
      </w:tr>
      <w:tr>
        <w:trPr>
          <w:trHeight w:val="41"/>
        </w:trPr>
        <w:tc>
          <w:tcPr>
            <w:tcW w:w="11420" w:type="dxa"/>
            <w:vAlign w:val="bottom"/>
            <w:gridSpan w:val="5"/>
          </w:tcPr>
          <w:p>
            <w:pPr>
              <w:spacing w:after="0"/>
              <w:rPr>
                <w:sz w:val="20"/>
                <w:szCs w:val="20"/>
                <w:color w:val="auto"/>
              </w:rPr>
            </w:pPr>
            <w:r>
              <w:rPr>
                <w:rFonts w:ascii="Arial" w:cs="Arial" w:eastAsia="Arial" w:hAnsi="Arial"/>
                <w:sz w:val="3"/>
                <w:szCs w:val="3"/>
                <w:color w:val="FFFFFF"/>
              </w:rPr>
              <w:t>competitive conditions, cost of capital, availability of funding, technological obsolescence, discontinuance of services and other circumstances that could indicate that an impairment exists. The Group applies the</w:t>
            </w:r>
          </w:p>
        </w:tc>
        <w:tc>
          <w:tcPr>
            <w:tcW w:w="0" w:type="dxa"/>
            <w:vAlign w:val="bottom"/>
          </w:tcPr>
          <w:p>
            <w:pPr>
              <w:spacing w:after="0"/>
              <w:rPr>
                <w:sz w:val="1"/>
                <w:szCs w:val="1"/>
                <w:color w:val="auto"/>
              </w:rPr>
            </w:pPr>
          </w:p>
        </w:tc>
      </w:tr>
      <w:tr>
        <w:trPr>
          <w:trHeight w:val="41"/>
        </w:trPr>
        <w:tc>
          <w:tcPr>
            <w:tcW w:w="7840" w:type="dxa"/>
            <w:vAlign w:val="bottom"/>
            <w:gridSpan w:val="2"/>
          </w:tcPr>
          <w:p>
            <w:pPr>
              <w:spacing w:after="0"/>
              <w:rPr>
                <w:sz w:val="20"/>
                <w:szCs w:val="20"/>
                <w:color w:val="auto"/>
              </w:rPr>
            </w:pPr>
            <w:r>
              <w:rPr>
                <w:rFonts w:ascii="Arial" w:cs="Arial" w:eastAsia="Arial" w:hAnsi="Arial"/>
                <w:sz w:val="3"/>
                <w:szCs w:val="3"/>
                <w:color w:val="FFFFFF"/>
              </w:rPr>
              <w:t>impairment assessments to its separate CGUs. This requires management to make signi? cant judgments concerning the existence of impairment</w:t>
            </w:r>
          </w:p>
        </w:tc>
        <w:tc>
          <w:tcPr>
            <w:tcW w:w="3580" w:type="dxa"/>
            <w:vAlign w:val="bottom"/>
            <w:gridSpan w:val="3"/>
          </w:tcPr>
          <w:p>
            <w:pPr>
              <w:ind w:left="600"/>
              <w:spacing w:after="0"/>
              <w:rPr>
                <w:sz w:val="20"/>
                <w:szCs w:val="20"/>
                <w:color w:val="auto"/>
              </w:rPr>
            </w:pPr>
            <w:r>
              <w:rPr>
                <w:rFonts w:ascii="Arial" w:cs="Arial" w:eastAsia="Arial" w:hAnsi="Arial"/>
                <w:sz w:val="3"/>
                <w:szCs w:val="3"/>
                <w:color w:val="FFFFFF"/>
              </w:rPr>
              <w:t>identi? cation of separate CGU’ remaining useful</w:t>
            </w:r>
          </w:p>
        </w:tc>
        <w:tc>
          <w:tcPr>
            <w:tcW w:w="0" w:type="dxa"/>
            <w:vAlign w:val="bottom"/>
          </w:tcPr>
          <w:p>
            <w:pPr>
              <w:spacing w:after="0"/>
              <w:rPr>
                <w:sz w:val="1"/>
                <w:szCs w:val="1"/>
                <w:color w:val="auto"/>
              </w:rPr>
            </w:pPr>
          </w:p>
        </w:tc>
      </w:tr>
      <w:tr>
        <w:trPr>
          <w:trHeight w:val="41"/>
        </w:trPr>
        <w:tc>
          <w:tcPr>
            <w:tcW w:w="7840" w:type="dxa"/>
            <w:vAlign w:val="bottom"/>
            <w:gridSpan w:val="2"/>
          </w:tcPr>
          <w:p>
            <w:pPr>
              <w:spacing w:after="0"/>
              <w:rPr>
                <w:sz w:val="20"/>
                <w:szCs w:val="20"/>
                <w:color w:val="auto"/>
              </w:rPr>
            </w:pPr>
            <w:r>
              <w:rPr>
                <w:rFonts w:ascii="Arial" w:cs="Arial" w:eastAsia="Arial" w:hAnsi="Arial"/>
                <w:sz w:val="3"/>
                <w:szCs w:val="3"/>
                <w:color w:val="FFFFFF"/>
              </w:rPr>
              <w:t>lives of assets and estimates of projected cash fl ows and fair values less costs to sell. For non-fi nancial assets other than goodwill,</w:t>
            </w:r>
          </w:p>
        </w:tc>
        <w:tc>
          <w:tcPr>
            <w:tcW w:w="3580" w:type="dxa"/>
            <w:vAlign w:val="bottom"/>
            <w:gridSpan w:val="3"/>
          </w:tcPr>
          <w:p>
            <w:pPr>
              <w:spacing w:after="0"/>
              <w:rPr>
                <w:sz w:val="20"/>
                <w:szCs w:val="20"/>
                <w:color w:val="auto"/>
              </w:rPr>
            </w:pPr>
            <w:r>
              <w:rPr>
                <w:rFonts w:ascii="Arial" w:cs="Arial" w:eastAsia="Arial" w:hAnsi="Arial"/>
                <w:sz w:val="3"/>
                <w:szCs w:val="3"/>
                <w:color w:val="FFFFFF"/>
              </w:rPr>
              <w:t>indicators,judgments are also required when assessing whether a</w:t>
            </w:r>
          </w:p>
        </w:tc>
        <w:tc>
          <w:tcPr>
            <w:tcW w:w="0" w:type="dxa"/>
            <w:vAlign w:val="bottom"/>
          </w:tcPr>
          <w:p>
            <w:pPr>
              <w:spacing w:after="0"/>
              <w:rPr>
                <w:sz w:val="1"/>
                <w:szCs w:val="1"/>
                <w:color w:val="auto"/>
              </w:rPr>
            </w:pPr>
          </w:p>
        </w:tc>
      </w:tr>
      <w:tr>
        <w:trPr>
          <w:trHeight w:val="41"/>
        </w:trPr>
        <w:tc>
          <w:tcPr>
            <w:tcW w:w="6360" w:type="dxa"/>
            <w:vAlign w:val="bottom"/>
          </w:tcPr>
          <w:p>
            <w:pPr>
              <w:spacing w:after="0"/>
              <w:rPr>
                <w:sz w:val="20"/>
                <w:szCs w:val="20"/>
                <w:color w:val="auto"/>
              </w:rPr>
            </w:pPr>
            <w:r>
              <w:rPr>
                <w:rFonts w:ascii="Arial" w:cs="Arial" w:eastAsia="Arial" w:hAnsi="Arial"/>
                <w:sz w:val="3"/>
                <w:szCs w:val="3"/>
                <w:color w:val="FFFFFF"/>
              </w:rPr>
              <w:t>previously recognized impairment loss should be reversed. Where impairment indicators exist, the determination of</w:t>
            </w:r>
          </w:p>
        </w:tc>
        <w:tc>
          <w:tcPr>
            <w:tcW w:w="5060" w:type="dxa"/>
            <w:vAlign w:val="bottom"/>
            <w:gridSpan w:val="4"/>
          </w:tcPr>
          <w:p>
            <w:pPr>
              <w:ind w:left="120"/>
              <w:spacing w:after="0"/>
              <w:rPr>
                <w:sz w:val="20"/>
                <w:szCs w:val="20"/>
                <w:color w:val="auto"/>
              </w:rPr>
            </w:pPr>
            <w:r>
              <w:rPr>
                <w:rFonts w:ascii="Arial" w:cs="Arial" w:eastAsia="Arial" w:hAnsi="Arial"/>
                <w:sz w:val="3"/>
                <w:szCs w:val="3"/>
                <w:color w:val="FFFFFF"/>
              </w:rPr>
              <w:t>recoverable management’amountofCGU requires management to make assumptions to determine the</w:t>
            </w:r>
          </w:p>
        </w:tc>
        <w:tc>
          <w:tcPr>
            <w:tcW w:w="0" w:type="dxa"/>
            <w:vAlign w:val="bottom"/>
          </w:tcPr>
          <w:p>
            <w:pPr>
              <w:spacing w:after="0"/>
              <w:rPr>
                <w:sz w:val="1"/>
                <w:szCs w:val="1"/>
                <w:color w:val="auto"/>
              </w:rPr>
            </w:pPr>
          </w:p>
        </w:tc>
      </w:tr>
      <w:tr>
        <w:trPr>
          <w:trHeight w:val="41"/>
        </w:trPr>
        <w:tc>
          <w:tcPr>
            <w:tcW w:w="9200" w:type="dxa"/>
            <w:vAlign w:val="bottom"/>
            <w:gridSpan w:val="3"/>
          </w:tcPr>
          <w:p>
            <w:pPr>
              <w:spacing w:after="0"/>
              <w:rPr>
                <w:sz w:val="20"/>
                <w:szCs w:val="20"/>
                <w:color w:val="auto"/>
              </w:rPr>
            </w:pPr>
            <w:r>
              <w:rPr>
                <w:rFonts w:ascii="Arial" w:cs="Arial" w:eastAsia="Arial" w:hAnsi="Arial"/>
                <w:sz w:val="3"/>
                <w:szCs w:val="3"/>
                <w:color w:val="FFFFFF"/>
              </w:rPr>
              <w:t>fair value less costs to sell and value in use. In addition, for goodwill, the recoverab  am unt is estimated annually whether or not there is any indication of impairment.</w:t>
            </w:r>
          </w:p>
        </w:tc>
        <w:tc>
          <w:tcPr>
            <w:tcW w:w="1380" w:type="dxa"/>
            <w:vAlign w:val="bottom"/>
          </w:tcPr>
          <w:p>
            <w:pPr>
              <w:spacing w:after="0"/>
              <w:rPr>
                <w:sz w:val="3"/>
                <w:szCs w:val="3"/>
                <w:color w:val="auto"/>
              </w:rPr>
            </w:pPr>
          </w:p>
        </w:tc>
        <w:tc>
          <w:tcPr>
            <w:tcW w:w="840" w:type="dxa"/>
            <w:vAlign w:val="bottom"/>
            <w:vMerge w:val="restart"/>
          </w:tcPr>
          <w:p>
            <w:pPr>
              <w:ind w:left="240"/>
              <w:spacing w:after="0" w:line="81" w:lineRule="exact"/>
              <w:rPr>
                <w:sz w:val="20"/>
                <w:szCs w:val="20"/>
                <w:color w:val="auto"/>
              </w:rPr>
            </w:pPr>
            <w:r>
              <w:rPr>
                <w:rFonts w:ascii="Arial" w:cs="Arial" w:eastAsia="Arial" w:hAnsi="Arial"/>
                <w:sz w:val="9"/>
                <w:szCs w:val="9"/>
                <w:color w:val="FFFFFF"/>
              </w:rPr>
              <w:t>projected</w:t>
            </w:r>
          </w:p>
        </w:tc>
        <w:tc>
          <w:tcPr>
            <w:tcW w:w="0" w:type="dxa"/>
            <w:vAlign w:val="bottom"/>
          </w:tcPr>
          <w:p>
            <w:pPr>
              <w:spacing w:after="0"/>
              <w:rPr>
                <w:sz w:val="1"/>
                <w:szCs w:val="1"/>
                <w:color w:val="auto"/>
              </w:rPr>
            </w:pPr>
          </w:p>
        </w:tc>
      </w:tr>
      <w:tr>
        <w:trPr>
          <w:trHeight w:val="41"/>
        </w:trPr>
        <w:tc>
          <w:tcPr>
            <w:tcW w:w="10580" w:type="dxa"/>
            <w:vAlign w:val="bottom"/>
            <w:gridSpan w:val="4"/>
          </w:tcPr>
          <w:p>
            <w:pPr>
              <w:spacing w:after="0"/>
              <w:rPr>
                <w:sz w:val="20"/>
                <w:szCs w:val="20"/>
                <w:color w:val="auto"/>
              </w:rPr>
            </w:pPr>
            <w:r>
              <w:rPr>
                <w:rFonts w:ascii="Arial" w:cs="Arial" w:eastAsia="Arial" w:hAnsi="Arial"/>
                <w:sz w:val="3"/>
                <w:szCs w:val="3"/>
                <w:color w:val="FFFFFF"/>
              </w:rPr>
              <w:t>Key assumptions on which management has based its determinations of fair values less costs to sell include the existence of binding sale agreements, and for the determination of values in use</w:t>
            </w:r>
          </w:p>
        </w:tc>
        <w:tc>
          <w:tcPr>
            <w:tcW w:w="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9200" w:type="dxa"/>
            <w:vAlign w:val="bottom"/>
            <w:gridSpan w:val="3"/>
          </w:tcPr>
          <w:p>
            <w:pPr>
              <w:spacing w:after="0" w:line="80" w:lineRule="exact"/>
              <w:rPr>
                <w:sz w:val="20"/>
                <w:szCs w:val="20"/>
                <w:color w:val="auto"/>
              </w:rPr>
            </w:pPr>
            <w:r>
              <w:rPr>
                <w:rFonts w:ascii="Arial" w:cs="Arial" w:eastAsia="Arial" w:hAnsi="Arial"/>
                <w:sz w:val="9"/>
                <w:szCs w:val="9"/>
                <w:color w:val="FFFFFF"/>
              </w:rPr>
              <w:t>revenues, gross margins, and average revenue per asset component, capital expenditures, expected customer base and market share. Management is also required to</w:t>
            </w:r>
          </w:p>
        </w:tc>
        <w:tc>
          <w:tcPr>
            <w:tcW w:w="2220" w:type="dxa"/>
            <w:vAlign w:val="bottom"/>
            <w:gridSpan w:val="2"/>
          </w:tcPr>
          <w:p>
            <w:pPr>
              <w:ind w:left="100"/>
              <w:spacing w:after="0" w:line="80" w:lineRule="exact"/>
              <w:rPr>
                <w:sz w:val="20"/>
                <w:szCs w:val="20"/>
                <w:color w:val="auto"/>
              </w:rPr>
            </w:pPr>
            <w:r>
              <w:rPr>
                <w:rFonts w:ascii="Arial" w:cs="Arial" w:eastAsia="Arial" w:hAnsi="Arial"/>
                <w:sz w:val="9"/>
                <w:szCs w:val="9"/>
                <w:color w:val="FFFFFF"/>
              </w:rPr>
              <w:t>suitable discount ratesincludeorder to</w:t>
            </w:r>
          </w:p>
        </w:tc>
        <w:tc>
          <w:tcPr>
            <w:tcW w:w="0" w:type="dxa"/>
            <w:vAlign w:val="bottom"/>
          </w:tcPr>
          <w:p>
            <w:pPr>
              <w:spacing w:after="0" w:line="20" w:lineRule="exact"/>
              <w:rPr>
                <w:sz w:val="1"/>
                <w:szCs w:val="1"/>
                <w:color w:val="auto"/>
              </w:rPr>
            </w:pPr>
          </w:p>
        </w:tc>
      </w:tr>
    </w:tbl>
    <w:p>
      <w:pPr>
        <w:ind w:right="420"/>
        <w:spacing w:after="0"/>
        <w:rPr>
          <w:sz w:val="20"/>
          <w:szCs w:val="20"/>
          <w:color w:val="auto"/>
        </w:rPr>
      </w:pPr>
      <w:r>
        <w:rPr>
          <w:rFonts w:ascii="Arial" w:cs="Arial" w:eastAsia="Arial" w:hAnsi="Arial"/>
          <w:sz w:val="3"/>
          <w:szCs w:val="3"/>
          <w:color w:val="FFFFFF"/>
        </w:rPr>
        <w:t>calculate the present values of those cash ? ows. Changes in key assumptions on which the recoverable amounts of assets are based could signi? cantly affect the Group’choosefi nancial condition and results of operations.</w:t>
      </w:r>
    </w:p>
    <w:p>
      <w:pPr>
        <w:spacing w:after="0" w:line="199" w:lineRule="auto"/>
        <w:rPr>
          <w:sz w:val="20"/>
          <w:szCs w:val="20"/>
          <w:color w:val="auto"/>
        </w:rPr>
      </w:pPr>
      <w:r>
        <w:rPr>
          <w:rFonts w:ascii="Arial" w:cs="Arial" w:eastAsia="Arial" w:hAnsi="Arial"/>
          <w:sz w:val="5"/>
          <w:szCs w:val="5"/>
          <w:color w:val="FFFFFF"/>
        </w:rPr>
        <w:t>Impairment of accounts receivable</w:t>
      </w:r>
    </w:p>
    <w:p>
      <w:pPr>
        <w:spacing w:after="0" w:line="211" w:lineRule="auto"/>
        <w:rPr>
          <w:sz w:val="20"/>
          <w:szCs w:val="20"/>
          <w:color w:val="auto"/>
        </w:rPr>
      </w:pPr>
      <w:r>
        <w:rPr>
          <w:rFonts w:ascii="Arial" w:cs="Arial" w:eastAsia="Arial" w:hAnsi="Arial"/>
          <w:sz w:val="2"/>
          <w:szCs w:val="2"/>
          <w:color w:val="FFFFFF"/>
        </w:rPr>
        <w:t>Management evaluates the reserve for bad debts based on speci?</w:t>
      </w:r>
      <w:r>
        <w:rPr>
          <w:rFonts w:ascii="Arial" w:cs="Arial" w:eastAsia="Arial" w:hAnsi="Arial"/>
          <w:sz w:val="4"/>
          <w:szCs w:val="4"/>
          <w:color w:val="FFFFFF"/>
          <w:vertAlign w:val="subscript"/>
        </w:rPr>
        <w:t>continue</w:t>
      </w:r>
      <w:r>
        <w:rPr>
          <w:rFonts w:ascii="Arial" w:cs="Arial" w:eastAsia="Arial" w:hAnsi="Arial"/>
          <w:sz w:val="2"/>
          <w:szCs w:val="2"/>
          <w:color w:val="FFFFFF"/>
        </w:rPr>
        <w:t>reviews of customer accounts as well as experience with collection trends in the casino industry and current economic and business conditions.</w:t>
      </w:r>
    </w:p>
    <w:p>
      <w:pPr>
        <w:spacing w:after="0" w:line="212" w:lineRule="auto"/>
        <w:tabs>
          <w:tab w:leader="none" w:pos="3760" w:val="left"/>
        </w:tabs>
        <w:rPr>
          <w:sz w:val="20"/>
          <w:szCs w:val="20"/>
          <w:color w:val="auto"/>
        </w:rPr>
      </w:pPr>
      <w:r>
        <w:rPr>
          <w:rFonts w:ascii="Arial" w:cs="Arial" w:eastAsia="Arial" w:hAnsi="Arial"/>
          <w:sz w:val="3"/>
          <w:szCs w:val="3"/>
          <w:color w:val="FFFFFF"/>
        </w:rPr>
        <w:t>As customer payment experience evolves, management will</w:t>
      </w:r>
      <w:r>
        <w:rPr>
          <w:sz w:val="20"/>
          <w:szCs w:val="20"/>
          <w:color w:val="auto"/>
        </w:rPr>
        <w:tab/>
      </w:r>
      <w:r>
        <w:rPr>
          <w:rFonts w:ascii="Arial" w:cs="Arial" w:eastAsia="Arial" w:hAnsi="Arial"/>
          <w:sz w:val="2"/>
          <w:szCs w:val="2"/>
          <w:color w:val="FFFFFF"/>
        </w:rPr>
        <w:t>to re? ne the estimated reserve for bad debts. Accordingly</w:t>
      </w:r>
      <w:r>
        <w:rPr>
          <w:rFonts w:ascii="Arial" w:cs="Arial" w:eastAsia="Arial" w:hAnsi="Arial"/>
          <w:sz w:val="4"/>
          <w:szCs w:val="4"/>
          <w:color w:val="FFFFFF"/>
          <w:vertAlign w:val="subscript"/>
        </w:rPr>
        <w:t>periods,</w:t>
      </w:r>
      <w:r>
        <w:rPr>
          <w:rFonts w:ascii="Arial" w:cs="Arial" w:eastAsia="Arial" w:hAnsi="Arial"/>
          <w:sz w:val="2"/>
          <w:szCs w:val="2"/>
          <w:color w:val="FFFFFF"/>
        </w:rPr>
        <w:t>the associated provision for doubtful accounts char</w:t>
      </w:r>
      <w:r>
        <w:rPr>
          <w:rFonts w:ascii="Arial" w:cs="Arial" w:eastAsia="Arial" w:hAnsi="Arial"/>
          <w:sz w:val="4"/>
          <w:szCs w:val="4"/>
          <w:color w:val="FFFFFF"/>
          <w:vertAlign w:val="subscript"/>
        </w:rPr>
        <w:t>changes</w:t>
      </w:r>
      <w:r>
        <w:rPr>
          <w:rFonts w:ascii="Arial" w:cs="Arial" w:eastAsia="Arial" w:hAnsi="Arial"/>
          <w:sz w:val="2"/>
          <w:szCs w:val="2"/>
          <w:color w:val="FFFFFF"/>
        </w:rPr>
        <w:t>may ? uctuate. Because</w:t>
      </w:r>
    </w:p>
    <w:p>
      <w:pPr>
        <w:ind w:right="60"/>
        <w:spacing w:after="0"/>
        <w:rPr>
          <w:sz w:val="20"/>
          <w:szCs w:val="20"/>
          <w:color w:val="auto"/>
        </w:rPr>
      </w:pPr>
      <w:r>
        <w:rPr>
          <w:rFonts w:ascii="Arial" w:cs="Arial" w:eastAsia="Arial" w:hAnsi="Arial"/>
          <w:sz w:val="11"/>
          <w:szCs w:val="11"/>
          <w:color w:val="FFFFFF"/>
        </w:rPr>
        <w:t>individual customer account balances can be signi? cant, the reserve and the provision can change signi? cantly between as customer information becomes known or as in a region’s economy or legal systems occur.</w:t>
      </w:r>
    </w:p>
    <w:p>
      <w:pPr>
        <w:sectPr>
          <w:pgSz w:w="11900" w:h="16838" w:orient="portrait"/>
          <w:cols w:equalWidth="0" w:num="1">
            <w:col w:w="11420"/>
          </w:cols>
          <w:pgMar w:left="240" w:top="1440" w:right="239" w:bottom="1440" w:gutter="0" w:footer="0" w:header="0"/>
        </w:sectPr>
      </w:pPr>
    </w:p>
    <w:bookmarkStart w:id="110" w:name="page111"/>
    <w:bookmarkEnd w:id="1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105</w:t>
      </w:r>
    </w:p>
    <w:p>
      <w:pPr>
        <w:spacing w:after="0"/>
        <w:rPr>
          <w:sz w:val="20"/>
          <w:szCs w:val="20"/>
          <w:color w:val="auto"/>
        </w:rPr>
      </w:pPr>
      <w:r>
        <w:rPr>
          <w:rFonts w:ascii="Arial" w:cs="Arial" w:eastAsia="Arial" w:hAnsi="Arial"/>
          <w:sz w:val="3"/>
          <w:szCs w:val="3"/>
          <w:color w:val="FFFFFF"/>
        </w:rPr>
        <w:t>Financial Statements</w:t>
      </w:r>
    </w:p>
    <w:p>
      <w:pPr>
        <w:spacing w:after="0" w:line="181" w:lineRule="auto"/>
        <w:rPr>
          <w:sz w:val="20"/>
          <w:szCs w:val="20"/>
          <w:color w:val="auto"/>
        </w:rPr>
      </w:pPr>
      <w:r>
        <w:rPr>
          <w:rFonts w:ascii="Arial" w:cs="Arial" w:eastAsia="Arial" w:hAnsi="Arial"/>
          <w:sz w:val="10"/>
          <w:szCs w:val="10"/>
          <w:color w:val="FFFFFF"/>
        </w:rPr>
        <w:t>ForNotesthetoyearFinancialended Statements31December 2012</w:t>
      </w:r>
    </w:p>
    <w:p>
      <w:pPr>
        <w:spacing w:after="0"/>
        <w:rPr>
          <w:sz w:val="20"/>
          <w:szCs w:val="20"/>
          <w:color w:val="auto"/>
        </w:rPr>
      </w:pPr>
      <w:r>
        <w:rPr>
          <w:rFonts w:ascii="Arial" w:cs="Arial" w:eastAsia="Arial" w:hAnsi="Arial"/>
          <w:sz w:val="3"/>
          <w:szCs w:val="3"/>
          <w:color w:val="FFFFFF"/>
        </w:rPr>
        <w:t>2.5 SIGNIFICANT ACCOUNTING JUDGMENTS AND ESTIMATES (CONTINUED)</w:t>
      </w:r>
    </w:p>
    <w:p>
      <w:pPr>
        <w:spacing w:after="0" w:line="181" w:lineRule="auto"/>
        <w:rPr>
          <w:sz w:val="20"/>
          <w:szCs w:val="20"/>
          <w:color w:val="auto"/>
        </w:rPr>
      </w:pPr>
      <w:r>
        <w:rPr>
          <w:rFonts w:ascii="Arial" w:cs="Arial" w:eastAsia="Arial" w:hAnsi="Arial"/>
          <w:sz w:val="10"/>
          <w:szCs w:val="10"/>
          <w:color w:val="FFFFFF"/>
        </w:rPr>
        <w:t>TheSegmentGroupreportingcurrently operatesAccordinglyonebusiness segment, namely,havethe management of its casino and hotel resort. A single management team reports to the chief operating decision-maker who comprehensively</w:t>
      </w:r>
    </w:p>
    <w:p>
      <w:pPr>
        <w:spacing w:after="0"/>
        <w:tabs>
          <w:tab w:leader="none" w:pos="2220" w:val="left"/>
          <w:tab w:leader="none" w:pos="3640" w:val="left"/>
        </w:tabs>
        <w:rPr>
          <w:sz w:val="20"/>
          <w:szCs w:val="20"/>
          <w:color w:val="auto"/>
        </w:rPr>
      </w:pPr>
      <w:r>
        <w:rPr>
          <w:rFonts w:ascii="Arial" w:cs="Arial" w:eastAsia="Arial" w:hAnsi="Arial"/>
          <w:sz w:val="3"/>
          <w:szCs w:val="3"/>
          <w:color w:val="FFFFFF"/>
        </w:rPr>
        <w:t>manages the entire business.</w:t>
      </w:r>
      <w:r>
        <w:rPr>
          <w:sz w:val="20"/>
          <w:szCs w:val="20"/>
          <w:color w:val="auto"/>
        </w:rPr>
        <w:tab/>
      </w:r>
      <w:r>
        <w:rPr>
          <w:rFonts w:ascii="Arial" w:cs="Arial" w:eastAsia="Arial" w:hAnsi="Arial"/>
          <w:sz w:val="3"/>
          <w:szCs w:val="3"/>
          <w:color w:val="FFFFFF"/>
        </w:rPr>
        <w:t>, the Group does not</w:t>
      </w:r>
      <w:r>
        <w:rPr>
          <w:sz w:val="20"/>
          <w:szCs w:val="20"/>
          <w:color w:val="auto"/>
        </w:rPr>
        <w:tab/>
      </w:r>
      <w:r>
        <w:rPr>
          <w:rFonts w:ascii="Arial" w:cs="Arial" w:eastAsia="Arial" w:hAnsi="Arial"/>
          <w:sz w:val="3"/>
          <w:szCs w:val="3"/>
          <w:color w:val="FFFFFF"/>
        </w:rPr>
        <w:t>separate reportable segments.</w:t>
      </w:r>
    </w:p>
    <w:p>
      <w:pPr>
        <w:spacing w:after="0" w:line="181" w:lineRule="auto"/>
        <w:rPr>
          <w:sz w:val="20"/>
          <w:szCs w:val="20"/>
          <w:color w:val="auto"/>
        </w:rPr>
      </w:pPr>
      <w:r>
        <w:rPr>
          <w:rFonts w:ascii="Arial" w:cs="Arial" w:eastAsia="Arial" w:hAnsi="Arial"/>
          <w:sz w:val="10"/>
          <w:szCs w:val="10"/>
          <w:color w:val="FFFFFF"/>
        </w:rPr>
        <w:t>Financialairvalueassetsestimationandliabilities—financialarerecognizedassetsand liabilitiesordisclosed at fair values. The fair values of ? nancial instruments traded in active markets are based on quoted market prices. In assessing the fair values of non-</w:t>
      </w:r>
    </w:p>
    <w:p>
      <w:pPr>
        <w:ind w:right="20"/>
        <w:spacing w:after="0" w:line="181" w:lineRule="auto"/>
        <w:rPr>
          <w:sz w:val="20"/>
          <w:szCs w:val="20"/>
          <w:color w:val="auto"/>
        </w:rPr>
      </w:pPr>
      <w:r>
        <w:rPr>
          <w:rFonts w:ascii="Arial" w:cs="Arial" w:eastAsia="Arial" w:hAnsi="Arial"/>
          <w:sz w:val="7"/>
          <w:szCs w:val="7"/>
          <w:color w:val="FFFFFF"/>
        </w:rPr>
        <w:t>onetradedyearinstruments,including prepayments,discountedcashother?owspayablesormarketorcurrentassessmentsborrowings,areused.are Theassumednominaltoapproximatevalueslessanytheirestimatedfairvalues.creditManagementrealizable valuedeterminesadjustmentstheseassumptionsfor?nancialbyassetsreviewingandliabilitiescurrent marketwith maturityrates,makingofless than industry comparisons and reviewing conditions relevant to the Group.</w:t>
      </w:r>
    </w:p>
    <w:p>
      <w:pPr>
        <w:spacing w:after="0" w:line="181" w:lineRule="auto"/>
        <w:rPr>
          <w:sz w:val="20"/>
          <w:szCs w:val="20"/>
          <w:color w:val="auto"/>
        </w:rPr>
      </w:pPr>
      <w:r>
        <w:rPr>
          <w:rFonts w:ascii="Arial" w:cs="Arial" w:eastAsia="Arial" w:hAnsi="Arial"/>
          <w:sz w:val="7"/>
          <w:szCs w:val="7"/>
          <w:color w:val="FFFFFF"/>
        </w:rPr>
        <w:t>TheFair GroupvalueestimationusestheBlack—Black-Scholes-Scholesvaluationvaluationmodelmodeltovalue Wynn Resorts, Limited’s and Wynn Macau, Limited’s grants of options issued. The Black-Scholes valuation model uses assumptions of expected volatility, risk-free interest rates, the expected terms of options granted, and expected rates of dividends. Changes in these assumptions could materially affect the estimated fair value. Expected volatility is based</w:t>
      </w:r>
    </w:p>
    <w:p>
      <w:pPr>
        <w:ind w:right="320"/>
        <w:spacing w:after="0" w:line="181" w:lineRule="auto"/>
        <w:rPr>
          <w:sz w:val="20"/>
          <w:szCs w:val="20"/>
          <w:color w:val="auto"/>
        </w:rPr>
      </w:pPr>
      <w:r>
        <w:rPr>
          <w:rFonts w:ascii="Arial" w:cs="Arial" w:eastAsia="Arial" w:hAnsi="Arial"/>
          <w:sz w:val="7"/>
          <w:szCs w:val="7"/>
          <w:color w:val="FFFFFF"/>
        </w:rPr>
        <w:t>exerciseonimplieddate.andThehistoricalrisk-freefactorsinterestrelatedrate usedtoWynnisequalResorts,totheLimited’U.S.TreasuryandWynnyieldMacau,curveandLimited’theHongcommonKong Exchangestock.ExpectedFundBillsterm forrepresentstheWRLtheStockweightedPlan averageandWynntimeMacau,betweenLimited’stheoption’sSharegrantOptiondateScheme,andits respectively, at the time of grant for the period equal to the expected term.</w:t>
      </w:r>
    </w:p>
    <w:p>
      <w:pPr>
        <w:spacing w:after="0"/>
        <w:tabs>
          <w:tab w:leader="none" w:pos="740" w:val="left"/>
          <w:tab w:leader="none" w:pos="9520" w:val="left"/>
        </w:tabs>
        <w:rPr>
          <w:sz w:val="20"/>
          <w:szCs w:val="20"/>
          <w:color w:val="auto"/>
        </w:rPr>
      </w:pPr>
      <w:r>
        <w:rPr>
          <w:rFonts w:ascii="Arial" w:cs="Arial" w:eastAsia="Arial" w:hAnsi="Arial"/>
          <w:sz w:val="3"/>
          <w:szCs w:val="3"/>
          <w:color w:val="FFFFFF"/>
        </w:rPr>
        <w:t>Income</w:t>
      </w:r>
      <w:r>
        <w:rPr>
          <w:sz w:val="20"/>
          <w:szCs w:val="20"/>
          <w:color w:val="auto"/>
        </w:rPr>
        <w:tab/>
      </w:r>
      <w:r>
        <w:rPr>
          <w:rFonts w:ascii="Arial" w:cs="Arial" w:eastAsia="Arial" w:hAnsi="Arial"/>
          <w:sz w:val="3"/>
          <w:szCs w:val="3"/>
          <w:color w:val="FFFFFF"/>
        </w:rPr>
        <w:t>represent the sum of income taxes currently payable and any deferred taxes. The calculation of deferred income taxes and any associated allowance is subject to</w:t>
      </w:r>
      <w:r>
        <w:rPr>
          <w:sz w:val="20"/>
          <w:szCs w:val="20"/>
          <w:color w:val="auto"/>
        </w:rPr>
        <w:tab/>
      </w:r>
      <w:r>
        <w:rPr>
          <w:rFonts w:ascii="Arial" w:cs="Arial" w:eastAsia="Arial" w:hAnsi="Arial"/>
          <w:sz w:val="3"/>
          <w:szCs w:val="3"/>
          <w:color w:val="FFFFFF"/>
        </w:rPr>
        <w:t>signifi cant amount of judgment.</w:t>
      </w:r>
    </w:p>
    <w:p>
      <w:pPr>
        <w:spacing w:after="0" w:line="22" w:lineRule="exact"/>
        <w:rPr>
          <w:sz w:val="20"/>
          <w:szCs w:val="20"/>
          <w:color w:val="auto"/>
        </w:rPr>
      </w:pPr>
    </w:p>
    <w:p>
      <w:pPr>
        <w:ind w:right="340"/>
        <w:spacing w:after="0" w:line="189" w:lineRule="auto"/>
        <w:rPr>
          <w:sz w:val="20"/>
          <w:szCs w:val="20"/>
          <w:color w:val="auto"/>
        </w:rPr>
      </w:pPr>
      <w:r>
        <w:rPr>
          <w:rFonts w:ascii="Arial" w:cs="Arial" w:eastAsia="Arial" w:hAnsi="Arial"/>
          <w:sz w:val="14"/>
          <w:szCs w:val="14"/>
          <w:color w:val="FFFFFF"/>
        </w:rPr>
        <w:t>The Group’taxesincome tax reports may be examined by governmental authorities. Accordingly, the Group reviews any potentially unfavorable tax outcome and, when an unfavorable outcome is identifi ed as probable and can be reasonably estimated, an allowance is established.</w:t>
      </w:r>
    </w:p>
    <w:p>
      <w:pPr>
        <w:sectPr>
          <w:pgSz w:w="11900" w:h="16838" w:orient="portrait"/>
          <w:cols w:equalWidth="0" w:num="1">
            <w:col w:w="11400"/>
          </w:cols>
          <w:pgMar w:left="240" w:top="1440" w:right="25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Financial106WynnStatementsMacau,Limited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2012</w:t>
      </w:r>
    </w:p>
    <w:p>
      <w:pPr>
        <w:spacing w:after="0" w:line="188" w:lineRule="auto"/>
        <w:rPr>
          <w:sz w:val="20"/>
          <w:szCs w:val="20"/>
          <w:color w:val="auto"/>
        </w:rPr>
      </w:pPr>
      <w:r>
        <w:rPr>
          <w:rFonts w:ascii="Arial" w:cs="Arial" w:eastAsia="Arial" w:hAnsi="Arial"/>
          <w:sz w:val="9"/>
          <w:szCs w:val="9"/>
          <w:color w:val="FFFFFF"/>
          <w:vertAlign w:val="superscript"/>
        </w:rPr>
        <w:t>3.</w:t>
      </w:r>
      <w:r>
        <w:rPr>
          <w:rFonts w:ascii="Arial" w:cs="Arial" w:eastAsia="Arial" w:hAnsi="Arial"/>
          <w:sz w:val="7"/>
          <w:szCs w:val="7"/>
          <w:color w:val="FFFFFF"/>
        </w:rPr>
        <w:t xml:space="preserve"> OTHER REVENUES AND EXPENSES</w:t>
      </w:r>
    </w:p>
    <w:p>
      <w:pPr>
        <w:spacing w:after="0"/>
        <w:rPr>
          <w:sz w:val="20"/>
          <w:szCs w:val="20"/>
          <w:color w:val="auto"/>
        </w:rPr>
      </w:pPr>
      <w:r>
        <w:rPr>
          <w:rFonts w:ascii="Arial" w:cs="Arial" w:eastAsia="Arial" w:hAnsi="Arial"/>
          <w:sz w:val="3"/>
          <w:szCs w:val="3"/>
          <w:color w:val="FFFFFF"/>
        </w:rPr>
        <w:t>Group1Staff costs</w:t>
      </w:r>
    </w:p>
    <w:p>
      <w:pPr>
        <w:spacing w:after="0" w:line="181" w:lineRule="auto"/>
        <w:rPr>
          <w:sz w:val="20"/>
          <w:szCs w:val="20"/>
          <w:color w:val="auto"/>
        </w:rPr>
      </w:pPr>
      <w:r>
        <w:rPr>
          <w:rFonts w:ascii="Arial" w:cs="Arial" w:eastAsia="Arial" w:hAnsi="Arial"/>
          <w:sz w:val="10"/>
          <w:szCs w:val="10"/>
          <w:color w:val="FFFFFF"/>
        </w:rPr>
        <w:t>For the year ended</w:t>
      </w:r>
    </w:p>
    <w:p>
      <w:pPr>
        <w:spacing w:after="0" w:line="188" w:lineRule="auto"/>
        <w:rPr>
          <w:sz w:val="20"/>
          <w:szCs w:val="20"/>
          <w:color w:val="auto"/>
        </w:rPr>
      </w:pPr>
      <w:r>
        <w:rPr>
          <w:rFonts w:ascii="Arial" w:cs="Arial" w:eastAsia="Arial" w:hAnsi="Arial"/>
          <w:sz w:val="9"/>
          <w:szCs w:val="9"/>
          <w:color w:val="FFFFFF"/>
        </w:rPr>
        <w:t>201231December2011</w:t>
      </w:r>
    </w:p>
    <w:p>
      <w:pPr>
        <w:spacing w:after="0" w:line="212" w:lineRule="auto"/>
        <w:rPr>
          <w:sz w:val="20"/>
          <w:szCs w:val="20"/>
          <w:color w:val="auto"/>
        </w:rPr>
      </w:pPr>
      <w:r>
        <w:rPr>
          <w:rFonts w:ascii="Arial" w:cs="Arial" w:eastAsia="Arial" w:hAnsi="Arial"/>
          <w:sz w:val="4"/>
          <w:szCs w:val="4"/>
          <w:color w:val="FFFFFF"/>
          <w:vertAlign w:val="superscript"/>
        </w:rPr>
        <w:t>(in</w:t>
      </w:r>
      <w:r>
        <w:rPr>
          <w:rFonts w:ascii="Arial" w:cs="Arial" w:eastAsia="Arial" w:hAnsi="Arial"/>
          <w:sz w:val="2"/>
          <w:szCs w:val="2"/>
          <w:color w:val="FFFFFF"/>
        </w:rPr>
        <w:t>HKthousands)$HK$</w:t>
      </w:r>
    </w:p>
    <w:p>
      <w:pPr>
        <w:spacing w:after="0" w:line="188" w:lineRule="auto"/>
        <w:tabs>
          <w:tab w:leader="none" w:pos="600" w:val="left"/>
        </w:tabs>
        <w:rPr>
          <w:sz w:val="20"/>
          <w:szCs w:val="20"/>
          <w:color w:val="auto"/>
        </w:rPr>
      </w:pPr>
      <w:r>
        <w:rPr>
          <w:rFonts w:ascii="Arial" w:cs="Arial" w:eastAsia="Arial" w:hAnsi="Arial"/>
          <w:sz w:val="9"/>
          <w:szCs w:val="9"/>
          <w:color w:val="FFFFFF"/>
        </w:rPr>
        <w:t>Wages</w:t>
      </w:r>
      <w:r>
        <w:rPr>
          <w:sz w:val="20"/>
          <w:szCs w:val="20"/>
          <w:color w:val="auto"/>
        </w:rPr>
        <w:tab/>
      </w:r>
      <w:r>
        <w:rPr>
          <w:rFonts w:ascii="Arial" w:cs="Arial" w:eastAsia="Arial" w:hAnsi="Arial"/>
          <w:sz w:val="9"/>
          <w:szCs w:val="9"/>
          <w:color w:val="FFFFFF"/>
        </w:rPr>
        <w:t>salaries 1,920,944 1,764,724</w:t>
      </w:r>
    </w:p>
    <w:p>
      <w:pPr>
        <w:spacing w:after="0"/>
        <w:rPr>
          <w:sz w:val="20"/>
          <w:szCs w:val="20"/>
          <w:color w:val="auto"/>
        </w:rPr>
      </w:pPr>
      <w:r>
        <w:rPr>
          <w:rFonts w:ascii="Arial" w:cs="Arial" w:eastAsia="Arial" w:hAnsi="Arial"/>
          <w:sz w:val="3"/>
          <w:szCs w:val="3"/>
          <w:color w:val="FFFFFF"/>
        </w:rPr>
        <w:t>Other costs and bene?ts 216,647 199,804</w:t>
      </w:r>
    </w:p>
    <w:p>
      <w:pPr>
        <w:spacing w:after="0" w:line="181" w:lineRule="auto"/>
        <w:rPr>
          <w:sz w:val="20"/>
          <w:szCs w:val="20"/>
          <w:color w:val="auto"/>
        </w:rPr>
      </w:pPr>
      <w:r>
        <w:rPr>
          <w:rFonts w:ascii="Arial" w:cs="Arial" w:eastAsia="Arial" w:hAnsi="Arial"/>
          <w:sz w:val="10"/>
          <w:szCs w:val="10"/>
          <w:color w:val="FFFFFF"/>
        </w:rPr>
        <w:t>RetirementExpenseof plansharecontributions-basedpayments55,35720,56751,68949,196</w:t>
      </w:r>
    </w:p>
    <w:p>
      <w:pPr>
        <w:spacing w:after="0"/>
        <w:rPr>
          <w:sz w:val="20"/>
          <w:szCs w:val="20"/>
          <w:color w:val="auto"/>
        </w:rPr>
      </w:pPr>
      <w:r>
        <w:rPr>
          <w:rFonts w:ascii="Arial" w:cs="Arial" w:eastAsia="Arial" w:hAnsi="Arial"/>
          <w:sz w:val="3"/>
          <w:szCs w:val="3"/>
          <w:color w:val="FFFFFF"/>
        </w:rPr>
        <w:t>SocialEmployeesecurityrelationscostsand7,449training4,40717,762 19,379</w:t>
      </w:r>
    </w:p>
    <w:p>
      <w:pPr>
        <w:spacing w:after="0" w:line="194" w:lineRule="auto"/>
        <w:rPr>
          <w:sz w:val="20"/>
          <w:szCs w:val="20"/>
          <w:color w:val="auto"/>
        </w:rPr>
      </w:pPr>
      <w:r>
        <w:rPr>
          <w:rFonts w:ascii="Arial" w:cs="Arial" w:eastAsia="Arial" w:hAnsi="Arial"/>
          <w:sz w:val="5"/>
          <w:szCs w:val="5"/>
          <w:color w:val="FFFFFF"/>
        </w:rPr>
        <w:t>2,238,726 2,089,199</w:t>
      </w:r>
    </w:p>
    <w:p>
      <w:pPr>
        <w:spacing w:after="0"/>
        <w:rPr>
          <w:sz w:val="20"/>
          <w:szCs w:val="20"/>
          <w:color w:val="auto"/>
        </w:rPr>
      </w:pPr>
      <w:r>
        <w:rPr>
          <w:rFonts w:ascii="Arial" w:cs="Arial" w:eastAsia="Arial" w:hAnsi="Arial"/>
          <w:sz w:val="12"/>
          <w:szCs w:val="12"/>
          <w:color w:val="FFFFFF"/>
        </w:rPr>
        <w:t>“Other costs and benefi ts” includes rental expense for staff housing of approximately HK$15.1 million for the year ended 31 December 2012 (2011: HK$14.2 million).</w:t>
      </w:r>
    </w:p>
    <w:p>
      <w:pPr>
        <w:sectPr>
          <w:pgSz w:w="11900" w:h="16838" w:orient="portrait"/>
          <w:cols w:equalWidth="0" w:num="1">
            <w:col w:w="10219"/>
          </w:cols>
          <w:pgMar w:left="240" w:top="1440" w:right="1440"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107</w:t>
      </w:r>
    </w:p>
    <w:p>
      <w:pPr>
        <w:spacing w:after="0"/>
        <w:rPr>
          <w:sz w:val="20"/>
          <w:szCs w:val="20"/>
          <w:color w:val="auto"/>
        </w:rPr>
      </w:pPr>
      <w:r>
        <w:rPr>
          <w:rFonts w:ascii="Arial" w:cs="Arial" w:eastAsia="Arial" w:hAnsi="Arial"/>
          <w:sz w:val="3"/>
          <w:szCs w:val="3"/>
          <w:color w:val="FFFFFF"/>
        </w:rPr>
        <w:t>Financial Statements</w:t>
      </w:r>
    </w:p>
    <w:p>
      <w:pPr>
        <w:spacing w:after="0" w:line="181" w:lineRule="auto"/>
        <w:rPr>
          <w:sz w:val="20"/>
          <w:szCs w:val="20"/>
          <w:color w:val="auto"/>
        </w:rPr>
      </w:pPr>
      <w:r>
        <w:rPr>
          <w:rFonts w:ascii="Arial" w:cs="Arial" w:eastAsia="Arial" w:hAnsi="Arial"/>
          <w:sz w:val="10"/>
          <w:szCs w:val="10"/>
          <w:color w:val="FFFFFF"/>
        </w:rPr>
        <w:t>ForNotesthetoyearFinancialended Statements31December 2012</w:t>
      </w:r>
    </w:p>
    <w:p>
      <w:pPr>
        <w:ind w:left="140"/>
        <w:spacing w:after="0"/>
        <w:rPr>
          <w:sz w:val="20"/>
          <w:szCs w:val="20"/>
          <w:color w:val="auto"/>
        </w:rPr>
      </w:pPr>
      <w:r>
        <w:rPr>
          <w:rFonts w:ascii="Arial" w:cs="Arial" w:eastAsia="Arial" w:hAnsi="Arial"/>
          <w:sz w:val="3"/>
          <w:szCs w:val="3"/>
          <w:color w:val="FFFFFF"/>
        </w:rPr>
        <w:t>OTHER REVENUES AND EXPENSES (CONTINUED)</w:t>
      </w:r>
    </w:p>
    <w:p>
      <w:pPr>
        <w:spacing w:after="0" w:line="181" w:lineRule="auto"/>
        <w:rPr>
          <w:sz w:val="20"/>
          <w:szCs w:val="20"/>
          <w:color w:val="auto"/>
        </w:rPr>
      </w:pPr>
      <w:r>
        <w:rPr>
          <w:rFonts w:ascii="Arial" w:cs="Arial" w:eastAsia="Arial" w:hAnsi="Arial"/>
          <w:sz w:val="10"/>
          <w:szCs w:val="10"/>
          <w:color w:val="FFFFFF"/>
        </w:rPr>
        <w:t>Group3.2Other operating expenses</w:t>
      </w:r>
    </w:p>
    <w:p>
      <w:pPr>
        <w:spacing w:after="0"/>
        <w:rPr>
          <w:sz w:val="20"/>
          <w:szCs w:val="20"/>
          <w:color w:val="auto"/>
        </w:rPr>
      </w:pPr>
      <w:r>
        <w:rPr>
          <w:rFonts w:ascii="Arial" w:cs="Arial" w:eastAsia="Arial" w:hAnsi="Arial"/>
          <w:sz w:val="3"/>
          <w:szCs w:val="3"/>
          <w:color w:val="FFFFFF"/>
        </w:rPr>
        <w:t>For the year ended</w:t>
      </w:r>
    </w:p>
    <w:p>
      <w:pPr>
        <w:spacing w:after="0" w:line="181" w:lineRule="auto"/>
        <w:rPr>
          <w:sz w:val="20"/>
          <w:szCs w:val="20"/>
          <w:color w:val="auto"/>
        </w:rPr>
      </w:pPr>
      <w:r>
        <w:rPr>
          <w:rFonts w:ascii="Arial" w:cs="Arial" w:eastAsia="Arial" w:hAnsi="Arial"/>
          <w:sz w:val="10"/>
          <w:szCs w:val="10"/>
          <w:color w:val="FFFFFF"/>
        </w:rPr>
        <w:t>201231December2011</w:t>
      </w:r>
    </w:p>
    <w:p>
      <w:pPr>
        <w:spacing w:after="0"/>
        <w:rPr>
          <w:sz w:val="20"/>
          <w:szCs w:val="20"/>
          <w:color w:val="auto"/>
        </w:rPr>
      </w:pPr>
      <w:r>
        <w:rPr>
          <w:rFonts w:ascii="Arial" w:cs="Arial" w:eastAsia="Arial" w:hAnsi="Arial"/>
          <w:sz w:val="3"/>
          <w:szCs w:val="3"/>
          <w:color w:val="FFFFFF"/>
        </w:rPr>
        <w:t>HK$ HK$</w:t>
      </w:r>
    </w:p>
    <w:p>
      <w:pPr>
        <w:spacing w:after="0" w:line="181" w:lineRule="auto"/>
        <w:rPr>
          <w:sz w:val="20"/>
          <w:szCs w:val="20"/>
          <w:color w:val="auto"/>
        </w:rPr>
      </w:pPr>
      <w:r>
        <w:rPr>
          <w:rFonts w:ascii="Arial" w:cs="Arial" w:eastAsia="Arial" w:hAnsi="Arial"/>
          <w:sz w:val="10"/>
          <w:szCs w:val="10"/>
          <w:color w:val="FFFFFF"/>
        </w:rPr>
        <w:t>Gaming(inthousands)promoter commissions 1,882,433 2,013,590</w:t>
      </w:r>
    </w:p>
    <w:p>
      <w:pPr>
        <w:spacing w:after="0"/>
        <w:rPr>
          <w:sz w:val="20"/>
          <w:szCs w:val="20"/>
          <w:color w:val="auto"/>
        </w:rPr>
      </w:pPr>
      <w:r>
        <w:rPr>
          <w:rFonts w:ascii="Arial" w:cs="Arial" w:eastAsia="Arial" w:hAnsi="Arial"/>
          <w:sz w:val="3"/>
          <w:szCs w:val="3"/>
          <w:color w:val="FFFFFF"/>
        </w:rPr>
        <w:t>R yalty fees 1,141,170 1,186,900</w:t>
      </w:r>
    </w:p>
    <w:p>
      <w:pPr>
        <w:spacing w:after="0" w:line="181" w:lineRule="auto"/>
        <w:rPr>
          <w:sz w:val="20"/>
          <w:szCs w:val="20"/>
          <w:color w:val="auto"/>
        </w:rPr>
      </w:pPr>
      <w:r>
        <w:rPr>
          <w:rFonts w:ascii="Arial" w:cs="Arial" w:eastAsia="Arial" w:hAnsi="Arial"/>
          <w:sz w:val="10"/>
          <w:szCs w:val="10"/>
          <w:color w:val="FFFFFF"/>
        </w:rPr>
        <w:t>AdvertisingCostofsalesand593,975promotions705,513244,164 205,564</w:t>
      </w:r>
    </w:p>
    <w:p>
      <w:pPr>
        <w:ind w:left="2500"/>
        <w:spacing w:after="0" w:line="6" w:lineRule="auto"/>
        <w:rPr>
          <w:sz w:val="20"/>
          <w:szCs w:val="20"/>
          <w:color w:val="auto"/>
        </w:rPr>
      </w:pPr>
      <w:r>
        <w:rPr>
          <w:rFonts w:ascii="Arial" w:cs="Arial" w:eastAsia="Arial" w:hAnsi="Arial"/>
          <w:sz w:val="1"/>
          <w:szCs w:val="1"/>
          <w:color w:val="FFFFFF"/>
        </w:rPr>
        <w:t>CorporateUtilitiesand fuelort194,881services178,205andother 177,033 179,414</w:t>
      </w:r>
    </w:p>
    <w:p>
      <w:pPr>
        <w:spacing w:after="0" w:line="181" w:lineRule="auto"/>
        <w:rPr>
          <w:sz w:val="20"/>
          <w:szCs w:val="20"/>
          <w:color w:val="auto"/>
        </w:rPr>
      </w:pPr>
      <w:r>
        <w:rPr>
          <w:rFonts w:ascii="Arial" w:cs="Arial" w:eastAsia="Arial" w:hAnsi="Arial"/>
          <w:sz w:val="14"/>
          <w:szCs w:val="14"/>
          <w:color w:val="FFFFFF"/>
        </w:rPr>
        <w:t>Operating supplies and equipment 141,721 148,718</w:t>
      </w:r>
    </w:p>
    <w:p>
      <w:pPr>
        <w:spacing w:after="0" w:line="188" w:lineRule="auto"/>
        <w:rPr>
          <w:sz w:val="20"/>
          <w:szCs w:val="20"/>
          <w:color w:val="auto"/>
        </w:rPr>
      </w:pPr>
      <w:r>
        <w:rPr>
          <w:rFonts w:ascii="Arial" w:cs="Arial" w:eastAsia="Arial" w:hAnsi="Arial"/>
          <w:sz w:val="9"/>
          <w:szCs w:val="9"/>
          <w:color w:val="FFFFFF"/>
          <w:vertAlign w:val="subscript"/>
        </w:rPr>
        <w:t>Operating</w:t>
      </w:r>
      <w:r>
        <w:rPr>
          <w:rFonts w:ascii="Arial" w:cs="Arial" w:eastAsia="Arial" w:hAnsi="Arial"/>
          <w:sz w:val="7"/>
          <w:szCs w:val="7"/>
          <w:color w:val="FFFFFF"/>
        </w:rPr>
        <w:t>Repairsthersupportandmaintenanceservices39,300expenses108,175109,423 109,059</w:t>
      </w:r>
    </w:p>
    <w:p>
      <w:pPr>
        <w:ind w:left="580"/>
        <w:spacing w:after="0"/>
        <w:rPr>
          <w:sz w:val="20"/>
          <w:szCs w:val="20"/>
          <w:color w:val="auto"/>
        </w:rPr>
      </w:pPr>
      <w:r>
        <w:rPr>
          <w:rFonts w:ascii="Arial" w:cs="Arial" w:eastAsia="Arial" w:hAnsi="Arial"/>
          <w:sz w:val="3"/>
          <w:szCs w:val="3"/>
          <w:color w:val="FFFFFF"/>
        </w:rPr>
        <w:t>rental expenses 27,294 21,452</w:t>
      </w:r>
    </w:p>
    <w:p>
      <w:pPr>
        <w:spacing w:after="0" w:line="181" w:lineRule="auto"/>
        <w:rPr>
          <w:sz w:val="20"/>
          <w:szCs w:val="20"/>
          <w:color w:val="auto"/>
        </w:rPr>
      </w:pPr>
      <w:r>
        <w:rPr>
          <w:rFonts w:ascii="Arial" w:cs="Arial" w:eastAsia="Arial" w:hAnsi="Arial"/>
          <w:sz w:val="10"/>
          <w:szCs w:val="10"/>
          <w:color w:val="FFFFFF"/>
        </w:rPr>
        <w:t>(ReversalAuditors’ ofremunerationprovision) provision4,6303,510for</w:t>
      </w:r>
    </w:p>
    <w:p>
      <w:pPr>
        <w:spacing w:after="0"/>
        <w:rPr>
          <w:sz w:val="20"/>
          <w:szCs w:val="20"/>
          <w:color w:val="auto"/>
        </w:rPr>
      </w:pPr>
      <w:r>
        <w:rPr>
          <w:rFonts w:ascii="Arial" w:cs="Arial" w:eastAsia="Arial" w:hAnsi="Arial"/>
          <w:sz w:val="3"/>
          <w:szCs w:val="3"/>
          <w:color w:val="FFFFFF"/>
        </w:rPr>
        <w:t>Otherdoubtful230,531accounts,215,204net* (1,546) 104,621</w:t>
      </w:r>
    </w:p>
    <w:p>
      <w:pPr>
        <w:spacing w:after="0" w:line="194" w:lineRule="auto"/>
        <w:rPr>
          <w:sz w:val="20"/>
          <w:szCs w:val="20"/>
          <w:color w:val="auto"/>
        </w:rPr>
      </w:pPr>
      <w:r>
        <w:rPr>
          <w:rFonts w:ascii="Arial" w:cs="Arial" w:eastAsia="Arial" w:hAnsi="Arial"/>
          <w:sz w:val="5"/>
          <w:szCs w:val="5"/>
          <w:color w:val="FFFFFF"/>
        </w:rPr>
        <w:t>4,785,009 5,179,925</w:t>
      </w:r>
    </w:p>
    <w:p>
      <w:pPr>
        <w:spacing w:after="0" w:line="190" w:lineRule="auto"/>
        <w:rPr>
          <w:sz w:val="20"/>
          <w:szCs w:val="20"/>
          <w:color w:val="auto"/>
        </w:rPr>
      </w:pPr>
      <w:r>
        <w:rPr>
          <w:rFonts w:ascii="Arial" w:cs="Arial" w:eastAsia="Arial" w:hAnsi="Arial"/>
          <w:sz w:val="11"/>
          <w:szCs w:val="11"/>
          <w:color w:val="FFFFFF"/>
        </w:rPr>
        <w:t>* During the year ended 31 December 2012, the Group evaluated its reserve estimates based on the results of historical collection patterns and current collection trends. As a result, the Group revised its estimates and recorded HK$165 million credit against its provision for doubtful accounts, which decreased the provision for doubtful accounts for the year to a net HK$1.5 million credit.</w:t>
      </w:r>
    </w:p>
    <w:p>
      <w:pPr>
        <w:sectPr>
          <w:pgSz w:w="11900" w:h="16838" w:orient="portrait"/>
          <w:cols w:equalWidth="0" w:num="1">
            <w:col w:w="11420"/>
          </w:cols>
          <w:pgMar w:left="240" w:top="1440" w:right="23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Financial108WynnStatementsMacau,Limited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2012</w:t>
      </w:r>
    </w:p>
    <w:p>
      <w:pPr>
        <w:spacing w:after="0" w:line="188" w:lineRule="auto"/>
        <w:rPr>
          <w:sz w:val="20"/>
          <w:szCs w:val="20"/>
          <w:color w:val="auto"/>
        </w:rPr>
      </w:pPr>
      <w:r>
        <w:rPr>
          <w:rFonts w:ascii="Arial" w:cs="Arial" w:eastAsia="Arial" w:hAnsi="Arial"/>
          <w:sz w:val="9"/>
          <w:szCs w:val="9"/>
          <w:color w:val="FFFFFF"/>
          <w:vertAlign w:val="superscript"/>
        </w:rPr>
        <w:t>3.</w:t>
      </w:r>
      <w:r>
        <w:rPr>
          <w:rFonts w:ascii="Arial" w:cs="Arial" w:eastAsia="Arial" w:hAnsi="Arial"/>
          <w:sz w:val="7"/>
          <w:szCs w:val="7"/>
          <w:color w:val="FFFFFF"/>
        </w:rPr>
        <w:t xml:space="preserve"> OTHER REVENUES AND EXPENSES (CONTINUED)</w:t>
      </w:r>
    </w:p>
    <w:p>
      <w:pPr>
        <w:spacing w:after="0"/>
        <w:rPr>
          <w:sz w:val="20"/>
          <w:szCs w:val="20"/>
          <w:color w:val="auto"/>
        </w:rPr>
      </w:pPr>
      <w:r>
        <w:rPr>
          <w:rFonts w:ascii="Arial" w:cs="Arial" w:eastAsia="Arial" w:hAnsi="Arial"/>
          <w:sz w:val="3"/>
          <w:szCs w:val="3"/>
          <w:color w:val="FFFFFF"/>
        </w:rPr>
        <w:t>Group3Depreciation and amortization</w:t>
      </w:r>
    </w:p>
    <w:p>
      <w:pPr>
        <w:spacing w:after="0" w:line="181" w:lineRule="auto"/>
        <w:rPr>
          <w:sz w:val="20"/>
          <w:szCs w:val="20"/>
          <w:color w:val="auto"/>
        </w:rPr>
      </w:pPr>
      <w:r>
        <w:rPr>
          <w:rFonts w:ascii="Arial" w:cs="Arial" w:eastAsia="Arial" w:hAnsi="Arial"/>
          <w:sz w:val="10"/>
          <w:szCs w:val="10"/>
          <w:color w:val="FFFFFF"/>
        </w:rPr>
        <w:t>For the year ended</w:t>
      </w:r>
    </w:p>
    <w:p>
      <w:pPr>
        <w:spacing w:after="0" w:line="188" w:lineRule="auto"/>
        <w:rPr>
          <w:sz w:val="20"/>
          <w:szCs w:val="20"/>
          <w:color w:val="auto"/>
        </w:rPr>
      </w:pPr>
      <w:r>
        <w:rPr>
          <w:rFonts w:ascii="Arial" w:cs="Arial" w:eastAsia="Arial" w:hAnsi="Arial"/>
          <w:sz w:val="9"/>
          <w:szCs w:val="9"/>
          <w:color w:val="FFFFFF"/>
        </w:rPr>
        <w:t>201231December2011</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10"/>
          <w:szCs w:val="10"/>
          <w:color w:val="FFFFFF"/>
        </w:rPr>
        <w:t>Depreciation of property and equipment 847,454 992,655</w:t>
      </w:r>
    </w:p>
    <w:p>
      <w:pPr>
        <w:spacing w:after="0"/>
        <w:rPr>
          <w:sz w:val="20"/>
          <w:szCs w:val="20"/>
          <w:color w:val="auto"/>
        </w:rPr>
      </w:pPr>
      <w:r>
        <w:rPr>
          <w:rFonts w:ascii="Arial" w:cs="Arial" w:eastAsia="Arial" w:hAnsi="Arial"/>
          <w:sz w:val="3"/>
          <w:szCs w:val="3"/>
          <w:color w:val="FFFFFF"/>
        </w:rPr>
        <w:t>918,929Amortization1,016,421ofleasehold interest in land 71,475 23,766</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Depreciation and amortization expenses of approximately HK$1,930,000 and HK$841,000 respectively, for the year ended 31 December 2012 (2011: HK$569,000 and HK$841,000, respectively) are excluded from the table above and are classifi ed as staff costs and included in other costs and bene? ts in note 3.1 to the ? nancial statements. Such balances are related to a home purchased by WRM for the use by one of the Group’s executives as described in note 28 to the fi 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Group3.4Property charges and other</w:t>
      </w:r>
    </w:p>
    <w:p>
      <w:pPr>
        <w:spacing w:after="0" w:line="181" w:lineRule="auto"/>
        <w:rPr>
          <w:sz w:val="20"/>
          <w:szCs w:val="20"/>
          <w:color w:val="auto"/>
        </w:rPr>
      </w:pPr>
      <w:r>
        <w:rPr>
          <w:rFonts w:ascii="Arial" w:cs="Arial" w:eastAsia="Arial" w:hAnsi="Arial"/>
          <w:sz w:val="10"/>
          <w:szCs w:val="10"/>
          <w:color w:val="FFFFFF"/>
        </w:rPr>
        <w:t>For the year ended</w:t>
      </w:r>
    </w:p>
    <w:p>
      <w:pPr>
        <w:spacing w:after="0" w:line="188" w:lineRule="auto"/>
        <w:rPr>
          <w:sz w:val="20"/>
          <w:szCs w:val="20"/>
          <w:color w:val="auto"/>
        </w:rPr>
      </w:pPr>
      <w:r>
        <w:rPr>
          <w:rFonts w:ascii="Arial" w:cs="Arial" w:eastAsia="Arial" w:hAnsi="Arial"/>
          <w:sz w:val="9"/>
          <w:szCs w:val="9"/>
          <w:color w:val="FFFFFF"/>
        </w:rPr>
        <w:t>201231December2011</w:t>
      </w:r>
    </w:p>
    <w:p>
      <w:pPr>
        <w:spacing w:after="0"/>
        <w:rPr>
          <w:sz w:val="20"/>
          <w:szCs w:val="20"/>
          <w:color w:val="auto"/>
        </w:rPr>
      </w:pPr>
      <w:r>
        <w:rPr>
          <w:rFonts w:ascii="Arial" w:cs="Arial" w:eastAsia="Arial" w:hAnsi="Arial"/>
          <w:sz w:val="3"/>
          <w:szCs w:val="3"/>
          <w:color w:val="FFFFFF"/>
        </w:rPr>
        <w:t>(inHKthousands)$HK$</w:t>
      </w:r>
    </w:p>
    <w:p>
      <w:pPr>
        <w:spacing w:after="0" w:line="194" w:lineRule="auto"/>
        <w:rPr>
          <w:sz w:val="20"/>
          <w:szCs w:val="20"/>
          <w:color w:val="auto"/>
        </w:rPr>
      </w:pPr>
      <w:r>
        <w:rPr>
          <w:rFonts w:ascii="Arial" w:cs="Arial" w:eastAsia="Arial" w:hAnsi="Arial"/>
          <w:sz w:val="5"/>
          <w:szCs w:val="5"/>
          <w:color w:val="FFFFFF"/>
        </w:rPr>
        <w:t>Donation to the University of</w:t>
      </w:r>
    </w:p>
    <w:p>
      <w:pPr>
        <w:spacing w:after="0" w:line="188" w:lineRule="auto"/>
        <w:rPr>
          <w:sz w:val="20"/>
          <w:szCs w:val="20"/>
          <w:color w:val="auto"/>
        </w:rPr>
      </w:pPr>
      <w:r>
        <w:rPr>
          <w:rFonts w:ascii="Arial" w:cs="Arial" w:eastAsia="Arial" w:hAnsi="Arial"/>
          <w:sz w:val="9"/>
          <w:szCs w:val="9"/>
          <w:color w:val="FFFFFF"/>
        </w:rPr>
        <w:t>Macau Development Foundation — 831,128</w:t>
      </w:r>
    </w:p>
    <w:p>
      <w:pPr>
        <w:spacing w:after="0"/>
        <w:rPr>
          <w:sz w:val="20"/>
          <w:szCs w:val="20"/>
          <w:color w:val="auto"/>
        </w:rPr>
      </w:pPr>
      <w:r>
        <w:rPr>
          <w:rFonts w:ascii="Arial" w:cs="Arial" w:eastAsia="Arial" w:hAnsi="Arial"/>
          <w:sz w:val="14"/>
          <w:szCs w:val="14"/>
          <w:color w:val="FFFFFF"/>
        </w:rPr>
        <w:t>49,071Losson865,853disposals and abandonment of assets 49,071 34,725</w:t>
      </w:r>
    </w:p>
    <w:p>
      <w:pPr>
        <w:sectPr>
          <w:pgSz w:w="11900" w:h="16838" w:orient="portrait"/>
          <w:cols w:equalWidth="0" w:num="1">
            <w:col w:w="11360"/>
          </w:cols>
          <w:pgMar w:left="240" w:top="1440" w:right="29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FinancialAnnualReportStatements2012 109</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2012</w:t>
      </w:r>
    </w:p>
    <w:p>
      <w:pPr>
        <w:spacing w:after="0" w:line="211" w:lineRule="auto"/>
        <w:rPr>
          <w:sz w:val="20"/>
          <w:szCs w:val="20"/>
          <w:color w:val="auto"/>
        </w:rPr>
      </w:pPr>
      <w:r>
        <w:rPr>
          <w:rFonts w:ascii="Arial" w:cs="Arial" w:eastAsia="Arial" w:hAnsi="Arial"/>
          <w:sz w:val="4"/>
          <w:szCs w:val="4"/>
          <w:color w:val="FFFFFF"/>
          <w:vertAlign w:val="superscript"/>
        </w:rPr>
        <w:t>3.</w:t>
      </w:r>
      <w:r>
        <w:rPr>
          <w:rFonts w:ascii="Arial" w:cs="Arial" w:eastAsia="Arial" w:hAnsi="Arial"/>
          <w:sz w:val="2"/>
          <w:szCs w:val="2"/>
          <w:color w:val="FFFFFF"/>
        </w:rPr>
        <w:t xml:space="preserve"> OTHER REVENUES AND EXPENSES (CONTINUED)</w:t>
      </w:r>
    </w:p>
    <w:p>
      <w:pPr>
        <w:ind w:left="100"/>
        <w:spacing w:after="0"/>
        <w:rPr>
          <w:sz w:val="20"/>
          <w:szCs w:val="20"/>
          <w:color w:val="auto"/>
        </w:rPr>
      </w:pPr>
      <w:r>
        <w:rPr>
          <w:rFonts w:ascii="Arial" w:cs="Arial" w:eastAsia="Arial" w:hAnsi="Arial"/>
          <w:sz w:val="3"/>
          <w:szCs w:val="3"/>
          <w:color w:val="FFFFFF"/>
        </w:rPr>
        <w:t>4 Property charges and other (continued)</w:t>
      </w:r>
    </w:p>
    <w:p>
      <w:pPr>
        <w:spacing w:after="0" w:line="6" w:lineRule="exact"/>
        <w:rPr>
          <w:sz w:val="20"/>
          <w:szCs w:val="20"/>
          <w:color w:val="auto"/>
        </w:rPr>
      </w:pPr>
    </w:p>
    <w:p>
      <w:pPr>
        <w:spacing w:after="0" w:line="190" w:lineRule="auto"/>
        <w:rPr>
          <w:sz w:val="20"/>
          <w:szCs w:val="20"/>
          <w:color w:val="auto"/>
        </w:rPr>
      </w:pPr>
      <w:r>
        <w:rPr>
          <w:rFonts w:ascii="Arial" w:cs="Arial" w:eastAsia="Arial" w:hAnsi="Arial"/>
          <w:sz w:val="7"/>
          <w:szCs w:val="7"/>
          <w:color w:val="FFFFFF"/>
        </w:rPr>
        <w:t xml:space="preserve">“Property charges and other” for the year ended 31 December 2012 relates primarily to asset </w:t>
      </w:r>
      <w:r>
        <w:rPr>
          <w:rFonts w:ascii="Arial" w:cs="Arial" w:eastAsia="Arial" w:hAnsi="Arial"/>
          <w:sz w:val="10"/>
          <w:szCs w:val="10"/>
          <w:color w:val="FFFFFF"/>
          <w:vertAlign w:val="subscript"/>
        </w:rPr>
        <w:t>abandonment</w:t>
      </w:r>
      <w:r>
        <w:rPr>
          <w:rFonts w:ascii="Arial" w:cs="Arial" w:eastAsia="Arial" w:hAnsi="Arial"/>
          <w:sz w:val="7"/>
          <w:szCs w:val="7"/>
          <w:color w:val="FFFFFF"/>
        </w:rPr>
        <w:t xml:space="preserve"> losses of property and equipment as a result of renovating certain assets of Wynn Macau in response to customer preferences and changes in market demand. For the year ended 31 December 2011, it included donation made by the Group to the University of Macau Development Foundation (the “Foundation”). In May 2011, the Group entered into an agreement with the Foundation to donate a certain amount to the Foundation with the primary purpose of supporting the creation, promotion, operation and other activities related to the Asia-Pacifi c Academy of Economics and Management created by the University of Macau. Under such agreement, the Group donated MOP200.0 million (approximately HK$194.2 million) in May 2011 and for each of the years from 2012 through 2022 the Group will donate MOP80.0 million (approximately HK$77.7 million). As a result of the above arrangement, the Group recognized approximately HK$831.1 million representing the present value of the donation as an expense for the year ended 31 December 2011.</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Group3.5Finance revenues</w:t>
      </w:r>
    </w:p>
    <w:p>
      <w:pPr>
        <w:spacing w:after="0" w:line="181" w:lineRule="auto"/>
        <w:rPr>
          <w:sz w:val="20"/>
          <w:szCs w:val="20"/>
          <w:color w:val="auto"/>
        </w:rPr>
      </w:pPr>
      <w:r>
        <w:rPr>
          <w:rFonts w:ascii="Arial" w:cs="Arial" w:eastAsia="Arial" w:hAnsi="Arial"/>
          <w:sz w:val="10"/>
          <w:szCs w:val="10"/>
          <w:color w:val="FFFFFF"/>
        </w:rPr>
        <w:t>For the year ended</w:t>
      </w:r>
    </w:p>
    <w:p>
      <w:pPr>
        <w:spacing w:after="0"/>
        <w:rPr>
          <w:sz w:val="20"/>
          <w:szCs w:val="20"/>
          <w:color w:val="auto"/>
        </w:rPr>
      </w:pPr>
      <w:r>
        <w:rPr>
          <w:rFonts w:ascii="Arial" w:cs="Arial" w:eastAsia="Arial" w:hAnsi="Arial"/>
          <w:sz w:val="3"/>
          <w:szCs w:val="3"/>
          <w:color w:val="FFFFFF"/>
        </w:rPr>
        <w:t>201231December2011</w:t>
      </w:r>
    </w:p>
    <w:p>
      <w:pPr>
        <w:spacing w:after="0" w:line="190" w:lineRule="auto"/>
        <w:rPr>
          <w:sz w:val="20"/>
          <w:szCs w:val="20"/>
          <w:color w:val="auto"/>
        </w:rPr>
      </w:pPr>
      <w:r>
        <w:rPr>
          <w:rFonts w:ascii="Arial" w:cs="Arial" w:eastAsia="Arial" w:hAnsi="Arial"/>
          <w:sz w:val="14"/>
          <w:szCs w:val="14"/>
          <w:color w:val="FFFFFF"/>
        </w:rPr>
        <w:t>HK(inthousands)$HK$</w:t>
      </w:r>
    </w:p>
    <w:p>
      <w:pPr>
        <w:spacing w:after="0" w:line="188" w:lineRule="auto"/>
        <w:rPr>
          <w:sz w:val="20"/>
          <w:szCs w:val="20"/>
          <w:color w:val="auto"/>
        </w:rPr>
      </w:pPr>
      <w:r>
        <w:rPr>
          <w:rFonts w:ascii="Arial" w:cs="Arial" w:eastAsia="Arial" w:hAnsi="Arial"/>
          <w:sz w:val="9"/>
          <w:szCs w:val="9"/>
          <w:color w:val="FFFFFF"/>
        </w:rPr>
        <w:t>AvailableInterestincome-for-salefrom:investments</w:t>
      </w:r>
    </w:p>
    <w:p>
      <w:pPr>
        <w:spacing w:after="0" w:line="211" w:lineRule="auto"/>
        <w:rPr>
          <w:sz w:val="20"/>
          <w:szCs w:val="20"/>
          <w:color w:val="auto"/>
        </w:rPr>
      </w:pPr>
      <w:r>
        <w:rPr>
          <w:rFonts w:ascii="Arial" w:cs="Arial" w:eastAsia="Arial" w:hAnsi="Arial"/>
          <w:sz w:val="4"/>
          <w:szCs w:val="4"/>
          <w:color w:val="FFFFFF"/>
          <w:vertAlign w:val="subscript"/>
        </w:rPr>
        <w:t>—</w:t>
      </w:r>
      <w:r>
        <w:rPr>
          <w:rFonts w:ascii="Arial" w:cs="Arial" w:eastAsia="Arial" w:hAnsi="Arial"/>
          <w:sz w:val="2"/>
          <w:szCs w:val="2"/>
          <w:color w:val="FFFFFF"/>
        </w:rPr>
        <w:t xml:space="preserve"> </w:t>
      </w:r>
      <w:r>
        <w:rPr>
          <w:rFonts w:ascii="Arial" w:cs="Arial" w:eastAsia="Arial" w:hAnsi="Arial"/>
          <w:sz w:val="4"/>
          <w:szCs w:val="4"/>
          <w:color w:val="FFFFFF"/>
          <w:vertAlign w:val="subscript"/>
        </w:rPr>
        <w:t>unlisted</w:t>
      </w:r>
      <w:r>
        <w:rPr>
          <w:rFonts w:ascii="Arial" w:cs="Arial" w:eastAsia="Arial" w:hAnsi="Arial"/>
          <w:sz w:val="2"/>
          <w:szCs w:val="2"/>
          <w:color w:val="FFFFFF"/>
        </w:rPr>
        <w:t>9,9222,5784,0281,088</w:t>
      </w:r>
    </w:p>
    <w:p>
      <w:pPr>
        <w:spacing w:after="0"/>
        <w:rPr>
          <w:sz w:val="20"/>
          <w:szCs w:val="20"/>
          <w:color w:val="auto"/>
        </w:rPr>
      </w:pPr>
      <w:r>
        <w:rPr>
          <w:rFonts w:ascii="Arial" w:cs="Arial" w:eastAsia="Arial" w:hAnsi="Arial"/>
          <w:sz w:val="3"/>
          <w:szCs w:val="3"/>
          <w:color w:val="FFFFFF"/>
        </w:rPr>
        <w:t>Held-to-maturity investments</w:t>
      </w:r>
    </w:p>
    <w:p>
      <w:pPr>
        <w:spacing w:after="0" w:line="194" w:lineRule="auto"/>
        <w:rPr>
          <w:sz w:val="20"/>
          <w:szCs w:val="20"/>
          <w:color w:val="auto"/>
        </w:rPr>
      </w:pPr>
      <w:r>
        <w:rPr>
          <w:rFonts w:ascii="Arial" w:cs="Arial" w:eastAsia="Arial" w:hAnsi="Arial"/>
          <w:sz w:val="3"/>
          <w:szCs w:val="3"/>
          <w:color w:val="FFFFFF"/>
        </w:rPr>
        <w:t>— unlisted</w:t>
      </w:r>
      <w:r>
        <w:rPr>
          <w:rFonts w:ascii="Arial" w:cs="Arial" w:eastAsia="Arial" w:hAnsi="Arial"/>
          <w:sz w:val="5"/>
          <w:szCs w:val="5"/>
          <w:color w:val="FFFFFF"/>
          <w:vertAlign w:val="superscript"/>
        </w:rPr>
        <w:t>— 1,260</w:t>
      </w:r>
    </w:p>
    <w:p>
      <w:pPr>
        <w:ind w:left="640"/>
        <w:spacing w:after="0" w:line="188" w:lineRule="auto"/>
        <w:rPr>
          <w:sz w:val="20"/>
          <w:szCs w:val="20"/>
          <w:color w:val="auto"/>
        </w:rPr>
      </w:pPr>
      <w:r>
        <w:rPr>
          <w:rFonts w:ascii="Arial" w:cs="Arial" w:eastAsia="Arial" w:hAnsi="Arial"/>
          <w:sz w:val="9"/>
          <w:szCs w:val="9"/>
          <w:color w:val="FFFFFF"/>
        </w:rPr>
        <w:t>— 105</w:t>
      </w:r>
    </w:p>
    <w:p>
      <w:pPr>
        <w:spacing w:after="0"/>
        <w:rPr>
          <w:sz w:val="20"/>
          <w:szCs w:val="20"/>
          <w:color w:val="auto"/>
        </w:rPr>
      </w:pPr>
      <w:r>
        <w:rPr>
          <w:rFonts w:ascii="Arial" w:cs="Arial" w:eastAsia="Arial" w:hAnsi="Arial"/>
          <w:sz w:val="14"/>
          <w:szCs w:val="14"/>
          <w:color w:val="FFFFFF"/>
        </w:rPr>
        <w:t>83,762Cashat 49,066banks 71,262 42,585</w:t>
      </w:r>
    </w:p>
    <w:p>
      <w:pPr>
        <w:sectPr>
          <w:pgSz w:w="11900" w:h="16838" w:orient="portrait"/>
          <w:cols w:equalWidth="0" w:num="1">
            <w:col w:w="11400"/>
          </w:cols>
          <w:pgMar w:left="240" w:top="1440" w:right="25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Financial110WynnStatementsMacau,Limited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2012</w:t>
      </w:r>
    </w:p>
    <w:p>
      <w:pPr>
        <w:spacing w:after="0" w:line="188" w:lineRule="auto"/>
        <w:rPr>
          <w:sz w:val="20"/>
          <w:szCs w:val="20"/>
          <w:color w:val="auto"/>
        </w:rPr>
      </w:pPr>
      <w:r>
        <w:rPr>
          <w:rFonts w:ascii="Arial" w:cs="Arial" w:eastAsia="Arial" w:hAnsi="Arial"/>
          <w:sz w:val="9"/>
          <w:szCs w:val="9"/>
          <w:color w:val="FFFFFF"/>
          <w:vertAlign w:val="superscript"/>
        </w:rPr>
        <w:t>3.</w:t>
      </w:r>
      <w:r>
        <w:rPr>
          <w:rFonts w:ascii="Arial" w:cs="Arial" w:eastAsia="Arial" w:hAnsi="Arial"/>
          <w:sz w:val="7"/>
          <w:szCs w:val="7"/>
          <w:color w:val="FFFFFF"/>
        </w:rPr>
        <w:t xml:space="preserve"> OTHER REVENUES AND EXPENSES (CONTINUED)</w:t>
      </w:r>
    </w:p>
    <w:p>
      <w:pPr>
        <w:spacing w:after="0"/>
        <w:rPr>
          <w:sz w:val="20"/>
          <w:szCs w:val="20"/>
          <w:color w:val="auto"/>
        </w:rPr>
      </w:pPr>
      <w:r>
        <w:rPr>
          <w:rFonts w:ascii="Arial" w:cs="Arial" w:eastAsia="Arial" w:hAnsi="Arial"/>
          <w:sz w:val="3"/>
          <w:szCs w:val="3"/>
          <w:color w:val="FFFFFF"/>
        </w:rPr>
        <w:t>Group6Finance costs</w:t>
      </w:r>
    </w:p>
    <w:p>
      <w:pPr>
        <w:spacing w:after="0" w:line="181" w:lineRule="auto"/>
        <w:rPr>
          <w:sz w:val="20"/>
          <w:szCs w:val="20"/>
          <w:color w:val="auto"/>
        </w:rPr>
      </w:pPr>
      <w:r>
        <w:rPr>
          <w:rFonts w:ascii="Arial" w:cs="Arial" w:eastAsia="Arial" w:hAnsi="Arial"/>
          <w:sz w:val="10"/>
          <w:szCs w:val="10"/>
          <w:color w:val="FFFFFF"/>
        </w:rPr>
        <w:t>For the year ended</w:t>
      </w:r>
    </w:p>
    <w:p>
      <w:pPr>
        <w:spacing w:after="0"/>
        <w:rPr>
          <w:sz w:val="20"/>
          <w:szCs w:val="20"/>
          <w:color w:val="auto"/>
        </w:rPr>
      </w:pPr>
      <w:r>
        <w:rPr>
          <w:rFonts w:ascii="Arial" w:cs="Arial" w:eastAsia="Arial" w:hAnsi="Arial"/>
          <w:sz w:val="3"/>
          <w:szCs w:val="3"/>
          <w:color w:val="FFFFFF"/>
        </w:rPr>
        <w:t>201231December2011</w:t>
      </w:r>
    </w:p>
    <w:p>
      <w:pPr>
        <w:spacing w:after="0" w:line="181" w:lineRule="auto"/>
        <w:rPr>
          <w:sz w:val="20"/>
          <w:szCs w:val="20"/>
          <w:color w:val="auto"/>
        </w:rPr>
      </w:pPr>
      <w:r>
        <w:rPr>
          <w:rFonts w:ascii="Arial" w:cs="Arial" w:eastAsia="Arial" w:hAnsi="Arial"/>
          <w:sz w:val="10"/>
          <w:szCs w:val="10"/>
          <w:color w:val="FFFFFF"/>
        </w:rPr>
        <w:t>HK$ HK$</w:t>
      </w:r>
    </w:p>
    <w:p>
      <w:pPr>
        <w:spacing w:after="0"/>
        <w:rPr>
          <w:sz w:val="20"/>
          <w:szCs w:val="20"/>
          <w:color w:val="auto"/>
        </w:rPr>
      </w:pPr>
      <w:r>
        <w:rPr>
          <w:rFonts w:ascii="Arial" w:cs="Arial" w:eastAsia="Arial" w:hAnsi="Arial"/>
          <w:sz w:val="3"/>
          <w:szCs w:val="3"/>
          <w:color w:val="FFFFFF"/>
        </w:rPr>
        <w:t>Interest(inthousands)expense for:</w:t>
      </w:r>
    </w:p>
    <w:p>
      <w:pPr>
        <w:spacing w:after="0" w:line="181" w:lineRule="auto"/>
        <w:rPr>
          <w:sz w:val="20"/>
          <w:szCs w:val="20"/>
          <w:color w:val="auto"/>
        </w:rPr>
      </w:pPr>
      <w:r>
        <w:rPr>
          <w:rFonts w:ascii="Arial" w:cs="Arial" w:eastAsia="Arial" w:hAnsi="Arial"/>
          <w:sz w:val="10"/>
          <w:szCs w:val="10"/>
          <w:color w:val="FFFFFF"/>
        </w:rPr>
        <w:t>Bank loans wholly repayable within 5 years 36,761 68,797</w:t>
      </w:r>
    </w:p>
    <w:p>
      <w:pPr>
        <w:spacing w:after="0" w:line="213" w:lineRule="auto"/>
        <w:rPr>
          <w:sz w:val="20"/>
          <w:szCs w:val="20"/>
          <w:color w:val="auto"/>
        </w:rPr>
      </w:pPr>
      <w:r>
        <w:rPr>
          <w:rFonts w:ascii="Arial" w:cs="Arial" w:eastAsia="Arial" w:hAnsi="Arial"/>
          <w:sz w:val="2"/>
          <w:szCs w:val="2"/>
          <w:color w:val="FFFFFF"/>
        </w:rPr>
        <w:t>LandInterestle</w:t>
      </w:r>
      <w:r>
        <w:rPr>
          <w:rFonts w:ascii="Arial" w:cs="Arial" w:eastAsia="Arial" w:hAnsi="Arial"/>
          <w:sz w:val="4"/>
          <w:szCs w:val="4"/>
          <w:color w:val="FFFFFF"/>
          <w:vertAlign w:val="subscript"/>
        </w:rPr>
        <w:t>payments</w:t>
      </w:r>
      <w:r>
        <w:rPr>
          <w:rFonts w:ascii="Arial" w:cs="Arial" w:eastAsia="Arial" w:hAnsi="Arial"/>
          <w:sz w:val="2"/>
          <w:szCs w:val="2"/>
          <w:color w:val="FFFFFF"/>
        </w:rPr>
        <w:t>ratesepremiumswapswhollywhollyrepayablerepayablewithinwithin5 5yearsyears26,85929,51293,335—</w:t>
      </w:r>
    </w:p>
    <w:p>
      <w:pPr>
        <w:spacing w:after="0" w:line="187" w:lineRule="auto"/>
        <w:tabs>
          <w:tab w:leader="none" w:pos="880" w:val="left"/>
        </w:tabs>
        <w:rPr>
          <w:sz w:val="20"/>
          <w:szCs w:val="20"/>
          <w:color w:val="auto"/>
        </w:rPr>
      </w:pPr>
      <w:r>
        <w:rPr>
          <w:rFonts w:ascii="Arial" w:cs="Arial" w:eastAsia="Arial" w:hAnsi="Arial"/>
          <w:sz w:val="9"/>
          <w:szCs w:val="9"/>
          <w:color w:val="FFFFFF"/>
        </w:rPr>
        <w:t>Other</w:t>
      </w:r>
      <w:r>
        <w:rPr>
          <w:sz w:val="20"/>
          <w:szCs w:val="20"/>
          <w:color w:val="auto"/>
        </w:rPr>
        <w:tab/>
      </w:r>
      <w:r>
        <w:rPr>
          <w:rFonts w:ascii="Arial" w:cs="Arial" w:eastAsia="Arial" w:hAnsi="Arial"/>
          <w:sz w:val="9"/>
          <w:szCs w:val="9"/>
          <w:color w:val="FFFFFF"/>
        </w:rPr>
        <w:t>wholly payable within 5 years 5,111 5,085</w:t>
      </w:r>
    </w:p>
    <w:p>
      <w:pPr>
        <w:spacing w:after="0"/>
        <w:rPr>
          <w:sz w:val="20"/>
          <w:szCs w:val="20"/>
          <w:color w:val="auto"/>
        </w:rPr>
      </w:pPr>
      <w:r>
        <w:rPr>
          <w:rFonts w:ascii="Arial" w:cs="Arial" w:eastAsia="Arial" w:hAnsi="Arial"/>
          <w:sz w:val="3"/>
          <w:szCs w:val="3"/>
          <w:color w:val="FFFFFF"/>
        </w:rPr>
        <w:t>Bank loans wholly repayable after 5 years 68,534 —</w:t>
      </w:r>
    </w:p>
    <w:p>
      <w:pPr>
        <w:spacing w:after="0" w:line="181" w:lineRule="auto"/>
        <w:rPr>
          <w:sz w:val="20"/>
          <w:szCs w:val="20"/>
          <w:color w:val="auto"/>
        </w:rPr>
      </w:pPr>
      <w:r>
        <w:rPr>
          <w:rFonts w:ascii="Arial" w:cs="Arial" w:eastAsia="Arial" w:hAnsi="Arial"/>
          <w:sz w:val="10"/>
          <w:szCs w:val="10"/>
          <w:color w:val="FFFFFF"/>
        </w:rPr>
        <w:t>BankImputedfeesinterestforunusedexpensefacilitiesonother58,511payable28,93531,674 20,486</w:t>
      </w:r>
    </w:p>
    <w:p>
      <w:pPr>
        <w:spacing w:after="0"/>
        <w:rPr>
          <w:sz w:val="20"/>
          <w:szCs w:val="20"/>
          <w:color w:val="auto"/>
        </w:rPr>
      </w:pPr>
      <w:r>
        <w:rPr>
          <w:rFonts w:ascii="Arial" w:cs="Arial" w:eastAsia="Arial" w:hAnsi="Arial"/>
          <w:sz w:val="3"/>
          <w:szCs w:val="3"/>
          <w:color w:val="FFFFFF"/>
        </w:rPr>
        <w:t>Less:Amortizationcapitalizedofdebtinterest?nancing(15,729)costs—53,080 42,748</w:t>
      </w:r>
    </w:p>
    <w:p>
      <w:pPr>
        <w:spacing w:after="0" w:line="194" w:lineRule="auto"/>
        <w:rPr>
          <w:sz w:val="20"/>
          <w:szCs w:val="20"/>
          <w:color w:val="auto"/>
        </w:rPr>
      </w:pPr>
      <w:r>
        <w:rPr>
          <w:rFonts w:ascii="Arial" w:cs="Arial" w:eastAsia="Arial" w:hAnsi="Arial"/>
          <w:sz w:val="5"/>
          <w:szCs w:val="5"/>
          <w:color w:val="FFFFFF"/>
        </w:rPr>
        <w:t>294,313 259,386</w:t>
      </w:r>
    </w:p>
    <w:p>
      <w:pPr>
        <w:spacing w:after="0"/>
        <w:rPr>
          <w:sz w:val="20"/>
          <w:szCs w:val="20"/>
          <w:color w:val="auto"/>
        </w:rPr>
      </w:pPr>
      <w:r>
        <w:rPr>
          <w:rFonts w:ascii="Arial" w:cs="Arial" w:eastAsia="Arial" w:hAnsi="Arial"/>
          <w:sz w:val="3"/>
          <w:szCs w:val="3"/>
          <w:color w:val="FFFFFF"/>
        </w:rPr>
        <w:t>For the year ended 31 December 2012, interest was capitalized using a weighted average rate of 5.21%. No interest was capitalized for the year ended 31 December 2011.</w:t>
      </w:r>
    </w:p>
    <w:p>
      <w:pPr>
        <w:spacing w:after="0" w:line="194" w:lineRule="auto"/>
        <w:rPr>
          <w:sz w:val="20"/>
          <w:szCs w:val="20"/>
          <w:color w:val="auto"/>
        </w:rPr>
      </w:pPr>
      <w:r>
        <w:rPr>
          <w:rFonts w:ascii="Arial" w:cs="Arial" w:eastAsia="Arial" w:hAnsi="Arial"/>
          <w:sz w:val="5"/>
          <w:szCs w:val="5"/>
          <w:color w:val="FFFFFF"/>
        </w:rPr>
        <w:t>4. INTEREST RATE SWAPS</w:t>
      </w:r>
    </w:p>
    <w:p>
      <w:pPr>
        <w:spacing w:after="0"/>
        <w:rPr>
          <w:sz w:val="20"/>
          <w:szCs w:val="20"/>
          <w:color w:val="auto"/>
        </w:rPr>
      </w:pPr>
      <w:r>
        <w:rPr>
          <w:rFonts w:ascii="Arial" w:cs="Arial" w:eastAsia="Arial" w:hAnsi="Arial"/>
          <w:sz w:val="6"/>
          <w:szCs w:val="6"/>
          <w:color w:val="FFFFFF"/>
        </w:rPr>
        <w:t xml:space="preserve">As at 31 December 2012, the Group had three interest rate swap agreements. Under two swap agreements, the Group paid a ? xed interest rate of 0.73% </w:t>
      </w:r>
      <w:r>
        <w:rPr>
          <w:rFonts w:ascii="Arial" w:cs="Arial" w:eastAsia="Arial" w:hAnsi="Arial"/>
          <w:sz w:val="7"/>
          <w:szCs w:val="7"/>
          <w:color w:val="FFFFFF"/>
          <w:vertAlign w:val="subscript"/>
        </w:rPr>
        <w:t>on</w:t>
      </w:r>
      <w:r>
        <w:rPr>
          <w:rFonts w:ascii="Arial" w:cs="Arial" w:eastAsia="Arial" w:hAnsi="Arial"/>
          <w:sz w:val="6"/>
          <w:szCs w:val="6"/>
          <w:color w:val="FFFFFF"/>
        </w:rPr>
        <w:t xml:space="preserve"> total Hong Kong dollar borrowings of </w:t>
      </w:r>
      <w:r>
        <w:rPr>
          <w:rFonts w:ascii="Arial" w:cs="Arial" w:eastAsia="Arial" w:hAnsi="Arial"/>
          <w:sz w:val="7"/>
          <w:szCs w:val="7"/>
          <w:color w:val="FFFFFF"/>
          <w:vertAlign w:val="subscript"/>
        </w:rPr>
        <w:t>approximately</w:t>
      </w:r>
      <w:r>
        <w:rPr>
          <w:rFonts w:ascii="Arial" w:cs="Arial" w:eastAsia="Arial" w:hAnsi="Arial"/>
          <w:sz w:val="6"/>
          <w:szCs w:val="6"/>
          <w:color w:val="FFFFFF"/>
        </w:rPr>
        <w:t xml:space="preserve"> HK$3.9 billion incurred under the Amended Wynn Macau Credit Facilities in exchange for receipts</w:t>
      </w:r>
      <w:r>
        <w:rPr>
          <w:rFonts w:ascii="Arial" w:cs="Arial" w:eastAsia="Arial" w:hAnsi="Arial"/>
          <w:sz w:val="7"/>
          <w:szCs w:val="7"/>
          <w:color w:val="FFFFFF"/>
          <w:vertAlign w:val="subscript"/>
        </w:rPr>
        <w:t>billion</w:t>
      </w:r>
      <w:r>
        <w:rPr>
          <w:rFonts w:ascii="Arial" w:cs="Arial" w:eastAsia="Arial" w:hAnsi="Arial"/>
          <w:sz w:val="6"/>
          <w:szCs w:val="6"/>
          <w:color w:val="FFFFFF"/>
        </w:rPr>
        <w:t>the same amount at a variable interest rate based the applicable HIBOR</w:t>
      </w:r>
      <w:r>
        <w:rPr>
          <w:rFonts w:ascii="Arial" w:cs="Arial" w:eastAsia="Arial" w:hAnsi="Arial"/>
          <w:sz w:val="7"/>
          <w:szCs w:val="7"/>
          <w:color w:val="FFFFFF"/>
          <w:vertAlign w:val="subscript"/>
        </w:rPr>
        <w:t>approximately</w:t>
      </w:r>
      <w:r>
        <w:rPr>
          <w:rFonts w:ascii="Arial" w:cs="Arial" w:eastAsia="Arial" w:hAnsi="Arial"/>
          <w:sz w:val="6"/>
          <w:szCs w:val="6"/>
          <w:color w:val="FFFFFF"/>
        </w:rPr>
        <w:t>thetime of payment. As</w:t>
      </w:r>
    </w:p>
    <w:p>
      <w:pPr>
        <w:spacing w:after="0"/>
        <w:tabs>
          <w:tab w:leader="none" w:pos="5700" w:val="left"/>
          <w:tab w:leader="none" w:pos="10200" w:val="left"/>
        </w:tabs>
        <w:rPr>
          <w:sz w:val="20"/>
          <w:szCs w:val="20"/>
          <w:color w:val="auto"/>
        </w:rPr>
      </w:pPr>
      <w:r>
        <w:rPr>
          <w:rFonts w:ascii="Arial" w:cs="Arial" w:eastAsia="Arial" w:hAnsi="Arial"/>
          <w:sz w:val="14"/>
          <w:szCs w:val="14"/>
          <w:color w:val="FFFFFF"/>
        </w:rPr>
        <w:t>31 December 2012, these two interest rate swaps fi xed the interest rate on approximately HK$3.9</w:t>
      </w:r>
      <w:r>
        <w:rPr>
          <w:sz w:val="20"/>
          <w:szCs w:val="20"/>
          <w:color w:val="auto"/>
        </w:rPr>
        <w:tab/>
      </w:r>
      <w:r>
        <w:rPr>
          <w:rFonts w:ascii="Arial" w:cs="Arial" w:eastAsia="Arial" w:hAnsi="Arial"/>
          <w:sz w:val="14"/>
          <w:szCs w:val="14"/>
          <w:color w:val="FFFFFF"/>
        </w:rPr>
        <w:t>of borrowings under the Amended Wynn Macau Credit Facilities at</w:t>
      </w:r>
      <w:r>
        <w:rPr>
          <w:sz w:val="20"/>
          <w:szCs w:val="20"/>
          <w:color w:val="auto"/>
        </w:rPr>
        <w:tab/>
      </w:r>
      <w:r>
        <w:rPr>
          <w:rFonts w:ascii="Arial" w:cs="Arial" w:eastAsia="Arial" w:hAnsi="Arial"/>
          <w:sz w:val="12"/>
          <w:szCs w:val="12"/>
          <w:color w:val="FFFFFF"/>
        </w:rPr>
        <w:t>3.23%.</w:t>
      </w:r>
    </w:p>
    <w:p>
      <w:pPr>
        <w:sectPr>
          <w:pgSz w:w="11900" w:h="16838" w:orient="portrait"/>
          <w:cols w:equalWidth="0" w:num="1">
            <w:col w:w="11280"/>
          </w:cols>
          <w:pgMar w:left="240" w:top="1440" w:right="37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20"/>
                <w:szCs w:val="20"/>
                <w:color w:val="auto"/>
              </w:rPr>
            </w:pPr>
            <w:r>
              <w:rPr>
                <w:rFonts w:ascii="Arial" w:cs="Arial" w:eastAsia="Arial" w:hAnsi="Arial"/>
                <w:sz w:val="14"/>
                <w:szCs w:val="14"/>
                <w:color w:val="FFFFFF"/>
              </w:rPr>
              <w:t>Annual Report 2012 111</w:t>
            </w:r>
          </w:p>
        </w:tc>
        <w:tc>
          <w:tcPr>
            <w:tcW w:w="36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420" w:type="dxa"/>
            <w:vAlign w:val="bottom"/>
          </w:tcPr>
          <w:p>
            <w:pPr>
              <w:spacing w:after="0"/>
              <w:rPr>
                <w:sz w:val="20"/>
                <w:szCs w:val="20"/>
                <w:color w:val="auto"/>
              </w:rPr>
            </w:pPr>
            <w:r>
              <w:rPr>
                <w:rFonts w:ascii="Arial" w:cs="Arial" w:eastAsia="Arial" w:hAnsi="Arial"/>
                <w:sz w:val="3"/>
                <w:szCs w:val="3"/>
                <w:color w:val="FFFFFF"/>
              </w:rPr>
              <w:t>Financial Statements</w:t>
            </w:r>
          </w:p>
        </w:tc>
        <w:tc>
          <w:tcPr>
            <w:tcW w:w="36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36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tcPr>
          <w:p>
            <w:pPr>
              <w:spacing w:after="0"/>
              <w:rPr>
                <w:sz w:val="20"/>
                <w:szCs w:val="20"/>
                <w:color w:val="auto"/>
              </w:rPr>
            </w:pPr>
            <w:r>
              <w:rPr>
                <w:rFonts w:ascii="Arial" w:cs="Arial" w:eastAsia="Arial" w:hAnsi="Arial"/>
                <w:sz w:val="3"/>
                <w:szCs w:val="3"/>
                <w:color w:val="FFFFFF"/>
              </w:rPr>
              <w:t>For the year ended 31 December 2012</w:t>
            </w:r>
          </w:p>
        </w:tc>
        <w:tc>
          <w:tcPr>
            <w:tcW w:w="36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20" w:type="dxa"/>
            <w:vAlign w:val="bottom"/>
          </w:tcPr>
          <w:p>
            <w:pPr>
              <w:spacing w:after="0"/>
              <w:rPr>
                <w:sz w:val="20"/>
                <w:szCs w:val="20"/>
                <w:color w:val="auto"/>
              </w:rPr>
            </w:pPr>
            <w:r>
              <w:rPr>
                <w:rFonts w:ascii="Arial" w:cs="Arial" w:eastAsia="Arial" w:hAnsi="Arial"/>
                <w:sz w:val="3"/>
                <w:szCs w:val="3"/>
                <w:color w:val="FFFFFF"/>
              </w:rPr>
              <w:t>4. INTEREST RATE SWAPS (CONTINUED)</w:t>
            </w:r>
          </w:p>
        </w:tc>
        <w:tc>
          <w:tcPr>
            <w:tcW w:w="3680" w:type="dxa"/>
            <w:vAlign w:val="bottom"/>
          </w:tcPr>
          <w:p>
            <w:pPr>
              <w:spacing w:after="0"/>
              <w:rPr>
                <w:sz w:val="3"/>
                <w:szCs w:val="3"/>
                <w:color w:val="auto"/>
              </w:rPr>
            </w:pPr>
          </w:p>
        </w:tc>
        <w:tc>
          <w:tcPr>
            <w:tcW w:w="4320" w:type="dxa"/>
            <w:vAlign w:val="bottom"/>
            <w:vMerge w:val="restart"/>
          </w:tcPr>
          <w:p>
            <w:pPr>
              <w:ind w:left="740"/>
              <w:spacing w:after="0" w:line="81" w:lineRule="exact"/>
              <w:rPr>
                <w:sz w:val="20"/>
                <w:szCs w:val="20"/>
                <w:color w:val="auto"/>
              </w:rPr>
            </w:pPr>
            <w:r>
              <w:rPr>
                <w:rFonts w:ascii="Arial" w:cs="Arial" w:eastAsia="Arial" w:hAnsi="Arial"/>
                <w:sz w:val="9"/>
                <w:szCs w:val="9"/>
                <w:color w:val="FFFFFF"/>
              </w:rPr>
              <w:t>HK$1.9 billion) incurred under the Amended Wynn Macau Credit</w:t>
            </w:r>
          </w:p>
        </w:tc>
        <w:tc>
          <w:tcPr>
            <w:tcW w:w="0" w:type="dxa"/>
            <w:vAlign w:val="bottom"/>
          </w:tcPr>
          <w:p>
            <w:pPr>
              <w:spacing w:after="0"/>
              <w:rPr>
                <w:sz w:val="1"/>
                <w:szCs w:val="1"/>
                <w:color w:val="auto"/>
              </w:rPr>
            </w:pPr>
          </w:p>
        </w:tc>
      </w:tr>
      <w:tr>
        <w:trPr>
          <w:trHeight w:val="41"/>
        </w:trPr>
        <w:tc>
          <w:tcPr>
            <w:tcW w:w="7100" w:type="dxa"/>
            <w:vAlign w:val="bottom"/>
            <w:gridSpan w:val="2"/>
          </w:tcPr>
          <w:p>
            <w:pPr>
              <w:spacing w:after="0"/>
              <w:rPr>
                <w:sz w:val="20"/>
                <w:szCs w:val="20"/>
                <w:color w:val="auto"/>
              </w:rPr>
            </w:pPr>
            <w:r>
              <w:rPr>
                <w:rFonts w:ascii="Arial" w:cs="Arial" w:eastAsia="Arial" w:hAnsi="Arial"/>
                <w:sz w:val="3"/>
                <w:szCs w:val="3"/>
                <w:color w:val="FFFFFF"/>
              </w:rPr>
              <w:t>Under the third swap agreem nt, the Group paid  ? xed interest rate of 0.6763% on U.S. doll r borrowings of US$243.8 million</w:t>
            </w:r>
          </w:p>
        </w:tc>
        <w:tc>
          <w:tcPr>
            <w:tcW w:w="4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Facilities in exchange for receipts on the same amount at a variable interest rate based on the applicable LIBOR at the time of payment.(approximatelyAs31 December 2012, this interest rate swap fi xed the interest rate on</w:t>
            </w:r>
          </w:p>
        </w:tc>
        <w:tc>
          <w:tcPr>
            <w:tcW w:w="0" w:type="dxa"/>
            <w:vAlign w:val="bottom"/>
          </w:tcPr>
          <w:p>
            <w:pPr>
              <w:spacing w:after="0"/>
              <w:rPr>
                <w:sz w:val="1"/>
                <w:szCs w:val="1"/>
                <w:color w:val="auto"/>
              </w:rPr>
            </w:pPr>
          </w:p>
        </w:tc>
      </w:tr>
      <w:tr>
        <w:trPr>
          <w:trHeight w:val="41"/>
        </w:trPr>
        <w:tc>
          <w:tcPr>
            <w:tcW w:w="3420" w:type="dxa"/>
            <w:vAlign w:val="bottom"/>
          </w:tcPr>
          <w:p>
            <w:pPr>
              <w:spacing w:after="0"/>
              <w:rPr>
                <w:sz w:val="20"/>
                <w:szCs w:val="20"/>
                <w:color w:val="auto"/>
              </w:rPr>
            </w:pPr>
            <w:r>
              <w:rPr>
                <w:rFonts w:ascii="Arial" w:cs="Arial" w:eastAsia="Arial" w:hAnsi="Arial"/>
                <w:sz w:val="3"/>
                <w:szCs w:val="3"/>
                <w:color w:val="FFFFFF"/>
              </w:rPr>
              <w:t>US$243.8 million (approximately HK$1.9 billion) of</w:t>
            </w:r>
          </w:p>
        </w:tc>
        <w:tc>
          <w:tcPr>
            <w:tcW w:w="3680" w:type="dxa"/>
            <w:vAlign w:val="bottom"/>
          </w:tcPr>
          <w:p>
            <w:pPr>
              <w:ind w:left="140"/>
              <w:spacing w:after="0"/>
              <w:rPr>
                <w:sz w:val="20"/>
                <w:szCs w:val="20"/>
                <w:color w:val="auto"/>
              </w:rPr>
            </w:pPr>
            <w:r>
              <w:rPr>
                <w:rFonts w:ascii="Arial" w:cs="Arial" w:eastAsia="Arial" w:hAnsi="Arial"/>
                <w:sz w:val="3"/>
                <w:szCs w:val="3"/>
                <w:color w:val="FFFFFF"/>
              </w:rPr>
              <w:t>under the Amended Wynn Macau Credit Facilities at</w:t>
            </w:r>
          </w:p>
        </w:tc>
        <w:tc>
          <w:tcPr>
            <w:tcW w:w="4320" w:type="dxa"/>
            <w:vAlign w:val="bottom"/>
          </w:tcPr>
          <w:p>
            <w:pPr>
              <w:ind w:left="160"/>
              <w:spacing w:after="0"/>
              <w:rPr>
                <w:sz w:val="20"/>
                <w:szCs w:val="20"/>
                <w:color w:val="auto"/>
              </w:rPr>
            </w:pPr>
            <w:r>
              <w:rPr>
                <w:rFonts w:ascii="Arial" w:cs="Arial" w:eastAsia="Arial" w:hAnsi="Arial"/>
                <w:sz w:val="3"/>
                <w:szCs w:val="3"/>
                <w:color w:val="FFFFFF"/>
              </w:rPr>
              <w:t>3.18%. All the three agreements will terminate in July 2017.</w:t>
            </w:r>
          </w:p>
        </w:tc>
        <w:tc>
          <w:tcPr>
            <w:tcW w:w="0" w:type="dxa"/>
            <w:vAlign w:val="bottom"/>
          </w:tcPr>
          <w:p>
            <w:pPr>
              <w:spacing w:after="0"/>
              <w:rPr>
                <w:sz w:val="1"/>
                <w:szCs w:val="1"/>
                <w:color w:val="auto"/>
              </w:rPr>
            </w:pPr>
          </w:p>
        </w:tc>
      </w:tr>
      <w:tr>
        <w:trPr>
          <w:trHeight w:val="0"/>
        </w:trPr>
        <w:tc>
          <w:tcPr>
            <w:tcW w:w="3420" w:type="dxa"/>
            <w:vAlign w:val="bottom"/>
          </w:tcPr>
          <w:p>
            <w:pPr>
              <w:spacing w:after="0" w:line="121" w:lineRule="exact"/>
              <w:rPr>
                <w:sz w:val="20"/>
                <w:szCs w:val="20"/>
                <w:color w:val="auto"/>
              </w:rPr>
            </w:pPr>
            <w:r>
              <w:rPr>
                <w:rFonts w:ascii="Arial" w:cs="Arial" w:eastAsia="Arial" w:hAnsi="Arial"/>
                <w:sz w:val="12"/>
                <w:szCs w:val="12"/>
                <w:color w:val="FFFFFF"/>
              </w:rPr>
              <w:t>The Group had one interest rate swap agreement that matured</w:t>
            </w:r>
          </w:p>
        </w:tc>
        <w:tc>
          <w:tcPr>
            <w:tcW w:w="8000" w:type="dxa"/>
            <w:vAlign w:val="bottom"/>
            <w:gridSpan w:val="2"/>
          </w:tcPr>
          <w:p>
            <w:pPr>
              <w:ind w:left="100"/>
              <w:spacing w:after="0" w:line="121" w:lineRule="exact"/>
              <w:rPr>
                <w:sz w:val="20"/>
                <w:szCs w:val="20"/>
                <w:color w:val="auto"/>
              </w:rPr>
            </w:pPr>
            <w:r>
              <w:rPr>
                <w:rFonts w:ascii="Arial" w:cs="Arial" w:eastAsia="Arial" w:hAnsi="Arial"/>
                <w:sz w:val="12"/>
                <w:szCs w:val="12"/>
                <w:color w:val="FFFFFF"/>
                <w:w w:val="96"/>
              </w:rPr>
              <w:t>June 2012. Under the swap agreement, the Group paidapproximately?xedinterest rate of 2.15% on Hong Kong dollar borrowings of approximately HK$2.3</w:t>
            </w:r>
          </w:p>
        </w:tc>
        <w:tc>
          <w:tcPr>
            <w:tcW w:w="0" w:type="dxa"/>
            <w:vAlign w:val="bottom"/>
          </w:tcPr>
          <w:p>
            <w:pPr>
              <w:spacing w:after="0" w:line="20" w:lineRule="exact"/>
              <w:rPr>
                <w:sz w:val="1"/>
                <w:szCs w:val="1"/>
                <w:color w:val="auto"/>
              </w:rPr>
            </w:pPr>
          </w:p>
        </w:tc>
      </w:tr>
    </w:tbl>
    <w:p>
      <w:pPr>
        <w:ind w:right="160"/>
        <w:spacing w:after="0" w:line="217" w:lineRule="auto"/>
        <w:rPr>
          <w:sz w:val="20"/>
          <w:szCs w:val="20"/>
          <w:color w:val="auto"/>
        </w:rPr>
      </w:pPr>
      <w:r>
        <w:rPr>
          <w:rFonts w:ascii="Arial" w:cs="Arial" w:eastAsia="Arial" w:hAnsi="Arial"/>
          <w:sz w:val="2"/>
          <w:szCs w:val="2"/>
          <w:color w:val="FFFFFF"/>
        </w:rPr>
        <w:t>billion incurred under the Wynn Macau Credit Facilitiesborrowingsexchange for receipts on the same amount at a variable interest rate based on the applicable HIBOR at the time of payment. This interest rate swap fi xed the interest rate on the Hong Kong dollar borrowings</w:t>
      </w:r>
      <w:r>
        <w:rPr>
          <w:rFonts w:ascii="Arial" w:cs="Arial" w:eastAsia="Arial" w:hAnsi="Arial"/>
          <w:sz w:val="4"/>
          <w:szCs w:val="4"/>
          <w:color w:val="FFFFFF"/>
          <w:vertAlign w:val="subscript"/>
        </w:rPr>
        <w:t>consolidated</w:t>
      </w:r>
      <w:r>
        <w:rPr>
          <w:rFonts w:ascii="Arial" w:cs="Arial" w:eastAsia="Arial" w:hAnsi="Arial"/>
          <w:sz w:val="2"/>
          <w:szCs w:val="2"/>
          <w:color w:val="FFFFFF"/>
        </w:rPr>
        <w:t>3.4%.</w:t>
      </w:r>
    </w:p>
    <w:p>
      <w:pPr>
        <w:ind w:right="100"/>
        <w:spacing w:after="0"/>
        <w:rPr>
          <w:sz w:val="20"/>
          <w:szCs w:val="20"/>
          <w:color w:val="auto"/>
        </w:rPr>
      </w:pPr>
      <w:r>
        <w:rPr>
          <w:rFonts w:ascii="Arial" w:cs="Arial" w:eastAsia="Arial" w:hAnsi="Arial"/>
          <w:sz w:val="7"/>
          <w:szCs w:val="7"/>
          <w:color w:val="FFFFFF"/>
        </w:rPr>
        <w:t>The carrying value of the interest rate swaps in the statement of ? nancial position approximates their fair value. The fair value approximates the amount that the Group would pay if these contracts were settled at the respective valuation dates. These transactions do not qualify for hedge accounting. Accordingly, changes in the fair value during the years ended</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31 December 2012 and 2011, were charged to the consolidated statement of comprehensive income.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The Group’s liabilities under the swap agreements are secured by the same collateral package securing the Amended Wynn Macau Credit Facilities.</w:t>
      </w:r>
    </w:p>
    <w:p>
      <w:pPr>
        <w:sectPr>
          <w:pgSz w:w="11900" w:h="16838" w:orient="portrait"/>
          <w:cols w:equalWidth="0" w:num="1">
            <w:col w:w="11420"/>
          </w:cols>
          <w:pgMar w:left="240" w:top="1440" w:right="23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Financial112WynnStatementsMacau,Limited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2012</w:t>
      </w:r>
    </w:p>
    <w:p>
      <w:pPr>
        <w:spacing w:after="0" w:line="188" w:lineRule="auto"/>
        <w:rPr>
          <w:sz w:val="20"/>
          <w:szCs w:val="20"/>
          <w:color w:val="auto"/>
        </w:rPr>
      </w:pPr>
      <w:r>
        <w:rPr>
          <w:rFonts w:ascii="Arial" w:cs="Arial" w:eastAsia="Arial" w:hAnsi="Arial"/>
          <w:sz w:val="9"/>
          <w:szCs w:val="9"/>
          <w:color w:val="FFFFFF"/>
        </w:rPr>
        <w:t>5. INCOME TAX (EXPENSE) BENEFIT</w:t>
      </w:r>
    </w:p>
    <w:p>
      <w:pPr>
        <w:spacing w:after="0"/>
        <w:rPr>
          <w:sz w:val="20"/>
          <w:szCs w:val="20"/>
          <w:color w:val="auto"/>
        </w:rPr>
      </w:pPr>
      <w:r>
        <w:rPr>
          <w:rFonts w:ascii="Arial" w:cs="Arial" w:eastAsia="Arial" w:hAnsi="Arial"/>
          <w:sz w:val="3"/>
          <w:szCs w:val="3"/>
          <w:color w:val="FFFFFF"/>
        </w:rPr>
        <w:t>GroupThemajor components of the income tax (expense) bene? t for the years ended 31 December 2012 and 2011 were:</w:t>
      </w:r>
    </w:p>
    <w:p>
      <w:pPr>
        <w:spacing w:after="0" w:line="181" w:lineRule="auto"/>
        <w:rPr>
          <w:sz w:val="20"/>
          <w:szCs w:val="20"/>
          <w:color w:val="auto"/>
        </w:rPr>
      </w:pPr>
      <w:r>
        <w:rPr>
          <w:rFonts w:ascii="Arial" w:cs="Arial" w:eastAsia="Arial" w:hAnsi="Arial"/>
          <w:sz w:val="10"/>
          <w:szCs w:val="10"/>
          <w:color w:val="FFFFFF"/>
        </w:rPr>
        <w:t>For the year ended</w:t>
      </w:r>
    </w:p>
    <w:p>
      <w:pPr>
        <w:spacing w:after="0" w:line="188" w:lineRule="auto"/>
        <w:rPr>
          <w:sz w:val="20"/>
          <w:szCs w:val="20"/>
          <w:color w:val="auto"/>
        </w:rPr>
      </w:pPr>
      <w:r>
        <w:rPr>
          <w:rFonts w:ascii="Arial" w:cs="Arial" w:eastAsia="Arial" w:hAnsi="Arial"/>
          <w:sz w:val="9"/>
          <w:szCs w:val="9"/>
          <w:color w:val="FFFFFF"/>
        </w:rPr>
        <w:t>201231December2011</w:t>
      </w:r>
    </w:p>
    <w:p>
      <w:pPr>
        <w:spacing w:after="0" w:line="188" w:lineRule="auto"/>
        <w:rPr>
          <w:sz w:val="20"/>
          <w:szCs w:val="20"/>
          <w:color w:val="auto"/>
        </w:rPr>
      </w:pPr>
      <w:r>
        <w:rPr>
          <w:rFonts w:ascii="Arial" w:cs="Arial" w:eastAsia="Arial" w:hAnsi="Arial"/>
          <w:sz w:val="7"/>
          <w:szCs w:val="7"/>
          <w:color w:val="FFFFFF"/>
        </w:rPr>
        <w:t>(inHKthous$HK</w:t>
      </w:r>
      <w:r>
        <w:rPr>
          <w:rFonts w:ascii="Arial" w:cs="Arial" w:eastAsia="Arial" w:hAnsi="Arial"/>
          <w:sz w:val="9"/>
          <w:szCs w:val="9"/>
          <w:color w:val="FFFFFF"/>
          <w:vertAlign w:val="superscript"/>
        </w:rPr>
        <w:t>tax</w:t>
      </w:r>
      <w:r>
        <w:rPr>
          <w:rFonts w:ascii="Arial" w:cs="Arial" w:eastAsia="Arial" w:hAnsi="Arial"/>
          <w:sz w:val="7"/>
          <w:szCs w:val="7"/>
          <w:color w:val="FFFFFF"/>
        </w:rPr>
        <w:t>$nds)</w:t>
      </w:r>
    </w:p>
    <w:p>
      <w:pPr>
        <w:spacing w:after="0" w:line="188" w:lineRule="auto"/>
        <w:rPr>
          <w:sz w:val="20"/>
          <w:szCs w:val="20"/>
          <w:color w:val="auto"/>
        </w:rPr>
      </w:pPr>
      <w:r>
        <w:rPr>
          <w:rFonts w:ascii="Arial" w:cs="Arial" w:eastAsia="Arial" w:hAnsi="Arial"/>
          <w:sz w:val="9"/>
          <w:szCs w:val="9"/>
          <w:color w:val="FFFFFF"/>
        </w:rPr>
        <w:t>CurrentIncome — overseas(expense)(15,049)bene?t 26,768</w:t>
      </w:r>
    </w:p>
    <w:p>
      <w:pPr>
        <w:spacing w:after="0"/>
        <w:rPr>
          <w:sz w:val="20"/>
          <w:szCs w:val="20"/>
          <w:color w:val="auto"/>
        </w:rPr>
      </w:pPr>
      <w:r>
        <w:rPr>
          <w:rFonts w:ascii="Arial" w:cs="Arial" w:eastAsia="Arial" w:hAnsi="Arial"/>
          <w:sz w:val="8"/>
          <w:szCs w:val="8"/>
          <w:color w:val="FFFFFF"/>
        </w:rPr>
        <w:t>atNotheprovisionappropriateforHongprevailingKongratespro? rulingtstax forinthetherespectiveyearendedjurisdictions31Decemberand2012the maximumhasbeenmaderate isas12%there(2011:wasno12%)assessable. pro? t generated in Hong Kong (2011: nil). Taxation for overseas jurisdictions is charged</w:t>
      </w:r>
    </w:p>
    <w:p>
      <w:pPr>
        <w:sectPr>
          <w:pgSz w:w="11900" w:h="16838" w:orient="portrait"/>
          <w:cols w:equalWidth="0" w:num="1">
            <w:col w:w="11360"/>
          </w:cols>
          <w:pgMar w:left="240" w:top="1440" w:right="299" w:bottom="1440" w:gutter="0" w:footer="0" w:header="0"/>
        </w:sectPr>
      </w:pPr>
    </w:p>
    <w:bookmarkStart w:id="118" w:name="page119"/>
    <w:bookmarkEnd w:id="1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20"/>
                <w:szCs w:val="20"/>
                <w:color w:val="auto"/>
              </w:rPr>
            </w:pPr>
            <w:r>
              <w:rPr>
                <w:rFonts w:ascii="Arial" w:cs="Arial" w:eastAsia="Arial" w:hAnsi="Arial"/>
                <w:sz w:val="14"/>
                <w:szCs w:val="14"/>
                <w:color w:val="FFFFFF"/>
              </w:rPr>
              <w:t>Annual Report 2012 113</w:t>
            </w:r>
          </w:p>
        </w:tc>
        <w:tc>
          <w:tcPr>
            <w:tcW w:w="56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Financial Statements</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For the year ended 31 December 2012</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5. INCOME TAX (EXPENSE) BENEFIT (CONTINUED)</w:t>
            </w:r>
          </w:p>
        </w:tc>
        <w:tc>
          <w:tcPr>
            <w:tcW w:w="0" w:type="dxa"/>
            <w:vAlign w:val="bottom"/>
          </w:tcPr>
          <w:p>
            <w:pPr>
              <w:spacing w:after="0"/>
              <w:rPr>
                <w:sz w:val="1"/>
                <w:szCs w:val="1"/>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The tax charge for the year ended 31 December 2012 and the tax bene? t for the year ended 31 December 2011 reconciles to pro? t before tax as follows:</w:t>
            </w: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Group</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For the year ended 31 December</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2012 2011</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HK$ % HK$ %</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(in thousands, except for percentages)</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Pro?t before tax 6,454,742 5,894,245</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Tax at the applicable</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40" w:type="dxa"/>
            <w:vAlign w:val="bottom"/>
            <w:gridSpan w:val="2"/>
          </w:tcPr>
          <w:p>
            <w:pPr>
              <w:spacing w:after="0"/>
              <w:rPr>
                <w:sz w:val="20"/>
                <w:szCs w:val="20"/>
                <w:color w:val="auto"/>
              </w:rPr>
            </w:pPr>
            <w:r>
              <w:rPr>
                <w:rFonts w:ascii="Arial" w:cs="Arial" w:eastAsia="Arial" w:hAnsi="Arial"/>
                <w:sz w:val="3"/>
                <w:szCs w:val="3"/>
                <w:color w:val="FFFFFF"/>
              </w:rPr>
              <w:t>income tax rate (774,569) (12.0) (707,309) (12.0)</w:t>
            </w: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40" w:type="dxa"/>
            <w:vAlign w:val="bottom"/>
            <w:gridSpan w:val="2"/>
          </w:tcPr>
          <w:p>
            <w:pPr>
              <w:spacing w:after="0"/>
              <w:rPr>
                <w:sz w:val="20"/>
                <w:szCs w:val="20"/>
                <w:color w:val="auto"/>
              </w:rPr>
            </w:pPr>
            <w:r>
              <w:rPr>
                <w:rFonts w:ascii="Arial" w:cs="Arial" w:eastAsia="Arial" w:hAnsi="Arial"/>
                <w:sz w:val="3"/>
                <w:szCs w:val="3"/>
                <w:color w:val="FFFFFF"/>
              </w:rPr>
              <w:t>Income not subject to tax 908,195 14.  844,186 14.3</w:t>
            </w: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Macau dividend tax (15,049) (0.2) (15,049)</w:t>
            </w:r>
          </w:p>
        </w:tc>
        <w:tc>
          <w:tcPr>
            <w:tcW w:w="560" w:type="dxa"/>
            <w:vAlign w:val="bottom"/>
          </w:tcPr>
          <w:p>
            <w:pPr>
              <w:jc w:val="right"/>
              <w:ind w:right="263"/>
              <w:spacing w:after="0"/>
              <w:rPr>
                <w:sz w:val="20"/>
                <w:szCs w:val="20"/>
                <w:color w:val="auto"/>
              </w:rPr>
            </w:pPr>
            <w:r>
              <w:rPr>
                <w:rFonts w:ascii="Arial" w:cs="Arial" w:eastAsia="Arial" w:hAnsi="Arial"/>
                <w:sz w:val="3"/>
                <w:szCs w:val="3"/>
                <w:color w:val="FFFFFF"/>
              </w:rPr>
              <w:t>(0.3)</w:t>
            </w: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Deferred tax</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40" w:type="dxa"/>
            <w:vAlign w:val="bottom"/>
            <w:gridSpan w:val="2"/>
          </w:tcPr>
          <w:p>
            <w:pPr>
              <w:spacing w:after="0"/>
              <w:rPr>
                <w:sz w:val="20"/>
                <w:szCs w:val="20"/>
                <w:color w:val="auto"/>
              </w:rPr>
            </w:pPr>
            <w:r>
              <w:rPr>
                <w:rFonts w:ascii="Arial" w:cs="Arial" w:eastAsia="Arial" w:hAnsi="Arial"/>
                <w:sz w:val="3"/>
                <w:szCs w:val="3"/>
                <w:color w:val="FFFFFF"/>
              </w:rPr>
              <w:t>not recognized (129,625) (2.0) (130,118) (2.2)</w:t>
            </w: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Others (4,001) (0.1) 35,058 0.7</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80" w:type="dxa"/>
            <w:vAlign w:val="bottom"/>
          </w:tcPr>
          <w:p>
            <w:pPr>
              <w:spacing w:after="0"/>
              <w:rPr>
                <w:sz w:val="20"/>
                <w:szCs w:val="20"/>
                <w:color w:val="auto"/>
              </w:rPr>
            </w:pPr>
            <w:r>
              <w:rPr>
                <w:rFonts w:ascii="Arial" w:cs="Arial" w:eastAsia="Arial" w:hAnsi="Arial"/>
                <w:sz w:val="3"/>
                <w:szCs w:val="3"/>
                <w:color w:val="FFFFFF"/>
              </w:rPr>
              <w:t>Effective tax (expense)</w:t>
            </w:r>
          </w:p>
        </w:tc>
        <w:tc>
          <w:tcPr>
            <w:tcW w:w="560" w:type="dxa"/>
            <w:vAlign w:val="bottom"/>
          </w:tcPr>
          <w:p>
            <w:pPr>
              <w:spacing w:after="0"/>
              <w:rPr>
                <w:sz w:val="3"/>
                <w:szCs w:val="3"/>
                <w:color w:val="auto"/>
              </w:rPr>
            </w:pPr>
          </w:p>
        </w:tc>
        <w:tc>
          <w:tcPr>
            <w:tcW w:w="8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40" w:type="dxa"/>
            <w:vAlign w:val="bottom"/>
            <w:gridSpan w:val="2"/>
          </w:tcPr>
          <w:p>
            <w:pPr>
              <w:spacing w:after="0"/>
              <w:rPr>
                <w:sz w:val="20"/>
                <w:szCs w:val="20"/>
                <w:color w:val="auto"/>
              </w:rPr>
            </w:pPr>
            <w:r>
              <w:rPr>
                <w:rFonts w:ascii="Arial" w:cs="Arial" w:eastAsia="Arial" w:hAnsi="Arial"/>
                <w:sz w:val="3"/>
                <w:szCs w:val="3"/>
                <w:color w:val="FFFFFF"/>
              </w:rPr>
              <w:t>bene?t for the year (15,049) (0.2) 26,768 0.5</w:t>
            </w:r>
          </w:p>
        </w:tc>
        <w:tc>
          <w:tcPr>
            <w:tcW w:w="8460" w:type="dxa"/>
            <w:vAlign w:val="bottom"/>
            <w:vMerge w:val="restart"/>
          </w:tcPr>
          <w:p>
            <w:pPr>
              <w:ind w:left="100"/>
              <w:spacing w:after="0"/>
              <w:rPr>
                <w:sz w:val="20"/>
                <w:szCs w:val="20"/>
                <w:color w:val="auto"/>
              </w:rPr>
            </w:pPr>
            <w:r>
              <w:rPr>
                <w:rFonts w:ascii="Arial" w:cs="Arial" w:eastAsia="Arial" w:hAnsi="Arial"/>
                <w:sz w:val="3"/>
                <w:szCs w:val="3"/>
                <w:color w:val="FFFFFF"/>
              </w:rPr>
              <w:t>HK$582.6 million, HK$551.4 million and HK$695.1 million during the tax years ended 31 December 2012, 2011, and 2010, respectively. These tax losses</w:t>
            </w:r>
          </w:p>
        </w:tc>
        <w:tc>
          <w:tcPr>
            <w:tcW w:w="0" w:type="dxa"/>
            <w:vAlign w:val="bottom"/>
          </w:tcPr>
          <w:p>
            <w:pPr>
              <w:spacing w:after="0"/>
              <w:rPr>
                <w:sz w:val="1"/>
                <w:szCs w:val="1"/>
                <w:color w:val="auto"/>
              </w:rPr>
            </w:pPr>
          </w:p>
        </w:tc>
      </w:tr>
      <w:tr>
        <w:trPr>
          <w:trHeight w:val="0"/>
        </w:trPr>
        <w:tc>
          <w:tcPr>
            <w:tcW w:w="2380" w:type="dxa"/>
            <w:vAlign w:val="bottom"/>
          </w:tcPr>
          <w:p>
            <w:pPr>
              <w:spacing w:after="0" w:line="80" w:lineRule="exact"/>
              <w:rPr>
                <w:sz w:val="20"/>
                <w:szCs w:val="20"/>
                <w:color w:val="auto"/>
              </w:rPr>
            </w:pPr>
            <w:r>
              <w:rPr>
                <w:rFonts w:ascii="Arial" w:cs="Arial" w:eastAsia="Arial" w:hAnsi="Arial"/>
                <w:sz w:val="9"/>
                <w:szCs w:val="9"/>
                <w:color w:val="FFFFFF"/>
              </w:rPr>
              <w:t>The Group incurred Macau tax losses of</w:t>
            </w:r>
          </w:p>
        </w:tc>
        <w:tc>
          <w:tcPr>
            <w:tcW w:w="560" w:type="dxa"/>
            <w:vAlign w:val="bottom"/>
          </w:tcPr>
          <w:p>
            <w:pPr>
              <w:spacing w:after="0" w:line="20" w:lineRule="exact"/>
              <w:rPr>
                <w:sz w:val="1"/>
                <w:szCs w:val="1"/>
                <w:color w:val="auto"/>
              </w:rPr>
            </w:pPr>
          </w:p>
        </w:tc>
        <w:tc>
          <w:tcPr>
            <w:tcW w:w="8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00"/>
        <w:spacing w:after="0" w:line="210" w:lineRule="auto"/>
        <w:rPr>
          <w:sz w:val="20"/>
          <w:szCs w:val="20"/>
          <w:color w:val="auto"/>
        </w:rPr>
      </w:pPr>
      <w:r>
        <w:rPr>
          <w:rFonts w:ascii="Arial" w:cs="Arial" w:eastAsia="Arial" w:hAnsi="Arial"/>
          <w:sz w:val="10"/>
          <w:szCs w:val="10"/>
          <w:color w:val="FFFFFF"/>
        </w:rPr>
        <w:t>will expire in 2015, 2014, and 2013, respectively.approximatelyAs 31 December 2012, the Group’s deferred tax assets relating to the University of Macau Development Foundation contribution, interest rate swaps, executive compensation, fi xed assets and tax loss carryforwards amounting to HK$342.0 million (2011: HK$277.7 million) were not recognized as the Group determined it was not probable that future taxable profi ts will be available against which the deferred tax asset could be utilized.</w:t>
      </w:r>
    </w:p>
    <w:p>
      <w:pPr>
        <w:sectPr>
          <w:pgSz w:w="11900" w:h="16838" w:orient="portrait"/>
          <w:cols w:equalWidth="0" w:num="1">
            <w:col w:w="11400"/>
          </w:cols>
          <w:pgMar w:left="240" w:top="1440" w:right="259" w:bottom="1440" w:gutter="0" w:footer="0" w:header="0"/>
        </w:sectPr>
      </w:pPr>
    </w:p>
    <w:bookmarkStart w:id="119" w:name="page120"/>
    <w:bookmarkEnd w:id="1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20"/>
                <w:szCs w:val="20"/>
                <w:color w:val="auto"/>
              </w:rPr>
            </w:pPr>
            <w:r>
              <w:rPr>
                <w:rFonts w:ascii="Arial" w:cs="Arial" w:eastAsia="Arial" w:hAnsi="Arial"/>
                <w:sz w:val="14"/>
                <w:szCs w:val="14"/>
                <w:color w:val="FFFFFF"/>
              </w:rPr>
              <w:t>114 Wynn Macau, Limited</w:t>
            </w:r>
          </w:p>
        </w:tc>
        <w:tc>
          <w:tcPr>
            <w:tcW w:w="2160" w:type="dxa"/>
            <w:vAlign w:val="bottom"/>
          </w:tcPr>
          <w:p>
            <w:pPr>
              <w:spacing w:after="0"/>
              <w:rPr>
                <w:sz w:val="14"/>
                <w:szCs w:val="14"/>
                <w:color w:val="auto"/>
              </w:rPr>
            </w:pPr>
          </w:p>
        </w:tc>
        <w:tc>
          <w:tcPr>
            <w:tcW w:w="6940" w:type="dxa"/>
            <w:vAlign w:val="bottom"/>
          </w:tcPr>
          <w:p>
            <w:pPr>
              <w:spacing w:after="0"/>
              <w:rPr>
                <w:sz w:val="14"/>
                <w:szCs w:val="14"/>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Financial Statements</w:t>
            </w:r>
          </w:p>
        </w:tc>
        <w:tc>
          <w:tcPr>
            <w:tcW w:w="2160" w:type="dxa"/>
            <w:vAlign w:val="bottom"/>
          </w:tcPr>
          <w:p>
            <w:pPr>
              <w:spacing w:after="0"/>
              <w:rPr>
                <w:sz w:val="3"/>
                <w:szCs w:val="3"/>
                <w:color w:val="auto"/>
              </w:rPr>
            </w:pPr>
          </w:p>
        </w:tc>
        <w:tc>
          <w:tcPr>
            <w:tcW w:w="6940" w:type="dxa"/>
            <w:vAlign w:val="bottom"/>
          </w:tcPr>
          <w:p>
            <w:pPr>
              <w:spacing w:after="0"/>
              <w:rPr>
                <w:sz w:val="3"/>
                <w:szCs w:val="3"/>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Notes to Financial Statements</w:t>
            </w:r>
          </w:p>
        </w:tc>
        <w:tc>
          <w:tcPr>
            <w:tcW w:w="2160" w:type="dxa"/>
            <w:vAlign w:val="bottom"/>
          </w:tcPr>
          <w:p>
            <w:pPr>
              <w:spacing w:after="0"/>
              <w:rPr>
                <w:sz w:val="3"/>
                <w:szCs w:val="3"/>
                <w:color w:val="auto"/>
              </w:rPr>
            </w:pPr>
          </w:p>
        </w:tc>
        <w:tc>
          <w:tcPr>
            <w:tcW w:w="6940" w:type="dxa"/>
            <w:vAlign w:val="bottom"/>
          </w:tcPr>
          <w:p>
            <w:pPr>
              <w:spacing w:after="0"/>
              <w:rPr>
                <w:sz w:val="3"/>
                <w:szCs w:val="3"/>
                <w:color w:val="auto"/>
              </w:rPr>
            </w:pP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For the year ended 31 December 2012</w:t>
            </w:r>
          </w:p>
        </w:tc>
        <w:tc>
          <w:tcPr>
            <w:tcW w:w="2160" w:type="dxa"/>
            <w:vAlign w:val="bottom"/>
          </w:tcPr>
          <w:p>
            <w:pPr>
              <w:spacing w:after="0"/>
              <w:rPr>
                <w:sz w:val="3"/>
                <w:szCs w:val="3"/>
                <w:color w:val="auto"/>
              </w:rPr>
            </w:pPr>
          </w:p>
        </w:tc>
        <w:tc>
          <w:tcPr>
            <w:tcW w:w="6940" w:type="dxa"/>
            <w:vAlign w:val="bottom"/>
          </w:tcPr>
          <w:p>
            <w:pPr>
              <w:spacing w:after="0"/>
              <w:rPr>
                <w:sz w:val="3"/>
                <w:szCs w:val="3"/>
                <w:color w:val="auto"/>
              </w:rPr>
            </w:pPr>
          </w:p>
        </w:tc>
      </w:tr>
      <w:tr>
        <w:trPr>
          <w:trHeight w:val="41"/>
        </w:trPr>
        <w:tc>
          <w:tcPr>
            <w:tcW w:w="4460" w:type="dxa"/>
            <w:vAlign w:val="bottom"/>
            <w:gridSpan w:val="2"/>
          </w:tcPr>
          <w:p>
            <w:pPr>
              <w:spacing w:after="0"/>
              <w:rPr>
                <w:sz w:val="20"/>
                <w:szCs w:val="20"/>
                <w:color w:val="auto"/>
              </w:rPr>
            </w:pPr>
            <w:r>
              <w:rPr>
                <w:rFonts w:ascii="Arial" w:cs="Arial" w:eastAsia="Arial" w:hAnsi="Arial"/>
                <w:sz w:val="3"/>
                <w:szCs w:val="3"/>
                <w:color w:val="FFFFFF"/>
              </w:rPr>
              <w:t>5. INCOME TAX (EXPENSE) BENEFIT (CONTINUED)</w:t>
            </w:r>
          </w:p>
        </w:tc>
        <w:tc>
          <w:tcPr>
            <w:tcW w:w="694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Effective 6 September 2006, WRM received a 5-year exemption from Macau’s 12% Complementary Tax on casino gaming profi ts (the “Tax Holiday”). On 30 November 2010, WRM received an additional 5-</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year  xemption effective from  January 2011 through 31 December 2015. Accordingly, the Group was exempted from the payment of approximately HK$693.5 million in such tax for the year ended</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31 December 2012 (2011: HK$641.4 million). The Group’s non-gaming profi ts remain subject to the Macau Complementary Tax and its casino winnings remain subject to the Macau Special Gaming Tax and</w:t>
            </w:r>
          </w:p>
        </w:tc>
      </w:tr>
      <w:tr>
        <w:trPr>
          <w:trHeight w:val="41"/>
        </w:trPr>
        <w:tc>
          <w:tcPr>
            <w:tcW w:w="4460" w:type="dxa"/>
            <w:vAlign w:val="bottom"/>
            <w:gridSpan w:val="2"/>
          </w:tcPr>
          <w:p>
            <w:pPr>
              <w:spacing w:after="0"/>
              <w:rPr>
                <w:sz w:val="20"/>
                <w:szCs w:val="20"/>
                <w:color w:val="auto"/>
              </w:rPr>
            </w:pPr>
            <w:r>
              <w:rPr>
                <w:rFonts w:ascii="Arial" w:cs="Arial" w:eastAsia="Arial" w:hAnsi="Arial"/>
                <w:sz w:val="3"/>
                <w:szCs w:val="3"/>
                <w:color w:val="FFFFFF"/>
              </w:rPr>
              <w:t>other levies in accordance with its Concession Agreement.</w:t>
            </w:r>
          </w:p>
        </w:tc>
        <w:tc>
          <w:tcPr>
            <w:tcW w:w="6940" w:type="dxa"/>
            <w:vAlign w:val="bottom"/>
          </w:tcPr>
          <w:p>
            <w:pPr>
              <w:spacing w:after="0"/>
              <w:rPr>
                <w:sz w:val="3"/>
                <w:szCs w:val="3"/>
                <w:color w:val="auto"/>
              </w:rPr>
            </w:pP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In June 2009, WRM entered into an agreement, effective retroactively to 2006, with the Macau Special Administrative Region that provided for annual payments of MOP7.2 million (approximately HK$7.0</w:t>
            </w: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million) to the Macau Special</w:t>
            </w:r>
          </w:p>
        </w:tc>
        <w:tc>
          <w:tcPr>
            <w:tcW w:w="2160" w:type="dxa"/>
            <w:vAlign w:val="bottom"/>
          </w:tcPr>
          <w:p>
            <w:pPr>
              <w:ind w:left="200"/>
              <w:spacing w:after="0"/>
              <w:rPr>
                <w:sz w:val="20"/>
                <w:szCs w:val="20"/>
                <w:color w:val="auto"/>
              </w:rPr>
            </w:pPr>
            <w:r>
              <w:rPr>
                <w:rFonts w:ascii="Arial" w:cs="Arial" w:eastAsia="Arial" w:hAnsi="Arial"/>
                <w:sz w:val="3"/>
                <w:szCs w:val="3"/>
                <w:color w:val="FFFFFF"/>
              </w:rPr>
              <w:t>Region in lieu of Complementary T</w:t>
            </w:r>
          </w:p>
        </w:tc>
        <w:tc>
          <w:tcPr>
            <w:tcW w:w="6940" w:type="dxa"/>
            <w:vAlign w:val="bottom"/>
          </w:tcPr>
          <w:p>
            <w:pPr>
              <w:ind w:left="120"/>
              <w:spacing w:after="0"/>
              <w:rPr>
                <w:sz w:val="20"/>
                <w:szCs w:val="20"/>
                <w:color w:val="auto"/>
              </w:rPr>
            </w:pPr>
            <w:r>
              <w:rPr>
                <w:rFonts w:ascii="Arial" w:cs="Arial" w:eastAsia="Arial" w:hAnsi="Arial"/>
                <w:sz w:val="3"/>
                <w:szCs w:val="3"/>
                <w:color w:val="FFFFFF"/>
              </w:rPr>
              <w:t>on dividend distributions to its shareholders from gaming profi ts. The term of this agreement was ? ve years, which coincided</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with the Tax Holiday which beganAdministrative2006.In November 2010, WRM applied forax 5-year extension of this agreement. In August 2011, the 5-year extension was granted with an annual payment of MOP15.5</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million (approximately HK$15.0 million) due to the Macau Special Administration Region for each of the years 2011 through 2015.</w:t>
            </w:r>
          </w:p>
        </w:tc>
      </w:tr>
      <w:tr>
        <w:trPr>
          <w:trHeight w:val="41"/>
        </w:trPr>
        <w:tc>
          <w:tcPr>
            <w:tcW w:w="2300" w:type="dxa"/>
            <w:vAlign w:val="bottom"/>
          </w:tcPr>
          <w:p>
            <w:pPr>
              <w:spacing w:after="0"/>
              <w:rPr>
                <w:sz w:val="20"/>
                <w:szCs w:val="20"/>
                <w:color w:val="auto"/>
              </w:rPr>
            </w:pPr>
            <w:r>
              <w:rPr>
                <w:rFonts w:ascii="Arial" w:cs="Arial" w:eastAsia="Arial" w:hAnsi="Arial"/>
                <w:sz w:val="3"/>
                <w:szCs w:val="3"/>
                <w:color w:val="FFFFFF"/>
              </w:rPr>
              <w:t>The Group is exempt d from income tax</w:t>
            </w:r>
          </w:p>
        </w:tc>
        <w:tc>
          <w:tcPr>
            <w:tcW w:w="9100" w:type="dxa"/>
            <w:vAlign w:val="bottom"/>
            <w:gridSpan w:val="2"/>
          </w:tcPr>
          <w:p>
            <w:pPr>
              <w:ind w:left="80"/>
              <w:spacing w:after="0"/>
              <w:rPr>
                <w:sz w:val="20"/>
                <w:szCs w:val="20"/>
                <w:color w:val="auto"/>
              </w:rPr>
            </w:pPr>
            <w:r>
              <w:rPr>
                <w:rFonts w:ascii="Arial" w:cs="Arial" w:eastAsia="Arial" w:hAnsi="Arial"/>
                <w:sz w:val="3"/>
                <w:szCs w:val="3"/>
                <w:color w:val="FFFFFF"/>
              </w:rPr>
              <w:t>the Isle of Man and the Cayman Islands. The Group’s subsidiaries fi le income tax returns in Macau and various foreign jurisdictions as required by law. The Group’s</w:t>
            </w:r>
          </w:p>
        </w:tc>
      </w:tr>
      <w:tr>
        <w:trPr>
          <w:trHeight w:val="41"/>
        </w:trPr>
        <w:tc>
          <w:tcPr>
            <w:tcW w:w="11400" w:type="dxa"/>
            <w:vAlign w:val="bottom"/>
            <w:gridSpan w:val="3"/>
          </w:tcPr>
          <w:p>
            <w:pPr>
              <w:spacing w:after="0"/>
              <w:rPr>
                <w:sz w:val="20"/>
                <w:szCs w:val="20"/>
                <w:color w:val="auto"/>
              </w:rPr>
            </w:pPr>
            <w:r>
              <w:rPr>
                <w:rFonts w:ascii="Arial" w:cs="Arial" w:eastAsia="Arial" w:hAnsi="Arial"/>
                <w:sz w:val="3"/>
                <w:szCs w:val="3"/>
                <w:color w:val="FFFFFF"/>
              </w:rPr>
              <w:t>income tax returns are subject to examination by tax authorities in the locations where it operates. The Group’s 2008 to 2011 Macau Complementary Tax returns remain subject to examination by the Macau</w:t>
            </w:r>
          </w:p>
        </w:tc>
      </w:tr>
      <w:tr>
        <w:trPr>
          <w:trHeight w:val="0"/>
        </w:trPr>
        <w:tc>
          <w:tcPr>
            <w:tcW w:w="4460" w:type="dxa"/>
            <w:vAlign w:val="bottom"/>
            <w:gridSpan w:val="2"/>
          </w:tcPr>
          <w:p>
            <w:pPr>
              <w:spacing w:after="0" w:line="80" w:lineRule="exact"/>
              <w:rPr>
                <w:sz w:val="20"/>
                <w:szCs w:val="20"/>
                <w:color w:val="auto"/>
              </w:rPr>
            </w:pPr>
            <w:r>
              <w:rPr>
                <w:rFonts w:ascii="Arial" w:cs="Arial" w:eastAsia="Arial" w:hAnsi="Arial"/>
                <w:sz w:val="9"/>
                <w:szCs w:val="9"/>
                <w:color w:val="FFFFFF"/>
              </w:rPr>
              <w:t>Finance Bureau. In 2011, WRM received the results of the Macau</w:t>
            </w:r>
          </w:p>
        </w:tc>
        <w:tc>
          <w:tcPr>
            <w:tcW w:w="6940" w:type="dxa"/>
            <w:vAlign w:val="bottom"/>
          </w:tcPr>
          <w:p>
            <w:pPr>
              <w:ind w:left="20"/>
              <w:spacing w:after="0" w:line="80" w:lineRule="exact"/>
              <w:rPr>
                <w:sz w:val="20"/>
                <w:szCs w:val="20"/>
                <w:color w:val="auto"/>
              </w:rPr>
            </w:pPr>
            <w:r>
              <w:rPr>
                <w:rFonts w:ascii="Arial" w:cs="Arial" w:eastAsia="Arial" w:hAnsi="Arial"/>
                <w:sz w:val="9"/>
                <w:szCs w:val="9"/>
                <w:color w:val="FFFFFF"/>
              </w:rPr>
              <w:t>s examination of its 2006 and 2007 Macau Complementary Tax returns. WRM paid an additional tax payment of MOP8.8</w:t>
            </w:r>
          </w:p>
        </w:tc>
      </w:tr>
    </w:tbl>
    <w:p>
      <w:pPr>
        <w:ind w:right="160"/>
        <w:spacing w:after="0" w:line="234" w:lineRule="auto"/>
        <w:rPr>
          <w:sz w:val="20"/>
          <w:szCs w:val="20"/>
          <w:color w:val="auto"/>
        </w:rPr>
      </w:pPr>
      <w:r>
        <w:rPr>
          <w:rFonts w:ascii="Arial" w:cs="Arial" w:eastAsia="Arial" w:hAnsi="Arial"/>
          <w:sz w:val="9"/>
          <w:szCs w:val="9"/>
          <w:color w:val="FFFFFF"/>
        </w:rPr>
        <w:t>million (approximately HK$8.5 million). In July 2012, the Macau Finance Bureau’commenced an examination of the 2008 Macau Complementary Tax return of WRM. In November 2012, WRM received the results of the Macau Finance Bureau’s examination of its 2008 Macau Complementary Tax returns and WRM did not need to make any additional tax payment. In March 2013, the Macau Finance Bureau commenced an examination of the 2009, 2010 and 2011 Macau Complementary Tax returns for WRM.</w:t>
      </w:r>
    </w:p>
    <w:p>
      <w:pPr>
        <w:sectPr>
          <w:pgSz w:w="11900" w:h="16838" w:orient="portrait"/>
          <w:cols w:equalWidth="0" w:num="1">
            <w:col w:w="11400"/>
          </w:cols>
          <w:pgMar w:left="240" w:top="1440" w:right="259"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115</w:t>
      </w:r>
    </w:p>
    <w:p>
      <w:pPr>
        <w:spacing w:after="0"/>
        <w:rPr>
          <w:sz w:val="20"/>
          <w:szCs w:val="20"/>
          <w:color w:val="auto"/>
        </w:rPr>
      </w:pPr>
      <w:r>
        <w:rPr>
          <w:rFonts w:ascii="Arial" w:cs="Arial" w:eastAsia="Arial" w:hAnsi="Arial"/>
          <w:sz w:val="3"/>
          <w:szCs w:val="3"/>
          <w:color w:val="FFFFFF"/>
        </w:rPr>
        <w:t>Financial Statements</w:t>
      </w:r>
    </w:p>
    <w:p>
      <w:pPr>
        <w:spacing w:after="0" w:line="181" w:lineRule="auto"/>
        <w:rPr>
          <w:sz w:val="20"/>
          <w:szCs w:val="20"/>
          <w:color w:val="auto"/>
        </w:rPr>
      </w:pPr>
      <w:r>
        <w:rPr>
          <w:rFonts w:ascii="Arial" w:cs="Arial" w:eastAsia="Arial" w:hAnsi="Arial"/>
          <w:sz w:val="10"/>
          <w:szCs w:val="10"/>
          <w:color w:val="FFFFFF"/>
        </w:rPr>
        <w:t>ForNotesthetoyearFinancialended Statements31December 2012</w:t>
      </w:r>
    </w:p>
    <w:p>
      <w:pPr>
        <w:spacing w:after="0"/>
        <w:rPr>
          <w:sz w:val="20"/>
          <w:szCs w:val="20"/>
          <w:color w:val="auto"/>
        </w:rPr>
      </w:pPr>
      <w:r>
        <w:rPr>
          <w:rFonts w:ascii="Arial" w:cs="Arial" w:eastAsia="Arial" w:hAnsi="Arial"/>
          <w:sz w:val="3"/>
          <w:szCs w:val="3"/>
          <w:color w:val="FFFFFF"/>
        </w:rPr>
        <w:t>5. INCOME TAX (EXPENSE) BENEFIT (CONTINUED)</w:t>
      </w:r>
    </w:p>
    <w:p>
      <w:pPr>
        <w:spacing w:after="0" w:line="6" w:lineRule="exact"/>
        <w:rPr>
          <w:sz w:val="20"/>
          <w:szCs w:val="20"/>
          <w:color w:val="auto"/>
        </w:rPr>
      </w:pPr>
    </w:p>
    <w:p>
      <w:pPr>
        <w:spacing w:after="0"/>
        <w:rPr>
          <w:sz w:val="20"/>
          <w:szCs w:val="20"/>
          <w:color w:val="auto"/>
        </w:rPr>
      </w:pPr>
      <w:r>
        <w:rPr>
          <w:rFonts w:ascii="Arial" w:cs="Arial" w:eastAsia="Arial" w:hAnsi="Arial"/>
          <w:sz w:val="7"/>
          <w:szCs w:val="7"/>
          <w:color w:val="FFFFFF"/>
        </w:rPr>
        <w:t>Quarterly,InJanuary the2013,Groupthe MacauundertakesFinancereviewsBureaufor anyexaminedpotentiallythe2009unfavorableand2010taxMacauoutcomesComplementaryandwhenanTaxunfavorablereturnsof outcomePalo.Theissuesexaminationidenti?edasresultedbeingprobableinnochangeandcanto thebe reasonablytaxreturns.estimated, the Group then</w:t>
      </w:r>
    </w:p>
    <w:p>
      <w:pPr>
        <w:spacing w:after="0" w:line="1" w:lineRule="exact"/>
        <w:rPr>
          <w:sz w:val="20"/>
          <w:szCs w:val="20"/>
          <w:color w:val="auto"/>
        </w:rPr>
      </w:pPr>
    </w:p>
    <w:p>
      <w:pPr>
        <w:spacing w:after="0"/>
        <w:tabs>
          <w:tab w:leader="none" w:pos="700" w:val="left"/>
        </w:tabs>
        <w:rPr>
          <w:sz w:val="20"/>
          <w:szCs w:val="20"/>
          <w:color w:val="auto"/>
        </w:rPr>
      </w:pPr>
      <w:r>
        <w:rPr>
          <w:rFonts w:ascii="Arial" w:cs="Arial" w:eastAsia="Arial" w:hAnsi="Arial"/>
          <w:sz w:val="3"/>
          <w:szCs w:val="3"/>
          <w:color w:val="FFFFFF"/>
        </w:rPr>
        <w:t>taxestablishes</w:t>
      </w:r>
      <w:r>
        <w:rPr>
          <w:sz w:val="20"/>
          <w:szCs w:val="20"/>
          <w:color w:val="auto"/>
        </w:rPr>
        <w:tab/>
      </w:r>
      <w:r>
        <w:rPr>
          <w:rFonts w:ascii="Arial" w:cs="Arial" w:eastAsia="Arial" w:hAnsi="Arial"/>
          <w:sz w:val="3"/>
          <w:szCs w:val="3"/>
          <w:color w:val="FFFFFF"/>
        </w:rPr>
        <w:t>tax.ThereserveperiodforofsuchassessmentpossibleforunfavorabletheGroup’outcome.Macau EstimatingComplementarypotentialTax taxreturnsoutcomesfortheforyearsanyendeduncertain31Decembertax 2007ishighlyand judgmentalbeforehasclosed.andmayAccordingly,notbeindicativeasof31of Decembertheultimate2011,settlementtheGroupwith the</w:t>
      </w:r>
    </w:p>
    <w:p>
      <w:pPr>
        <w:ind w:right="80"/>
        <w:spacing w:after="0" w:line="186" w:lineRule="auto"/>
        <w:rPr>
          <w:sz w:val="20"/>
          <w:szCs w:val="20"/>
          <w:color w:val="auto"/>
        </w:rPr>
      </w:pPr>
      <w:r>
        <w:rPr>
          <w:rFonts w:ascii="Arial" w:cs="Arial" w:eastAsia="Arial" w:hAnsi="Arial"/>
          <w:sz w:val="12"/>
          <w:szCs w:val="12"/>
          <w:color w:val="FFFFFF"/>
        </w:rPr>
        <w:t>reversedauthoritiesreserve of HK$41.9 million previously established for these years. As of 31 December 2012, the Group has unrecognized tax losses and the Group believes that these unrecognized tax losses are adequate to offset any adjustments that might be proposed by the Macau tax authorities. The Group believes that it has adequately provided reasonable reserves for prudent and foreseeable outcomes related to uncertain tax matters.</w:t>
      </w:r>
    </w:p>
    <w:p>
      <w:pPr>
        <w:sectPr>
          <w:pgSz w:w="11900" w:h="16838" w:orient="portrait"/>
          <w:cols w:equalWidth="0" w:num="1">
            <w:col w:w="11320"/>
          </w:cols>
          <w:pgMar w:left="240" w:top="1440" w:right="339" w:bottom="1440" w:gutter="0" w:footer="0" w:header="0"/>
        </w:sectPr>
      </w:pPr>
    </w:p>
    <w:bookmarkStart w:id="121" w:name="page122"/>
    <w:bookmarkEnd w:id="1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116 Wynn Macau, Limited</w:t>
      </w:r>
    </w:p>
    <w:p>
      <w:pPr>
        <w:spacing w:after="0" w:line="187" w:lineRule="auto"/>
        <w:rPr>
          <w:sz w:val="20"/>
          <w:szCs w:val="20"/>
          <w:color w:val="auto"/>
        </w:rPr>
      </w:pPr>
      <w:r>
        <w:rPr>
          <w:rFonts w:ascii="Arial" w:cs="Arial" w:eastAsia="Arial" w:hAnsi="Arial"/>
          <w:sz w:val="9"/>
          <w:szCs w:val="9"/>
          <w:color w:val="FFFFFF"/>
        </w:rPr>
        <w:t>NotesFinancialtoFinancialStatementsStatements</w:t>
      </w:r>
    </w:p>
    <w:p>
      <w:pPr>
        <w:spacing w:after="0"/>
        <w:rPr>
          <w:sz w:val="20"/>
          <w:szCs w:val="20"/>
          <w:color w:val="auto"/>
        </w:rPr>
      </w:pPr>
      <w:r>
        <w:rPr>
          <w:rFonts w:ascii="Arial" w:cs="Arial" w:eastAsia="Arial" w:hAnsi="Arial"/>
          <w:sz w:val="3"/>
          <w:szCs w:val="3"/>
          <w:color w:val="FFFFFF"/>
        </w:rPr>
        <w:t>For the year ended 31 December 2012</w:t>
      </w:r>
    </w:p>
    <w:p>
      <w:pPr>
        <w:spacing w:after="0" w:line="181" w:lineRule="auto"/>
        <w:rPr>
          <w:sz w:val="20"/>
          <w:szCs w:val="20"/>
          <w:color w:val="auto"/>
        </w:rPr>
      </w:pPr>
      <w:r>
        <w:rPr>
          <w:rFonts w:ascii="Arial" w:cs="Arial" w:eastAsia="Arial" w:hAnsi="Arial"/>
          <w:sz w:val="10"/>
          <w:szCs w:val="10"/>
          <w:color w:val="FFFFFF"/>
        </w:rPr>
        <w:t>For6.DIVIDENDStheyearended</w:t>
      </w:r>
    </w:p>
    <w:p>
      <w:pPr>
        <w:spacing w:after="0"/>
        <w:rPr>
          <w:sz w:val="20"/>
          <w:szCs w:val="20"/>
          <w:color w:val="auto"/>
        </w:rPr>
      </w:pPr>
      <w:r>
        <w:rPr>
          <w:rFonts w:ascii="Arial" w:cs="Arial" w:eastAsia="Arial" w:hAnsi="Arial"/>
          <w:sz w:val="3"/>
          <w:szCs w:val="3"/>
          <w:color w:val="FFFFFF"/>
        </w:rPr>
        <w:t>31 December</w:t>
      </w:r>
    </w:p>
    <w:p>
      <w:pPr>
        <w:spacing w:after="0" w:line="181" w:lineRule="auto"/>
        <w:rPr>
          <w:sz w:val="20"/>
          <w:szCs w:val="20"/>
          <w:color w:val="auto"/>
        </w:rPr>
      </w:pPr>
      <w:r>
        <w:rPr>
          <w:rFonts w:ascii="Arial" w:cs="Arial" w:eastAsia="Arial" w:hAnsi="Arial"/>
          <w:sz w:val="10"/>
          <w:szCs w:val="10"/>
          <w:color w:val="FFFFFF"/>
        </w:rPr>
        <w:t>Special20122011dividendHK$HKdeclared$(inthousands)paidof nil per Share</w:t>
      </w:r>
    </w:p>
    <w:p>
      <w:pPr>
        <w:spacing w:after="0"/>
        <w:rPr>
          <w:sz w:val="20"/>
          <w:szCs w:val="20"/>
          <w:color w:val="auto"/>
        </w:rPr>
      </w:pPr>
      <w:r>
        <w:rPr>
          <w:rFonts w:ascii="Arial" w:cs="Arial" w:eastAsia="Arial" w:hAnsi="Arial"/>
          <w:sz w:val="3"/>
          <w:szCs w:val="3"/>
          <w:color w:val="FFFFFF"/>
        </w:rPr>
        <w:t>(2011: HK$1.20 per Share) — 6,225,060 Proposed ? nal dividend of HK$1.24 (2011: nil) per Share 6,432,562 —</w:t>
      </w:r>
    </w:p>
    <w:p>
      <w:pPr>
        <w:spacing w:after="0" w:line="181" w:lineRule="auto"/>
        <w:rPr>
          <w:sz w:val="20"/>
          <w:szCs w:val="20"/>
          <w:color w:val="auto"/>
        </w:rPr>
      </w:pPr>
      <w:r>
        <w:rPr>
          <w:rFonts w:ascii="Arial" w:cs="Arial" w:eastAsia="Arial" w:hAnsi="Arial"/>
          <w:sz w:val="10"/>
          <w:szCs w:val="10"/>
          <w:color w:val="FFFFFF"/>
        </w:rPr>
        <w:t>The6,432,562proposed6,225,060?naldividend for the year is subject to the approval of the Company’s shareholders at the forthcoming annual general meeting.</w:t>
      </w:r>
    </w:p>
    <w:p>
      <w:pPr>
        <w:spacing w:after="0"/>
        <w:rPr>
          <w:sz w:val="20"/>
          <w:szCs w:val="20"/>
          <w:color w:val="auto"/>
        </w:rPr>
      </w:pPr>
      <w:r>
        <w:rPr>
          <w:rFonts w:ascii="Arial" w:cs="Arial" w:eastAsia="Arial" w:hAnsi="Arial"/>
          <w:sz w:val="3"/>
          <w:szCs w:val="3"/>
          <w:color w:val="FFFFFF"/>
        </w:rPr>
        <w:t>The7.EARNINGScalculation PERofbasicSHAREearningsATTRIBUTABLEperShareamountTOforOWNERStheyear OFendedTHE31 COMPANYDecember2012 is based on the consolidated net pro? t attributable to owners of the Company and on the weighted average number of Shares of 5,187,550,000 issue during the year (2011: .</w:t>
      </w:r>
    </w:p>
    <w:p>
      <w:pPr>
        <w:spacing w:after="0" w:line="6" w:lineRule="exact"/>
        <w:rPr>
          <w:sz w:val="20"/>
          <w:szCs w:val="20"/>
          <w:color w:val="auto"/>
        </w:rPr>
      </w:pPr>
    </w:p>
    <w:p>
      <w:pPr>
        <w:ind w:right="100"/>
        <w:spacing w:after="0"/>
        <w:rPr>
          <w:sz w:val="20"/>
          <w:szCs w:val="20"/>
          <w:color w:val="auto"/>
        </w:rPr>
      </w:pPr>
      <w:r>
        <w:rPr>
          <w:rFonts w:ascii="Arial" w:cs="Arial" w:eastAsia="Arial" w:hAnsi="Arial"/>
          <w:sz w:val="10"/>
          <w:szCs w:val="10"/>
          <w:color w:val="FFFFFF"/>
        </w:rPr>
        <w:t>The diluted earnings per Share amount for the year ended5,187,529,315)December 2012 is calculated based on the consolidated net pro? t attributable to owners of the Company and on the weighted average number of 5,187,943,909 (2011: 5,187,972,450) Shares including Shares of 5,187,550,000 in issue during the year (2011: 5,187,529,315) plus 393,909 potential Shares (2011: 443,135) arising from exercise of share options (see also note 24).</w:t>
      </w:r>
    </w:p>
    <w:p>
      <w:pPr>
        <w:sectPr>
          <w:pgSz w:w="11900" w:h="16838" w:orient="portrait"/>
          <w:cols w:equalWidth="0" w:num="1">
            <w:col w:w="11240"/>
          </w:cols>
          <w:pgMar w:left="240" w:top="1440" w:right="419"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FinancialAnnualReportStatements2012 117</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2012</w:t>
      </w:r>
    </w:p>
    <w:p>
      <w:pPr>
        <w:spacing w:after="0" w:line="188" w:lineRule="auto"/>
        <w:rPr>
          <w:sz w:val="20"/>
          <w:szCs w:val="20"/>
          <w:color w:val="auto"/>
        </w:rPr>
      </w:pPr>
      <w:r>
        <w:rPr>
          <w:rFonts w:ascii="Arial" w:cs="Arial" w:eastAsia="Arial" w:hAnsi="Arial"/>
          <w:sz w:val="9"/>
          <w:szCs w:val="9"/>
          <w:color w:val="FFFFFF"/>
        </w:rPr>
        <w:t>8. PROPERTY AND EQUIPMENT AND CONSTRUCTION IN PROGRESS</w:t>
      </w:r>
    </w:p>
    <w:p>
      <w:pPr>
        <w:spacing w:after="0"/>
        <w:rPr>
          <w:sz w:val="20"/>
          <w:szCs w:val="20"/>
          <w:color w:val="auto"/>
        </w:rPr>
      </w:pPr>
      <w:r>
        <w:rPr>
          <w:rFonts w:ascii="Arial" w:cs="Arial" w:eastAsia="Arial" w:hAnsi="Arial"/>
          <w:sz w:val="3"/>
          <w:szCs w:val="3"/>
          <w:color w:val="FFFFFF"/>
        </w:rPr>
        <w:t>Group:Asummary of the property and equipment and construction in progress is set forth below.</w:t>
      </w:r>
    </w:p>
    <w:p>
      <w:pPr>
        <w:spacing w:after="0" w:line="194" w:lineRule="auto"/>
        <w:rPr>
          <w:sz w:val="20"/>
          <w:szCs w:val="20"/>
          <w:color w:val="auto"/>
        </w:rPr>
      </w:pPr>
      <w:r>
        <w:rPr>
          <w:rFonts w:ascii="Arial" w:cs="Arial" w:eastAsia="Arial" w:hAnsi="Arial"/>
          <w:sz w:val="5"/>
          <w:szCs w:val="5"/>
          <w:color w:val="FFFFFF"/>
        </w:rPr>
        <w:t>Furniture Total</w:t>
      </w:r>
    </w:p>
    <w:p>
      <w:pPr>
        <w:spacing w:after="0" w:line="188" w:lineRule="auto"/>
        <w:rPr>
          <w:sz w:val="20"/>
          <w:szCs w:val="20"/>
          <w:color w:val="auto"/>
        </w:rPr>
      </w:pPr>
      <w:r>
        <w:rPr>
          <w:rFonts w:ascii="Arial" w:cs="Arial" w:eastAsia="Arial" w:hAnsi="Arial"/>
          <w:sz w:val="9"/>
          <w:szCs w:val="9"/>
          <w:color w:val="FFFFFF"/>
        </w:rPr>
        <w:t>Buildings and Fixtures and Leasehold Construction Property and</w:t>
      </w:r>
    </w:p>
    <w:p>
      <w:pPr>
        <w:spacing w:after="0" w:line="187" w:lineRule="auto"/>
        <w:rPr>
          <w:sz w:val="20"/>
          <w:szCs w:val="20"/>
          <w:color w:val="auto"/>
        </w:rPr>
      </w:pPr>
      <w:r>
        <w:rPr>
          <w:rFonts w:ascii="Arial" w:cs="Arial" w:eastAsia="Arial" w:hAnsi="Arial"/>
          <w:sz w:val="9"/>
          <w:szCs w:val="9"/>
          <w:color w:val="FFFFFF"/>
        </w:rPr>
        <w:t>HKImprovements$HK$HK$EquipmentHK$HK$Improvements in Progress Equipment</w:t>
      </w:r>
    </w:p>
    <w:p>
      <w:pPr>
        <w:spacing w:after="0" w:line="188" w:lineRule="auto"/>
        <w:rPr>
          <w:sz w:val="20"/>
          <w:szCs w:val="20"/>
          <w:color w:val="auto"/>
        </w:rPr>
      </w:pPr>
      <w:r>
        <w:rPr>
          <w:rFonts w:ascii="Arial" w:cs="Arial" w:eastAsia="Arial" w:hAnsi="Arial"/>
          <w:sz w:val="9"/>
          <w:szCs w:val="9"/>
          <w:color w:val="FFFFFF"/>
          <w:vertAlign w:val="subscript"/>
        </w:rPr>
        <w:t>Cost</w:t>
      </w:r>
      <w:r>
        <w:rPr>
          <w:rFonts w:ascii="Arial" w:cs="Arial" w:eastAsia="Arial" w:hAnsi="Arial"/>
          <w:sz w:val="7"/>
          <w:szCs w:val="7"/>
          <w:color w:val="FFFFFF"/>
        </w:rPr>
        <w:t>(inthousands)orvaluation:</w:t>
      </w:r>
    </w:p>
    <w:p>
      <w:pPr>
        <w:spacing w:after="0" w:line="188" w:lineRule="auto"/>
        <w:rPr>
          <w:sz w:val="20"/>
          <w:szCs w:val="20"/>
          <w:color w:val="auto"/>
        </w:rPr>
      </w:pPr>
      <w:r>
        <w:rPr>
          <w:rFonts w:ascii="Arial" w:cs="Arial" w:eastAsia="Arial" w:hAnsi="Arial"/>
          <w:sz w:val="9"/>
          <w:szCs w:val="9"/>
          <w:color w:val="FFFFFF"/>
          <w:vertAlign w:val="subscript"/>
        </w:rPr>
        <w:t>Additions</w:t>
      </w:r>
      <w:r>
        <w:rPr>
          <w:rFonts w:ascii="Arial" w:cs="Arial" w:eastAsia="Arial" w:hAnsi="Arial"/>
          <w:sz w:val="7"/>
          <w:szCs w:val="7"/>
          <w:color w:val="FFFFFF"/>
        </w:rPr>
        <w:t>1January4,304201187,6788,883,814145277,0322,250,472369,15937,021 24,014 11,195,321</w:t>
      </w:r>
    </w:p>
    <w:p>
      <w:pPr>
        <w:spacing w:after="0" w:line="188" w:lineRule="auto"/>
        <w:rPr>
          <w:sz w:val="20"/>
          <w:szCs w:val="20"/>
          <w:color w:val="auto"/>
        </w:rPr>
      </w:pPr>
      <w:r>
        <w:rPr>
          <w:rFonts w:ascii="Arial" w:cs="Arial" w:eastAsia="Arial" w:hAnsi="Arial"/>
          <w:sz w:val="7"/>
          <w:szCs w:val="7"/>
          <w:color w:val="FFFFFF"/>
        </w:rPr>
        <w:t>Transfersbandonments/disposals125,883——(125,883)</w:t>
      </w:r>
      <w:r>
        <w:rPr>
          <w:rFonts w:ascii="Arial" w:cs="Arial" w:eastAsia="Arial" w:hAnsi="Arial"/>
          <w:sz w:val="9"/>
          <w:szCs w:val="9"/>
          <w:color w:val="FFFFFF"/>
          <w:vertAlign w:val="superscript"/>
        </w:rPr>
        <w:t>(34,385) (53,040)</w:t>
      </w:r>
      <w:r>
        <w:rPr>
          <w:rFonts w:ascii="Arial" w:cs="Arial" w:eastAsia="Arial" w:hAnsi="Arial"/>
          <w:sz w:val="7"/>
          <w:szCs w:val="7"/>
          <w:color w:val="FFFFFF"/>
        </w:rPr>
        <w:t xml:space="preserve">— </w:t>
      </w:r>
      <w:r>
        <w:rPr>
          <w:rFonts w:ascii="Arial" w:cs="Arial" w:eastAsia="Arial" w:hAnsi="Arial"/>
          <w:sz w:val="9"/>
          <w:szCs w:val="9"/>
          <w:color w:val="FFFFFF"/>
          <w:vertAlign w:val="superscript"/>
        </w:rPr>
        <w:t>(111) (3,706)</w:t>
      </w:r>
      <w:r>
        <w:rPr>
          <w:rFonts w:ascii="Arial" w:cs="Arial" w:eastAsia="Arial" w:hAnsi="Arial"/>
          <w:sz w:val="7"/>
          <w:szCs w:val="7"/>
          <w:color w:val="FFFFFF"/>
        </w:rPr>
        <w:t xml:space="preserve"> (91,242)</w:t>
      </w:r>
    </w:p>
    <w:p>
      <w:pPr>
        <w:spacing w:after="0" w:line="213" w:lineRule="auto"/>
        <w:rPr>
          <w:sz w:val="20"/>
          <w:szCs w:val="20"/>
          <w:color w:val="auto"/>
        </w:rPr>
      </w:pPr>
      <w:r>
        <w:rPr>
          <w:rFonts w:ascii="Arial" w:cs="Arial" w:eastAsia="Arial" w:hAnsi="Arial"/>
          <w:sz w:val="4"/>
          <w:szCs w:val="4"/>
          <w:color w:val="FFFFFF"/>
          <w:vertAlign w:val="subscript"/>
        </w:rPr>
        <w:t>Additions</w:t>
      </w:r>
      <w:r>
        <w:rPr>
          <w:rFonts w:ascii="Arial" w:cs="Arial" w:eastAsia="Arial" w:hAnsi="Arial"/>
          <w:sz w:val="2"/>
          <w:szCs w:val="2"/>
          <w:color w:val="FFFFFF"/>
        </w:rPr>
        <w:t>31December4,467 78,27420118,979,6162871,132,8582,285,1101,215,88637,055 171,457  1,473,238</w:t>
      </w:r>
    </w:p>
    <w:p>
      <w:pPr>
        <w:spacing w:after="0"/>
        <w:rPr>
          <w:sz w:val="20"/>
          <w:szCs w:val="20"/>
          <w:color w:val="auto"/>
        </w:rPr>
      </w:pPr>
      <w:r>
        <w:rPr>
          <w:rFonts w:ascii="Arial" w:cs="Arial" w:eastAsia="Arial" w:hAnsi="Arial"/>
          <w:sz w:val="3"/>
          <w:szCs w:val="3"/>
          <w:color w:val="FFFFFF"/>
        </w:rPr>
        <w:t>Transfers 424,883 11,517 146 (466,760) (30,214)</w:t>
      </w:r>
    </w:p>
    <w:p>
      <w:pPr>
        <w:spacing w:after="0" w:line="194" w:lineRule="auto"/>
        <w:rPr>
          <w:sz w:val="20"/>
          <w:szCs w:val="20"/>
          <w:color w:val="auto"/>
        </w:rPr>
      </w:pPr>
      <w:r>
        <w:rPr>
          <w:rFonts w:ascii="Arial" w:cs="Arial" w:eastAsia="Arial" w:hAnsi="Arial"/>
          <w:sz w:val="5"/>
          <w:szCs w:val="5"/>
          <w:color w:val="FFFFFF"/>
          <w:vertAlign w:val="superscript"/>
        </w:rPr>
        <w:t>At</w:t>
      </w:r>
    </w:p>
    <w:p>
      <w:pPr>
        <w:ind w:left="100"/>
        <w:spacing w:after="0"/>
        <w:rPr>
          <w:sz w:val="20"/>
          <w:szCs w:val="20"/>
          <w:color w:val="auto"/>
        </w:rPr>
      </w:pPr>
      <w:r>
        <w:rPr>
          <w:rFonts w:ascii="Arial" w:cs="Arial" w:eastAsia="Arial" w:hAnsi="Arial"/>
          <w:sz w:val="3"/>
          <w:szCs w:val="3"/>
          <w:color w:val="FFFFFF"/>
        </w:rPr>
        <w:t>bandonments/disposals31December20129,342,033(66,933)2,342,605(32,296) (23,758)13,730837,016(539)(123,526)12,535,384</w:t>
      </w:r>
    </w:p>
    <w:p>
      <w:pPr>
        <w:spacing w:after="0" w:line="194" w:lineRule="auto"/>
        <w:rPr>
          <w:sz w:val="20"/>
          <w:szCs w:val="20"/>
          <w:color w:val="auto"/>
        </w:rPr>
      </w:pPr>
      <w:r>
        <w:rPr>
          <w:rFonts w:ascii="Arial" w:cs="Arial" w:eastAsia="Arial" w:hAnsi="Arial"/>
          <w:sz w:val="5"/>
          <w:szCs w:val="5"/>
          <w:color w:val="FFFFFF"/>
        </w:rPr>
        <w:t>Depreciation:</w:t>
      </w:r>
    </w:p>
    <w:p>
      <w:pPr>
        <w:spacing w:after="0" w:line="188" w:lineRule="auto"/>
        <w:rPr>
          <w:sz w:val="20"/>
          <w:szCs w:val="20"/>
          <w:color w:val="auto"/>
        </w:rPr>
      </w:pPr>
      <w:r>
        <w:rPr>
          <w:rFonts w:ascii="Arial" w:cs="Arial" w:eastAsia="Arial" w:hAnsi="Arial"/>
          <w:sz w:val="9"/>
          <w:szCs w:val="9"/>
          <w:color w:val="FFFFFF"/>
        </w:rPr>
        <w:t>At 1 January 2011 1,375,227 1,439,183 28,724 — 2,843,134</w:t>
      </w:r>
    </w:p>
    <w:p>
      <w:pPr>
        <w:spacing w:after="0" w:line="211" w:lineRule="auto"/>
        <w:rPr>
          <w:sz w:val="20"/>
          <w:szCs w:val="20"/>
          <w:color w:val="auto"/>
        </w:rPr>
      </w:pPr>
      <w:r>
        <w:rPr>
          <w:rFonts w:ascii="Arial" w:cs="Arial" w:eastAsia="Arial" w:hAnsi="Arial"/>
          <w:sz w:val="4"/>
          <w:szCs w:val="4"/>
          <w:color w:val="FFFFFF"/>
          <w:vertAlign w:val="superscript"/>
        </w:rPr>
        <w:t>At</w:t>
      </w:r>
      <w:r>
        <w:rPr>
          <w:rFonts w:ascii="Arial" w:cs="Arial" w:eastAsia="Arial" w:hAnsi="Arial"/>
          <w:sz w:val="2"/>
          <w:szCs w:val="2"/>
          <w:color w:val="FFFFFF"/>
        </w:rPr>
        <w:t>Depreciationbandonments/disposalschargedfor the(10,950)year 606,630(44,918)382,530(111)—4,064(55,979)—993,224</w:t>
      </w:r>
    </w:p>
    <w:p>
      <w:pPr>
        <w:ind w:left="180"/>
        <w:spacing w:after="0" w:line="188" w:lineRule="auto"/>
        <w:rPr>
          <w:sz w:val="20"/>
          <w:szCs w:val="20"/>
          <w:color w:val="auto"/>
        </w:rPr>
      </w:pPr>
      <w:r>
        <w:rPr>
          <w:rFonts w:ascii="Arial" w:cs="Arial" w:eastAsia="Arial" w:hAnsi="Arial"/>
          <w:sz w:val="9"/>
          <w:szCs w:val="9"/>
          <w:color w:val="FFFFFF"/>
        </w:rPr>
        <w:t>31 December 2011 1,970,907 1,776,795 32,677 — 3,780,379</w:t>
      </w:r>
    </w:p>
    <w:p>
      <w:pPr>
        <w:spacing w:after="0"/>
        <w:rPr>
          <w:sz w:val="20"/>
          <w:szCs w:val="20"/>
          <w:color w:val="auto"/>
        </w:rPr>
      </w:pPr>
      <w:r>
        <w:rPr>
          <w:rFonts w:ascii="Arial" w:cs="Arial" w:eastAsia="Arial" w:hAnsi="Arial"/>
          <w:sz w:val="3"/>
          <w:szCs w:val="3"/>
          <w:color w:val="FFFFFF"/>
        </w:rPr>
        <w:t>TransfersDepreciation— (21,100)charged for— —the(21,100)year618,373 226,850 4,161 — 849,384</w:t>
      </w:r>
    </w:p>
    <w:p>
      <w:pPr>
        <w:jc w:val="right"/>
        <w:ind w:right="10079"/>
        <w:spacing w:after="0" w:line="194" w:lineRule="auto"/>
        <w:rPr>
          <w:sz w:val="20"/>
          <w:szCs w:val="20"/>
          <w:color w:val="auto"/>
        </w:rPr>
      </w:pPr>
      <w:r>
        <w:rPr>
          <w:rFonts w:ascii="Arial" w:cs="Arial" w:eastAsia="Arial" w:hAnsi="Arial"/>
          <w:sz w:val="5"/>
          <w:szCs w:val="5"/>
          <w:color w:val="FFFFFF"/>
          <w:vertAlign w:val="superscript"/>
        </w:rPr>
        <w:t>At</w:t>
      </w:r>
    </w:p>
    <w:p>
      <w:pPr>
        <w:jc w:val="right"/>
        <w:ind w:right="6719"/>
        <w:spacing w:after="0"/>
        <w:rPr>
          <w:sz w:val="20"/>
          <w:szCs w:val="20"/>
          <w:color w:val="auto"/>
        </w:rPr>
      </w:pPr>
      <w:r>
        <w:rPr>
          <w:rFonts w:ascii="Arial" w:cs="Arial" w:eastAsia="Arial" w:hAnsi="Arial"/>
          <w:sz w:val="3"/>
          <w:szCs w:val="3"/>
          <w:color w:val="FFFFFF"/>
        </w:rPr>
        <w:t>bandonments/disposals31December20122,568,706(20,574)1,954,385(28,160) (23,758)13,080——4,536,171(72,492)</w:t>
      </w:r>
    </w:p>
    <w:p>
      <w:pPr>
        <w:spacing w:after="0" w:line="194" w:lineRule="auto"/>
        <w:rPr>
          <w:sz w:val="20"/>
          <w:szCs w:val="20"/>
          <w:color w:val="auto"/>
        </w:rPr>
      </w:pPr>
      <w:r>
        <w:rPr>
          <w:rFonts w:ascii="Arial" w:cs="Arial" w:eastAsia="Arial" w:hAnsi="Arial"/>
          <w:sz w:val="5"/>
          <w:szCs w:val="5"/>
          <w:color w:val="FFFFFF"/>
        </w:rPr>
        <w:t>Net carrying amount:</w:t>
      </w:r>
    </w:p>
    <w:p>
      <w:pPr>
        <w:ind w:left="180"/>
        <w:spacing w:after="0" w:line="211" w:lineRule="auto"/>
        <w:rPr>
          <w:sz w:val="20"/>
          <w:szCs w:val="20"/>
          <w:color w:val="auto"/>
        </w:rPr>
      </w:pPr>
      <w:r>
        <w:rPr>
          <w:rFonts w:ascii="Arial" w:cs="Arial" w:eastAsia="Arial" w:hAnsi="Arial"/>
          <w:sz w:val="4"/>
          <w:szCs w:val="4"/>
          <w:color w:val="FFFFFF"/>
          <w:vertAlign w:val="superscript"/>
        </w:rPr>
        <w:t>31</w:t>
      </w:r>
      <w:r>
        <w:rPr>
          <w:rFonts w:ascii="Arial" w:cs="Arial" w:eastAsia="Arial" w:hAnsi="Arial"/>
          <w:sz w:val="2"/>
          <w:szCs w:val="2"/>
          <w:color w:val="FFFFFF"/>
        </w:rPr>
        <w:t xml:space="preserve"> </w:t>
      </w:r>
      <w:r>
        <w:rPr>
          <w:rFonts w:ascii="Arial" w:cs="Arial" w:eastAsia="Arial" w:hAnsi="Arial"/>
          <w:sz w:val="4"/>
          <w:szCs w:val="4"/>
          <w:color w:val="FFFFFF"/>
          <w:vertAlign w:val="subscript"/>
        </w:rPr>
        <w:t>December 201</w:t>
      </w:r>
      <w:r>
        <w:rPr>
          <w:rFonts w:ascii="Arial" w:cs="Arial" w:eastAsia="Arial" w:hAnsi="Arial"/>
          <w:sz w:val="2"/>
          <w:szCs w:val="2"/>
          <w:color w:val="FFFFFF"/>
        </w:rPr>
        <w:t>2 6,773,327 388,220 650 837,016 7,999,213</w:t>
      </w:r>
    </w:p>
    <w:p>
      <w:pPr>
        <w:spacing w:after="0" w:line="212" w:lineRule="auto"/>
        <w:tabs>
          <w:tab w:leader="none" w:pos="1120" w:val="left"/>
        </w:tabs>
        <w:rPr>
          <w:sz w:val="20"/>
          <w:szCs w:val="20"/>
          <w:color w:val="auto"/>
        </w:rPr>
      </w:pPr>
      <w:r>
        <w:rPr>
          <w:rFonts w:ascii="Arial" w:cs="Arial" w:eastAsia="Arial" w:hAnsi="Arial"/>
          <w:sz w:val="4"/>
          <w:szCs w:val="4"/>
          <w:color w:val="FFFFFF"/>
          <w:vertAlign w:val="superscript"/>
        </w:rPr>
        <w:t>At</w:t>
      </w:r>
      <w:r>
        <w:rPr>
          <w:sz w:val="20"/>
          <w:szCs w:val="20"/>
          <w:color w:val="auto"/>
        </w:rPr>
        <w:tab/>
      </w:r>
      <w:r>
        <w:rPr>
          <w:rFonts w:ascii="Arial" w:cs="Arial" w:eastAsia="Arial" w:hAnsi="Arial"/>
          <w:sz w:val="2"/>
          <w:szCs w:val="2"/>
          <w:color w:val="FFFFFF"/>
        </w:rPr>
        <w:t>1 7,008,709 508,315 4,378 171,457 7,692,859</w:t>
      </w:r>
    </w:p>
    <w:p>
      <w:pPr>
        <w:ind w:left="280"/>
        <w:spacing w:after="0"/>
        <w:rPr>
          <w:sz w:val="20"/>
          <w:szCs w:val="20"/>
          <w:color w:val="auto"/>
        </w:rPr>
      </w:pPr>
      <w:r>
        <w:rPr>
          <w:rFonts w:ascii="Arial" w:cs="Arial" w:eastAsia="Arial" w:hAnsi="Arial"/>
          <w:sz w:val="14"/>
          <w:szCs w:val="14"/>
          <w:color w:val="FFFFFF"/>
        </w:rPr>
        <w:t>January 2011 7,508,587 811,289 8,297 24,014 8,352,187</w:t>
      </w:r>
    </w:p>
    <w:p>
      <w:pPr>
        <w:sectPr>
          <w:pgSz w:w="11900" w:h="16838" w:orient="portrait"/>
          <w:cols w:equalWidth="0" w:num="1">
            <w:col w:w="10219"/>
          </w:cols>
          <w:pgMar w:left="240" w:top="1440" w:right="1440" w:bottom="1440" w:gutter="0" w:footer="0" w:header="0"/>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Financial118WynnStatementsMacau,Limited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2012</w:t>
      </w:r>
    </w:p>
    <w:p>
      <w:pPr>
        <w:spacing w:after="0"/>
        <w:rPr>
          <w:sz w:val="20"/>
          <w:szCs w:val="20"/>
          <w:color w:val="auto"/>
        </w:rPr>
      </w:pPr>
      <w:r>
        <w:rPr>
          <w:rFonts w:ascii="Arial" w:cs="Arial" w:eastAsia="Arial" w:hAnsi="Arial"/>
          <w:sz w:val="3"/>
          <w:szCs w:val="3"/>
          <w:color w:val="FFFFFF"/>
        </w:rPr>
        <w:t>9. LEASEHOLD INTERESTS IN LAND</w:t>
      </w:r>
    </w:p>
    <w:p>
      <w:pPr>
        <w:spacing w:after="0" w:line="6" w:lineRule="exact"/>
        <w:rPr>
          <w:sz w:val="20"/>
          <w:szCs w:val="20"/>
          <w:color w:val="auto"/>
        </w:rPr>
      </w:pPr>
    </w:p>
    <w:p>
      <w:pPr>
        <w:spacing w:after="0" w:line="187" w:lineRule="auto"/>
        <w:rPr>
          <w:sz w:val="20"/>
          <w:szCs w:val="20"/>
          <w:color w:val="auto"/>
        </w:rPr>
      </w:pPr>
      <w:r>
        <w:rPr>
          <w:rFonts w:ascii="Arial" w:cs="Arial" w:eastAsia="Arial" w:hAnsi="Arial"/>
          <w:sz w:val="9"/>
          <w:szCs w:val="9"/>
          <w:color w:val="FFFFFF"/>
        </w:rPr>
        <w:t>The Group has the leasing rights for certain land in Macau under a 25-year concession, which expires in August 2029, granted by the Macau Government in return for the payment of a premium, all installments of which were paid before 31 December 2009.</w:t>
      </w:r>
    </w:p>
    <w:p>
      <w:pPr>
        <w:spacing w:after="0" w:line="213" w:lineRule="auto"/>
        <w:rPr>
          <w:sz w:val="20"/>
          <w:szCs w:val="20"/>
          <w:color w:val="auto"/>
        </w:rPr>
      </w:pPr>
      <w:r>
        <w:rPr>
          <w:rFonts w:ascii="Arial" w:cs="Arial" w:eastAsia="Arial" w:hAnsi="Arial"/>
          <w:sz w:val="2"/>
          <w:szCs w:val="2"/>
          <w:color w:val="FFFFFF"/>
        </w:rPr>
        <w:t>In 2011, the Group formally accepted the draft terms and conditions</w:t>
      </w:r>
      <w:r>
        <w:rPr>
          <w:rFonts w:ascii="Arial" w:cs="Arial" w:eastAsia="Arial" w:hAnsi="Arial"/>
          <w:sz w:val="4"/>
          <w:szCs w:val="4"/>
          <w:color w:val="FFFFFF"/>
          <w:vertAlign w:val="subscript"/>
        </w:rPr>
        <w:t>payment</w:t>
      </w:r>
      <w:r>
        <w:rPr>
          <w:rFonts w:ascii="Arial" w:cs="Arial" w:eastAsia="Arial" w:hAnsi="Arial"/>
          <w:sz w:val="2"/>
          <w:szCs w:val="2"/>
          <w:color w:val="FFFFFF"/>
        </w:rPr>
        <w:t>of 25-year land concession from the Macau Government for 51 acres of land in Cotai (“Cotai Land”). The land premium of MOP1,547.4</w:t>
      </w:r>
    </w:p>
    <w:p>
      <w:pPr>
        <w:spacing w:after="0"/>
        <w:tabs>
          <w:tab w:leader="none" w:pos="3940" w:val="left"/>
        </w:tabs>
        <w:rPr>
          <w:sz w:val="20"/>
          <w:szCs w:val="20"/>
          <w:color w:val="auto"/>
        </w:rPr>
      </w:pPr>
      <w:r>
        <w:rPr>
          <w:rFonts w:ascii="Arial" w:cs="Arial" w:eastAsia="Arial" w:hAnsi="Arial"/>
          <w:sz w:val="2"/>
          <w:szCs w:val="2"/>
          <w:color w:val="FFFFFF"/>
        </w:rPr>
        <w:t>million (approximately HK$1,502.4 million) comprises</w:t>
      </w:r>
      <w:r>
        <w:rPr>
          <w:rFonts w:ascii="Arial" w:cs="Arial" w:eastAsia="Arial" w:hAnsi="Arial"/>
          <w:sz w:val="4"/>
          <w:szCs w:val="4"/>
          <w:color w:val="FFFFFF"/>
          <w:vertAlign w:val="superscript"/>
        </w:rPr>
        <w:t>each,</w:t>
      </w:r>
      <w:r>
        <w:rPr>
          <w:rFonts w:ascii="Arial" w:cs="Arial" w:eastAsia="Arial" w:hAnsi="Arial"/>
          <w:sz w:val="2"/>
          <w:szCs w:val="2"/>
          <w:color w:val="FFFFFF"/>
        </w:rPr>
        <w:t>down</w:t>
      </w:r>
      <w:r>
        <w:rPr>
          <w:sz w:val="20"/>
          <w:szCs w:val="20"/>
          <w:color w:val="auto"/>
        </w:rPr>
        <w:tab/>
      </w:r>
      <w:r>
        <w:rPr>
          <w:rFonts w:ascii="Arial" w:cs="Arial" w:eastAsia="Arial" w:hAnsi="Arial"/>
          <w:sz w:val="3"/>
          <w:szCs w:val="3"/>
          <w:color w:val="FFFFFF"/>
        </w:rPr>
        <w:t>of MOP500 million (approximately HK$485.4 million), made in December 2011, and eight additional semi-annual payments of</w:t>
      </w:r>
    </w:p>
    <w:p>
      <w:pPr>
        <w:ind w:right="100"/>
        <w:spacing w:after="0"/>
        <w:rPr>
          <w:sz w:val="20"/>
          <w:szCs w:val="20"/>
          <w:color w:val="auto"/>
        </w:rPr>
      </w:pPr>
      <w:r>
        <w:rPr>
          <w:rFonts w:ascii="Arial" w:cs="Arial" w:eastAsia="Arial" w:hAnsi="Arial"/>
          <w:sz w:val="9"/>
          <w:szCs w:val="9"/>
          <w:color w:val="FFFFFF"/>
        </w:rPr>
        <w:t>MOP130.9 million (approximately HK$127.1 million) including 5% interest as required by the Macau Government. The fi rst of the eight semi-annual payments was paid in November 2012, six months after the publication of the Cotai Land concession in the of? cial gazette of Macau.</w:t>
      </w:r>
    </w:p>
    <w:p>
      <w:pPr>
        <w:ind w:left="100"/>
        <w:spacing w:after="0" w:line="203" w:lineRule="auto"/>
        <w:rPr>
          <w:sz w:val="20"/>
          <w:szCs w:val="20"/>
          <w:color w:val="auto"/>
        </w:rPr>
      </w:pPr>
      <w:r>
        <w:rPr>
          <w:rFonts w:ascii="Arial" w:cs="Arial" w:eastAsia="Arial" w:hAnsi="Arial"/>
          <w:sz w:val="6"/>
          <w:szCs w:val="6"/>
          <w:color w:val="FFFFFF"/>
        </w:rPr>
        <w:t>and concessions in Macau are generally renewable for additional periods, subject to applicable legislation.</w:t>
      </w:r>
    </w:p>
    <w:p>
      <w:pPr>
        <w:spacing w:after="0" w:line="188" w:lineRule="auto"/>
        <w:rPr>
          <w:sz w:val="20"/>
          <w:szCs w:val="20"/>
          <w:color w:val="auto"/>
        </w:rPr>
      </w:pPr>
      <w:r>
        <w:rPr>
          <w:rFonts w:ascii="Arial" w:cs="Arial" w:eastAsia="Arial" w:hAnsi="Arial"/>
          <w:sz w:val="9"/>
          <w:szCs w:val="9"/>
          <w:color w:val="FFFFFF"/>
          <w:vertAlign w:val="subscript"/>
        </w:rPr>
        <w:t>GroupLeasehold</w:t>
      </w:r>
      <w:r>
        <w:rPr>
          <w:rFonts w:ascii="Arial" w:cs="Arial" w:eastAsia="Arial" w:hAnsi="Arial"/>
          <w:sz w:val="7"/>
          <w:szCs w:val="7"/>
          <w:color w:val="FFFFFF"/>
        </w:rPr>
        <w:t xml:space="preserve"> interests which recognize the premiums and other capitalized costs are set forth below.</w:t>
      </w:r>
    </w:p>
    <w:p>
      <w:pPr>
        <w:spacing w:after="0"/>
        <w:rPr>
          <w:sz w:val="20"/>
          <w:szCs w:val="20"/>
          <w:color w:val="auto"/>
        </w:rPr>
      </w:pPr>
      <w:r>
        <w:rPr>
          <w:rFonts w:ascii="Arial" w:cs="Arial" w:eastAsia="Arial" w:hAnsi="Arial"/>
          <w:sz w:val="3"/>
          <w:szCs w:val="3"/>
          <w:color w:val="FFFFFF"/>
        </w:rPr>
        <w:t>2012Asat 201131December</w:t>
      </w:r>
    </w:p>
    <w:p>
      <w:pPr>
        <w:spacing w:after="0" w:line="181" w:lineRule="auto"/>
        <w:rPr>
          <w:sz w:val="20"/>
          <w:szCs w:val="20"/>
          <w:color w:val="auto"/>
        </w:rPr>
      </w:pPr>
      <w:r>
        <w:rPr>
          <w:rFonts w:ascii="Arial" w:cs="Arial" w:eastAsia="Arial" w:hAnsi="Arial"/>
          <w:sz w:val="10"/>
          <w:szCs w:val="10"/>
          <w:color w:val="FFFFFF"/>
        </w:rPr>
        <w:t>HK$ HK$</w:t>
      </w:r>
    </w:p>
    <w:p>
      <w:pPr>
        <w:spacing w:after="0"/>
        <w:rPr>
          <w:sz w:val="20"/>
          <w:szCs w:val="20"/>
          <w:color w:val="auto"/>
        </w:rPr>
      </w:pPr>
      <w:r>
        <w:rPr>
          <w:rFonts w:ascii="Arial" w:cs="Arial" w:eastAsia="Arial" w:hAnsi="Arial"/>
          <w:sz w:val="3"/>
          <w:szCs w:val="3"/>
          <w:color w:val="FFFFFF"/>
        </w:rPr>
        <w:t>Cost:(inthousands)</w:t>
      </w:r>
    </w:p>
    <w:p>
      <w:pPr>
        <w:spacing w:after="0" w:line="181" w:lineRule="auto"/>
        <w:rPr>
          <w:sz w:val="20"/>
          <w:szCs w:val="20"/>
          <w:color w:val="auto"/>
        </w:rPr>
      </w:pPr>
      <w:r>
        <w:rPr>
          <w:rFonts w:ascii="Arial" w:cs="Arial" w:eastAsia="Arial" w:hAnsi="Arial"/>
          <w:sz w:val="10"/>
          <w:szCs w:val="10"/>
          <w:color w:val="FFFFFF"/>
          <w:vertAlign w:val="subscript"/>
        </w:rPr>
        <w:t>Addition</w:t>
      </w:r>
      <w:r>
        <w:rPr>
          <w:rFonts w:ascii="Arial" w:cs="Arial" w:eastAsia="Arial" w:hAnsi="Arial"/>
          <w:sz w:val="7"/>
          <w:szCs w:val="7"/>
          <w:color w:val="FFFFFF"/>
        </w:rPr>
        <w:t>beginning of the year 2,388,484 594,921</w:t>
      </w:r>
    </w:p>
    <w:p>
      <w:pPr>
        <w:spacing w:after="0" w:line="213" w:lineRule="auto"/>
        <w:rPr>
          <w:sz w:val="20"/>
          <w:szCs w:val="20"/>
          <w:color w:val="auto"/>
        </w:rPr>
      </w:pPr>
      <w:r>
        <w:rPr>
          <w:rFonts w:ascii="Arial" w:cs="Arial" w:eastAsia="Arial" w:hAnsi="Arial"/>
          <w:sz w:val="2"/>
          <w:szCs w:val="2"/>
          <w:color w:val="FFFFFF"/>
        </w:rPr>
        <w:t>O</w:t>
      </w:r>
      <w:r>
        <w:rPr>
          <w:rFonts w:ascii="Arial" w:cs="Arial" w:eastAsia="Arial" w:hAnsi="Arial"/>
          <w:sz w:val="4"/>
          <w:szCs w:val="4"/>
          <w:color w:val="FFFFFF"/>
          <w:vertAlign w:val="subscript"/>
        </w:rPr>
        <w:t>mortization:</w:t>
      </w:r>
      <w:r>
        <w:rPr>
          <w:rFonts w:ascii="Arial" w:cs="Arial" w:eastAsia="Arial" w:hAnsi="Arial"/>
          <w:sz w:val="2"/>
          <w:szCs w:val="2"/>
          <w:color w:val="FFFFFF"/>
        </w:rPr>
        <w:t>hermovements—1,793,563(4,462) —</w:t>
      </w:r>
    </w:p>
    <w:p>
      <w:pPr>
        <w:ind w:left="180"/>
        <w:spacing w:after="0" w:line="187" w:lineRule="auto"/>
        <w:rPr>
          <w:sz w:val="20"/>
          <w:szCs w:val="20"/>
          <w:color w:val="auto"/>
        </w:rPr>
      </w:pPr>
      <w:r>
        <w:rPr>
          <w:rFonts w:ascii="Arial" w:cs="Arial" w:eastAsia="Arial" w:hAnsi="Arial"/>
          <w:sz w:val="9"/>
          <w:szCs w:val="9"/>
          <w:color w:val="FFFFFF"/>
        </w:rPr>
        <w:t>end of the year 2,384,022 2,388,484</w:t>
      </w:r>
    </w:p>
    <w:p>
      <w:pPr>
        <w:ind w:left="180"/>
        <w:spacing w:after="0" w:line="213" w:lineRule="auto"/>
        <w:rPr>
          <w:sz w:val="20"/>
          <w:szCs w:val="20"/>
          <w:color w:val="auto"/>
        </w:rPr>
      </w:pPr>
      <w:r>
        <w:rPr>
          <w:rFonts w:ascii="Arial" w:cs="Arial" w:eastAsia="Arial" w:hAnsi="Arial"/>
          <w:sz w:val="2"/>
          <w:szCs w:val="2"/>
          <w:color w:val="FFFFFF"/>
        </w:rPr>
        <w:t xml:space="preserve">beginning of the year 144,399 </w:t>
      </w:r>
      <w:r>
        <w:rPr>
          <w:rFonts w:ascii="Arial" w:cs="Arial" w:eastAsia="Arial" w:hAnsi="Arial"/>
          <w:sz w:val="4"/>
          <w:szCs w:val="4"/>
          <w:color w:val="FFFFFF"/>
          <w:vertAlign w:val="superscript"/>
        </w:rPr>
        <w:t>72,316</w:t>
      </w:r>
      <w:r>
        <w:rPr>
          <w:rFonts w:ascii="Arial" w:cs="Arial" w:eastAsia="Arial" w:hAnsi="Arial"/>
          <w:sz w:val="2"/>
          <w:szCs w:val="2"/>
          <w:color w:val="FFFFFF"/>
        </w:rPr>
        <w:t>19,792</w:t>
      </w:r>
    </w:p>
    <w:p>
      <w:pPr>
        <w:spacing w:after="0" w:line="211" w:lineRule="auto"/>
        <w:rPr>
          <w:sz w:val="20"/>
          <w:szCs w:val="20"/>
          <w:color w:val="auto"/>
        </w:rPr>
      </w:pPr>
      <w:r>
        <w:rPr>
          <w:rFonts w:ascii="Arial" w:cs="Arial" w:eastAsia="Arial" w:hAnsi="Arial"/>
          <w:sz w:val="4"/>
          <w:szCs w:val="4"/>
          <w:color w:val="FFFFFF"/>
          <w:vertAlign w:val="superscript"/>
        </w:rPr>
        <w:t>At</w:t>
      </w:r>
    </w:p>
    <w:p>
      <w:pPr>
        <w:ind w:left="180"/>
        <w:spacing w:after="0"/>
        <w:tabs>
          <w:tab w:leader="none" w:pos="2200" w:val="left"/>
        </w:tabs>
        <w:rPr>
          <w:sz w:val="20"/>
          <w:szCs w:val="20"/>
          <w:color w:val="auto"/>
        </w:rPr>
      </w:pPr>
      <w:r>
        <w:rPr>
          <w:rFonts w:ascii="Arial" w:cs="Arial" w:eastAsia="Arial" w:hAnsi="Arial"/>
          <w:sz w:val="3"/>
          <w:szCs w:val="3"/>
          <w:color w:val="FFFFFF"/>
        </w:rPr>
        <w:t>end of the yearcharge216,715forthe144,399year</w:t>
      </w:r>
      <w:r>
        <w:rPr>
          <w:sz w:val="20"/>
          <w:szCs w:val="20"/>
          <w:color w:val="auto"/>
        </w:rPr>
        <w:tab/>
      </w:r>
      <w:r>
        <w:rPr>
          <w:rFonts w:ascii="Arial" w:cs="Arial" w:eastAsia="Arial" w:hAnsi="Arial"/>
          <w:sz w:val="3"/>
          <w:szCs w:val="3"/>
          <w:color w:val="FFFFFF"/>
        </w:rPr>
        <w:t>24,607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Net carrying amount 2,167,307 2,244,085</w:t>
      </w:r>
    </w:p>
    <w:p>
      <w:pPr>
        <w:sectPr>
          <w:pgSz w:w="11900" w:h="16838" w:orient="portrait"/>
          <w:cols w:equalWidth="0" w:num="1">
            <w:col w:w="11340"/>
          </w:cols>
          <w:pgMar w:left="240" w:top="1440" w:right="31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Arial" w:cs="Arial" w:eastAsia="Arial" w:hAnsi="Arial"/>
                <w:sz w:val="14"/>
                <w:szCs w:val="14"/>
                <w:color w:val="FFFFFF"/>
                <w:w w:val="86"/>
              </w:rPr>
              <w:t>Annual Report 2012 119</w:t>
            </w:r>
          </w:p>
        </w:tc>
        <w:tc>
          <w:tcPr>
            <w:tcW w:w="30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3000" w:type="dxa"/>
            <w:vAlign w:val="bottom"/>
          </w:tcPr>
          <w:p>
            <w:pPr>
              <w:spacing w:after="0"/>
              <w:rPr>
                <w:sz w:val="3"/>
                <w:szCs w:val="3"/>
                <w:color w:val="auto"/>
              </w:rPr>
            </w:pPr>
          </w:p>
        </w:tc>
        <w:tc>
          <w:tcPr>
            <w:tcW w:w="4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4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4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40" w:type="dxa"/>
            <w:vAlign w:val="bottom"/>
            <w:gridSpan w:val="3"/>
          </w:tcPr>
          <w:p>
            <w:pPr>
              <w:spacing w:after="0"/>
              <w:rPr>
                <w:sz w:val="20"/>
                <w:szCs w:val="20"/>
                <w:color w:val="auto"/>
              </w:rPr>
            </w:pPr>
            <w:r>
              <w:rPr>
                <w:rFonts w:ascii="Arial" w:cs="Arial" w:eastAsia="Arial" w:hAnsi="Arial"/>
                <w:sz w:val="3"/>
                <w:szCs w:val="3"/>
                <w:color w:val="FFFFFF"/>
              </w:rPr>
              <w:t>For the year ended 31 December 2012</w:t>
            </w:r>
          </w:p>
        </w:tc>
        <w:tc>
          <w:tcPr>
            <w:tcW w:w="4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10.</w:t>
            </w:r>
          </w:p>
        </w:tc>
        <w:tc>
          <w:tcPr>
            <w:tcW w:w="1000" w:type="dxa"/>
            <w:vAlign w:val="bottom"/>
          </w:tcPr>
          <w:p>
            <w:pPr>
              <w:ind w:left="120"/>
              <w:spacing w:after="0"/>
              <w:rPr>
                <w:sz w:val="20"/>
                <w:szCs w:val="20"/>
                <w:color w:val="auto"/>
              </w:rPr>
            </w:pPr>
            <w:r>
              <w:rPr>
                <w:rFonts w:ascii="Arial" w:cs="Arial" w:eastAsia="Arial" w:hAnsi="Arial"/>
                <w:sz w:val="3"/>
                <w:szCs w:val="3"/>
                <w:color w:val="FFFFFF"/>
              </w:rPr>
              <w:t>GOODWILL</w:t>
            </w:r>
          </w:p>
        </w:tc>
        <w:tc>
          <w:tcPr>
            <w:tcW w:w="3000" w:type="dxa"/>
            <w:vAlign w:val="bottom"/>
          </w:tcPr>
          <w:p>
            <w:pPr>
              <w:spacing w:after="0"/>
              <w:rPr>
                <w:sz w:val="3"/>
                <w:szCs w:val="3"/>
                <w:color w:val="auto"/>
              </w:rPr>
            </w:pPr>
          </w:p>
        </w:tc>
        <w:tc>
          <w:tcPr>
            <w:tcW w:w="7040" w:type="dxa"/>
            <w:vAlign w:val="bottom"/>
            <w:gridSpan w:val="3"/>
            <w:vMerge w:val="restart"/>
          </w:tcPr>
          <w:p>
            <w:pPr>
              <w:ind w:left="260"/>
              <w:spacing w:after="0" w:line="95" w:lineRule="exact"/>
              <w:rPr>
                <w:sz w:val="20"/>
                <w:szCs w:val="20"/>
                <w:color w:val="auto"/>
              </w:rPr>
            </w:pPr>
            <w:r>
              <w:rPr>
                <w:rFonts w:ascii="Arial" w:cs="Arial" w:eastAsia="Arial" w:hAnsi="Arial"/>
                <w:sz w:val="10"/>
                <w:szCs w:val="10"/>
                <w:color w:val="FFFFFF"/>
              </w:rPr>
              <w:t>in WRM h ld by third parties, in exchange for 1,333,333 shares of Wynn Resorts, Limited’s common stock. Mr. Wong Chi</w:t>
            </w:r>
          </w:p>
        </w:tc>
        <w:tc>
          <w:tcPr>
            <w:tcW w:w="0" w:type="dxa"/>
            <w:vAlign w:val="bottom"/>
          </w:tcPr>
          <w:p>
            <w:pPr>
              <w:spacing w:after="0"/>
              <w:rPr>
                <w:sz w:val="1"/>
                <w:szCs w:val="1"/>
                <w:color w:val="auto"/>
              </w:rPr>
            </w:pPr>
          </w:p>
        </w:tc>
      </w:tr>
      <w:tr>
        <w:trPr>
          <w:trHeight w:val="54"/>
        </w:trPr>
        <w:tc>
          <w:tcPr>
            <w:tcW w:w="4340" w:type="dxa"/>
            <w:vAlign w:val="bottom"/>
            <w:gridSpan w:val="3"/>
          </w:tcPr>
          <w:p>
            <w:pPr>
              <w:spacing w:after="0" w:line="54" w:lineRule="exact"/>
              <w:rPr>
                <w:sz w:val="20"/>
                <w:szCs w:val="20"/>
                <w:color w:val="auto"/>
              </w:rPr>
            </w:pPr>
            <w:r>
              <w:rPr>
                <w:rFonts w:ascii="Arial" w:cs="Arial" w:eastAsia="Arial" w:hAnsi="Arial"/>
                <w:sz w:val="6"/>
                <w:szCs w:val="6"/>
                <w:color w:val="FFFFFF"/>
              </w:rPr>
              <w:t>In September 2004, the Group acquired all of the 17.5% indirect ownership</w:t>
            </w:r>
          </w:p>
        </w:tc>
        <w:tc>
          <w:tcPr>
            <w:tcW w:w="70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Seng, one of the third parties, retained a direct 10% voting and social interestinterestsWRM and agreed to continue to serve as Executive Director. The acquired shares provide, in aggregate, a nominal preferential</w:t>
            </w:r>
          </w:p>
        </w:tc>
        <w:tc>
          <w:tcPr>
            <w:tcW w:w="0" w:type="dxa"/>
            <w:vAlign w:val="bottom"/>
          </w:tcPr>
          <w:p>
            <w:pPr>
              <w:spacing w:after="0"/>
              <w:rPr>
                <w:sz w:val="1"/>
                <w:szCs w:val="1"/>
                <w:color w:val="auto"/>
              </w:rPr>
            </w:pPr>
          </w:p>
        </w:tc>
      </w:tr>
      <w:tr>
        <w:trPr>
          <w:trHeight w:val="41"/>
        </w:trPr>
        <w:tc>
          <w:tcPr>
            <w:tcW w:w="8800" w:type="dxa"/>
            <w:vAlign w:val="bottom"/>
            <w:gridSpan w:val="4"/>
          </w:tcPr>
          <w:p>
            <w:pPr>
              <w:spacing w:after="0"/>
              <w:rPr>
                <w:sz w:val="20"/>
                <w:szCs w:val="20"/>
                <w:color w:val="auto"/>
              </w:rPr>
            </w:pPr>
            <w:r>
              <w:rPr>
                <w:rFonts w:ascii="Arial" w:cs="Arial" w:eastAsia="Arial" w:hAnsi="Arial"/>
                <w:sz w:val="3"/>
                <w:szCs w:val="3"/>
                <w:color w:val="FFFFFF"/>
              </w:rPr>
              <w:t>annual dividend and capital distribution rights of up to one Macau pataca. As a result of the acquisition, WRM became an indirectly wholly owned subsidiary of</w:t>
            </w:r>
          </w:p>
        </w:tc>
        <w:tc>
          <w:tcPr>
            <w:tcW w:w="1160" w:type="dxa"/>
            <w:vAlign w:val="bottom"/>
          </w:tcPr>
          <w:p>
            <w:pPr>
              <w:ind w:left="100"/>
              <w:spacing w:after="0"/>
              <w:rPr>
                <w:sz w:val="20"/>
                <w:szCs w:val="20"/>
                <w:color w:val="auto"/>
              </w:rPr>
            </w:pPr>
            <w:r>
              <w:rPr>
                <w:rFonts w:ascii="Arial" w:cs="Arial" w:eastAsia="Arial" w:hAnsi="Arial"/>
                <w:sz w:val="3"/>
                <w:szCs w:val="3"/>
                <w:color w:val="FFFFFF"/>
              </w:rPr>
              <w:t>Group.</w:t>
            </w:r>
          </w:p>
        </w:tc>
        <w:tc>
          <w:tcPr>
            <w:tcW w:w="142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of the acquisition. The</w:t>
            </w:r>
          </w:p>
        </w:tc>
        <w:tc>
          <w:tcPr>
            <w:tcW w:w="0" w:type="dxa"/>
            <w:vAlign w:val="bottom"/>
          </w:tcPr>
          <w:p>
            <w:pPr>
              <w:spacing w:after="0"/>
              <w:rPr>
                <w:sz w:val="1"/>
                <w:szCs w:val="1"/>
                <w:color w:val="auto"/>
              </w:rPr>
            </w:pPr>
          </w:p>
        </w:tc>
      </w:tr>
      <w:tr>
        <w:trPr>
          <w:trHeight w:val="41"/>
        </w:trPr>
        <w:tc>
          <w:tcPr>
            <w:tcW w:w="9960" w:type="dxa"/>
            <w:vAlign w:val="bottom"/>
            <w:gridSpan w:val="5"/>
          </w:tcPr>
          <w:p>
            <w:pPr>
              <w:spacing w:after="0"/>
              <w:rPr>
                <w:sz w:val="20"/>
                <w:szCs w:val="20"/>
                <w:color w:val="auto"/>
              </w:rPr>
            </w:pPr>
            <w:r>
              <w:rPr>
                <w:rFonts w:ascii="Arial" w:cs="Arial" w:eastAsia="Arial" w:hAnsi="Arial"/>
                <w:sz w:val="3"/>
                <w:szCs w:val="3"/>
                <w:color w:val="FFFFFF"/>
              </w:rPr>
              <w:t>In accordance with the Group’ accounting policy for the acquisition of non-controlling interests, the assets and liabilities of WRM were not restated to refl ect their fair values at the</w:t>
            </w: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difference between the purchase price and the non-controlling share of the assets and liabilities re? ected within the consolidated statement of fi nancial position of HK$398.3 million datethe date of the acquisition</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was</w:t>
            </w:r>
          </w:p>
        </w:tc>
        <w:tc>
          <w:tcPr>
            <w:tcW w:w="4000" w:type="dxa"/>
            <w:vAlign w:val="bottom"/>
            <w:gridSpan w:val="2"/>
          </w:tcPr>
          <w:p>
            <w:pPr>
              <w:ind w:left="140"/>
              <w:spacing w:after="0"/>
              <w:rPr>
                <w:sz w:val="20"/>
                <w:szCs w:val="20"/>
                <w:color w:val="auto"/>
              </w:rPr>
            </w:pPr>
            <w:r>
              <w:rPr>
                <w:rFonts w:ascii="Arial" w:cs="Arial" w:eastAsia="Arial" w:hAnsi="Arial"/>
                <w:sz w:val="3"/>
                <w:szCs w:val="3"/>
                <w:color w:val="FFFFFF"/>
              </w:rPr>
              <w:t>rded as goodwill.</w:t>
            </w:r>
          </w:p>
        </w:tc>
        <w:tc>
          <w:tcPr>
            <w:tcW w:w="4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340" w:type="dxa"/>
            <w:vAlign w:val="bottom"/>
            <w:gridSpan w:val="2"/>
          </w:tcPr>
          <w:p>
            <w:pPr>
              <w:spacing w:after="0" w:line="80" w:lineRule="exact"/>
              <w:rPr>
                <w:sz w:val="20"/>
                <w:szCs w:val="20"/>
                <w:color w:val="auto"/>
              </w:rPr>
            </w:pPr>
            <w:r>
              <w:rPr>
                <w:rFonts w:ascii="Arial" w:cs="Arial" w:eastAsia="Arial" w:hAnsi="Arial"/>
                <w:sz w:val="9"/>
                <w:szCs w:val="9"/>
                <w:color w:val="FFFFFF"/>
              </w:rPr>
              <w:t>The recoverable</w:t>
            </w:r>
          </w:p>
        </w:tc>
        <w:tc>
          <w:tcPr>
            <w:tcW w:w="10040" w:type="dxa"/>
            <w:vAlign w:val="bottom"/>
            <w:gridSpan w:val="4"/>
          </w:tcPr>
          <w:p>
            <w:pPr>
              <w:ind w:left="20"/>
              <w:spacing w:after="0" w:line="80" w:lineRule="exact"/>
              <w:rPr>
                <w:sz w:val="20"/>
                <w:szCs w:val="20"/>
                <w:color w:val="auto"/>
              </w:rPr>
            </w:pPr>
            <w:r>
              <w:rPr>
                <w:rFonts w:ascii="Arial" w:cs="Arial" w:eastAsia="Arial" w:hAnsi="Arial"/>
                <w:sz w:val="9"/>
                <w:szCs w:val="9"/>
                <w:color w:val="FFFFFF"/>
              </w:rPr>
              <w:t>of a cash-generating unit (“CGU”) has b en determined based on value-in-use calculations. These calculations use pre-tax cash fl ow projections based on ? nancial budgets approved by</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management coveringamount</w:t>
      </w:r>
      <w:r>
        <w:rPr>
          <w:rFonts w:ascii="Arial" w:cs="Arial" w:eastAsia="Arial" w:hAnsi="Arial"/>
          <w:sz w:val="1"/>
          <w:szCs w:val="1"/>
          <w:color w:val="FFFFFF"/>
          <w:vertAlign w:val="subscript"/>
        </w:rPr>
        <w:t>development,</w:t>
      </w:r>
      <w:r>
        <w:rPr>
          <w:rFonts w:ascii="Arial" w:cs="Arial" w:eastAsia="Arial" w:hAnsi="Arial"/>
          <w:sz w:val="1"/>
          <w:szCs w:val="1"/>
          <w:color w:val="FFFFFF"/>
        </w:rPr>
        <w:t>?-yearperiod. Cash ? ows covering the ? ve-year period are extrapolated using an estimated weighted average growth rate that is determined based on past performance and</w:t>
      </w:r>
    </w:p>
    <w:p>
      <w:pPr>
        <w:ind w:left="440" w:right="40" w:hanging="430"/>
        <w:spacing w:after="0" w:line="187" w:lineRule="auto"/>
        <w:rPr>
          <w:sz w:val="20"/>
          <w:szCs w:val="20"/>
          <w:color w:val="auto"/>
        </w:rPr>
      </w:pPr>
      <w:r>
        <w:rPr>
          <w:rFonts w:ascii="Arial" w:cs="Arial" w:eastAsia="Arial" w:hAnsi="Arial"/>
          <w:sz w:val="27"/>
          <w:szCs w:val="27"/>
          <w:color w:val="FFFFFF"/>
          <w:vertAlign w:val="subscript"/>
        </w:rPr>
        <w:t>applied</w:t>
      </w:r>
      <w:r>
        <w:rPr>
          <w:rFonts w:ascii="Arial" w:cs="Arial" w:eastAsia="Arial" w:hAnsi="Arial"/>
          <w:sz w:val="14"/>
          <w:szCs w:val="14"/>
          <w:color w:val="FFFFFF"/>
        </w:rPr>
        <w:t>exectations for market</w:t>
      </w:r>
      <w:r>
        <w:rPr>
          <w:sz w:val="20"/>
          <w:szCs w:val="20"/>
          <w:color w:val="auto"/>
        </w:rPr>
        <w:t xml:space="preserve"> </w:t>
      </w:r>
      <w:r>
        <w:rPr>
          <w:rFonts w:ascii="Arial" w:cs="Arial" w:eastAsia="Arial" w:hAnsi="Arial"/>
          <w:sz w:val="7"/>
          <w:szCs w:val="7"/>
          <w:color w:val="FFFFFF"/>
        </w:rPr>
        <w:t>including the expected opening of the resort in Cotai in 2016. The weighted average growth rate used is consistent with the forecasts used in the industry. The discount rate to the cash ? ow projections is</w:t>
      </w:r>
      <w:r>
        <w:rPr>
          <w:rFonts w:ascii="Arial" w:cs="Arial" w:eastAsia="Arial" w:hAnsi="Arial"/>
          <w:sz w:val="9"/>
          <w:szCs w:val="9"/>
          <w:color w:val="FFFFFF"/>
          <w:vertAlign w:val="subscript"/>
        </w:rPr>
        <w:t>2012,</w:t>
      </w:r>
      <w:r>
        <w:rPr>
          <w:rFonts w:ascii="Arial" w:cs="Arial" w:eastAsia="Arial" w:hAnsi="Arial"/>
          <w:sz w:val="7"/>
          <w:szCs w:val="7"/>
          <w:color w:val="FFFFFF"/>
        </w:rPr>
        <w:t>.3% (2011: 1.6%). The discount rates used are pre-tax and re? ect speci? c risks relating to the Group.</w:t>
      </w:r>
    </w:p>
    <w:p>
      <w:pPr>
        <w:spacing w:after="0"/>
        <w:tabs>
          <w:tab w:leader="none" w:pos="2320" w:val="left"/>
        </w:tabs>
        <w:rPr>
          <w:sz w:val="20"/>
          <w:szCs w:val="20"/>
          <w:color w:val="auto"/>
        </w:rPr>
      </w:pPr>
      <w:r>
        <w:rPr>
          <w:rFonts w:ascii="Arial" w:cs="Arial" w:eastAsia="Arial" w:hAnsi="Arial"/>
          <w:sz w:val="14"/>
          <w:szCs w:val="14"/>
          <w:color w:val="FFFFFF"/>
        </w:rPr>
        <w:t>During the year ended 31 December</w:t>
      </w:r>
      <w:r>
        <w:rPr>
          <w:sz w:val="20"/>
          <w:szCs w:val="20"/>
          <w:color w:val="auto"/>
        </w:rPr>
        <w:tab/>
      </w:r>
      <w:r>
        <w:rPr>
          <w:rFonts w:ascii="Arial" w:cs="Arial" w:eastAsia="Arial" w:hAnsi="Arial"/>
          <w:sz w:val="12"/>
          <w:szCs w:val="12"/>
          <w:color w:val="FFFFFF"/>
        </w:rPr>
        <w:t>there was no impairment of any of its CGUs containing goodwill with inde? nite useful lives (2011: nil).</w:t>
      </w:r>
    </w:p>
    <w:p>
      <w:pPr>
        <w:sectPr>
          <w:pgSz w:w="11900" w:h="16838" w:orient="portrait"/>
          <w:cols w:equalWidth="0" w:num="1">
            <w:col w:w="11380"/>
          </w:cols>
          <w:pgMar w:left="240" w:top="1440" w:right="27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Financial120WynnStatementsMacau,Limited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0" w:lineRule="auto"/>
        <w:rPr>
          <w:sz w:val="20"/>
          <w:szCs w:val="20"/>
          <w:color w:val="auto"/>
        </w:rPr>
      </w:pPr>
      <w:r>
        <w:rPr>
          <w:rFonts w:ascii="Arial" w:cs="Arial" w:eastAsia="Arial" w:hAnsi="Arial"/>
          <w:sz w:val="11"/>
          <w:szCs w:val="11"/>
          <w:color w:val="FFFFFF"/>
        </w:rPr>
        <w:t>For the year ended 31 December 2012</w:t>
      </w:r>
    </w:p>
    <w:p>
      <w:pPr>
        <w:spacing w:after="0" w:line="188" w:lineRule="auto"/>
        <w:rPr>
          <w:sz w:val="20"/>
          <w:szCs w:val="20"/>
          <w:color w:val="auto"/>
        </w:rPr>
      </w:pPr>
      <w:r>
        <w:rPr>
          <w:rFonts w:ascii="Arial" w:cs="Arial" w:eastAsia="Arial" w:hAnsi="Arial"/>
          <w:sz w:val="9"/>
          <w:szCs w:val="9"/>
          <w:color w:val="FFFFFF"/>
        </w:rPr>
        <w:t>Group11. andAVAILABLECompany-FOR-SALE INVESTMENTS</w:t>
      </w:r>
    </w:p>
    <w:p>
      <w:pPr>
        <w:spacing w:after="0" w:line="188" w:lineRule="auto"/>
        <w:rPr>
          <w:sz w:val="20"/>
          <w:szCs w:val="20"/>
          <w:color w:val="auto"/>
        </w:rPr>
      </w:pPr>
      <w:r>
        <w:rPr>
          <w:rFonts w:ascii="Arial" w:cs="Arial" w:eastAsia="Arial" w:hAnsi="Arial"/>
          <w:sz w:val="9"/>
          <w:szCs w:val="9"/>
          <w:color w:val="FFFFFF"/>
        </w:rPr>
        <w:t>2012Asat 201131December</w:t>
      </w:r>
    </w:p>
    <w:p>
      <w:pPr>
        <w:spacing w:after="0"/>
        <w:rPr>
          <w:sz w:val="20"/>
          <w:szCs w:val="20"/>
          <w:color w:val="auto"/>
        </w:rPr>
      </w:pPr>
      <w:r>
        <w:rPr>
          <w:rFonts w:ascii="Arial" w:cs="Arial" w:eastAsia="Arial" w:hAnsi="Arial"/>
          <w:sz w:val="3"/>
          <w:szCs w:val="3"/>
          <w:color w:val="FFFFFF"/>
        </w:rPr>
        <w:t>(inHKthousands)$HK$</w:t>
      </w:r>
    </w:p>
    <w:p>
      <w:pPr>
        <w:spacing w:after="0" w:line="190" w:lineRule="auto"/>
        <w:rPr>
          <w:sz w:val="20"/>
          <w:szCs w:val="20"/>
          <w:color w:val="auto"/>
        </w:rPr>
      </w:pPr>
      <w:r>
        <w:rPr>
          <w:rFonts w:ascii="Arial" w:cs="Arial" w:eastAsia="Arial" w:hAnsi="Arial"/>
          <w:sz w:val="14"/>
          <w:szCs w:val="14"/>
          <w:color w:val="FFFFFF"/>
        </w:rPr>
        <w:t>ListedHongKongdebt securities,62,58159,685atfair value:</w:t>
      </w:r>
    </w:p>
    <w:p>
      <w:pPr>
        <w:spacing w:after="0" w:line="188" w:lineRule="auto"/>
        <w:rPr>
          <w:sz w:val="20"/>
          <w:szCs w:val="20"/>
          <w:color w:val="auto"/>
        </w:rPr>
      </w:pPr>
      <w:r>
        <w:rPr>
          <w:rFonts w:ascii="Arial" w:cs="Arial" w:eastAsia="Arial" w:hAnsi="Arial"/>
          <w:sz w:val="9"/>
          <w:szCs w:val="9"/>
          <w:color w:val="FFFFFF"/>
        </w:rPr>
        <w:t>268,072Elsewhere255,635205,491 195,950</w:t>
      </w:r>
    </w:p>
    <w:p>
      <w:pPr>
        <w:spacing w:after="0" w:line="188" w:lineRule="auto"/>
        <w:rPr>
          <w:sz w:val="20"/>
          <w:szCs w:val="20"/>
          <w:color w:val="auto"/>
        </w:rPr>
      </w:pPr>
      <w:r>
        <w:rPr>
          <w:rFonts w:ascii="Arial" w:cs="Arial" w:eastAsia="Arial" w:hAnsi="Arial"/>
          <w:sz w:val="9"/>
          <w:szCs w:val="9"/>
          <w:color w:val="FFFFFF"/>
        </w:rPr>
        <w:t>421,832Unlisted 508,820debtsecurities, at fair value: 153,760 253,185</w:t>
      </w:r>
    </w:p>
    <w:p>
      <w:pPr>
        <w:spacing w:after="0"/>
        <w:rPr>
          <w:sz w:val="20"/>
          <w:szCs w:val="20"/>
          <w:color w:val="auto"/>
        </w:rPr>
      </w:pPr>
      <w:r>
        <w:rPr>
          <w:rFonts w:ascii="Arial" w:cs="Arial" w:eastAsia="Arial" w:hAnsi="Arial"/>
          <w:sz w:val="3"/>
          <w:szCs w:val="3"/>
          <w:color w:val="FFFFFF"/>
        </w:rPr>
        <w:t>CurrentPortion classi?edportion385,498asnon-104,066current(36,334) (404,754)</w:t>
      </w:r>
    </w:p>
    <w:p>
      <w:pPr>
        <w:spacing w:after="0" w:line="194" w:lineRule="auto"/>
        <w:rPr>
          <w:sz w:val="20"/>
          <w:szCs w:val="20"/>
          <w:color w:val="auto"/>
        </w:rPr>
      </w:pPr>
      <w:r>
        <w:rPr>
          <w:rFonts w:ascii="Arial" w:cs="Arial" w:eastAsia="Arial" w:hAnsi="Arial"/>
          <w:sz w:val="5"/>
          <w:szCs w:val="5"/>
          <w:color w:val="FFFFFF"/>
        </w:rPr>
        <w:t>During the year, the gross gain in respect of the Group’s available-for-sale investments recognized in other comprehensive income amounted to HK$11.95 million (2011: loss of HK$14.3 million), and gross loss</w:t>
      </w:r>
    </w:p>
    <w:p>
      <w:pPr>
        <w:spacing w:after="0"/>
        <w:rPr>
          <w:sz w:val="20"/>
          <w:szCs w:val="20"/>
          <w:color w:val="auto"/>
        </w:rPr>
      </w:pPr>
      <w:r>
        <w:rPr>
          <w:rFonts w:ascii="Arial" w:cs="Arial" w:eastAsia="Arial" w:hAnsi="Arial"/>
          <w:sz w:val="3"/>
          <w:szCs w:val="3"/>
          <w:color w:val="FFFFFF"/>
        </w:rPr>
        <w:t>of HK$0.02 million (2011: nil) was reclassifi ed from other comprehensive income to pro? t before tax for the year.</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The investments are all denominated in Offshore RMB and have ? xed interest rates ranging from 1.35% to 4.63% and will mature between one and two years.</w:t>
      </w:r>
    </w:p>
    <w:p>
      <w:pPr>
        <w:sectPr>
          <w:pgSz w:w="11900" w:h="16838" w:orient="portrait"/>
          <w:cols w:equalWidth="0" w:num="1">
            <w:col w:w="11380"/>
          </w:cols>
          <w:pgMar w:left="240" w:top="1440" w:right="27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FinancialAnnualReportStatements2012 121</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2012</w:t>
      </w:r>
    </w:p>
    <w:p>
      <w:pPr>
        <w:spacing w:after="0" w:line="188" w:lineRule="auto"/>
        <w:tabs>
          <w:tab w:leader="none" w:pos="440" w:val="left"/>
        </w:tabs>
        <w:rPr>
          <w:sz w:val="20"/>
          <w:szCs w:val="20"/>
          <w:color w:val="auto"/>
        </w:rPr>
      </w:pPr>
      <w:r>
        <w:rPr>
          <w:rFonts w:ascii="Arial" w:cs="Arial" w:eastAsia="Arial" w:hAnsi="Arial"/>
          <w:sz w:val="6"/>
          <w:szCs w:val="6"/>
          <w:color w:val="FFFFFF"/>
        </w:rPr>
        <w:t>11.</w:t>
      </w:r>
      <w:r>
        <w:rPr>
          <w:sz w:val="20"/>
          <w:szCs w:val="20"/>
          <w:color w:val="auto"/>
        </w:rPr>
        <w:tab/>
      </w:r>
      <w:r>
        <w:rPr>
          <w:rFonts w:ascii="Arial" w:cs="Arial" w:eastAsia="Arial" w:hAnsi="Arial"/>
          <w:sz w:val="6"/>
          <w:szCs w:val="6"/>
          <w:color w:val="FFFFFF"/>
        </w:rPr>
        <w:t>AVAILABLE-FOR-SALE INVESTMENTS (CONTINUED)</w:t>
      </w:r>
    </w:p>
    <w:p>
      <w:pPr>
        <w:ind w:right="160"/>
        <w:spacing w:after="0" w:line="181" w:lineRule="auto"/>
        <w:rPr>
          <w:sz w:val="20"/>
          <w:szCs w:val="20"/>
          <w:color w:val="auto"/>
        </w:rPr>
      </w:pPr>
      <w:r>
        <w:rPr>
          <w:rFonts w:ascii="Arial" w:cs="Arial" w:eastAsia="Arial" w:hAnsi="Arial"/>
          <w:sz w:val="7"/>
          <w:szCs w:val="7"/>
          <w:color w:val="FFFFFF"/>
        </w:rPr>
        <w:t>Originally, the Group’s investments were classifi ed as held-to-maturity because the Group had the positive intent and ability to hold them to maturity. However, during the third quarter of 2011, due to the economic uncertainty in the global ? nancial markets, the Group has reassessed the intention to hold the investments to maturity and changed the classi? cation of its entire investments with a carrying value amounting to Offshore RMB427.9 million (approximately HK$524.5 million) from held-to-maturity to available-for-sale.</w:t>
      </w:r>
    </w:p>
    <w:p>
      <w:pPr>
        <w:spacing w:after="0" w:line="212" w:lineRule="auto"/>
        <w:rPr>
          <w:sz w:val="20"/>
          <w:szCs w:val="20"/>
          <w:color w:val="auto"/>
        </w:rPr>
      </w:pPr>
      <w:r>
        <w:rPr>
          <w:rFonts w:ascii="Arial" w:cs="Arial" w:eastAsia="Arial" w:hAnsi="Arial"/>
          <w:sz w:val="2"/>
          <w:szCs w:val="2"/>
          <w:color w:val="FFFFFF"/>
        </w:rPr>
        <w:t>The Company obtains pricing information in determining the fair values of its listed and unlisted</w:t>
      </w:r>
      <w:r>
        <w:rPr>
          <w:rFonts w:ascii="Arial" w:cs="Arial" w:eastAsia="Arial" w:hAnsi="Arial"/>
          <w:sz w:val="4"/>
          <w:szCs w:val="4"/>
          <w:color w:val="FFFFFF"/>
          <w:vertAlign w:val="subscript"/>
        </w:rPr>
        <w:t>would</w:t>
      </w:r>
      <w:r>
        <w:rPr>
          <w:rFonts w:ascii="Arial" w:cs="Arial" w:eastAsia="Arial" w:hAnsi="Arial"/>
          <w:sz w:val="2"/>
          <w:szCs w:val="2"/>
          <w:color w:val="FFFFFF"/>
        </w:rPr>
        <w:t xml:space="preserve"> available-for-sale debt securities</w:t>
      </w:r>
      <w:r>
        <w:rPr>
          <w:rFonts w:ascii="Arial" w:cs="Arial" w:eastAsia="Arial" w:hAnsi="Arial"/>
          <w:sz w:val="4"/>
          <w:szCs w:val="4"/>
          <w:color w:val="FFFFFF"/>
          <w:vertAlign w:val="subscript"/>
        </w:rPr>
        <w:t>inputs</w:t>
      </w:r>
      <w:r>
        <w:rPr>
          <w:rFonts w:ascii="Arial" w:cs="Arial" w:eastAsia="Arial" w:hAnsi="Arial"/>
          <w:sz w:val="2"/>
          <w:szCs w:val="2"/>
          <w:color w:val="FFFFFF"/>
        </w:rPr>
        <w:t xml:space="preserve"> from independent pricing vendors. Based on management’</w:t>
      </w:r>
      <w:r>
        <w:rPr>
          <w:rFonts w:ascii="Arial" w:cs="Arial" w:eastAsia="Arial" w:hAnsi="Arial"/>
          <w:sz w:val="4"/>
          <w:szCs w:val="4"/>
          <w:color w:val="FFFFFF"/>
          <w:vertAlign w:val="subscript"/>
        </w:rPr>
        <w:t>observable</w:t>
      </w:r>
      <w:r>
        <w:rPr>
          <w:rFonts w:ascii="Arial" w:cs="Arial" w:eastAsia="Arial" w:hAnsi="Arial"/>
          <w:sz w:val="2"/>
          <w:szCs w:val="2"/>
          <w:color w:val="FFFFFF"/>
        </w:rPr>
        <w:t>inquiries, the</w:t>
      </w:r>
    </w:p>
    <w:p>
      <w:pPr>
        <w:spacing w:after="0"/>
        <w:rPr>
          <w:sz w:val="20"/>
          <w:szCs w:val="20"/>
          <w:color w:val="auto"/>
        </w:rPr>
      </w:pPr>
      <w:r>
        <w:rPr>
          <w:rFonts w:ascii="Arial" w:cs="Arial" w:eastAsia="Arial" w:hAnsi="Arial"/>
          <w:sz w:val="6"/>
          <w:szCs w:val="6"/>
          <w:color w:val="FFFFFF"/>
        </w:rPr>
        <w:t>pricing vendors use various pricing models consistent with what other market participants use. The assumptions and used by the pricing vendors are derived from market sources including reported trades, broker/dealer quotes, issuer spreads, benchmark curves, bids, offers and other market-related data. None of the debt securities are either past due or impaired as at 31 December 2012.</w:t>
      </w:r>
    </w:p>
    <w:p>
      <w:pPr>
        <w:spacing w:after="0" w:line="185" w:lineRule="auto"/>
        <w:tabs>
          <w:tab w:leader="none" w:pos="440" w:val="left"/>
        </w:tabs>
        <w:rPr>
          <w:sz w:val="20"/>
          <w:szCs w:val="20"/>
          <w:color w:val="auto"/>
        </w:rPr>
      </w:pPr>
      <w:r>
        <w:rPr>
          <w:rFonts w:ascii="Arial" w:cs="Arial" w:eastAsia="Arial" w:hAnsi="Arial"/>
          <w:sz w:val="12"/>
          <w:szCs w:val="12"/>
          <w:color w:val="FFFFFF"/>
        </w:rPr>
        <w:t>12.</w:t>
      </w:r>
      <w:r>
        <w:rPr>
          <w:sz w:val="20"/>
          <w:szCs w:val="20"/>
          <w:color w:val="auto"/>
        </w:rPr>
        <w:tab/>
      </w:r>
      <w:r>
        <w:rPr>
          <w:rFonts w:ascii="Arial" w:cs="Arial" w:eastAsia="Arial" w:hAnsi="Arial"/>
          <w:sz w:val="12"/>
          <w:szCs w:val="12"/>
          <w:color w:val="FFFFFF"/>
        </w:rPr>
        <w:t>OTHER NON-CURRENT ASSETS</w:t>
      </w:r>
    </w:p>
    <w:p>
      <w:pPr>
        <w:spacing w:after="0" w:line="188" w:lineRule="auto"/>
        <w:rPr>
          <w:sz w:val="20"/>
          <w:szCs w:val="20"/>
          <w:color w:val="auto"/>
        </w:rPr>
      </w:pPr>
      <w:r>
        <w:rPr>
          <w:rFonts w:ascii="Arial" w:cs="Arial" w:eastAsia="Arial" w:hAnsi="Arial"/>
          <w:sz w:val="9"/>
          <w:szCs w:val="9"/>
          <w:color w:val="FFFFFF"/>
        </w:rPr>
        <w:t>GroupOthernon-current assets consist of the following as at 31 December 2012 and 2011:</w:t>
      </w:r>
    </w:p>
    <w:p>
      <w:pPr>
        <w:spacing w:after="0" w:line="188" w:lineRule="auto"/>
        <w:rPr>
          <w:sz w:val="20"/>
          <w:szCs w:val="20"/>
          <w:color w:val="auto"/>
        </w:rPr>
      </w:pPr>
      <w:r>
        <w:rPr>
          <w:rFonts w:ascii="Arial" w:cs="Arial" w:eastAsia="Arial" w:hAnsi="Arial"/>
          <w:sz w:val="9"/>
          <w:szCs w:val="9"/>
          <w:color w:val="FFFFFF"/>
        </w:rPr>
        <w:t>2012Asat 201131December</w:t>
      </w:r>
    </w:p>
    <w:p>
      <w:pPr>
        <w:spacing w:after="0" w:line="188" w:lineRule="auto"/>
        <w:rPr>
          <w:sz w:val="20"/>
          <w:szCs w:val="20"/>
          <w:color w:val="auto"/>
        </w:rPr>
      </w:pPr>
      <w:r>
        <w:rPr>
          <w:rFonts w:ascii="Arial" w:cs="Arial" w:eastAsia="Arial" w:hAnsi="Arial"/>
          <w:sz w:val="9"/>
          <w:szCs w:val="9"/>
          <w:color w:val="FFFFFF"/>
        </w:rPr>
        <w:t>(inHKthousands)$HK$</w:t>
      </w:r>
    </w:p>
    <w:p>
      <w:pPr>
        <w:spacing w:after="0" w:line="188" w:lineRule="auto"/>
        <w:rPr>
          <w:sz w:val="20"/>
          <w:szCs w:val="20"/>
          <w:color w:val="auto"/>
        </w:rPr>
      </w:pPr>
      <w:r>
        <w:rPr>
          <w:rFonts w:ascii="Arial" w:cs="Arial" w:eastAsia="Arial" w:hAnsi="Arial"/>
          <w:sz w:val="9"/>
          <w:szCs w:val="9"/>
          <w:color w:val="FFFFFF"/>
        </w:rPr>
        <w:t>MembershipsAdiamondand1,020?ne art1,020234,370 234,370</w:t>
      </w:r>
    </w:p>
    <w:p>
      <w:pPr>
        <w:spacing w:after="0"/>
        <w:rPr>
          <w:sz w:val="20"/>
          <w:szCs w:val="20"/>
          <w:color w:val="auto"/>
        </w:rPr>
      </w:pPr>
      <w:r>
        <w:rPr>
          <w:rFonts w:ascii="Arial" w:cs="Arial" w:eastAsia="Arial" w:hAnsi="Arial"/>
          <w:sz w:val="3"/>
          <w:szCs w:val="3"/>
          <w:color w:val="FFFFFF"/>
        </w:rPr>
        <w:t>DepositsChina,glass,7,351silverware8,301 and other 35,843 42,059</w:t>
      </w:r>
    </w:p>
    <w:p>
      <w:pPr>
        <w:spacing w:after="0" w:line="194" w:lineRule="auto"/>
        <w:rPr>
          <w:sz w:val="20"/>
          <w:szCs w:val="20"/>
          <w:color w:val="auto"/>
        </w:rPr>
      </w:pPr>
      <w:r>
        <w:rPr>
          <w:rFonts w:ascii="Arial" w:cs="Arial" w:eastAsia="Arial" w:hAnsi="Arial"/>
          <w:sz w:val="5"/>
          <w:szCs w:val="5"/>
          <w:color w:val="FFFFFF"/>
        </w:rPr>
        <w:t>Others 2,516 —</w:t>
      </w:r>
    </w:p>
    <w:p>
      <w:pPr>
        <w:spacing w:after="0"/>
        <w:rPr>
          <w:sz w:val="20"/>
          <w:szCs w:val="20"/>
          <w:color w:val="auto"/>
        </w:rPr>
      </w:pPr>
      <w:r>
        <w:rPr>
          <w:rFonts w:ascii="Arial" w:cs="Arial" w:eastAsia="Arial" w:hAnsi="Arial"/>
          <w:sz w:val="14"/>
          <w:szCs w:val="14"/>
          <w:color w:val="FFFFFF"/>
        </w:rPr>
        <w:t>281,100 285,750</w:t>
      </w:r>
    </w:p>
    <w:p>
      <w:pPr>
        <w:sectPr>
          <w:pgSz w:w="11900" w:h="16838" w:orient="portrait"/>
          <w:cols w:equalWidth="0" w:num="1">
            <w:col w:w="11260"/>
          </w:cols>
          <w:pgMar w:left="240" w:top="1440" w:right="39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Financial122WynnStatementsMacau,Limited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0" w:lineRule="auto"/>
        <w:rPr>
          <w:sz w:val="20"/>
          <w:szCs w:val="20"/>
          <w:color w:val="auto"/>
        </w:rPr>
      </w:pPr>
      <w:r>
        <w:rPr>
          <w:rFonts w:ascii="Arial" w:cs="Arial" w:eastAsia="Arial" w:hAnsi="Arial"/>
          <w:sz w:val="11"/>
          <w:szCs w:val="11"/>
          <w:color w:val="FFFFFF"/>
        </w:rPr>
        <w:t>For the year ended 31 December 2012</w:t>
      </w:r>
    </w:p>
    <w:p>
      <w:pPr>
        <w:spacing w:after="0" w:line="188" w:lineRule="auto"/>
        <w:rPr>
          <w:sz w:val="20"/>
          <w:szCs w:val="20"/>
          <w:color w:val="auto"/>
        </w:rPr>
      </w:pPr>
      <w:r>
        <w:rPr>
          <w:rFonts w:ascii="Arial" w:cs="Arial" w:eastAsia="Arial" w:hAnsi="Arial"/>
          <w:sz w:val="9"/>
          <w:szCs w:val="9"/>
          <w:color w:val="FFFFFF"/>
        </w:rPr>
        <w:t>Company13.INVESTMENT IN A SUBSIDIARY</w:t>
      </w:r>
    </w:p>
    <w:p>
      <w:pPr>
        <w:spacing w:after="0" w:line="188" w:lineRule="auto"/>
        <w:rPr>
          <w:sz w:val="20"/>
          <w:szCs w:val="20"/>
          <w:color w:val="auto"/>
        </w:rPr>
      </w:pPr>
      <w:r>
        <w:rPr>
          <w:rFonts w:ascii="Arial" w:cs="Arial" w:eastAsia="Arial" w:hAnsi="Arial"/>
          <w:sz w:val="9"/>
          <w:szCs w:val="9"/>
          <w:color w:val="FFFFFF"/>
        </w:rPr>
        <w:t>2012Asat 201131December</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7"/>
          <w:szCs w:val="7"/>
          <w:color w:val="FFFFFF"/>
        </w:rPr>
        <w:t xml:space="preserve">Unlisted shares, </w:t>
      </w:r>
      <w:r>
        <w:rPr>
          <w:rFonts w:ascii="Arial" w:cs="Arial" w:eastAsia="Arial" w:hAnsi="Arial"/>
          <w:sz w:val="10"/>
          <w:szCs w:val="10"/>
          <w:color w:val="FFFFFF"/>
          <w:vertAlign w:val="superscript"/>
        </w:rPr>
        <w:t>at</w:t>
      </w:r>
      <w:r>
        <w:rPr>
          <w:rFonts w:ascii="Arial" w:cs="Arial" w:eastAsia="Arial" w:hAnsi="Arial"/>
          <w:sz w:val="7"/>
          <w:szCs w:val="7"/>
          <w:color w:val="FFFFFF"/>
        </w:rPr>
        <w:t xml:space="preserve"> cost 12,561,195 12,561,195</w:t>
      </w:r>
    </w:p>
    <w:p>
      <w:pPr>
        <w:spacing w:after="0" w:line="188" w:lineRule="auto"/>
        <w:tabs>
          <w:tab w:leader="none" w:pos="1000" w:val="left"/>
        </w:tabs>
        <w:rPr>
          <w:sz w:val="20"/>
          <w:szCs w:val="20"/>
          <w:color w:val="auto"/>
        </w:rPr>
      </w:pPr>
      <w:r>
        <w:rPr>
          <w:rFonts w:ascii="Arial" w:cs="Arial" w:eastAsia="Arial" w:hAnsi="Arial"/>
          <w:sz w:val="9"/>
          <w:szCs w:val="9"/>
          <w:color w:val="FFFFFF"/>
        </w:rPr>
        <w:t>NominalThefollowingvalue is</w:t>
        <w:tab/>
        <w:t>list of subsidiaries as at 31 December 2012:</w:t>
      </w:r>
    </w:p>
    <w:p>
      <w:pPr>
        <w:spacing w:after="0"/>
        <w:rPr>
          <w:sz w:val="20"/>
          <w:szCs w:val="20"/>
          <w:color w:val="auto"/>
        </w:rPr>
      </w:pPr>
      <w:r>
        <w:rPr>
          <w:rFonts w:ascii="Arial" w:cs="Arial" w:eastAsia="Arial" w:hAnsi="Arial"/>
          <w:sz w:val="3"/>
          <w:szCs w:val="3"/>
          <w:color w:val="FFFFFF"/>
        </w:rPr>
        <w:t>incorporation/PlaceofofissuedPrincipalshare/ registered</w:t>
      </w:r>
    </w:p>
    <w:p>
      <w:pPr>
        <w:spacing w:after="0" w:line="181" w:lineRule="auto"/>
        <w:rPr>
          <w:sz w:val="20"/>
          <w:szCs w:val="20"/>
          <w:color w:val="auto"/>
        </w:rPr>
      </w:pPr>
      <w:r>
        <w:rPr>
          <w:rFonts w:ascii="Arial" w:cs="Arial" w:eastAsia="Arial" w:hAnsi="Arial"/>
          <w:sz w:val="10"/>
          <w:szCs w:val="10"/>
          <w:color w:val="FFFFFF"/>
        </w:rPr>
        <w:t>Name operation activities capital Interest held</w:t>
      </w:r>
    </w:p>
    <w:p>
      <w:pPr>
        <w:spacing w:after="0" w:line="188" w:lineRule="auto"/>
        <w:rPr>
          <w:sz w:val="20"/>
          <w:szCs w:val="20"/>
          <w:color w:val="auto"/>
        </w:rPr>
      </w:pPr>
      <w:r>
        <w:rPr>
          <w:rFonts w:ascii="Arial" w:cs="Arial" w:eastAsia="Arial" w:hAnsi="Arial"/>
          <w:sz w:val="9"/>
          <w:szCs w:val="9"/>
          <w:color w:val="FFFFFF"/>
        </w:rPr>
        <w:t>LimitedWMCaymanIIholdingHoldings—USCayman$1 Islands Investment Ordinary shares 100%*</w:t>
      </w:r>
    </w:p>
    <w:p>
      <w:pPr>
        <w:spacing w:after="0" w:line="188" w:lineRule="auto"/>
        <w:rPr>
          <w:sz w:val="20"/>
          <w:szCs w:val="20"/>
          <w:color w:val="auto"/>
        </w:rPr>
      </w:pPr>
      <w:r>
        <w:rPr>
          <w:rFonts w:ascii="Arial" w:cs="Arial" w:eastAsia="Arial" w:hAnsi="Arial"/>
          <w:sz w:val="9"/>
          <w:szCs w:val="9"/>
          <w:color w:val="FFFFFF"/>
        </w:rPr>
        <w:t>International,WynnResortsLtd.Isle holdingofMan Investment—GBP2 Ordinary shares 100%</w:t>
      </w:r>
    </w:p>
    <w:p>
      <w:pPr>
        <w:spacing w:after="0"/>
        <w:rPr>
          <w:sz w:val="20"/>
          <w:szCs w:val="20"/>
          <w:color w:val="auto"/>
        </w:rPr>
      </w:pPr>
      <w:r>
        <w:rPr>
          <w:rFonts w:ascii="Arial" w:cs="Arial" w:eastAsia="Arial" w:hAnsi="Arial"/>
          <w:sz w:val="3"/>
          <w:szCs w:val="3"/>
          <w:color w:val="FFFFFF"/>
        </w:rPr>
        <w:t>Holdings,WynnResortsLtd. (Macau)holding —IsleClassofManAshares:Investment Ordinary shares 100%</w:t>
      </w:r>
    </w:p>
    <w:p>
      <w:pPr>
        <w:spacing w:after="0" w:line="181" w:lineRule="auto"/>
        <w:rPr>
          <w:sz w:val="20"/>
          <w:szCs w:val="20"/>
          <w:color w:val="auto"/>
        </w:rPr>
      </w:pPr>
      <w:r>
        <w:rPr>
          <w:rFonts w:ascii="Arial" w:cs="Arial" w:eastAsia="Arial" w:hAnsi="Arial"/>
          <w:sz w:val="10"/>
          <w:szCs w:val="10"/>
          <w:color w:val="FFFFFF"/>
        </w:rPr>
        <w:t>GBP343</w:t>
      </w:r>
    </w:p>
    <w:p>
      <w:pPr>
        <w:spacing w:after="0" w:line="188" w:lineRule="auto"/>
        <w:rPr>
          <w:sz w:val="20"/>
          <w:szCs w:val="20"/>
          <w:color w:val="auto"/>
        </w:rPr>
      </w:pPr>
      <w:r>
        <w:rPr>
          <w:rFonts w:ascii="Arial" w:cs="Arial" w:eastAsia="Arial" w:hAnsi="Arial"/>
          <w:sz w:val="9"/>
          <w:szCs w:val="9"/>
          <w:color w:val="FFFFFF"/>
        </w:rPr>
        <w:t>GBP657—Class B shares:</w:t>
      </w:r>
    </w:p>
    <w:p>
      <w:pPr>
        <w:spacing w:after="0" w:line="188" w:lineRule="auto"/>
        <w:rPr>
          <w:sz w:val="20"/>
          <w:szCs w:val="20"/>
          <w:color w:val="auto"/>
        </w:rPr>
      </w:pPr>
      <w:r>
        <w:rPr>
          <w:rFonts w:ascii="Arial" w:cs="Arial" w:eastAsia="Arial" w:hAnsi="Arial"/>
          <w:sz w:val="9"/>
          <w:szCs w:val="9"/>
          <w:color w:val="FFFFFF"/>
        </w:rPr>
        <w:t>LimitedWynnResortsholdingMacau,—HKHong$100 Kong Investment Ordinary shares 100%</w:t>
      </w:r>
    </w:p>
    <w:p>
      <w:pPr>
        <w:spacing w:after="0"/>
        <w:rPr>
          <w:sz w:val="20"/>
          <w:szCs w:val="20"/>
          <w:color w:val="auto"/>
        </w:rPr>
      </w:pPr>
      <w:r>
        <w:rPr>
          <w:rFonts w:ascii="Arial" w:cs="Arial" w:eastAsia="Arial" w:hAnsi="Arial"/>
          <w:sz w:val="3"/>
          <w:szCs w:val="3"/>
          <w:color w:val="FFFFFF"/>
        </w:rPr>
        <w:t>S.A.WynnhotelResortscasino(Macau)MOP200,100,000MacauOperator of Share capital — 100%**</w:t>
      </w:r>
    </w:p>
    <w:p>
      <w:pPr>
        <w:spacing w:after="0" w:line="181" w:lineRule="auto"/>
        <w:rPr>
          <w:sz w:val="20"/>
          <w:szCs w:val="20"/>
          <w:color w:val="auto"/>
        </w:rPr>
      </w:pPr>
      <w:r>
        <w:rPr>
          <w:rFonts w:ascii="Arial" w:cs="Arial" w:eastAsia="Arial" w:hAnsi="Arial"/>
          <w:sz w:val="10"/>
          <w:szCs w:val="10"/>
          <w:color w:val="FFFFFF"/>
        </w:rPr>
        <w:t>and related</w:t>
      </w:r>
    </w:p>
    <w:p>
      <w:pPr>
        <w:spacing w:after="0"/>
        <w:rPr>
          <w:sz w:val="20"/>
          <w:szCs w:val="20"/>
          <w:color w:val="auto"/>
        </w:rPr>
      </w:pPr>
      <w:r>
        <w:rPr>
          <w:rFonts w:ascii="Arial" w:cs="Arial" w:eastAsia="Arial" w:hAnsi="Arial"/>
          <w:sz w:val="3"/>
          <w:szCs w:val="3"/>
          <w:color w:val="FFFFFF"/>
        </w:rPr>
        <w:t>businessesgaming</w:t>
      </w:r>
    </w:p>
    <w:p>
      <w:pPr>
        <w:spacing w:after="0" w:line="181" w:lineRule="auto"/>
        <w:rPr>
          <w:sz w:val="20"/>
          <w:szCs w:val="20"/>
          <w:color w:val="auto"/>
        </w:rPr>
      </w:pPr>
      <w:r>
        <w:rPr>
          <w:rFonts w:ascii="Arial" w:cs="Arial" w:eastAsia="Arial" w:hAnsi="Arial"/>
          <w:sz w:val="10"/>
          <w:szCs w:val="10"/>
          <w:color w:val="FFFFFF"/>
        </w:rPr>
        <w:t>Palo Real Estate Macau Development, Share capital — 100%</w:t>
      </w:r>
    </w:p>
    <w:p>
      <w:pPr>
        <w:spacing w:after="0"/>
        <w:rPr>
          <w:sz w:val="20"/>
          <w:szCs w:val="20"/>
          <w:color w:val="auto"/>
        </w:rPr>
      </w:pPr>
      <w:r>
        <w:rPr>
          <w:rFonts w:ascii="Arial" w:cs="Arial" w:eastAsia="Arial" w:hAnsi="Arial"/>
          <w:sz w:val="3"/>
          <w:szCs w:val="3"/>
          <w:color w:val="FFFFFF"/>
        </w:rPr>
        <w:t>preconstructionCompanyLimited design and MOP1,000,000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activities</w:t>
      </w:r>
    </w:p>
    <w:p>
      <w:pPr>
        <w:sectPr>
          <w:pgSz w:w="11900" w:h="16838" w:orient="portrait"/>
          <w:cols w:equalWidth="0" w:num="1">
            <w:col w:w="10219"/>
          </w:cols>
          <w:pgMar w:left="240" w:top="1440" w:right="1440"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FinancialAnnualReportStatements2012 123</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2012</w:t>
      </w:r>
    </w:p>
    <w:p>
      <w:pPr>
        <w:spacing w:after="0" w:line="188" w:lineRule="auto"/>
        <w:tabs>
          <w:tab w:leader="none" w:pos="440" w:val="left"/>
        </w:tabs>
        <w:rPr>
          <w:sz w:val="20"/>
          <w:szCs w:val="20"/>
          <w:color w:val="auto"/>
        </w:rPr>
      </w:pPr>
      <w:r>
        <w:rPr>
          <w:rFonts w:ascii="Arial" w:cs="Arial" w:eastAsia="Arial" w:hAnsi="Arial"/>
          <w:sz w:val="6"/>
          <w:szCs w:val="6"/>
          <w:color w:val="FFFFFF"/>
        </w:rPr>
        <w:t>13.</w:t>
      </w:r>
      <w:r>
        <w:rPr>
          <w:sz w:val="20"/>
          <w:szCs w:val="20"/>
          <w:color w:val="auto"/>
        </w:rPr>
        <w:tab/>
      </w:r>
      <w:r>
        <w:rPr>
          <w:rFonts w:ascii="Arial" w:cs="Arial" w:eastAsia="Arial" w:hAnsi="Arial"/>
          <w:sz w:val="6"/>
          <w:szCs w:val="6"/>
          <w:color w:val="FFFFFF"/>
        </w:rPr>
        <w:t>INVESTMENT IN A SUBSIDIARY (CONTINUED)</w:t>
      </w:r>
    </w:p>
    <w:p>
      <w:pPr>
        <w:spacing w:after="0" w:line="188" w:lineRule="auto"/>
        <w:tabs>
          <w:tab w:leader="none" w:pos="440" w:val="left"/>
        </w:tabs>
        <w:rPr>
          <w:sz w:val="20"/>
          <w:szCs w:val="20"/>
          <w:color w:val="auto"/>
        </w:rPr>
      </w:pPr>
      <w:r>
        <w:rPr>
          <w:rFonts w:ascii="Arial" w:cs="Arial" w:eastAsia="Arial" w:hAnsi="Arial"/>
          <w:sz w:val="6"/>
          <w:szCs w:val="6"/>
          <w:color w:val="FFFFFF"/>
        </w:rPr>
        <w:t>*</w:t>
      </w:r>
      <w:r>
        <w:rPr>
          <w:sz w:val="20"/>
          <w:szCs w:val="20"/>
          <w:color w:val="auto"/>
        </w:rPr>
        <w:tab/>
      </w:r>
      <w:r>
        <w:rPr>
          <w:rFonts w:ascii="Arial" w:cs="Arial" w:eastAsia="Arial" w:hAnsi="Arial"/>
          <w:sz w:val="6"/>
          <w:szCs w:val="6"/>
          <w:color w:val="FFFFFF"/>
        </w:rPr>
        <w:t>Shares directly held by the Company</w:t>
      </w:r>
    </w:p>
    <w:p>
      <w:pPr>
        <w:spacing w:after="0" w:line="187" w:lineRule="auto"/>
        <w:rPr>
          <w:sz w:val="20"/>
          <w:szCs w:val="20"/>
          <w:color w:val="auto"/>
        </w:rPr>
      </w:pPr>
      <w:r>
        <w:rPr>
          <w:rFonts w:ascii="Arial" w:cs="Arial" w:eastAsia="Arial" w:hAnsi="Arial"/>
          <w:sz w:val="7"/>
          <w:szCs w:val="7"/>
          <w:color w:val="FFFFFF"/>
        </w:rPr>
        <w:t xml:space="preserve">** 10% of the shares were held by a Macau-resident investor which entitle the holder to 10% of </w:t>
      </w:r>
      <w:r>
        <w:rPr>
          <w:rFonts w:ascii="Arial" w:cs="Arial" w:eastAsia="Arial" w:hAnsi="Arial"/>
          <w:sz w:val="9"/>
          <w:szCs w:val="9"/>
          <w:color w:val="FFFFFF"/>
          <w:vertAlign w:val="superscript"/>
        </w:rPr>
        <w:t>the</w:t>
      </w:r>
      <w:r>
        <w:rPr>
          <w:rFonts w:ascii="Arial" w:cs="Arial" w:eastAsia="Arial" w:hAnsi="Arial"/>
          <w:sz w:val="7"/>
          <w:szCs w:val="7"/>
          <w:color w:val="FFFFFF"/>
        </w:rPr>
        <w:t xml:space="preserve"> voting rights and the rights to maximum dividend or payment upon dissolution of one MOP. The remaining 90% of the shares held by the Group are entitled to 90% of the voting rights and 100% of the pro? participation or economic interest.</w:t>
      </w:r>
    </w:p>
    <w:p>
      <w:pPr>
        <w:spacing w:after="0"/>
        <w:rPr>
          <w:sz w:val="20"/>
          <w:szCs w:val="20"/>
          <w:color w:val="auto"/>
        </w:rPr>
      </w:pPr>
      <w:r>
        <w:rPr>
          <w:rFonts w:ascii="Arial" w:cs="Arial" w:eastAsia="Arial" w:hAnsi="Arial"/>
          <w:sz w:val="3"/>
          <w:szCs w:val="3"/>
          <w:color w:val="FFFFFF"/>
        </w:rPr>
        <w:t>None of the subsidiaries had any debt securities outstanding at the end of the year or at any time during the year.</w:t>
      </w:r>
    </w:p>
    <w:p>
      <w:pPr>
        <w:spacing w:after="0" w:line="190" w:lineRule="auto"/>
        <w:tabs>
          <w:tab w:leader="none" w:pos="440" w:val="left"/>
        </w:tabs>
        <w:rPr>
          <w:sz w:val="20"/>
          <w:szCs w:val="20"/>
          <w:color w:val="auto"/>
        </w:rPr>
      </w:pPr>
      <w:r>
        <w:rPr>
          <w:rFonts w:ascii="Arial" w:cs="Arial" w:eastAsia="Arial" w:hAnsi="Arial"/>
          <w:sz w:val="11"/>
          <w:szCs w:val="11"/>
          <w:color w:val="FFFFFF"/>
        </w:rPr>
        <w:t>14.</w:t>
      </w:r>
      <w:r>
        <w:rPr>
          <w:sz w:val="20"/>
          <w:szCs w:val="20"/>
          <w:color w:val="auto"/>
        </w:rPr>
        <w:tab/>
      </w:r>
      <w:r>
        <w:rPr>
          <w:rFonts w:ascii="Arial" w:cs="Arial" w:eastAsia="Arial" w:hAnsi="Arial"/>
          <w:sz w:val="11"/>
          <w:szCs w:val="11"/>
          <w:color w:val="FFFFFF"/>
        </w:rPr>
        <w:t>INVENTORIES</w:t>
      </w:r>
    </w:p>
    <w:p>
      <w:pPr>
        <w:spacing w:after="0" w:line="188" w:lineRule="auto"/>
        <w:rPr>
          <w:sz w:val="20"/>
          <w:szCs w:val="20"/>
          <w:color w:val="auto"/>
        </w:rPr>
      </w:pPr>
      <w:r>
        <w:rPr>
          <w:rFonts w:ascii="Arial" w:cs="Arial" w:eastAsia="Arial" w:hAnsi="Arial"/>
          <w:sz w:val="9"/>
          <w:szCs w:val="9"/>
          <w:color w:val="FFFFFF"/>
        </w:rPr>
        <w:t>GroupInventories consist of the following as at 31 December 2012 and 2011:</w:t>
      </w:r>
    </w:p>
    <w:p>
      <w:pPr>
        <w:spacing w:after="0" w:line="188" w:lineRule="auto"/>
        <w:rPr>
          <w:sz w:val="20"/>
          <w:szCs w:val="20"/>
          <w:color w:val="auto"/>
        </w:rPr>
      </w:pPr>
      <w:r>
        <w:rPr>
          <w:rFonts w:ascii="Arial" w:cs="Arial" w:eastAsia="Arial" w:hAnsi="Arial"/>
          <w:sz w:val="9"/>
          <w:szCs w:val="9"/>
          <w:color w:val="FFFFFF"/>
        </w:rPr>
        <w:t>2012Asat 201131December</w:t>
      </w:r>
    </w:p>
    <w:p>
      <w:pPr>
        <w:spacing w:after="0"/>
        <w:rPr>
          <w:sz w:val="20"/>
          <w:szCs w:val="20"/>
          <w:color w:val="auto"/>
        </w:rPr>
      </w:pPr>
      <w:r>
        <w:rPr>
          <w:rFonts w:ascii="Arial" w:cs="Arial" w:eastAsia="Arial" w:hAnsi="Arial"/>
          <w:sz w:val="3"/>
          <w:szCs w:val="3"/>
          <w:color w:val="FFFFFF"/>
        </w:rPr>
        <w:t>(inHKthousands)$HK$</w:t>
      </w:r>
    </w:p>
    <w:p>
      <w:pPr>
        <w:spacing w:after="0" w:line="190" w:lineRule="auto"/>
        <w:rPr>
          <w:sz w:val="20"/>
          <w:szCs w:val="20"/>
          <w:color w:val="auto"/>
        </w:rPr>
      </w:pPr>
      <w:r>
        <w:rPr>
          <w:rFonts w:ascii="Arial" w:cs="Arial" w:eastAsia="Arial" w:hAnsi="Arial"/>
          <w:sz w:val="14"/>
          <w:szCs w:val="14"/>
          <w:color w:val="FFFFFF"/>
        </w:rPr>
        <w:t>RetailFoodandmerchandisebeverage 31,00387,015 45,62999,597</w:t>
      </w:r>
    </w:p>
    <w:p>
      <w:pPr>
        <w:spacing w:after="0"/>
        <w:rPr>
          <w:sz w:val="20"/>
          <w:szCs w:val="20"/>
          <w:color w:val="auto"/>
        </w:rPr>
      </w:pPr>
      <w:r>
        <w:rPr>
          <w:rFonts w:ascii="Arial" w:cs="Arial" w:eastAsia="Arial" w:hAnsi="Arial"/>
          <w:sz w:val="14"/>
          <w:szCs w:val="14"/>
          <w:color w:val="FFFFFF"/>
        </w:rPr>
        <w:t>167,196Operating179,940supplies 49,178 34,714</w:t>
      </w:r>
    </w:p>
    <w:p>
      <w:pPr>
        <w:sectPr>
          <w:pgSz w:w="11900" w:h="16838" w:orient="portrait"/>
          <w:cols w:equalWidth="0" w:num="1">
            <w:col w:w="11220"/>
          </w:cols>
          <w:pgMar w:left="240" w:top="1440" w:right="43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Financial124WynnStatementsMacau,Limited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2012</w:t>
      </w:r>
    </w:p>
    <w:p>
      <w:pPr>
        <w:spacing w:after="0" w:line="197" w:lineRule="auto"/>
        <w:tabs>
          <w:tab w:leader="none" w:pos="440" w:val="left"/>
        </w:tabs>
        <w:rPr>
          <w:sz w:val="20"/>
          <w:szCs w:val="20"/>
          <w:color w:val="auto"/>
        </w:rPr>
      </w:pPr>
      <w:r>
        <w:rPr>
          <w:rFonts w:ascii="Arial" w:cs="Arial" w:eastAsia="Arial" w:hAnsi="Arial"/>
          <w:sz w:val="10"/>
          <w:szCs w:val="10"/>
          <w:color w:val="FFFFFF"/>
        </w:rPr>
        <w:t>15.</w:t>
      </w:r>
      <w:r>
        <w:rPr>
          <w:sz w:val="20"/>
          <w:szCs w:val="20"/>
          <w:color w:val="auto"/>
        </w:rPr>
        <w:tab/>
      </w:r>
      <w:r>
        <w:rPr>
          <w:rFonts w:ascii="Arial" w:cs="Arial" w:eastAsia="Arial" w:hAnsi="Arial"/>
          <w:sz w:val="10"/>
          <w:szCs w:val="10"/>
          <w:color w:val="FFFFFF"/>
        </w:rPr>
        <w:t>TRADE AND OTHER RECEIVABLES</w:t>
      </w:r>
    </w:p>
    <w:p>
      <w:pPr>
        <w:spacing w:after="0" w:line="188" w:lineRule="auto"/>
        <w:rPr>
          <w:sz w:val="20"/>
          <w:szCs w:val="20"/>
          <w:color w:val="auto"/>
        </w:rPr>
      </w:pPr>
      <w:r>
        <w:rPr>
          <w:rFonts w:ascii="Arial" w:cs="Arial" w:eastAsia="Arial" w:hAnsi="Arial"/>
          <w:sz w:val="9"/>
          <w:szCs w:val="9"/>
          <w:color w:val="FFFFFF"/>
        </w:rPr>
        <w:t>GroupTradeand other receivables consist of the following as at 31 December 2012 and 2011:</w:t>
      </w:r>
    </w:p>
    <w:p>
      <w:pPr>
        <w:spacing w:after="0" w:line="188" w:lineRule="auto"/>
        <w:rPr>
          <w:sz w:val="20"/>
          <w:szCs w:val="20"/>
          <w:color w:val="auto"/>
        </w:rPr>
      </w:pPr>
      <w:r>
        <w:rPr>
          <w:rFonts w:ascii="Arial" w:cs="Arial" w:eastAsia="Arial" w:hAnsi="Arial"/>
          <w:sz w:val="9"/>
          <w:szCs w:val="9"/>
          <w:color w:val="FFFFFF"/>
        </w:rPr>
        <w:t>2012Asat 201131December</w:t>
      </w:r>
    </w:p>
    <w:p>
      <w:pPr>
        <w:spacing w:after="0" w:line="188" w:lineRule="auto"/>
        <w:rPr>
          <w:sz w:val="20"/>
          <w:szCs w:val="20"/>
          <w:color w:val="auto"/>
        </w:rPr>
      </w:pPr>
      <w:r>
        <w:rPr>
          <w:rFonts w:ascii="Arial" w:cs="Arial" w:eastAsia="Arial" w:hAnsi="Arial"/>
          <w:sz w:val="9"/>
          <w:szCs w:val="9"/>
          <w:color w:val="FFFFFF"/>
        </w:rPr>
        <w:t>(inHKthousands)$HK$</w:t>
      </w:r>
    </w:p>
    <w:p>
      <w:pPr>
        <w:spacing w:after="0" w:line="188" w:lineRule="auto"/>
        <w:rPr>
          <w:sz w:val="20"/>
          <w:szCs w:val="20"/>
          <w:color w:val="auto"/>
        </w:rPr>
      </w:pPr>
      <w:r>
        <w:rPr>
          <w:rFonts w:ascii="Arial" w:cs="Arial" w:eastAsia="Arial" w:hAnsi="Arial"/>
          <w:sz w:val="9"/>
          <w:szCs w:val="9"/>
          <w:color w:val="FFFFFF"/>
        </w:rPr>
        <w:t>HotelCasino10,177657,1208,176976,686</w:t>
      </w:r>
    </w:p>
    <w:p>
      <w:pPr>
        <w:spacing w:after="0" w:line="188" w:lineRule="auto"/>
        <w:rPr>
          <w:sz w:val="20"/>
          <w:szCs w:val="20"/>
          <w:color w:val="auto"/>
        </w:rPr>
      </w:pPr>
      <w:r>
        <w:rPr>
          <w:rFonts w:ascii="Arial" w:cs="Arial" w:eastAsia="Arial" w:hAnsi="Arial"/>
          <w:sz w:val="9"/>
          <w:szCs w:val="9"/>
          <w:color w:val="FFFFFF"/>
        </w:rPr>
        <w:t>876,974Retailleases1,162,983andother 209,677 178,121</w:t>
      </w:r>
    </w:p>
    <w:p>
      <w:pPr>
        <w:spacing w:after="0" w:line="188" w:lineRule="auto"/>
        <w:rPr>
          <w:sz w:val="20"/>
          <w:szCs w:val="20"/>
          <w:color w:val="auto"/>
        </w:rPr>
      </w:pPr>
      <w:r>
        <w:rPr>
          <w:rFonts w:ascii="Arial" w:cs="Arial" w:eastAsia="Arial" w:hAnsi="Arial"/>
          <w:sz w:val="9"/>
          <w:szCs w:val="9"/>
          <w:color w:val="FFFFFF"/>
        </w:rPr>
        <w:t>TotalLess: tradeallowanceandotherfordoubtfulreceivables,accountsnet582,949(294,025)749,639(413,344)</w:t>
      </w:r>
    </w:p>
    <w:p>
      <w:pPr>
        <w:spacing w:after="0" w:line="187" w:lineRule="auto"/>
        <w:rPr>
          <w:sz w:val="20"/>
          <w:szCs w:val="20"/>
          <w:color w:val="auto"/>
        </w:rPr>
      </w:pPr>
      <w:r>
        <w:rPr>
          <w:rFonts w:ascii="Arial" w:cs="Arial" w:eastAsia="Arial" w:hAnsi="Arial"/>
          <w:sz w:val="9"/>
          <w:szCs w:val="9"/>
          <w:color w:val="FFFFFF"/>
        </w:rPr>
        <w:t>GroupAnaged analysis of trade and other receivables is as follows:</w:t>
      </w:r>
    </w:p>
    <w:p>
      <w:pPr>
        <w:spacing w:after="0" w:line="188" w:lineRule="auto"/>
        <w:rPr>
          <w:sz w:val="20"/>
          <w:szCs w:val="20"/>
          <w:color w:val="auto"/>
        </w:rPr>
      </w:pPr>
      <w:r>
        <w:rPr>
          <w:rFonts w:ascii="Arial" w:cs="Arial" w:eastAsia="Arial" w:hAnsi="Arial"/>
          <w:sz w:val="9"/>
          <w:szCs w:val="9"/>
          <w:color w:val="FFFFFF"/>
        </w:rPr>
        <w:t>2012Asat 201131December</w:t>
      </w:r>
    </w:p>
    <w:p>
      <w:pPr>
        <w:spacing w:after="0"/>
        <w:rPr>
          <w:sz w:val="20"/>
          <w:szCs w:val="20"/>
          <w:color w:val="auto"/>
        </w:rPr>
      </w:pPr>
      <w:r>
        <w:rPr>
          <w:rFonts w:ascii="Arial" w:cs="Arial" w:eastAsia="Arial" w:hAnsi="Arial"/>
          <w:sz w:val="3"/>
          <w:szCs w:val="3"/>
          <w:color w:val="FFFFFF"/>
        </w:rPr>
        <w:t>(inHKthousands)$HK$</w:t>
      </w:r>
    </w:p>
    <w:p>
      <w:pPr>
        <w:spacing w:after="0" w:line="194" w:lineRule="auto"/>
        <w:rPr>
          <w:sz w:val="20"/>
          <w:szCs w:val="20"/>
          <w:color w:val="auto"/>
        </w:rPr>
      </w:pPr>
      <w:r>
        <w:rPr>
          <w:rFonts w:ascii="Arial" w:cs="Arial" w:eastAsia="Arial" w:hAnsi="Arial"/>
          <w:sz w:val="3"/>
          <w:szCs w:val="3"/>
          <w:color w:val="FFFFFF"/>
        </w:rPr>
        <w:t xml:space="preserve">Within 30 days 295,776 </w:t>
      </w:r>
      <w:r>
        <w:rPr>
          <w:rFonts w:ascii="Arial" w:cs="Arial" w:eastAsia="Arial" w:hAnsi="Arial"/>
          <w:sz w:val="5"/>
          <w:szCs w:val="5"/>
          <w:color w:val="FFFFFF"/>
          <w:vertAlign w:val="subscript"/>
        </w:rPr>
        <w:t>351,162</w:t>
      </w:r>
    </w:p>
    <w:p>
      <w:pPr>
        <w:spacing w:after="0" w:line="181" w:lineRule="auto"/>
        <w:rPr>
          <w:sz w:val="20"/>
          <w:szCs w:val="20"/>
          <w:color w:val="auto"/>
        </w:rPr>
      </w:pPr>
      <w:r>
        <w:rPr>
          <w:rFonts w:ascii="Arial" w:cs="Arial" w:eastAsia="Arial" w:hAnsi="Arial"/>
          <w:sz w:val="9"/>
          <w:szCs w:val="9"/>
          <w:color w:val="FFFFFF"/>
        </w:rPr>
        <w:t>61</w:t>
      </w:r>
      <w:r>
        <w:rPr>
          <w:rFonts w:ascii="Arial" w:cs="Arial" w:eastAsia="Arial" w:hAnsi="Arial"/>
          <w:sz w:val="14"/>
          <w:szCs w:val="14"/>
          <w:color w:val="FFFFFF"/>
          <w:vertAlign w:val="superscript"/>
        </w:rPr>
        <w:t>31</w:t>
      </w:r>
      <w:r>
        <w:rPr>
          <w:rFonts w:ascii="Arial" w:cs="Arial" w:eastAsia="Arial" w:hAnsi="Arial"/>
          <w:sz w:val="9"/>
          <w:szCs w:val="9"/>
          <w:color w:val="FFFFFF"/>
        </w:rPr>
        <w:t xml:space="preserve"> to 90</w:t>
      </w:r>
      <w:r>
        <w:rPr>
          <w:rFonts w:ascii="Arial" w:cs="Arial" w:eastAsia="Arial" w:hAnsi="Arial"/>
          <w:sz w:val="14"/>
          <w:szCs w:val="14"/>
          <w:color w:val="FFFFFF"/>
          <w:vertAlign w:val="superscript"/>
        </w:rPr>
        <w:t>60</w:t>
      </w:r>
      <w:r>
        <w:rPr>
          <w:rFonts w:ascii="Arial" w:cs="Arial" w:eastAsia="Arial" w:hAnsi="Arial"/>
          <w:sz w:val="9"/>
          <w:szCs w:val="9"/>
          <w:color w:val="FFFFFF"/>
        </w:rPr>
        <w:t xml:space="preserve"> days 93,763</w:t>
      </w:r>
      <w:r>
        <w:rPr>
          <w:rFonts w:ascii="Arial" w:cs="Arial" w:eastAsia="Arial" w:hAnsi="Arial"/>
          <w:sz w:val="14"/>
          <w:szCs w:val="14"/>
          <w:color w:val="FFFFFF"/>
          <w:vertAlign w:val="superscript"/>
        </w:rPr>
        <w:t>4243</w:t>
      </w:r>
      <w:r>
        <w:rPr>
          <w:rFonts w:ascii="Arial" w:cs="Arial" w:eastAsia="Arial" w:hAnsi="Arial"/>
          <w:sz w:val="9"/>
          <w:szCs w:val="9"/>
          <w:color w:val="FFFFFF"/>
        </w:rPr>
        <w:t xml:space="preserve"> 212,975</w:t>
      </w:r>
      <w:r>
        <w:rPr>
          <w:rFonts w:ascii="Arial" w:cs="Arial" w:eastAsia="Arial" w:hAnsi="Arial"/>
          <w:sz w:val="14"/>
          <w:szCs w:val="14"/>
          <w:color w:val="FFFFFF"/>
          <w:vertAlign w:val="superscript"/>
        </w:rPr>
        <w:t>270</w:t>
      </w:r>
    </w:p>
    <w:p>
      <w:pPr>
        <w:spacing w:after="0" w:line="188" w:lineRule="auto"/>
        <w:rPr>
          <w:sz w:val="20"/>
          <w:szCs w:val="20"/>
          <w:color w:val="auto"/>
        </w:rPr>
      </w:pPr>
      <w:r>
        <w:rPr>
          <w:rFonts w:ascii="Arial" w:cs="Arial" w:eastAsia="Arial" w:hAnsi="Arial"/>
          <w:sz w:val="9"/>
          <w:szCs w:val="9"/>
          <w:color w:val="FFFFFF"/>
        </w:rPr>
        <w:t>876,974Over90 days1,162,983393,192 371,176</w:t>
      </w:r>
    </w:p>
    <w:p>
      <w:pPr>
        <w:spacing w:after="0"/>
        <w:rPr>
          <w:sz w:val="20"/>
          <w:szCs w:val="20"/>
          <w:color w:val="auto"/>
        </w:rPr>
      </w:pPr>
      <w:r>
        <w:rPr>
          <w:rFonts w:ascii="Arial" w:cs="Arial" w:eastAsia="Arial" w:hAnsi="Arial"/>
          <w:sz w:val="10"/>
          <w:szCs w:val="10"/>
          <w:color w:val="FFFFFF"/>
        </w:rPr>
        <w:t>NetLess:ofallowanceallowanceforfordoubtfuldoubtfulaccountsaccounts(294,025)582,949749,639(413,344)</w:t>
      </w:r>
    </w:p>
    <w:p>
      <w:pPr>
        <w:sectPr>
          <w:pgSz w:w="11900" w:h="16838" w:orient="portrait"/>
          <w:cols w:equalWidth="0" w:num="1">
            <w:col w:w="10219"/>
          </w:cols>
          <w:pgMar w:left="240" w:top="1440" w:right="1440"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0" w:type="dxa"/>
            <w:vAlign w:val="bottom"/>
            <w:gridSpan w:val="2"/>
          </w:tcPr>
          <w:p>
            <w:pPr>
              <w:spacing w:after="0"/>
              <w:rPr>
                <w:sz w:val="20"/>
                <w:szCs w:val="20"/>
                <w:color w:val="auto"/>
              </w:rPr>
            </w:pPr>
            <w:r>
              <w:rPr>
                <w:rFonts w:ascii="Arial" w:cs="Arial" w:eastAsia="Arial" w:hAnsi="Arial"/>
                <w:sz w:val="14"/>
                <w:szCs w:val="14"/>
                <w:color w:val="FFFFFF"/>
              </w:rPr>
              <w:t>Annual Report 2012 125</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Financial Statements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15.</w:t>
            </w:r>
          </w:p>
        </w:tc>
        <w:tc>
          <w:tcPr>
            <w:tcW w:w="11220" w:type="dxa"/>
            <w:vAlign w:val="bottom"/>
          </w:tcPr>
          <w:p>
            <w:pPr>
              <w:ind w:left="280"/>
              <w:spacing w:after="0"/>
              <w:rPr>
                <w:sz w:val="20"/>
                <w:szCs w:val="20"/>
                <w:color w:val="auto"/>
              </w:rPr>
            </w:pPr>
            <w:r>
              <w:rPr>
                <w:rFonts w:ascii="Arial" w:cs="Arial" w:eastAsia="Arial" w:hAnsi="Arial"/>
                <w:sz w:val="3"/>
                <w:szCs w:val="3"/>
                <w:color w:val="FFFFFF"/>
              </w:rPr>
              <w:t>TRADE AND OTHER RECEIVABLES (CONTINUED)</w:t>
            </w:r>
          </w:p>
        </w:tc>
      </w:tr>
      <w:tr>
        <w:trPr>
          <w:trHeight w:val="54"/>
        </w:trPr>
        <w:tc>
          <w:tcPr>
            <w:tcW w:w="11400" w:type="dxa"/>
            <w:vAlign w:val="bottom"/>
            <w:gridSpan w:val="2"/>
          </w:tcPr>
          <w:p>
            <w:pPr>
              <w:spacing w:after="0" w:line="54" w:lineRule="exact"/>
              <w:rPr>
                <w:sz w:val="20"/>
                <w:szCs w:val="20"/>
                <w:color w:val="auto"/>
              </w:rPr>
            </w:pPr>
            <w:r>
              <w:rPr>
                <w:rFonts w:ascii="Arial" w:cs="Arial" w:eastAsia="Arial" w:hAnsi="Arial"/>
                <w:sz w:val="6"/>
                <w:szCs w:val="6"/>
                <w:color w:val="FFFFFF"/>
              </w:rPr>
              <w:t>Substantially all of the trade and other receivables as at 31 December 2012 and 2011 were repayable within 14 days.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As at 31 December 2012, trade and other receivables w th  g oss value of HK$876.9 million (2011: HK$1,162.9 million) were partially impaired and provided for. Movements in the provision for impairment of</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receivables of the Group, which were collectively impaired, are as follows: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HK$</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(In thousands)</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At 1 January 2011 334,760</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Charge for the year 104,621</w:t>
            </w:r>
          </w:p>
        </w:tc>
      </w:tr>
      <w:tr>
        <w:trPr>
          <w:trHeight w:val="41"/>
        </w:trPr>
        <w:tc>
          <w:tcPr>
            <w:tcW w:w="11400" w:type="dxa"/>
            <w:vAlign w:val="bottom"/>
            <w:gridSpan w:val="2"/>
          </w:tcPr>
          <w:p>
            <w:pPr>
              <w:ind w:left="100"/>
              <w:spacing w:after="0"/>
              <w:rPr>
                <w:sz w:val="20"/>
                <w:szCs w:val="20"/>
                <w:color w:val="auto"/>
              </w:rPr>
            </w:pPr>
            <w:r>
              <w:rPr>
                <w:rFonts w:ascii="Arial" w:cs="Arial" w:eastAsia="Arial" w:hAnsi="Arial"/>
                <w:sz w:val="3"/>
                <w:szCs w:val="3"/>
                <w:color w:val="FFFFFF"/>
              </w:rPr>
              <w:t>mounts written off (26,037)</w:t>
            </w: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At</w:t>
            </w:r>
          </w:p>
        </w:tc>
        <w:tc>
          <w:tcPr>
            <w:tcW w:w="11220" w:type="dxa"/>
            <w:vAlign w:val="bottom"/>
          </w:tcPr>
          <w:p>
            <w:pPr>
              <w:spacing w:after="0"/>
              <w:rPr>
                <w:sz w:val="20"/>
                <w:szCs w:val="20"/>
                <w:color w:val="auto"/>
              </w:rPr>
            </w:pPr>
            <w:r>
              <w:rPr>
                <w:rFonts w:ascii="Arial" w:cs="Arial" w:eastAsia="Arial" w:hAnsi="Arial"/>
                <w:sz w:val="3"/>
                <w:szCs w:val="3"/>
                <w:color w:val="FFFFFF"/>
              </w:rPr>
              <w:t>31 December 2011 and  January 2012 413,344</w:t>
            </w:r>
          </w:p>
        </w:tc>
      </w:tr>
      <w:tr>
        <w:trPr>
          <w:trHeight w:val="41"/>
        </w:trPr>
        <w:tc>
          <w:tcPr>
            <w:tcW w:w="11400" w:type="dxa"/>
            <w:vAlign w:val="bottom"/>
            <w:gridSpan w:val="2"/>
          </w:tcPr>
          <w:p>
            <w:pPr>
              <w:spacing w:after="0"/>
              <w:rPr>
                <w:sz w:val="20"/>
                <w:szCs w:val="20"/>
                <w:color w:val="auto"/>
              </w:rPr>
            </w:pPr>
            <w:r>
              <w:rPr>
                <w:rFonts w:ascii="Arial" w:cs="Arial" w:eastAsia="Arial" w:hAnsi="Arial"/>
                <w:sz w:val="3"/>
                <w:szCs w:val="3"/>
                <w:color w:val="FFFFFF"/>
              </w:rPr>
              <w:t>Reversal for the year, net (1,546)</w:t>
            </w:r>
          </w:p>
        </w:tc>
      </w:tr>
      <w:tr>
        <w:trPr>
          <w:trHeight w:val="41"/>
        </w:trPr>
        <w:tc>
          <w:tcPr>
            <w:tcW w:w="11400" w:type="dxa"/>
            <w:vAlign w:val="bottom"/>
            <w:gridSpan w:val="2"/>
          </w:tcPr>
          <w:p>
            <w:pPr>
              <w:ind w:left="100"/>
              <w:spacing w:after="0"/>
              <w:rPr>
                <w:sz w:val="20"/>
                <w:szCs w:val="20"/>
                <w:color w:val="auto"/>
              </w:rPr>
            </w:pPr>
            <w:r>
              <w:rPr>
                <w:rFonts w:ascii="Arial" w:cs="Arial" w:eastAsia="Arial" w:hAnsi="Arial"/>
                <w:sz w:val="3"/>
                <w:szCs w:val="3"/>
                <w:color w:val="FFFFFF"/>
              </w:rPr>
              <w:t>mounts written off (117,773)</w:t>
            </w: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At</w:t>
            </w:r>
          </w:p>
        </w:tc>
        <w:tc>
          <w:tcPr>
            <w:tcW w:w="11220" w:type="dxa"/>
            <w:vAlign w:val="bottom"/>
          </w:tcPr>
          <w:p>
            <w:pPr>
              <w:spacing w:after="0"/>
              <w:rPr>
                <w:sz w:val="20"/>
                <w:szCs w:val="20"/>
                <w:color w:val="auto"/>
              </w:rPr>
            </w:pPr>
            <w:r>
              <w:rPr>
                <w:rFonts w:ascii="Arial" w:cs="Arial" w:eastAsia="Arial" w:hAnsi="Arial"/>
                <w:sz w:val="3"/>
                <w:szCs w:val="3"/>
                <w:color w:val="FFFFFF"/>
              </w:rPr>
              <w:t>31 December 2012 294,025</w:t>
            </w:r>
          </w:p>
        </w:tc>
      </w:tr>
      <w:tr>
        <w:trPr>
          <w:trHeight w:val="15"/>
        </w:trPr>
        <w:tc>
          <w:tcPr>
            <w:tcW w:w="180" w:type="dxa"/>
            <w:vAlign w:val="bottom"/>
          </w:tcPr>
          <w:p>
            <w:pPr>
              <w:spacing w:after="0"/>
              <w:rPr>
                <w:sz w:val="20"/>
                <w:szCs w:val="20"/>
                <w:color w:val="auto"/>
              </w:rPr>
            </w:pPr>
            <w:r>
              <w:rPr>
                <w:rFonts w:ascii="Arial" w:cs="Arial" w:eastAsia="Arial" w:hAnsi="Arial"/>
                <w:sz w:val="1"/>
                <w:szCs w:val="1"/>
                <w:color w:val="FFFFFF"/>
              </w:rPr>
              <w:t>16.</w:t>
            </w:r>
          </w:p>
        </w:tc>
        <w:tc>
          <w:tcPr>
            <w:tcW w:w="11220" w:type="dxa"/>
            <w:vAlign w:val="bottom"/>
          </w:tcPr>
          <w:p>
            <w:pPr>
              <w:ind w:left="280"/>
              <w:spacing w:after="0"/>
              <w:rPr>
                <w:sz w:val="20"/>
                <w:szCs w:val="20"/>
                <w:color w:val="auto"/>
              </w:rPr>
            </w:pPr>
            <w:r>
              <w:rPr>
                <w:rFonts w:ascii="Arial" w:cs="Arial" w:eastAsia="Arial" w:hAnsi="Arial"/>
                <w:sz w:val="1"/>
                <w:szCs w:val="1"/>
                <w:color w:val="FFFFFF"/>
              </w:rPr>
              <w:t>PREPAYMENTS AND OTHER CURRENT ASSETS</w:t>
            </w:r>
          </w:p>
        </w:tc>
      </w:tr>
    </w:tbl>
    <w:p>
      <w:pPr>
        <w:spacing w:after="0" w:line="187" w:lineRule="auto"/>
        <w:rPr>
          <w:sz w:val="20"/>
          <w:szCs w:val="20"/>
          <w:color w:val="auto"/>
        </w:rPr>
      </w:pPr>
      <w:r>
        <w:rPr>
          <w:rFonts w:ascii="Arial" w:cs="Arial" w:eastAsia="Arial" w:hAnsi="Arial"/>
          <w:sz w:val="9"/>
          <w:szCs w:val="9"/>
          <w:color w:val="FFFFFF"/>
        </w:rPr>
        <w:t>GroupPrepaymentsCompanyand other current assets consist of the following as at 31 December 2012 and 2011:</w:t>
      </w:r>
    </w:p>
    <w:p>
      <w:pPr>
        <w:spacing w:after="0"/>
        <w:rPr>
          <w:sz w:val="20"/>
          <w:szCs w:val="20"/>
          <w:color w:val="auto"/>
        </w:rPr>
      </w:pPr>
      <w:r>
        <w:rPr>
          <w:rFonts w:ascii="Arial" w:cs="Arial" w:eastAsia="Arial" w:hAnsi="Arial"/>
          <w:sz w:val="3"/>
          <w:szCs w:val="3"/>
          <w:color w:val="FFFFFF"/>
        </w:rPr>
        <w:t>2012Asat 201131December20122011As at 31 December</w:t>
      </w:r>
    </w:p>
    <w:p>
      <w:pPr>
        <w:spacing w:after="0" w:line="190" w:lineRule="auto"/>
        <w:rPr>
          <w:sz w:val="20"/>
          <w:szCs w:val="20"/>
          <w:color w:val="auto"/>
        </w:rPr>
      </w:pPr>
      <w:r>
        <w:rPr>
          <w:rFonts w:ascii="Arial" w:cs="Arial" w:eastAsia="Arial" w:hAnsi="Arial"/>
          <w:sz w:val="14"/>
          <w:szCs w:val="14"/>
          <w:color w:val="FFFFFF"/>
        </w:rPr>
        <w:t>(inPrepaymentsthousands)38,023(inthousands)39,019524 1,020</w:t>
      </w:r>
    </w:p>
    <w:p>
      <w:pPr>
        <w:spacing w:after="0"/>
        <w:rPr>
          <w:sz w:val="20"/>
          <w:szCs w:val="20"/>
          <w:color w:val="auto"/>
        </w:rPr>
      </w:pPr>
      <w:r>
        <w:rPr>
          <w:rFonts w:ascii="Arial" w:cs="Arial" w:eastAsia="Arial" w:hAnsi="Arial"/>
          <w:sz w:val="14"/>
          <w:szCs w:val="14"/>
          <w:color w:val="FFFFFF"/>
        </w:rPr>
        <w:t>47,611Deposits53,8099,58852414,7901,020— —</w:t>
      </w:r>
    </w:p>
    <w:p>
      <w:pPr>
        <w:sectPr>
          <w:pgSz w:w="11900" w:h="16838" w:orient="portrait"/>
          <w:cols w:equalWidth="0" w:num="1">
            <w:col w:w="11400"/>
          </w:cols>
          <w:pgMar w:left="240" w:top="1440" w:right="25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126 Wynn Macau, Limited</w:t>
      </w:r>
    </w:p>
    <w:p>
      <w:pPr>
        <w:spacing w:after="0" w:line="187" w:lineRule="auto"/>
        <w:rPr>
          <w:sz w:val="20"/>
          <w:szCs w:val="20"/>
          <w:color w:val="auto"/>
        </w:rPr>
      </w:pPr>
      <w:r>
        <w:rPr>
          <w:rFonts w:ascii="Arial" w:cs="Arial" w:eastAsia="Arial" w:hAnsi="Arial"/>
          <w:sz w:val="9"/>
          <w:szCs w:val="9"/>
          <w:color w:val="FFFFFF"/>
        </w:rPr>
        <w:t>NotesFinancialtoFinancialStatementsStatements</w:t>
      </w:r>
    </w:p>
    <w:p>
      <w:pPr>
        <w:spacing w:after="0" w:line="189" w:lineRule="auto"/>
        <w:rPr>
          <w:sz w:val="20"/>
          <w:szCs w:val="20"/>
          <w:color w:val="auto"/>
        </w:rPr>
      </w:pPr>
      <w:r>
        <w:rPr>
          <w:rFonts w:ascii="Arial" w:cs="Arial" w:eastAsia="Arial" w:hAnsi="Arial"/>
          <w:sz w:val="6"/>
          <w:szCs w:val="6"/>
          <w:color w:val="FFFFFF"/>
        </w:rPr>
        <w:t>For the year ended 31 December 2012</w:t>
      </w:r>
    </w:p>
    <w:p>
      <w:pPr>
        <w:spacing w:after="0" w:line="188" w:lineRule="auto"/>
        <w:rPr>
          <w:sz w:val="20"/>
          <w:szCs w:val="20"/>
          <w:color w:val="auto"/>
        </w:rPr>
      </w:pPr>
      <w:r>
        <w:rPr>
          <w:rFonts w:ascii="Arial" w:cs="Arial" w:eastAsia="Arial" w:hAnsi="Arial"/>
          <w:sz w:val="9"/>
          <w:szCs w:val="9"/>
          <w:color w:val="FFFFFF"/>
        </w:rPr>
        <w:t>The17. AmendedRESTRICTEDWynnMacauCASHCreditANDFacilitiesCASHEQUIVALENTSrequirestheGroup to deposit certain loan proceeds into restricted accounts. This restricted cash and cash equivalents amount can only be applied to ? nance the funds</w:t>
      </w:r>
    </w:p>
    <w:p>
      <w:pPr>
        <w:spacing w:after="0"/>
        <w:rPr>
          <w:sz w:val="20"/>
          <w:szCs w:val="20"/>
          <w:color w:val="auto"/>
        </w:rPr>
      </w:pPr>
      <w:r>
        <w:rPr>
          <w:rFonts w:ascii="Arial" w:cs="Arial" w:eastAsia="Arial" w:hAnsi="Arial"/>
          <w:sz w:val="3"/>
          <w:szCs w:val="3"/>
          <w:color w:val="FFFFFF"/>
        </w:rPr>
        <w:t>expended on the development of Wynn Cotai.</w:t>
      </w:r>
    </w:p>
    <w:p>
      <w:pPr>
        <w:spacing w:after="0" w:line="190" w:lineRule="auto"/>
        <w:rPr>
          <w:sz w:val="20"/>
          <w:szCs w:val="20"/>
          <w:color w:val="auto"/>
        </w:rPr>
      </w:pPr>
      <w:r>
        <w:rPr>
          <w:rFonts w:ascii="Arial" w:cs="Arial" w:eastAsia="Arial" w:hAnsi="Arial"/>
          <w:sz w:val="11"/>
          <w:szCs w:val="11"/>
          <w:color w:val="FFFFFF"/>
        </w:rPr>
        <w:t>18.As at 31CASHDecemberAND2012,CASHtheEQUIVALENTSGrouphadrestricted cash and cash equivalents amounting to HK$768.7 million (2011: nil).</w:t>
      </w:r>
    </w:p>
    <w:p>
      <w:pPr>
        <w:spacing w:after="0"/>
        <w:rPr>
          <w:sz w:val="20"/>
          <w:szCs w:val="20"/>
          <w:color w:val="auto"/>
        </w:rPr>
      </w:pPr>
      <w:r>
        <w:rPr>
          <w:rFonts w:ascii="Arial" w:cs="Arial" w:eastAsia="Arial" w:hAnsi="Arial"/>
          <w:sz w:val="3"/>
          <w:szCs w:val="3"/>
          <w:color w:val="FFFFFF"/>
        </w:rPr>
        <w:t>Cash and cash equivalents consist of the following as at 31 December 2012 and 2011:</w:t>
      </w:r>
    </w:p>
    <w:p>
      <w:pPr>
        <w:spacing w:after="0" w:line="181" w:lineRule="auto"/>
        <w:rPr>
          <w:sz w:val="20"/>
          <w:szCs w:val="20"/>
          <w:color w:val="auto"/>
        </w:rPr>
      </w:pPr>
      <w:r>
        <w:rPr>
          <w:rFonts w:ascii="Arial" w:cs="Arial" w:eastAsia="Arial" w:hAnsi="Arial"/>
          <w:sz w:val="10"/>
          <w:szCs w:val="10"/>
          <w:color w:val="FFFFFF"/>
        </w:rPr>
        <w:t>AsGroupat31CompanyDecember As at 31 December</w:t>
      </w:r>
    </w:p>
    <w:p>
      <w:pPr>
        <w:spacing w:after="0"/>
        <w:rPr>
          <w:sz w:val="20"/>
          <w:szCs w:val="20"/>
          <w:color w:val="auto"/>
        </w:rPr>
      </w:pPr>
      <w:r>
        <w:rPr>
          <w:rFonts w:ascii="Arial" w:cs="Arial" w:eastAsia="Arial" w:hAnsi="Arial"/>
          <w:sz w:val="14"/>
          <w:szCs w:val="14"/>
          <w:color w:val="FFFFFF"/>
        </w:rPr>
        <w:t>(in2012 2011 2012(in2011thousands)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FFFFFF"/>
        </w:rPr>
        <w:t>Cashthousands)cash</w:t>
      </w:r>
    </w:p>
    <w:p>
      <w:pPr>
        <w:spacing w:after="0" w:line="187" w:lineRule="auto"/>
        <w:rPr>
          <w:sz w:val="20"/>
          <w:szCs w:val="20"/>
          <w:color w:val="auto"/>
        </w:rPr>
      </w:pPr>
      <w:r>
        <w:rPr>
          <w:rFonts w:ascii="Arial" w:cs="Arial" w:eastAsia="Arial" w:hAnsi="Arial"/>
          <w:sz w:val="9"/>
          <w:szCs w:val="9"/>
          <w:color w:val="FFFFFF"/>
        </w:rPr>
        <w:t>Cashequivalentsatbanksonandhand 1,825,062 2,174,348 — —</w:t>
      </w:r>
    </w:p>
    <w:p>
      <w:pPr>
        <w:spacing w:after="0"/>
        <w:rPr>
          <w:sz w:val="20"/>
          <w:szCs w:val="20"/>
          <w:color w:val="auto"/>
        </w:rPr>
      </w:pPr>
      <w:r>
        <w:rPr>
          <w:rFonts w:ascii="Arial" w:cs="Arial" w:eastAsia="Arial" w:hAnsi="Arial"/>
          <w:sz w:val="3"/>
          <w:szCs w:val="3"/>
          <w:color w:val="FFFFFF"/>
        </w:rPr>
        <w:t>10,475,370short-termdeposits5,156,7258,650,3081,244,8742,982,3771,176,1131,244,874 1,176,113</w:t>
      </w:r>
    </w:p>
    <w:p>
      <w:pPr>
        <w:spacing w:after="0" w:line="194" w:lineRule="auto"/>
        <w:rPr>
          <w:sz w:val="20"/>
          <w:szCs w:val="20"/>
          <w:color w:val="auto"/>
        </w:rPr>
      </w:pPr>
      <w:r>
        <w:rPr>
          <w:rFonts w:ascii="Arial" w:cs="Arial" w:eastAsia="Arial" w:hAnsi="Arial"/>
          <w:sz w:val="5"/>
          <w:szCs w:val="5"/>
          <w:color w:val="FFFFFF"/>
        </w:rPr>
        <w:t>The cash and cash equivalents are denominated in the following currencies:</w:t>
      </w:r>
    </w:p>
    <w:p>
      <w:pPr>
        <w:spacing w:after="0" w:line="188" w:lineRule="auto"/>
        <w:rPr>
          <w:sz w:val="20"/>
          <w:szCs w:val="20"/>
          <w:color w:val="auto"/>
        </w:rPr>
      </w:pPr>
      <w:r>
        <w:rPr>
          <w:rFonts w:ascii="Arial" w:cs="Arial" w:eastAsia="Arial" w:hAnsi="Arial"/>
          <w:sz w:val="9"/>
          <w:szCs w:val="9"/>
          <w:color w:val="FFFFFF"/>
        </w:rPr>
        <w:t>Group Company</w:t>
      </w:r>
    </w:p>
    <w:p>
      <w:pPr>
        <w:spacing w:after="0"/>
        <w:rPr>
          <w:sz w:val="20"/>
          <w:szCs w:val="20"/>
          <w:color w:val="auto"/>
        </w:rPr>
      </w:pPr>
      <w:r>
        <w:rPr>
          <w:rFonts w:ascii="Arial" w:cs="Arial" w:eastAsia="Arial" w:hAnsi="Arial"/>
          <w:sz w:val="3"/>
          <w:szCs w:val="3"/>
          <w:color w:val="FFFFFF"/>
        </w:rPr>
        <w:t>2012Asat 201131December20122011As at 31 December</w:t>
      </w:r>
    </w:p>
    <w:p>
      <w:pPr>
        <w:spacing w:after="0" w:line="194" w:lineRule="auto"/>
        <w:rPr>
          <w:sz w:val="20"/>
          <w:szCs w:val="20"/>
          <w:color w:val="auto"/>
        </w:rPr>
      </w:pPr>
      <w:r>
        <w:rPr>
          <w:rFonts w:ascii="Arial" w:cs="Arial" w:eastAsia="Arial" w:hAnsi="Arial"/>
          <w:sz w:val="5"/>
          <w:szCs w:val="5"/>
          <w:color w:val="FFFFFF"/>
        </w:rPr>
        <w:t>(in thousands) (in thousands)</w:t>
      </w:r>
    </w:p>
    <w:p>
      <w:pPr>
        <w:spacing w:after="0"/>
        <w:rPr>
          <w:sz w:val="20"/>
          <w:szCs w:val="20"/>
          <w:color w:val="auto"/>
        </w:rPr>
      </w:pPr>
      <w:r>
        <w:rPr>
          <w:rFonts w:ascii="Arial" w:cs="Arial" w:eastAsia="Arial" w:hAnsi="Arial"/>
          <w:sz w:val="3"/>
          <w:szCs w:val="3"/>
          <w:color w:val="FFFFFF"/>
        </w:rPr>
        <w:t>HK$ 8,546,453 3,950,508 107,264 91,907</w:t>
      </w:r>
    </w:p>
    <w:p>
      <w:pPr>
        <w:spacing w:after="0" w:line="194" w:lineRule="auto"/>
        <w:rPr>
          <w:sz w:val="20"/>
          <w:szCs w:val="20"/>
          <w:color w:val="auto"/>
        </w:rPr>
      </w:pPr>
      <w:r>
        <w:rPr>
          <w:rFonts w:ascii="Arial" w:cs="Arial" w:eastAsia="Arial" w:hAnsi="Arial"/>
          <w:sz w:val="5"/>
          <w:szCs w:val="5"/>
          <w:color w:val="FFFFFF"/>
        </w:rPr>
        <w:t>CNH (Offshore Renminbi) 1,137,595 1,084,205 1,137,595 1,084,205</w:t>
      </w:r>
    </w:p>
    <w:p>
      <w:pPr>
        <w:spacing w:after="0"/>
        <w:rPr>
          <w:sz w:val="20"/>
          <w:szCs w:val="20"/>
          <w:color w:val="auto"/>
        </w:rPr>
      </w:pPr>
      <w:r>
        <w:rPr>
          <w:rFonts w:ascii="Arial" w:cs="Arial" w:eastAsia="Arial" w:hAnsi="Arial"/>
          <w:sz w:val="3"/>
          <w:szCs w:val="3"/>
          <w:color w:val="FFFFFF"/>
        </w:rPr>
        <w:t>US$ 755,207 105,606 15 1</w:t>
      </w:r>
    </w:p>
    <w:p>
      <w:pPr>
        <w:spacing w:after="0" w:line="194" w:lineRule="auto"/>
        <w:rPr>
          <w:sz w:val="20"/>
          <w:szCs w:val="20"/>
          <w:color w:val="auto"/>
        </w:rPr>
      </w:pPr>
      <w:r>
        <w:rPr>
          <w:rFonts w:ascii="Arial" w:cs="Arial" w:eastAsia="Arial" w:hAnsi="Arial"/>
          <w:sz w:val="5"/>
          <w:szCs w:val="5"/>
          <w:color w:val="FFFFFF"/>
        </w:rPr>
        <w:t>MOP 29,288 3,580 — —</w:t>
      </w:r>
    </w:p>
    <w:p>
      <w:pPr>
        <w:spacing w:after="0" w:line="211" w:lineRule="auto"/>
        <w:rPr>
          <w:sz w:val="20"/>
          <w:szCs w:val="20"/>
          <w:color w:val="auto"/>
        </w:rPr>
      </w:pPr>
      <w:r>
        <w:rPr>
          <w:rFonts w:ascii="Arial" w:cs="Arial" w:eastAsia="Arial" w:hAnsi="Arial"/>
          <w:sz w:val="2"/>
          <w:szCs w:val="2"/>
          <w:color w:val="FFFFFF"/>
        </w:rPr>
        <w:t>Renminbi 1,21</w:t>
      </w:r>
      <w:r>
        <w:rPr>
          <w:rFonts w:ascii="Arial" w:cs="Arial" w:eastAsia="Arial" w:hAnsi="Arial"/>
          <w:sz w:val="4"/>
          <w:szCs w:val="4"/>
          <w:color w:val="FFFFFF"/>
          <w:vertAlign w:val="superscript"/>
        </w:rPr>
        <w:t>610</w:t>
      </w:r>
      <w:r>
        <w:rPr>
          <w:rFonts w:ascii="Arial" w:cs="Arial" w:eastAsia="Arial" w:hAnsi="Arial"/>
          <w:sz w:val="2"/>
          <w:szCs w:val="2"/>
          <w:color w:val="FFFFFF"/>
        </w:rPr>
        <w:t>2,425 — —</w:t>
      </w:r>
    </w:p>
    <w:p>
      <w:pPr>
        <w:spacing w:after="0"/>
        <w:tabs>
          <w:tab w:leader="none" w:pos="980" w:val="left"/>
        </w:tabs>
        <w:rPr>
          <w:sz w:val="20"/>
          <w:szCs w:val="20"/>
          <w:color w:val="auto"/>
        </w:rPr>
      </w:pPr>
      <w:r>
        <w:rPr>
          <w:rFonts w:ascii="Arial" w:cs="Arial" w:eastAsia="Arial" w:hAnsi="Arial"/>
          <w:sz w:val="3"/>
          <w:szCs w:val="3"/>
          <w:color w:val="FFFFFF"/>
        </w:rPr>
        <w:t>Japanese Yen</w:t>
      </w:r>
      <w:r>
        <w:rPr>
          <w:sz w:val="20"/>
          <w:szCs w:val="20"/>
          <w:color w:val="auto"/>
        </w:rPr>
        <w:tab/>
      </w:r>
      <w:r>
        <w:rPr>
          <w:rFonts w:ascii="Arial" w:cs="Arial" w:eastAsia="Arial" w:hAnsi="Arial"/>
          <w:sz w:val="3"/>
          <w:szCs w:val="3"/>
          <w:color w:val="FFFFFF"/>
        </w:rPr>
        <w:t>1,614 — —</w:t>
      </w:r>
    </w:p>
    <w:p>
      <w:pPr>
        <w:spacing w:after="0" w:line="194" w:lineRule="auto"/>
        <w:rPr>
          <w:sz w:val="20"/>
          <w:szCs w:val="20"/>
          <w:color w:val="auto"/>
        </w:rPr>
      </w:pPr>
      <w:r>
        <w:rPr>
          <w:rFonts w:ascii="Arial" w:cs="Arial" w:eastAsia="Arial" w:hAnsi="Arial"/>
          <w:sz w:val="5"/>
          <w:szCs w:val="5"/>
          <w:color w:val="FFFFFF"/>
        </w:rPr>
        <w:t>Other 5,006 8,787 — —</w:t>
      </w:r>
    </w:p>
    <w:p>
      <w:pPr>
        <w:spacing w:after="0"/>
        <w:rPr>
          <w:sz w:val="20"/>
          <w:szCs w:val="20"/>
          <w:color w:val="auto"/>
        </w:rPr>
      </w:pPr>
      <w:r>
        <w:rPr>
          <w:rFonts w:ascii="Arial" w:cs="Arial" w:eastAsia="Arial" w:hAnsi="Arial"/>
          <w:sz w:val="14"/>
          <w:szCs w:val="14"/>
          <w:color w:val="FFFFFF"/>
        </w:rPr>
        <w:t>10,475,370 5,156,725 1,244,874 1,176,113</w:t>
      </w:r>
    </w:p>
    <w:p>
      <w:pPr>
        <w:sectPr>
          <w:pgSz w:w="11900" w:h="16838" w:orient="portrait"/>
          <w:cols w:equalWidth="0" w:num="1">
            <w:col w:w="11420"/>
          </w:cols>
          <w:pgMar w:left="240" w:top="1440" w:right="23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FinancialAnnualReportStatements2012 127</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2012</w:t>
      </w:r>
    </w:p>
    <w:p>
      <w:pPr>
        <w:spacing w:after="0" w:line="188" w:lineRule="auto"/>
        <w:tabs>
          <w:tab w:leader="none" w:pos="440" w:val="left"/>
        </w:tabs>
        <w:rPr>
          <w:sz w:val="20"/>
          <w:szCs w:val="20"/>
          <w:color w:val="auto"/>
        </w:rPr>
      </w:pPr>
      <w:r>
        <w:rPr>
          <w:rFonts w:ascii="Arial" w:cs="Arial" w:eastAsia="Arial" w:hAnsi="Arial"/>
          <w:sz w:val="6"/>
          <w:szCs w:val="6"/>
          <w:color w:val="FFFFFF"/>
        </w:rPr>
        <w:t>18.</w:t>
      </w:r>
      <w:r>
        <w:rPr>
          <w:sz w:val="20"/>
          <w:szCs w:val="20"/>
          <w:color w:val="auto"/>
        </w:rPr>
        <w:tab/>
      </w:r>
      <w:r>
        <w:rPr>
          <w:rFonts w:ascii="Arial" w:cs="Arial" w:eastAsia="Arial" w:hAnsi="Arial"/>
          <w:sz w:val="6"/>
          <w:szCs w:val="6"/>
          <w:color w:val="FFFFFF"/>
        </w:rPr>
        <w:t>CASH AND CASH EQUIVALENTS (CONTINUED)</w:t>
      </w:r>
    </w:p>
    <w:p>
      <w:pPr>
        <w:spacing w:after="0" w:line="195" w:lineRule="auto"/>
        <w:rPr>
          <w:sz w:val="20"/>
          <w:szCs w:val="20"/>
          <w:color w:val="auto"/>
        </w:rPr>
      </w:pPr>
      <w:r>
        <w:rPr>
          <w:rFonts w:ascii="Arial" w:cs="Arial" w:eastAsia="Arial" w:hAnsi="Arial"/>
          <w:sz w:val="6"/>
          <w:szCs w:val="6"/>
          <w:color w:val="FFFFFF"/>
        </w:rPr>
        <w:t xml:space="preserve">Cash deposited at banks earns interest at ? </w:t>
      </w:r>
      <w:r>
        <w:rPr>
          <w:rFonts w:ascii="Arial" w:cs="Arial" w:eastAsia="Arial" w:hAnsi="Arial"/>
          <w:sz w:val="7"/>
          <w:szCs w:val="7"/>
          <w:color w:val="FFFFFF"/>
          <w:vertAlign w:val="subscript"/>
        </w:rPr>
        <w:t>oating</w:t>
      </w:r>
      <w:r>
        <w:rPr>
          <w:rFonts w:ascii="Arial" w:cs="Arial" w:eastAsia="Arial" w:hAnsi="Arial"/>
          <w:sz w:val="6"/>
          <w:szCs w:val="6"/>
          <w:color w:val="FFFFFF"/>
        </w:rPr>
        <w:t xml:space="preserve"> rates based on daily bank deposit rates. Short-term deposits are made for varying periods of between one day and three months, depending on the immediate cash requirements of the Group, and earn interest the respective short-term deposit rates. The fair values of cash and cash equivalents of the Group and the Company as at 31 December 2012 were HK$10.5 billion (2011: HK$5.2 billion) and HK$1.2 billion (2011: HK$1.2 billion), respectively. The bank balances are deposited with creditworthy banks.</w:t>
      </w:r>
    </w:p>
    <w:p>
      <w:pPr>
        <w:spacing w:after="0" w:line="197" w:lineRule="auto"/>
        <w:tabs>
          <w:tab w:leader="none" w:pos="440" w:val="left"/>
        </w:tabs>
        <w:rPr>
          <w:sz w:val="20"/>
          <w:szCs w:val="20"/>
          <w:color w:val="auto"/>
        </w:rPr>
      </w:pPr>
      <w:r>
        <w:rPr>
          <w:rFonts w:ascii="Arial" w:cs="Arial" w:eastAsia="Arial" w:hAnsi="Arial"/>
          <w:sz w:val="10"/>
          <w:szCs w:val="10"/>
          <w:color w:val="FFFFFF"/>
        </w:rPr>
        <w:t>19.</w:t>
      </w:r>
      <w:r>
        <w:rPr>
          <w:sz w:val="20"/>
          <w:szCs w:val="20"/>
          <w:color w:val="auto"/>
        </w:rPr>
        <w:tab/>
      </w:r>
      <w:r>
        <w:rPr>
          <w:rFonts w:ascii="Arial" w:cs="Arial" w:eastAsia="Arial" w:hAnsi="Arial"/>
          <w:sz w:val="10"/>
          <w:szCs w:val="10"/>
          <w:color w:val="FFFFFF"/>
        </w:rPr>
        <w:t>ACCOUNTS PAYABLE</w:t>
      </w:r>
    </w:p>
    <w:p>
      <w:pPr>
        <w:spacing w:after="0" w:line="188" w:lineRule="auto"/>
        <w:rPr>
          <w:sz w:val="20"/>
          <w:szCs w:val="20"/>
          <w:color w:val="auto"/>
        </w:rPr>
      </w:pPr>
      <w:r>
        <w:rPr>
          <w:rFonts w:ascii="Arial" w:cs="Arial" w:eastAsia="Arial" w:hAnsi="Arial"/>
          <w:sz w:val="9"/>
          <w:szCs w:val="9"/>
          <w:color w:val="FFFFFF"/>
        </w:rPr>
        <w:t>GroupDuring 2012 and 2011, the Group normally received credit terms of 30 days. An aged analysis of accounts payable as at 31 December 2012 and 2011, based on invoice dates, is as follows:</w:t>
      </w:r>
    </w:p>
    <w:p>
      <w:pPr>
        <w:spacing w:after="0" w:line="188" w:lineRule="auto"/>
        <w:rPr>
          <w:sz w:val="20"/>
          <w:szCs w:val="20"/>
          <w:color w:val="auto"/>
        </w:rPr>
      </w:pPr>
      <w:r>
        <w:rPr>
          <w:rFonts w:ascii="Arial" w:cs="Arial" w:eastAsia="Arial" w:hAnsi="Arial"/>
          <w:sz w:val="9"/>
          <w:szCs w:val="9"/>
          <w:color w:val="FFFFFF"/>
        </w:rPr>
        <w:t>2012Asat 201131December</w:t>
      </w:r>
    </w:p>
    <w:p>
      <w:pPr>
        <w:spacing w:after="0"/>
        <w:rPr>
          <w:sz w:val="20"/>
          <w:szCs w:val="20"/>
          <w:color w:val="auto"/>
        </w:rPr>
      </w:pPr>
      <w:r>
        <w:rPr>
          <w:rFonts w:ascii="Arial" w:cs="Arial" w:eastAsia="Arial" w:hAnsi="Arial"/>
          <w:sz w:val="3"/>
          <w:szCs w:val="3"/>
          <w:color w:val="FFFFFF"/>
        </w:rPr>
        <w:t>(inHKthousands)$HK$</w:t>
      </w:r>
    </w:p>
    <w:p>
      <w:pPr>
        <w:spacing w:after="0" w:line="194" w:lineRule="auto"/>
        <w:rPr>
          <w:sz w:val="20"/>
          <w:szCs w:val="20"/>
          <w:color w:val="auto"/>
        </w:rPr>
      </w:pPr>
      <w:r>
        <w:rPr>
          <w:rFonts w:ascii="Arial" w:cs="Arial" w:eastAsia="Arial" w:hAnsi="Arial"/>
          <w:sz w:val="5"/>
          <w:szCs w:val="5"/>
          <w:color w:val="FFFFFF"/>
        </w:rPr>
        <w:t>Within 30 days 895,481 999,791</w:t>
      </w:r>
    </w:p>
    <w:p>
      <w:pPr>
        <w:spacing w:after="0" w:line="211" w:lineRule="auto"/>
        <w:rPr>
          <w:sz w:val="20"/>
          <w:szCs w:val="20"/>
          <w:color w:val="auto"/>
        </w:rPr>
      </w:pPr>
      <w:r>
        <w:rPr>
          <w:rFonts w:ascii="Arial" w:cs="Arial" w:eastAsia="Arial" w:hAnsi="Arial"/>
          <w:sz w:val="2"/>
          <w:szCs w:val="2"/>
          <w:color w:val="FFFFFF"/>
        </w:rPr>
        <w:t>31</w:t>
      </w:r>
      <w:r>
        <w:rPr>
          <w:rFonts w:ascii="Arial" w:cs="Arial" w:eastAsia="Arial" w:hAnsi="Arial"/>
          <w:sz w:val="4"/>
          <w:szCs w:val="4"/>
          <w:color w:val="FFFFFF"/>
          <w:vertAlign w:val="subscript"/>
        </w:rPr>
        <w:t>61 to</w:t>
      </w:r>
      <w:r>
        <w:rPr>
          <w:rFonts w:ascii="Arial" w:cs="Arial" w:eastAsia="Arial" w:hAnsi="Arial"/>
          <w:sz w:val="2"/>
          <w:szCs w:val="2"/>
          <w:color w:val="FFFFFF"/>
        </w:rPr>
        <w:t xml:space="preserve"> 60</w:t>
      </w:r>
      <w:r>
        <w:rPr>
          <w:rFonts w:ascii="Arial" w:cs="Arial" w:eastAsia="Arial" w:hAnsi="Arial"/>
          <w:sz w:val="4"/>
          <w:szCs w:val="4"/>
          <w:color w:val="FFFFFF"/>
          <w:vertAlign w:val="subscript"/>
        </w:rPr>
        <w:t>90 days</w:t>
      </w:r>
      <w:r>
        <w:rPr>
          <w:rFonts w:ascii="Arial" w:cs="Arial" w:eastAsia="Arial" w:hAnsi="Arial"/>
          <w:sz w:val="2"/>
          <w:szCs w:val="2"/>
          <w:color w:val="FFFFFF"/>
        </w:rPr>
        <w:t xml:space="preserve"> 41,181 9,078</w:t>
      </w:r>
    </w:p>
    <w:p>
      <w:pPr>
        <w:ind w:left="760"/>
        <w:spacing w:after="0" w:line="188" w:lineRule="auto"/>
        <w:rPr>
          <w:sz w:val="20"/>
          <w:szCs w:val="20"/>
          <w:color w:val="auto"/>
        </w:rPr>
      </w:pPr>
      <w:r>
        <w:rPr>
          <w:rFonts w:ascii="Arial" w:cs="Arial" w:eastAsia="Arial" w:hAnsi="Arial"/>
          <w:sz w:val="9"/>
          <w:szCs w:val="9"/>
          <w:color w:val="FFFFFF"/>
        </w:rPr>
        <w:t>1,286 4,328</w:t>
      </w:r>
    </w:p>
    <w:p>
      <w:pPr>
        <w:spacing w:after="0"/>
        <w:rPr>
          <w:sz w:val="20"/>
          <w:szCs w:val="20"/>
          <w:color w:val="auto"/>
        </w:rPr>
      </w:pPr>
      <w:r>
        <w:rPr>
          <w:rFonts w:ascii="Arial" w:cs="Arial" w:eastAsia="Arial" w:hAnsi="Arial"/>
          <w:sz w:val="14"/>
          <w:szCs w:val="14"/>
          <w:color w:val="FFFFFF"/>
        </w:rPr>
        <w:t>968,737Over90 days1,050,34530,789 37,148</w:t>
      </w:r>
    </w:p>
    <w:p>
      <w:pPr>
        <w:sectPr>
          <w:pgSz w:w="11900" w:h="16838" w:orient="portrait"/>
          <w:cols w:equalWidth="0" w:num="1">
            <w:col w:w="11420"/>
          </w:cols>
          <w:pgMar w:left="240" w:top="1440" w:right="239" w:bottom="1440" w:gutter="0" w:footer="0" w:header="0"/>
        </w:sectPr>
      </w:pPr>
    </w:p>
    <w:bookmarkStart w:id="133" w:name="page134"/>
    <w:bookmarkEnd w:id="1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128 Wynn Macau, Limited</w:t>
      </w:r>
    </w:p>
    <w:p>
      <w:pPr>
        <w:spacing w:after="0"/>
        <w:rPr>
          <w:sz w:val="20"/>
          <w:szCs w:val="20"/>
          <w:color w:val="auto"/>
        </w:rPr>
      </w:pPr>
      <w:r>
        <w:rPr>
          <w:rFonts w:ascii="Arial" w:cs="Arial" w:eastAsia="Arial" w:hAnsi="Arial"/>
          <w:sz w:val="3"/>
          <w:szCs w:val="3"/>
          <w:color w:val="FFFFFF"/>
        </w:rPr>
        <w:t>Financial Statements</w:t>
      </w:r>
    </w:p>
    <w:p>
      <w:pPr>
        <w:spacing w:after="0" w:line="194" w:lineRule="auto"/>
        <w:rPr>
          <w:sz w:val="20"/>
          <w:szCs w:val="20"/>
          <w:color w:val="auto"/>
        </w:rPr>
      </w:pPr>
      <w:r>
        <w:rPr>
          <w:rFonts w:ascii="Arial" w:cs="Arial" w:eastAsia="Arial" w:hAnsi="Arial"/>
          <w:sz w:val="5"/>
          <w:szCs w:val="5"/>
          <w:color w:val="FFFFFF"/>
        </w:rPr>
        <w:t>Notes to Financial Statements</w:t>
      </w:r>
    </w:p>
    <w:p>
      <w:pPr>
        <w:spacing w:after="0"/>
        <w:rPr>
          <w:sz w:val="20"/>
          <w:szCs w:val="20"/>
          <w:color w:val="auto"/>
        </w:rPr>
      </w:pPr>
      <w:r>
        <w:rPr>
          <w:rFonts w:ascii="Arial" w:cs="Arial" w:eastAsia="Arial" w:hAnsi="Arial"/>
          <w:sz w:val="3"/>
          <w:szCs w:val="3"/>
          <w:color w:val="FFFFFF"/>
        </w:rPr>
        <w:t>For the year ended 31 December 2012</w:t>
      </w:r>
    </w:p>
    <w:p>
      <w:pPr>
        <w:spacing w:after="0" w:line="208" w:lineRule="auto"/>
        <w:tabs>
          <w:tab w:leader="none" w:pos="440" w:val="left"/>
        </w:tabs>
        <w:rPr>
          <w:sz w:val="20"/>
          <w:szCs w:val="20"/>
          <w:color w:val="auto"/>
        </w:rPr>
      </w:pPr>
      <w:r>
        <w:rPr>
          <w:rFonts w:ascii="Arial" w:cs="Arial" w:eastAsia="Arial" w:hAnsi="Arial"/>
          <w:sz w:val="6"/>
          <w:szCs w:val="6"/>
          <w:color w:val="FFFFFF"/>
        </w:rPr>
        <w:t>20.</w:t>
      </w:r>
      <w:r>
        <w:rPr>
          <w:sz w:val="20"/>
          <w:szCs w:val="20"/>
          <w:color w:val="auto"/>
        </w:rPr>
        <w:tab/>
      </w:r>
      <w:r>
        <w:rPr>
          <w:rFonts w:ascii="Arial" w:cs="Arial" w:eastAsia="Arial" w:hAnsi="Arial"/>
          <w:sz w:val="6"/>
          <w:szCs w:val="6"/>
          <w:color w:val="FFFFFF"/>
        </w:rPr>
        <w:t>OTHER PAYABLES AND ACCRUALS</w:t>
      </w:r>
    </w:p>
    <w:p>
      <w:pPr>
        <w:spacing w:after="0"/>
        <w:rPr>
          <w:sz w:val="20"/>
          <w:szCs w:val="20"/>
          <w:color w:val="auto"/>
        </w:rPr>
      </w:pPr>
      <w:r>
        <w:rPr>
          <w:rFonts w:ascii="Arial" w:cs="Arial" w:eastAsia="Arial" w:hAnsi="Arial"/>
          <w:sz w:val="3"/>
          <w:szCs w:val="3"/>
          <w:color w:val="FFFFFF"/>
        </w:rPr>
        <w:t>Other payables and accruals consist of the following as at 31 December 2012 and 2011:</w:t>
      </w:r>
    </w:p>
    <w:p>
      <w:pPr>
        <w:spacing w:after="0" w:line="181" w:lineRule="auto"/>
        <w:rPr>
          <w:sz w:val="20"/>
          <w:szCs w:val="20"/>
          <w:color w:val="auto"/>
        </w:rPr>
      </w:pPr>
      <w:r>
        <w:rPr>
          <w:rFonts w:ascii="Arial" w:cs="Arial" w:eastAsia="Arial" w:hAnsi="Arial"/>
          <w:sz w:val="10"/>
          <w:szCs w:val="10"/>
          <w:color w:val="FFFFFF"/>
        </w:rPr>
        <w:t>Group Company</w:t>
      </w:r>
    </w:p>
    <w:p>
      <w:pPr>
        <w:spacing w:after="0" w:line="188" w:lineRule="auto"/>
        <w:rPr>
          <w:sz w:val="20"/>
          <w:szCs w:val="20"/>
          <w:color w:val="auto"/>
        </w:rPr>
      </w:pPr>
      <w:r>
        <w:rPr>
          <w:rFonts w:ascii="Arial" w:cs="Arial" w:eastAsia="Arial" w:hAnsi="Arial"/>
          <w:sz w:val="9"/>
          <w:szCs w:val="9"/>
          <w:color w:val="FFFFFF"/>
        </w:rPr>
        <w:t>2012Asat 201131December20122011As at 31 December</w:t>
      </w:r>
    </w:p>
    <w:p>
      <w:pPr>
        <w:spacing w:after="0"/>
        <w:rPr>
          <w:sz w:val="20"/>
          <w:szCs w:val="20"/>
          <w:color w:val="auto"/>
        </w:rPr>
      </w:pPr>
      <w:r>
        <w:rPr>
          <w:rFonts w:ascii="Arial" w:cs="Arial" w:eastAsia="Arial" w:hAnsi="Arial"/>
          <w:sz w:val="3"/>
          <w:szCs w:val="3"/>
          <w:color w:val="FFFFFF"/>
        </w:rPr>
        <w:t>Current:(inthousands) (in thousands)</w:t>
      </w:r>
    </w:p>
    <w:p>
      <w:pPr>
        <w:spacing w:after="0" w:line="194" w:lineRule="auto"/>
        <w:rPr>
          <w:sz w:val="20"/>
          <w:szCs w:val="20"/>
          <w:color w:val="auto"/>
        </w:rPr>
      </w:pPr>
      <w:r>
        <w:rPr>
          <w:rFonts w:ascii="Arial" w:cs="Arial" w:eastAsia="Arial" w:hAnsi="Arial"/>
          <w:sz w:val="5"/>
          <w:szCs w:val="5"/>
          <w:color w:val="FFFFFF"/>
        </w:rPr>
        <w:t>Gaming taxes payable 1,155,504 1,291,075 — —</w:t>
      </w:r>
    </w:p>
    <w:p>
      <w:pPr>
        <w:spacing w:after="0" w:line="188" w:lineRule="auto"/>
        <w:rPr>
          <w:sz w:val="20"/>
          <w:szCs w:val="20"/>
          <w:color w:val="auto"/>
        </w:rPr>
      </w:pPr>
      <w:r>
        <w:rPr>
          <w:rFonts w:ascii="Arial" w:cs="Arial" w:eastAsia="Arial" w:hAnsi="Arial"/>
          <w:sz w:val="9"/>
          <w:szCs w:val="9"/>
          <w:color w:val="FFFFFF"/>
        </w:rPr>
        <w:t>Outstanding chip</w:t>
      </w:r>
    </w:p>
    <w:p>
      <w:pPr>
        <w:spacing w:after="0"/>
        <w:rPr>
          <w:sz w:val="20"/>
          <w:szCs w:val="20"/>
          <w:color w:val="auto"/>
        </w:rPr>
      </w:pPr>
      <w:r>
        <w:rPr>
          <w:rFonts w:ascii="Arial" w:cs="Arial" w:eastAsia="Arial" w:hAnsi="Arial"/>
          <w:sz w:val="3"/>
          <w:szCs w:val="3"/>
          <w:color w:val="FFFFFF"/>
        </w:rPr>
        <w:t>liabilities 2,572,680 2,829,369 — —</w:t>
      </w:r>
    </w:p>
    <w:p>
      <w:pPr>
        <w:spacing w:after="0" w:line="181" w:lineRule="auto"/>
        <w:rPr>
          <w:sz w:val="20"/>
          <w:szCs w:val="20"/>
          <w:color w:val="auto"/>
        </w:rPr>
      </w:pPr>
      <w:r>
        <w:rPr>
          <w:rFonts w:ascii="Arial" w:cs="Arial" w:eastAsia="Arial" w:hAnsi="Arial"/>
          <w:sz w:val="7"/>
          <w:szCs w:val="7"/>
          <w:color w:val="FFFFFF"/>
        </w:rPr>
        <w:t>DonationCustomer payabledeposits77,670803,73577,670</w:t>
      </w:r>
      <w:r>
        <w:rPr>
          <w:rFonts w:ascii="Arial" w:cs="Arial" w:eastAsia="Arial" w:hAnsi="Arial"/>
          <w:sz w:val="10"/>
          <w:szCs w:val="10"/>
          <w:color w:val="FFFFFF"/>
          <w:vertAlign w:val="superscript"/>
        </w:rPr>
        <w:t>4,014</w:t>
      </w:r>
      <w:r>
        <w:rPr>
          <w:rFonts w:ascii="Arial" w:cs="Arial" w:eastAsia="Arial" w:hAnsi="Arial"/>
          <w:sz w:val="7"/>
          <w:szCs w:val="7"/>
          <w:color w:val="FFFFFF"/>
        </w:rPr>
        <w:t>820,247— —— —</w:t>
      </w:r>
    </w:p>
    <w:p>
      <w:pPr>
        <w:spacing w:after="0"/>
        <w:rPr>
          <w:sz w:val="20"/>
          <w:szCs w:val="20"/>
          <w:color w:val="auto"/>
        </w:rPr>
      </w:pPr>
      <w:r>
        <w:rPr>
          <w:rFonts w:ascii="Arial" w:cs="Arial" w:eastAsia="Arial" w:hAnsi="Arial"/>
          <w:sz w:val="3"/>
          <w:szCs w:val="3"/>
          <w:color w:val="FFFFFF"/>
        </w:rPr>
        <w:t>4,902,238Otherliabilities5,657,107292,6495,372638 746 5,372 4,014</w:t>
      </w:r>
    </w:p>
    <w:p>
      <w:pPr>
        <w:ind w:left="240"/>
        <w:spacing w:after="0" w:line="125" w:lineRule="auto"/>
        <w:tabs>
          <w:tab w:leader="none" w:pos="220" w:val="left"/>
        </w:tabs>
        <w:rPr>
          <w:sz w:val="20"/>
          <w:szCs w:val="20"/>
          <w:color w:val="auto"/>
        </w:rPr>
      </w:pPr>
      <w:r>
        <w:rPr>
          <w:rFonts w:ascii="Arial" w:cs="Arial" w:eastAsia="Arial" w:hAnsi="Arial"/>
          <w:sz w:val="1"/>
          <w:szCs w:val="1"/>
          <w:color w:val="FFFFFF"/>
        </w:rPr>
        <w:t>N</w:t>
      </w:r>
      <w:r>
        <w:rPr>
          <w:sz w:val="20"/>
          <w:szCs w:val="20"/>
          <w:color w:val="auto"/>
        </w:rPr>
        <w:tab/>
      </w:r>
      <w:r>
        <w:rPr>
          <w:rFonts w:ascii="Arial" w:cs="Arial" w:eastAsia="Arial" w:hAnsi="Arial"/>
          <w:sz w:val="1"/>
          <w:szCs w:val="1"/>
          <w:color w:val="FFFFFF"/>
        </w:rPr>
        <w:t>-current:</w:t>
      </w:r>
    </w:p>
    <w:p>
      <w:pPr>
        <w:spacing w:after="0" w:line="187" w:lineRule="auto"/>
        <w:rPr>
          <w:sz w:val="20"/>
          <w:szCs w:val="20"/>
          <w:color w:val="auto"/>
        </w:rPr>
      </w:pPr>
      <w:r>
        <w:rPr>
          <w:rFonts w:ascii="Arial" w:cs="Arial" w:eastAsia="Arial" w:hAnsi="Arial"/>
          <w:sz w:val="9"/>
          <w:szCs w:val="9"/>
          <w:color w:val="FFFFFF"/>
        </w:rPr>
        <w:t>Donation</w:t>
      </w:r>
    </w:p>
    <w:p>
      <w:pPr>
        <w:spacing w:after="0"/>
        <w:rPr>
          <w:sz w:val="20"/>
          <w:szCs w:val="20"/>
          <w:color w:val="auto"/>
        </w:rPr>
      </w:pPr>
      <w:r>
        <w:rPr>
          <w:rFonts w:ascii="Arial" w:cs="Arial" w:eastAsia="Arial" w:hAnsi="Arial"/>
          <w:sz w:val="3"/>
          <w:szCs w:val="3"/>
          <w:color w:val="FFFFFF"/>
        </w:rPr>
        <w:t>Other liabilitiespayable4,736533,774——579,770— — —</w:t>
      </w:r>
    </w:p>
    <w:p>
      <w:pPr>
        <w:spacing w:after="0" w:line="194" w:lineRule="auto"/>
        <w:rPr>
          <w:sz w:val="20"/>
          <w:szCs w:val="20"/>
          <w:color w:val="auto"/>
        </w:rPr>
      </w:pPr>
      <w:r>
        <w:rPr>
          <w:rFonts w:ascii="Arial" w:cs="Arial" w:eastAsia="Arial" w:hAnsi="Arial"/>
          <w:sz w:val="5"/>
          <w:szCs w:val="5"/>
          <w:color w:val="FFFFFF"/>
        </w:rPr>
        <w:t>538,510 579,770 — —</w:t>
      </w:r>
    </w:p>
    <w:p>
      <w:pPr>
        <w:spacing w:after="0"/>
        <w:rPr>
          <w:sz w:val="20"/>
          <w:szCs w:val="20"/>
          <w:color w:val="auto"/>
        </w:rPr>
      </w:pPr>
      <w:r>
        <w:rPr>
          <w:rFonts w:ascii="Arial" w:cs="Arial" w:eastAsia="Arial" w:hAnsi="Arial"/>
          <w:sz w:val="3"/>
          <w:szCs w:val="3"/>
          <w:color w:val="FFFFFF"/>
        </w:rPr>
        <w:t>Total 5,440,748 6,236,877 5,372 4,014</w:t>
      </w:r>
    </w:p>
    <w:p>
      <w:pPr>
        <w:spacing w:after="0" w:line="194" w:lineRule="auto"/>
        <w:rPr>
          <w:sz w:val="20"/>
          <w:szCs w:val="20"/>
          <w:color w:val="auto"/>
        </w:rPr>
      </w:pPr>
      <w:r>
        <w:rPr>
          <w:rFonts w:ascii="Arial" w:cs="Arial" w:eastAsia="Arial" w:hAnsi="Arial"/>
          <w:sz w:val="3"/>
          <w:szCs w:val="3"/>
          <w:color w:val="FFFFFF"/>
        </w:rPr>
        <w:t>As of 31 December 2011, “other liabilities” includes an accrual made by Palo to an unrelated third party company incorporated in Macau that</w:t>
      </w:r>
      <w:r>
        <w:rPr>
          <w:rFonts w:ascii="Arial" w:cs="Arial" w:eastAsia="Arial" w:hAnsi="Arial"/>
          <w:sz w:val="5"/>
          <w:szCs w:val="5"/>
          <w:color w:val="FFFFFF"/>
          <w:vertAlign w:val="subscript"/>
        </w:rPr>
        <w:t>This</w:t>
      </w:r>
      <w:r>
        <w:rPr>
          <w:rFonts w:ascii="Arial" w:cs="Arial" w:eastAsia="Arial" w:hAnsi="Arial"/>
          <w:sz w:val="3"/>
          <w:szCs w:val="3"/>
          <w:color w:val="FFFFFF"/>
        </w:rPr>
        <w:t>not</w:t>
      </w:r>
      <w:r>
        <w:rPr>
          <w:rFonts w:ascii="Arial" w:cs="Arial" w:eastAsia="Arial" w:hAnsi="Arial"/>
          <w:sz w:val="5"/>
          <w:szCs w:val="5"/>
          <w:color w:val="FFFFFF"/>
          <w:vertAlign w:val="subscript"/>
        </w:rPr>
        <w:t>balance</w:t>
      </w:r>
      <w:r>
        <w:rPr>
          <w:rFonts w:ascii="Arial" w:cs="Arial" w:eastAsia="Arial" w:hAnsi="Arial"/>
          <w:sz w:val="3"/>
          <w:szCs w:val="3"/>
          <w:color w:val="FFFFFF"/>
        </w:rPr>
        <w:t>connected person of the Group amounting to US$50 million</w:t>
      </w:r>
    </w:p>
    <w:p>
      <w:pPr>
        <w:spacing w:after="0"/>
        <w:tabs>
          <w:tab w:leader="none" w:pos="8320" w:val="left"/>
        </w:tabs>
        <w:rPr>
          <w:sz w:val="20"/>
          <w:szCs w:val="20"/>
          <w:color w:val="auto"/>
        </w:rPr>
      </w:pPr>
      <w:r>
        <w:rPr>
          <w:rFonts w:ascii="Arial" w:cs="Arial" w:eastAsia="Arial" w:hAnsi="Arial"/>
          <w:sz w:val="14"/>
          <w:szCs w:val="14"/>
          <w:color w:val="FFFFFF"/>
        </w:rPr>
        <w:t>(approximately HK$389 million) in consideration of its relinquishment of certain rights in and to any future development of the Cotai Land.</w:t>
      </w:r>
      <w:r>
        <w:rPr>
          <w:sz w:val="20"/>
          <w:szCs w:val="20"/>
          <w:color w:val="auto"/>
        </w:rPr>
        <w:tab/>
      </w:r>
      <w:r>
        <w:rPr>
          <w:rFonts w:ascii="Arial" w:cs="Arial" w:eastAsia="Arial" w:hAnsi="Arial"/>
          <w:sz w:val="12"/>
          <w:szCs w:val="12"/>
          <w:color w:val="FFFFFF"/>
        </w:rPr>
        <w:t>was settled during 2012.</w:t>
      </w:r>
    </w:p>
    <w:p>
      <w:pPr>
        <w:sectPr>
          <w:pgSz w:w="11900" w:h="16838" w:orient="portrait"/>
          <w:cols w:equalWidth="0" w:num="1">
            <w:col w:w="11360"/>
          </w:cols>
          <w:pgMar w:left="240" w:top="1440" w:right="29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gridSpan w:val="2"/>
          </w:tcPr>
          <w:p>
            <w:pPr>
              <w:spacing w:after="0"/>
              <w:rPr>
                <w:sz w:val="20"/>
                <w:szCs w:val="20"/>
                <w:color w:val="auto"/>
              </w:rPr>
            </w:pPr>
            <w:r>
              <w:rPr>
                <w:rFonts w:ascii="Arial" w:cs="Arial" w:eastAsia="Arial" w:hAnsi="Arial"/>
                <w:sz w:val="14"/>
                <w:szCs w:val="14"/>
                <w:color w:val="FFFFFF"/>
              </w:rPr>
              <w:t>Annual Report 2012 129</w:t>
            </w: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21.</w:t>
            </w:r>
          </w:p>
        </w:tc>
        <w:tc>
          <w:tcPr>
            <w:tcW w:w="8580" w:type="dxa"/>
            <w:vAlign w:val="bottom"/>
          </w:tcPr>
          <w:p>
            <w:pPr>
              <w:ind w:left="100"/>
              <w:spacing w:after="0"/>
              <w:rPr>
                <w:sz w:val="20"/>
                <w:szCs w:val="20"/>
                <w:color w:val="auto"/>
              </w:rPr>
            </w:pPr>
            <w:r>
              <w:rPr>
                <w:rFonts w:ascii="Arial" w:cs="Arial" w:eastAsia="Arial" w:hAnsi="Arial"/>
                <w:sz w:val="3"/>
                <w:szCs w:val="3"/>
                <w:color w:val="FFFFFF"/>
              </w:rPr>
              <w:t>INTEREST-BEARING BANK LOANS</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380" w:type="dxa"/>
            <w:vAlign w:val="bottom"/>
            <w:gridSpan w:val="3"/>
          </w:tcPr>
          <w:p>
            <w:pPr>
              <w:spacing w:after="0" w:line="54" w:lineRule="exact"/>
              <w:rPr>
                <w:sz w:val="20"/>
                <w:szCs w:val="20"/>
                <w:color w:val="auto"/>
              </w:rPr>
            </w:pPr>
            <w:r>
              <w:rPr>
                <w:rFonts w:ascii="Arial" w:cs="Arial" w:eastAsia="Arial" w:hAnsi="Arial"/>
                <w:sz w:val="6"/>
                <w:szCs w:val="6"/>
                <w:color w:val="FFFFFF"/>
              </w:rPr>
              <w:t>The Amended Wynn Macau Credit Facilities were used for re? nancing WRM’s existing indebtedness, whereas future borrowings under it will be used for construction and development commitments or for</w:t>
            </w: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other uses. The Amended Wynn Macau Credit Facilities are and the previous Wynn Macau Credit Facilities were repayable as follows:</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Group</w:t>
            </w:r>
          </w:p>
        </w:tc>
        <w:tc>
          <w:tcPr>
            <w:tcW w:w="8580" w:type="dxa"/>
            <w:vAlign w:val="bottom"/>
          </w:tcPr>
          <w:p>
            <w:pPr>
              <w:spacing w:after="0"/>
              <w:rPr>
                <w:sz w:val="3"/>
                <w:szCs w:val="3"/>
                <w:color w:val="auto"/>
              </w:rPr>
            </w:pP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As at 31 December</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2012 2011</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HK$ HK$</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(in thousands)</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On demand or within one year — 2,302,714</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8580" w:type="dxa"/>
            <w:vAlign w:val="bottom"/>
          </w:tcPr>
          <w:p>
            <w:pPr>
              <w:spacing w:after="0"/>
              <w:rPr>
                <w:sz w:val="20"/>
                <w:szCs w:val="20"/>
                <w:color w:val="auto"/>
              </w:rPr>
            </w:pPr>
            <w:r>
              <w:rPr>
                <w:rFonts w:ascii="Arial" w:cs="Arial" w:eastAsia="Arial" w:hAnsi="Arial"/>
                <w:sz w:val="3"/>
                <w:szCs w:val="3"/>
                <w:color w:val="FFFFFF"/>
              </w:rPr>
              <w:t>second year — 1,114,441</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8580" w:type="dxa"/>
            <w:vAlign w:val="bottom"/>
          </w:tcPr>
          <w:p>
            <w:pPr>
              <w:spacing w:after="0"/>
              <w:rPr>
                <w:sz w:val="20"/>
                <w:szCs w:val="20"/>
                <w:color w:val="auto"/>
              </w:rPr>
            </w:pPr>
            <w:r>
              <w:rPr>
                <w:rFonts w:ascii="Arial" w:cs="Arial" w:eastAsia="Arial" w:hAnsi="Arial"/>
                <w:sz w:val="3"/>
                <w:szCs w:val="3"/>
                <w:color w:val="FFFFFF"/>
              </w:rPr>
              <w:t>third year — 1,460,664</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vMerge w:val="restart"/>
          </w:tcPr>
          <w:p>
            <w:pPr>
              <w:spacing w:after="0" w:line="81" w:lineRule="exact"/>
              <w:rPr>
                <w:sz w:val="20"/>
                <w:szCs w:val="20"/>
                <w:color w:val="auto"/>
              </w:rPr>
            </w:pPr>
            <w:r>
              <w:rPr>
                <w:rFonts w:ascii="Arial" w:cs="Arial" w:eastAsia="Arial" w:hAnsi="Arial"/>
                <w:sz w:val="9"/>
                <w:szCs w:val="9"/>
                <w:color w:val="FFFFFF"/>
              </w:rPr>
              <w:t>In the</w:t>
            </w:r>
          </w:p>
        </w:tc>
        <w:tc>
          <w:tcPr>
            <w:tcW w:w="8580" w:type="dxa"/>
            <w:vAlign w:val="bottom"/>
          </w:tcPr>
          <w:p>
            <w:pPr>
              <w:spacing w:after="0"/>
              <w:rPr>
                <w:sz w:val="20"/>
                <w:szCs w:val="20"/>
                <w:color w:val="auto"/>
              </w:rPr>
            </w:pPr>
            <w:r>
              <w:rPr>
                <w:rFonts w:ascii="Arial" w:cs="Arial" w:eastAsia="Arial" w:hAnsi="Arial"/>
                <w:sz w:val="3"/>
                <w:szCs w:val="3"/>
                <w:color w:val="FFFFFF"/>
              </w:rPr>
              <w:t>fourth year — —</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vMerge w:val="continue"/>
          </w:tcPr>
          <w:p>
            <w:pPr>
              <w:spacing w:after="0"/>
              <w:rPr>
                <w:sz w:val="3"/>
                <w:szCs w:val="3"/>
                <w:color w:val="auto"/>
              </w:rPr>
            </w:pPr>
          </w:p>
        </w:tc>
        <w:tc>
          <w:tcPr>
            <w:tcW w:w="8580" w:type="dxa"/>
            <w:vAlign w:val="bottom"/>
          </w:tcPr>
          <w:p>
            <w:pPr>
              <w:spacing w:after="0"/>
              <w:rPr>
                <w:sz w:val="20"/>
                <w:szCs w:val="20"/>
                <w:color w:val="auto"/>
              </w:rPr>
            </w:pPr>
            <w:r>
              <w:rPr>
                <w:rFonts w:ascii="Arial" w:cs="Arial" w:eastAsia="Arial" w:hAnsi="Arial"/>
                <w:sz w:val="3"/>
                <w:szCs w:val="3"/>
                <w:color w:val="FFFFFF"/>
              </w:rPr>
              <w:t>?fth year 2,919,083 —</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After the ?fth year 2,919,084 —</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5,838,167 4,877,819</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Less: debt ?nancing costs, net (344,397) (74,353)</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5,493,770 4,803,466</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Portion classi?ed as non-current (5,493,770) (2,500,752)</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940" w:type="dxa"/>
            <w:vAlign w:val="bottom"/>
            <w:gridSpan w:val="2"/>
          </w:tcPr>
          <w:p>
            <w:pPr>
              <w:spacing w:after="0"/>
              <w:rPr>
                <w:sz w:val="20"/>
                <w:szCs w:val="20"/>
                <w:color w:val="auto"/>
              </w:rPr>
            </w:pPr>
            <w:r>
              <w:rPr>
                <w:rFonts w:ascii="Arial" w:cs="Arial" w:eastAsia="Arial" w:hAnsi="Arial"/>
                <w:sz w:val="3"/>
                <w:szCs w:val="3"/>
                <w:color w:val="FFFFFF"/>
              </w:rPr>
              <w:t>Current portion — 2,302,714</w:t>
            </w:r>
          </w:p>
        </w:tc>
        <w:tc>
          <w:tcPr>
            <w:tcW w:w="2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As amended on 27 June 2007, the previous Wynn Macau Credit Facilities totaled US$1.55 billion (approximately HK$12.1 billion), in  combination of Hong Kong and U.S. dollars, including a US$550 million</w:t>
            </w:r>
          </w:p>
        </w:tc>
        <w:tc>
          <w:tcPr>
            <w:tcW w:w="0" w:type="dxa"/>
            <w:vAlign w:val="bottom"/>
          </w:tcPr>
          <w:p>
            <w:pPr>
              <w:spacing w:after="0"/>
              <w:rPr>
                <w:sz w:val="1"/>
                <w:szCs w:val="1"/>
                <w:color w:val="auto"/>
              </w:rPr>
            </w:pPr>
          </w:p>
        </w:tc>
      </w:tr>
      <w:tr>
        <w:trPr>
          <w:trHeight w:val="0"/>
        </w:trPr>
        <w:tc>
          <w:tcPr>
            <w:tcW w:w="8940" w:type="dxa"/>
            <w:vAlign w:val="bottom"/>
            <w:gridSpan w:val="2"/>
          </w:tcPr>
          <w:p>
            <w:pPr>
              <w:spacing w:after="0" w:line="80" w:lineRule="exact"/>
              <w:rPr>
                <w:sz w:val="20"/>
                <w:szCs w:val="20"/>
                <w:color w:val="auto"/>
              </w:rPr>
            </w:pPr>
            <w:r>
              <w:rPr>
                <w:rFonts w:ascii="Arial" w:cs="Arial" w:eastAsia="Arial" w:hAnsi="Arial"/>
                <w:sz w:val="9"/>
                <w:szCs w:val="9"/>
                <w:color w:val="FFFFFF"/>
              </w:rPr>
              <w:t>(approximately HK$4.3 billion) fully-funded senior term loan (known as the “Previous WRM Term Loan”), and a US$1 billion (approximately HK$7.8 billion)</w:t>
            </w:r>
          </w:p>
        </w:tc>
        <w:tc>
          <w:tcPr>
            <w:tcW w:w="2440" w:type="dxa"/>
            <w:vAlign w:val="bottom"/>
          </w:tcPr>
          <w:p>
            <w:pPr>
              <w:ind w:left="300"/>
              <w:spacing w:after="0" w:line="80" w:lineRule="exact"/>
              <w:rPr>
                <w:sz w:val="20"/>
                <w:szCs w:val="20"/>
                <w:color w:val="auto"/>
              </w:rPr>
            </w:pPr>
            <w:r>
              <w:rPr>
                <w:rFonts w:ascii="Arial" w:cs="Arial" w:eastAsia="Arial" w:hAnsi="Arial"/>
                <w:sz w:val="9"/>
                <w:szCs w:val="9"/>
                <w:color w:val="FFFFFF"/>
              </w:rPr>
              <w:t>credit facility (known as the “Previous</w:t>
            </w:r>
          </w:p>
        </w:tc>
        <w:tc>
          <w:tcPr>
            <w:tcW w:w="0" w:type="dxa"/>
            <w:vAlign w:val="bottom"/>
          </w:tcPr>
          <w:p>
            <w:pPr>
              <w:spacing w:after="0" w:line="20" w:lineRule="exact"/>
              <w:rPr>
                <w:sz w:val="1"/>
                <w:szCs w:val="1"/>
                <w:color w:val="auto"/>
              </w:rPr>
            </w:pPr>
          </w:p>
        </w:tc>
      </w:tr>
    </w:tbl>
    <w:p>
      <w:pPr>
        <w:ind w:left="120" w:right="40" w:hanging="118"/>
        <w:spacing w:after="0"/>
        <w:rPr>
          <w:sz w:val="20"/>
          <w:szCs w:val="20"/>
          <w:color w:val="auto"/>
        </w:rPr>
      </w:pPr>
      <w:r>
        <w:rPr>
          <w:rFonts w:ascii="Arial" w:cs="Arial" w:eastAsia="Arial" w:hAnsi="Arial"/>
          <w:sz w:val="10"/>
          <w:szCs w:val="10"/>
          <w:color w:val="FFFFFF"/>
          <w:vertAlign w:val="superscript"/>
        </w:rPr>
        <w:t>W</w:t>
      </w:r>
      <w:r>
        <w:rPr>
          <w:rFonts w:ascii="Arial" w:cs="Arial" w:eastAsia="Arial" w:hAnsi="Arial"/>
          <w:sz w:val="7"/>
          <w:szCs w:val="7"/>
          <w:color w:val="FFFFFF"/>
        </w:rPr>
        <w:t>RM Revolver”). The Previous WRM Term Loan, which had June 2014 maturities, was fully paid off in July 2012, whereas the Previous WRM Revolver maturedrevolvingJune 2012. Borrowings under the previous ynn Macau Credit Facilities bore interest at LIBOR or HIBOR plus a margin between 1.25% to 2.00% based on the Group’s leverage ratio.</w:t>
      </w:r>
    </w:p>
    <w:p>
      <w:pPr>
        <w:sectPr>
          <w:pgSz w:w="11900" w:h="16838" w:orient="portrait"/>
          <w:cols w:equalWidth="0" w:num="1">
            <w:col w:w="11380"/>
          </w:cols>
          <w:pgMar w:left="240" w:top="1440" w:right="279" w:bottom="1440" w:gutter="0" w:footer="0" w:header="0"/>
        </w:sectPr>
      </w:pPr>
    </w:p>
    <w:bookmarkStart w:id="135" w:name="page136"/>
    <w:bookmarkEnd w:id="1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130 Wynn Macau, Limited</w:t>
      </w:r>
    </w:p>
    <w:p>
      <w:pPr>
        <w:spacing w:after="0"/>
        <w:rPr>
          <w:sz w:val="20"/>
          <w:szCs w:val="20"/>
          <w:color w:val="auto"/>
        </w:rPr>
      </w:pPr>
      <w:r>
        <w:rPr>
          <w:rFonts w:ascii="Arial" w:cs="Arial" w:eastAsia="Arial" w:hAnsi="Arial"/>
          <w:sz w:val="3"/>
          <w:szCs w:val="3"/>
          <w:color w:val="FFFFFF"/>
        </w:rPr>
        <w:t>Financial Statements</w:t>
      </w:r>
    </w:p>
    <w:p>
      <w:pPr>
        <w:spacing w:after="0" w:line="194" w:lineRule="auto"/>
        <w:rPr>
          <w:sz w:val="20"/>
          <w:szCs w:val="20"/>
          <w:color w:val="auto"/>
        </w:rPr>
      </w:pPr>
      <w:r>
        <w:rPr>
          <w:rFonts w:ascii="Arial" w:cs="Arial" w:eastAsia="Arial" w:hAnsi="Arial"/>
          <w:sz w:val="5"/>
          <w:szCs w:val="5"/>
          <w:color w:val="FFFFFF"/>
        </w:rPr>
        <w:t>Notes to Financial Statements</w:t>
      </w:r>
    </w:p>
    <w:p>
      <w:pPr>
        <w:spacing w:after="0"/>
        <w:rPr>
          <w:sz w:val="20"/>
          <w:szCs w:val="20"/>
          <w:color w:val="auto"/>
        </w:rPr>
      </w:pPr>
      <w:r>
        <w:rPr>
          <w:rFonts w:ascii="Arial" w:cs="Arial" w:eastAsia="Arial" w:hAnsi="Arial"/>
          <w:sz w:val="3"/>
          <w:szCs w:val="3"/>
          <w:color w:val="FFFFFF"/>
        </w:rPr>
        <w:t>For the year ended 31 December 2012</w:t>
      </w:r>
    </w:p>
    <w:p>
      <w:pPr>
        <w:spacing w:after="0" w:line="208" w:lineRule="auto"/>
        <w:tabs>
          <w:tab w:leader="none" w:pos="440" w:val="left"/>
        </w:tabs>
        <w:rPr>
          <w:sz w:val="20"/>
          <w:szCs w:val="20"/>
          <w:color w:val="auto"/>
        </w:rPr>
      </w:pPr>
      <w:r>
        <w:rPr>
          <w:rFonts w:ascii="Arial" w:cs="Arial" w:eastAsia="Arial" w:hAnsi="Arial"/>
          <w:sz w:val="6"/>
          <w:szCs w:val="6"/>
          <w:color w:val="FFFFFF"/>
        </w:rPr>
        <w:t>21.</w:t>
      </w:r>
      <w:r>
        <w:rPr>
          <w:sz w:val="20"/>
          <w:szCs w:val="20"/>
          <w:color w:val="auto"/>
        </w:rPr>
        <w:tab/>
      </w:r>
      <w:r>
        <w:rPr>
          <w:rFonts w:ascii="Arial" w:cs="Arial" w:eastAsia="Arial" w:hAnsi="Arial"/>
          <w:sz w:val="6"/>
          <w:szCs w:val="6"/>
          <w:color w:val="FFFFFF"/>
        </w:rPr>
        <w:t>INTEREST-BEARING BANK LOANS (CONTINUED)</w:t>
      </w:r>
    </w:p>
    <w:p>
      <w:pPr>
        <w:spacing w:after="0"/>
        <w:rPr>
          <w:sz w:val="20"/>
          <w:szCs w:val="20"/>
          <w:color w:val="auto"/>
        </w:rPr>
      </w:pPr>
      <w:r>
        <w:rPr>
          <w:rFonts w:ascii="Arial" w:cs="Arial" w:eastAsia="Arial" w:hAnsi="Arial"/>
          <w:sz w:val="6"/>
          <w:szCs w:val="6"/>
          <w:color w:val="FFFFFF"/>
        </w:rPr>
        <w:t xml:space="preserve">On 31 July 2012, WRM entered into the Amended Wynn Macau Credit Facilities and appointed Bank of China Limited, Macau Branch as facilities agent, intercreditor agent and security agent. The Amended Wynn Macau Credit Facilities and related agreements took effect on 31 July 2012 and expand availability under WRM’s senior bank facility to US$2.3 billion equivalent (approximately HK$17.9 billion), </w:t>
      </w:r>
      <w:r>
        <w:rPr>
          <w:rFonts w:ascii="Arial" w:cs="Arial" w:eastAsia="Arial" w:hAnsi="Arial"/>
          <w:sz w:val="7"/>
          <w:szCs w:val="7"/>
          <w:color w:val="FFFFFF"/>
          <w:vertAlign w:val="subscript"/>
        </w:rPr>
        <w:t>consisting</w:t>
      </w:r>
      <w:r>
        <w:rPr>
          <w:rFonts w:ascii="Arial" w:cs="Arial" w:eastAsia="Arial" w:hAnsi="Arial"/>
          <w:sz w:val="6"/>
          <w:szCs w:val="6"/>
          <w:color w:val="FFFFFF"/>
        </w:rPr>
        <w:t xml:space="preserve"> of </w:t>
      </w:r>
      <w:r>
        <w:rPr>
          <w:rFonts w:ascii="Arial" w:cs="Arial" w:eastAsia="Arial" w:hAnsi="Arial"/>
          <w:sz w:val="7"/>
          <w:szCs w:val="7"/>
          <w:color w:val="FFFFFF"/>
          <w:vertAlign w:val="subscript"/>
        </w:rPr>
        <w:t>an</w:t>
      </w:r>
      <w:r>
        <w:rPr>
          <w:rFonts w:ascii="Arial" w:cs="Arial" w:eastAsia="Arial" w:hAnsi="Arial"/>
          <w:sz w:val="6"/>
          <w:szCs w:val="6"/>
          <w:color w:val="FFFFFF"/>
        </w:rPr>
        <w:t>US$750 million equivalent (approximately HK$5.8 billion) fully funded senior term loan facility and a US$1.55 billion equivalent (approximately HK$12.1 billion) senior revolving credit facility. There also option to upsize the total senior secured facilities by an additional US$200 million (approximately HK$1.6 billion) under the Amended Wynn Macau Credit Facilities.</w:t>
      </w:r>
    </w:p>
    <w:p>
      <w:pPr>
        <w:spacing w:after="0" w:line="13" w:lineRule="exact"/>
        <w:rPr>
          <w:sz w:val="20"/>
          <w:szCs w:val="20"/>
          <w:color w:val="auto"/>
        </w:rPr>
      </w:pPr>
    </w:p>
    <w:p>
      <w:pPr>
        <w:ind w:right="220"/>
        <w:spacing w:after="0"/>
        <w:rPr>
          <w:sz w:val="20"/>
          <w:szCs w:val="20"/>
          <w:color w:val="auto"/>
        </w:rPr>
      </w:pPr>
      <w:r>
        <w:rPr>
          <w:rFonts w:ascii="Arial" w:cs="Arial" w:eastAsia="Arial" w:hAnsi="Arial"/>
          <w:sz w:val="7"/>
          <w:szCs w:val="7"/>
          <w:color w:val="FFFFFF"/>
        </w:rPr>
        <w:t>Borrowings under the Amended Wynn Macau Credit Facilities, which consist of both Hong Kong dollar and United States dollar tranches, will be used to re? nance WRM’s existing indebtedness, to fund the design, development, construction and pre-opening expenses of Wynn Cotai and for general corporate purposes.</w:t>
      </w:r>
    </w:p>
    <w:p>
      <w:pPr>
        <w:spacing w:after="0" w:line="214" w:lineRule="auto"/>
        <w:rPr>
          <w:sz w:val="20"/>
          <w:szCs w:val="20"/>
          <w:color w:val="auto"/>
        </w:rPr>
      </w:pPr>
      <w:r>
        <w:rPr>
          <w:rFonts w:ascii="Arial" w:cs="Arial" w:eastAsia="Arial" w:hAnsi="Arial"/>
          <w:sz w:val="2"/>
          <w:szCs w:val="2"/>
          <w:color w:val="FFFFFF"/>
        </w:rPr>
        <w:t>The term loan facility matures</w:t>
      </w:r>
      <w:r>
        <w:rPr>
          <w:rFonts w:ascii="Arial" w:cs="Arial" w:eastAsia="Arial" w:hAnsi="Arial"/>
          <w:sz w:val="4"/>
          <w:szCs w:val="4"/>
          <w:color w:val="FFFFFF"/>
          <w:vertAlign w:val="subscript"/>
        </w:rPr>
        <w:t>outstanding</w:t>
      </w:r>
      <w:r>
        <w:rPr>
          <w:rFonts w:ascii="Arial" w:cs="Arial" w:eastAsia="Arial" w:hAnsi="Arial"/>
          <w:sz w:val="2"/>
          <w:szCs w:val="2"/>
          <w:color w:val="FFFFFF"/>
        </w:rPr>
        <w:t>July 2018 with the principal amount of the term loan to be repaid in two equal installments in July 2017 and July 2018. The ? nal maturity for the revolving credit facility is July</w:t>
      </w:r>
    </w:p>
    <w:p>
      <w:pPr>
        <w:ind w:right="500"/>
        <w:spacing w:after="0" w:line="187" w:lineRule="auto"/>
        <w:rPr>
          <w:sz w:val="20"/>
          <w:szCs w:val="20"/>
          <w:color w:val="auto"/>
        </w:rPr>
      </w:pPr>
      <w:r>
        <w:rPr>
          <w:rFonts w:ascii="Arial" w:cs="Arial" w:eastAsia="Arial" w:hAnsi="Arial"/>
          <w:sz w:val="7"/>
          <w:szCs w:val="7"/>
          <w:color w:val="FFFFFF"/>
        </w:rPr>
        <w:t>2017, by which date any revolving loans must be repaid. The senior secured facilities will bear interest for the ? rst six months after closing at LIBOR or HIBOR plus a margin of 2.50% and thereafter will be subject to LIBOR or HIBOR plus a margin of between 1.75% to 2.50% based on WRM’</w:t>
      </w:r>
      <w:r>
        <w:rPr>
          <w:rFonts w:ascii="Arial" w:cs="Arial" w:eastAsia="Arial" w:hAnsi="Arial"/>
          <w:sz w:val="9"/>
          <w:szCs w:val="9"/>
          <w:color w:val="FFFFFF"/>
          <w:vertAlign w:val="subscript"/>
        </w:rPr>
        <w:t>Facilities</w:t>
      </w:r>
      <w:r>
        <w:rPr>
          <w:rFonts w:ascii="Arial" w:cs="Arial" w:eastAsia="Arial" w:hAnsi="Arial"/>
          <w:sz w:val="7"/>
          <w:szCs w:val="7"/>
          <w:color w:val="FFFFFF"/>
        </w:rPr>
        <w:t>leverage ratio.</w:t>
      </w:r>
    </w:p>
    <w:p>
      <w:pPr>
        <w:spacing w:after="0"/>
        <w:tabs>
          <w:tab w:leader="none" w:pos="6140" w:val="left"/>
        </w:tabs>
        <w:rPr>
          <w:sz w:val="20"/>
          <w:szCs w:val="20"/>
          <w:color w:val="auto"/>
        </w:rPr>
      </w:pPr>
      <w:r>
        <w:rPr>
          <w:rFonts w:ascii="Arial" w:cs="Arial" w:eastAsia="Arial" w:hAnsi="Arial"/>
          <w:sz w:val="4"/>
          <w:szCs w:val="4"/>
          <w:color w:val="FFFFFF"/>
          <w:vertAlign w:val="subscript"/>
        </w:rPr>
        <w:t>Borrowings</w:t>
      </w:r>
      <w:r>
        <w:rPr>
          <w:rFonts w:ascii="Arial" w:cs="Arial" w:eastAsia="Arial" w:hAnsi="Arial"/>
          <w:sz w:val="2"/>
          <w:szCs w:val="2"/>
          <w:color w:val="FFFFFF"/>
        </w:rPr>
        <w:t>Custmaryfees and expenses were paid by WRM in connection with the Amended Wynn Macau Credit</w:t>
      </w:r>
      <w:r>
        <w:rPr>
          <w:sz w:val="20"/>
          <w:szCs w:val="20"/>
          <w:color w:val="auto"/>
        </w:rPr>
        <w:tab/>
      </w:r>
      <w:r>
        <w:rPr>
          <w:rFonts w:ascii="Arial" w:cs="Arial" w:eastAsia="Arial" w:hAnsi="Arial"/>
          <w:sz w:val="3"/>
          <w:szCs w:val="3"/>
          <w:color w:val="FFFFFF"/>
        </w:rPr>
        <w:t>.</w:t>
      </w:r>
    </w:p>
    <w:p>
      <w:pPr>
        <w:ind w:right="180" w:firstLine="672"/>
        <w:spacing w:after="0" w:line="211" w:lineRule="auto"/>
        <w:rPr>
          <w:sz w:val="20"/>
          <w:szCs w:val="20"/>
          <w:color w:val="auto"/>
        </w:rPr>
      </w:pPr>
      <w:r>
        <w:rPr>
          <w:rFonts w:ascii="Arial" w:cs="Arial" w:eastAsia="Arial" w:hAnsi="Arial"/>
          <w:sz w:val="8"/>
          <w:szCs w:val="8"/>
          <w:color w:val="FFFFFF"/>
        </w:rPr>
        <w:t>under the Amended Wynn Macau Credit Facilities are guaranteed by Palo and by certain subsidiaries of the Company that own equity interests in WRM, and are secured by substantially all of the assets of WRM, the equity interests in WRM and substantially all of the assets of Palo.</w:t>
      </w:r>
    </w:p>
    <w:p>
      <w:pPr>
        <w:spacing w:after="0" w:line="212" w:lineRule="auto"/>
        <w:rPr>
          <w:sz w:val="20"/>
          <w:szCs w:val="20"/>
          <w:color w:val="auto"/>
        </w:rPr>
      </w:pPr>
      <w:r>
        <w:rPr>
          <w:rFonts w:ascii="Arial" w:cs="Arial" w:eastAsia="Arial" w:hAnsi="Arial"/>
          <w:sz w:val="4"/>
          <w:szCs w:val="4"/>
          <w:color w:val="FFFFFF"/>
          <w:vertAlign w:val="superscript"/>
        </w:rPr>
        <w:t>The</w:t>
      </w:r>
    </w:p>
    <w:p>
      <w:pPr>
        <w:ind w:left="260"/>
        <w:spacing w:after="0"/>
        <w:rPr>
          <w:sz w:val="20"/>
          <w:szCs w:val="20"/>
          <w:color w:val="auto"/>
        </w:rPr>
      </w:pPr>
      <w:r>
        <w:rPr>
          <w:rFonts w:ascii="Arial" w:cs="Arial" w:eastAsia="Arial" w:hAnsi="Arial"/>
          <w:sz w:val="9"/>
          <w:szCs w:val="9"/>
          <w:color w:val="FFFFFF"/>
        </w:rPr>
        <w:t>CompanyAmended Wynnisnot aMacauparty toCreditthecreditFacilitiesfacilitiescontainagreementrepresentations,andrelatedwarranties,agreementscovenantsandhasandno rightseventsorofobligationsdefaultcustomarythereunder.for casino development ? nancings in Macau.</w:t>
      </w:r>
    </w:p>
    <w:p>
      <w:pPr>
        <w:sectPr>
          <w:pgSz w:w="11900" w:h="16838" w:orient="portrait"/>
          <w:cols w:equalWidth="0" w:num="1">
            <w:col w:w="11400"/>
          </w:cols>
          <w:pgMar w:left="240" w:top="1440" w:right="259" w:bottom="1440" w:gutter="0" w:footer="0" w:header="0"/>
        </w:sectPr>
      </w:pPr>
    </w:p>
    <w:bookmarkStart w:id="136" w:name="page137"/>
    <w:bookmarkEnd w:id="1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131</w:t>
      </w:r>
    </w:p>
    <w:p>
      <w:pPr>
        <w:spacing w:after="0"/>
        <w:rPr>
          <w:sz w:val="20"/>
          <w:szCs w:val="20"/>
          <w:color w:val="auto"/>
        </w:rPr>
      </w:pPr>
      <w:r>
        <w:rPr>
          <w:rFonts w:ascii="Arial" w:cs="Arial" w:eastAsia="Arial" w:hAnsi="Arial"/>
          <w:sz w:val="3"/>
          <w:szCs w:val="3"/>
          <w:color w:val="FFFFFF"/>
        </w:rPr>
        <w:t>Financial Statements</w:t>
      </w:r>
    </w:p>
    <w:p>
      <w:pPr>
        <w:spacing w:after="0" w:line="190" w:lineRule="auto"/>
        <w:rPr>
          <w:sz w:val="20"/>
          <w:szCs w:val="20"/>
          <w:color w:val="auto"/>
        </w:rPr>
      </w:pPr>
      <w:r>
        <w:rPr>
          <w:rFonts w:ascii="Arial" w:cs="Arial" w:eastAsia="Arial" w:hAnsi="Arial"/>
          <w:sz w:val="11"/>
          <w:szCs w:val="11"/>
          <w:color w:val="FFFFFF"/>
        </w:rPr>
        <w:t>ForNotesthetoyearFinancialended Statements31December 2012</w:t>
      </w:r>
    </w:p>
    <w:p>
      <w:pPr>
        <w:ind w:right="200"/>
        <w:spacing w:after="0" w:line="181" w:lineRule="auto"/>
        <w:rPr>
          <w:sz w:val="20"/>
          <w:szCs w:val="20"/>
          <w:color w:val="auto"/>
        </w:rPr>
      </w:pPr>
      <w:r>
        <w:rPr>
          <w:rFonts w:ascii="Arial" w:cs="Arial" w:eastAsia="Arial" w:hAnsi="Arial"/>
          <w:sz w:val="7"/>
          <w:szCs w:val="7"/>
          <w:color w:val="FFFFFF"/>
        </w:rPr>
        <w:t>In21.connectionINTERESTwiththe-BEARINGinitial?nancingBANK ofLOANStheWynn(CONTINUED)Macauproject, the Group entered intodaysbank guarantee reimbursement agreement with Banco Nacional Ultramarino, S.A. (“BNU”) to secure a guarantee currently in the amount of MOP300 million (approximately HK$291.3 million) until 180 after the end of the term of the Concession Agreement. This guarantee, which is for the benefi t of the Macau</w:t>
      </w:r>
    </w:p>
    <w:p>
      <w:pPr>
        <w:spacing w:after="0" w:line="181" w:lineRule="auto"/>
        <w:rPr>
          <w:sz w:val="20"/>
          <w:szCs w:val="20"/>
          <w:color w:val="auto"/>
        </w:rPr>
      </w:pPr>
      <w:r>
        <w:rPr>
          <w:rFonts w:ascii="Arial" w:cs="Arial" w:eastAsia="Arial" w:hAnsi="Arial"/>
          <w:sz w:val="7"/>
          <w:szCs w:val="7"/>
          <w:color w:val="FFFFFF"/>
        </w:rPr>
        <w:t>ofgovernment,theConcessionassuresAgreement.certainaspectsBNU,ofastheissuerGroup’softheperformanceguarantee,isundercurrentlytheConcessionsecureddemandbyAgreement,secondpriorityincludingsecuritythe paymentinterestinofthepremiums,seniorlenderfinescollateralandindemnitiespackage.forAfterany repaymentmaterialfailuresofall indebtednesstoperformunderunderthetheterms Amended Wynn Macau Credit Facilities, the Group is obligated to promptly, upon by BNU, repay any claim made on the guarantee by the Macau government. The Group currently pays BNU an annual</w:t>
      </w:r>
    </w:p>
    <w:p>
      <w:pPr>
        <w:spacing w:after="0"/>
        <w:rPr>
          <w:sz w:val="20"/>
          <w:szCs w:val="20"/>
          <w:color w:val="auto"/>
        </w:rPr>
      </w:pPr>
      <w:r>
        <w:rPr>
          <w:rFonts w:ascii="Arial" w:cs="Arial" w:eastAsia="Arial" w:hAnsi="Arial"/>
          <w:sz w:val="3"/>
          <w:szCs w:val="3"/>
          <w:color w:val="FFFFFF"/>
        </w:rPr>
        <w:t>fee for the guarantee of approximately MOP5.  million (approximately HK$5.0 million).</w:t>
      </w:r>
    </w:p>
    <w:p>
      <w:pPr>
        <w:spacing w:after="0" w:line="181" w:lineRule="auto"/>
        <w:rPr>
          <w:sz w:val="20"/>
          <w:szCs w:val="20"/>
          <w:color w:val="auto"/>
        </w:rPr>
      </w:pPr>
      <w:r>
        <w:rPr>
          <w:rFonts w:ascii="Arial" w:cs="Arial" w:eastAsia="Arial" w:hAnsi="Arial"/>
          <w:sz w:val="10"/>
          <w:szCs w:val="10"/>
          <w:color w:val="FFFFFF"/>
        </w:rPr>
        <w:t>FairAsatvalue31Decemberofdebt 2012, the Group had HK$12.1 billion in funding available under the revolving credit facility of the Amended Wynn Macau Credit Facilities.</w:t>
      </w:r>
    </w:p>
    <w:p>
      <w:pPr>
        <w:spacing w:after="0" w:line="180" w:lineRule="auto"/>
        <w:rPr>
          <w:sz w:val="20"/>
          <w:szCs w:val="20"/>
          <w:color w:val="auto"/>
        </w:rPr>
      </w:pPr>
      <w:r>
        <w:rPr>
          <w:rFonts w:ascii="Arial" w:cs="Arial" w:eastAsia="Arial" w:hAnsi="Arial"/>
          <w:sz w:val="11"/>
          <w:szCs w:val="11"/>
          <w:color w:val="FFFFFF"/>
        </w:rPr>
        <w:t>22.The estimatedISSUEDfairCAPITALvalueofthe Group’s outstanding debt instruments was approximately HK$5.6 billion (2011: HK$4.7 billion) with a book value of HK$5.5 billion (2011: HK$4.9 billion) at the reporting date.</w:t>
      </w:r>
    </w:p>
    <w:p>
      <w:pPr>
        <w:spacing w:after="0"/>
        <w:rPr>
          <w:sz w:val="20"/>
          <w:szCs w:val="20"/>
          <w:color w:val="auto"/>
        </w:rPr>
      </w:pPr>
      <w:r>
        <w:rPr>
          <w:rFonts w:ascii="Arial" w:cs="Arial" w:eastAsia="Arial" w:hAnsi="Arial"/>
          <w:sz w:val="3"/>
          <w:szCs w:val="3"/>
          <w:color w:val="FFFFFF"/>
        </w:rPr>
        <w:t>2012Asat 201131December</w:t>
      </w:r>
    </w:p>
    <w:p>
      <w:pPr>
        <w:spacing w:after="0" w:line="181" w:lineRule="auto"/>
        <w:rPr>
          <w:sz w:val="20"/>
          <w:szCs w:val="20"/>
          <w:color w:val="auto"/>
        </w:rPr>
      </w:pPr>
      <w:r>
        <w:rPr>
          <w:rFonts w:ascii="Arial" w:cs="Arial" w:eastAsia="Arial" w:hAnsi="Arial"/>
          <w:sz w:val="10"/>
          <w:szCs w:val="10"/>
          <w:color w:val="FFFFFF"/>
        </w:rPr>
        <w:t>HK$ HK$</w:t>
      </w:r>
    </w:p>
    <w:p>
      <w:pPr>
        <w:spacing w:after="0" w:line="188" w:lineRule="auto"/>
        <w:rPr>
          <w:sz w:val="20"/>
          <w:szCs w:val="20"/>
          <w:color w:val="auto"/>
        </w:rPr>
      </w:pPr>
      <w:r>
        <w:rPr>
          <w:rFonts w:ascii="Arial" w:cs="Arial" w:eastAsia="Arial" w:hAnsi="Arial"/>
          <w:sz w:val="9"/>
          <w:szCs w:val="9"/>
          <w:color w:val="FFFFFF"/>
        </w:rPr>
        <w:t>Authorized:(inthousands)</w:t>
      </w:r>
    </w:p>
    <w:p>
      <w:pPr>
        <w:spacing w:after="0" w:line="188" w:lineRule="auto"/>
        <w:rPr>
          <w:sz w:val="20"/>
          <w:szCs w:val="20"/>
          <w:color w:val="auto"/>
        </w:rPr>
      </w:pPr>
      <w:r>
        <w:rPr>
          <w:rFonts w:ascii="Arial" w:cs="Arial" w:eastAsia="Arial" w:hAnsi="Arial"/>
          <w:sz w:val="9"/>
          <w:szCs w:val="9"/>
          <w:color w:val="FFFFFF"/>
        </w:rPr>
        <w:t>Issued20,000,000,000andfully Sharespaid: of HK$0.001 each 20,000 20,000</w:t>
      </w:r>
    </w:p>
    <w:p>
      <w:pPr>
        <w:spacing w:after="0"/>
        <w:rPr>
          <w:sz w:val="20"/>
          <w:szCs w:val="20"/>
          <w:color w:val="auto"/>
        </w:rPr>
      </w:pPr>
      <w:r>
        <w:rPr>
          <w:rFonts w:ascii="Arial" w:cs="Arial" w:eastAsia="Arial" w:hAnsi="Arial"/>
          <w:sz w:val="14"/>
          <w:szCs w:val="14"/>
          <w:color w:val="FFFFFF"/>
        </w:rPr>
        <w:t>HK5,187,550,000$0.001each(2011:5,188 5,187,550,000)5,188 Shares of</w:t>
      </w:r>
    </w:p>
    <w:p>
      <w:pPr>
        <w:sectPr>
          <w:pgSz w:w="11900" w:h="16838" w:orient="portrait"/>
          <w:cols w:equalWidth="0" w:num="1">
            <w:col w:w="11380"/>
          </w:cols>
          <w:pgMar w:left="240" w:top="1440" w:right="279"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tcPr>
          <w:p>
            <w:pPr>
              <w:spacing w:after="0"/>
              <w:rPr>
                <w:sz w:val="20"/>
                <w:szCs w:val="20"/>
                <w:color w:val="auto"/>
              </w:rPr>
            </w:pPr>
            <w:r>
              <w:rPr>
                <w:rFonts w:ascii="Arial" w:cs="Arial" w:eastAsia="Arial" w:hAnsi="Arial"/>
                <w:sz w:val="14"/>
                <w:szCs w:val="14"/>
                <w:color w:val="FFFFFF"/>
              </w:rPr>
              <w:t>132 Wynn Macau, Limited</w:t>
            </w:r>
          </w:p>
        </w:tc>
        <w:tc>
          <w:tcPr>
            <w:tcW w:w="4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4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4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c>
          <w:tcPr>
            <w:tcW w:w="4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23.</w:t>
            </w:r>
          </w:p>
        </w:tc>
        <w:tc>
          <w:tcPr>
            <w:tcW w:w="3420" w:type="dxa"/>
            <w:vAlign w:val="bottom"/>
          </w:tcPr>
          <w:p>
            <w:pPr>
              <w:ind w:left="140"/>
              <w:spacing w:after="0"/>
              <w:rPr>
                <w:sz w:val="20"/>
                <w:szCs w:val="20"/>
                <w:color w:val="auto"/>
              </w:rPr>
            </w:pPr>
            <w:r>
              <w:rPr>
                <w:rFonts w:ascii="Arial" w:cs="Arial" w:eastAsia="Arial" w:hAnsi="Arial"/>
                <w:sz w:val="3"/>
                <w:szCs w:val="3"/>
                <w:color w:val="FFFFFF"/>
              </w:rPr>
              <w:t>SHARE PREMIUM ACCOUNT AND RESERVES</w:t>
            </w:r>
          </w:p>
        </w:tc>
        <w:tc>
          <w:tcPr>
            <w:tcW w:w="4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20" w:type="dxa"/>
            <w:vAlign w:val="bottom"/>
          </w:tcPr>
          <w:p>
            <w:pPr>
              <w:spacing w:after="0" w:line="54" w:lineRule="exact"/>
              <w:rPr>
                <w:sz w:val="20"/>
                <w:szCs w:val="20"/>
                <w:color w:val="auto"/>
              </w:rPr>
            </w:pPr>
            <w:r>
              <w:rPr>
                <w:rFonts w:ascii="Arial" w:cs="Arial" w:eastAsia="Arial" w:hAnsi="Arial"/>
                <w:sz w:val="6"/>
                <w:szCs w:val="6"/>
                <w:color w:val="FFFFFF"/>
              </w:rPr>
              <w:t>(a)</w:t>
            </w:r>
          </w:p>
        </w:tc>
        <w:tc>
          <w:tcPr>
            <w:tcW w:w="3420" w:type="dxa"/>
            <w:vAlign w:val="bottom"/>
          </w:tcPr>
          <w:p>
            <w:pPr>
              <w:ind w:left="140"/>
              <w:spacing w:after="0" w:line="54" w:lineRule="exact"/>
              <w:rPr>
                <w:sz w:val="20"/>
                <w:szCs w:val="20"/>
                <w:color w:val="auto"/>
              </w:rPr>
            </w:pPr>
            <w:r>
              <w:rPr>
                <w:rFonts w:ascii="Arial" w:cs="Arial" w:eastAsia="Arial" w:hAnsi="Arial"/>
                <w:sz w:val="6"/>
                <w:szCs w:val="6"/>
                <w:color w:val="FFFFFF"/>
              </w:rPr>
              <w:t>Group</w:t>
            </w:r>
          </w:p>
        </w:tc>
        <w:tc>
          <w:tcPr>
            <w:tcW w:w="41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11300" w:type="dxa"/>
            <w:vAlign w:val="bottom"/>
            <w:gridSpan w:val="5"/>
          </w:tcPr>
          <w:p>
            <w:pPr>
              <w:spacing w:after="0" w:line="54" w:lineRule="exact"/>
              <w:rPr>
                <w:sz w:val="20"/>
                <w:szCs w:val="20"/>
                <w:color w:val="auto"/>
              </w:rPr>
            </w:pPr>
            <w:r>
              <w:rPr>
                <w:rFonts w:ascii="Arial" w:cs="Arial" w:eastAsia="Arial" w:hAnsi="Arial"/>
                <w:sz w:val="6"/>
                <w:szCs w:val="6"/>
                <w:color w:val="FFFFFF"/>
              </w:rPr>
              <w:t>The Group’s share premium account mainly represents the difference between the nominal value of the shares of the subsidiaries acquired pursuant to the Group Reorganization prior to the Listing of the</w:t>
            </w:r>
          </w:p>
        </w:tc>
        <w:tc>
          <w:tcPr>
            <w:tcW w:w="0" w:type="dxa"/>
            <w:vAlign w:val="bottom"/>
          </w:tcPr>
          <w:p>
            <w:pPr>
              <w:spacing w:after="0"/>
              <w:rPr>
                <w:sz w:val="1"/>
                <w:szCs w:val="1"/>
                <w:color w:val="auto"/>
              </w:rPr>
            </w:pPr>
          </w:p>
        </w:tc>
      </w:tr>
      <w:tr>
        <w:trPr>
          <w:trHeight w:val="41"/>
        </w:trPr>
        <w:tc>
          <w:tcPr>
            <w:tcW w:w="10100" w:type="dxa"/>
            <w:vAlign w:val="bottom"/>
            <w:gridSpan w:val="4"/>
          </w:tcPr>
          <w:p>
            <w:pPr>
              <w:spacing w:after="0"/>
              <w:rPr>
                <w:sz w:val="20"/>
                <w:szCs w:val="20"/>
                <w:color w:val="auto"/>
              </w:rPr>
            </w:pPr>
            <w:r>
              <w:rPr>
                <w:rFonts w:ascii="Arial" w:cs="Arial" w:eastAsia="Arial" w:hAnsi="Arial"/>
                <w:sz w:val="3"/>
                <w:szCs w:val="3"/>
                <w:color w:val="FFFFFF"/>
              </w:rPr>
              <w:t>Company’s Shares, over the nominal value of the Company’s Shares issued in exchange therefore with adjustments arising from the Group Reorganization.</w:t>
            </w:r>
          </w:p>
        </w:tc>
        <w:tc>
          <w:tcPr>
            <w:tcW w:w="1200" w:type="dxa"/>
            <w:vAlign w:val="bottom"/>
            <w:vMerge w:val="restart"/>
          </w:tcPr>
          <w:p>
            <w:pPr>
              <w:jc w:val="right"/>
              <w:ind w:right="535"/>
              <w:spacing w:after="0" w:line="81" w:lineRule="exact"/>
              <w:rPr>
                <w:sz w:val="20"/>
                <w:szCs w:val="20"/>
                <w:color w:val="auto"/>
              </w:rPr>
            </w:pPr>
            <w:r>
              <w:rPr>
                <w:rFonts w:ascii="Arial" w:cs="Arial" w:eastAsia="Arial" w:hAnsi="Arial"/>
                <w:sz w:val="9"/>
                <w:szCs w:val="9"/>
                <w:color w:val="FFFFFF"/>
              </w:rPr>
              <w:t>.</w:t>
            </w:r>
          </w:p>
        </w:tc>
        <w:tc>
          <w:tcPr>
            <w:tcW w:w="0" w:type="dxa"/>
            <w:vAlign w:val="bottom"/>
          </w:tcPr>
          <w:p>
            <w:pPr>
              <w:spacing w:after="0"/>
              <w:rPr>
                <w:sz w:val="1"/>
                <w:szCs w:val="1"/>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The amount of the Group’ reserves and the movements therein for</w:t>
            </w:r>
          </w:p>
        </w:tc>
        <w:tc>
          <w:tcPr>
            <w:tcW w:w="4180" w:type="dxa"/>
            <w:vAlign w:val="bottom"/>
          </w:tcPr>
          <w:p>
            <w:pPr>
              <w:ind w:left="120"/>
              <w:spacing w:after="0"/>
              <w:rPr>
                <w:sz w:val="20"/>
                <w:szCs w:val="20"/>
                <w:color w:val="auto"/>
              </w:rPr>
            </w:pPr>
            <w:r>
              <w:rPr>
                <w:rFonts w:ascii="Arial" w:cs="Arial" w:eastAsia="Arial" w:hAnsi="Arial"/>
                <w:sz w:val="3"/>
                <w:szCs w:val="3"/>
                <w:color w:val="FFFFFF"/>
              </w:rPr>
              <w:t>current and prior years are presented in the consolidated statement of</w:t>
            </w:r>
          </w:p>
        </w:tc>
        <w:tc>
          <w:tcPr>
            <w:tcW w:w="2180" w:type="dxa"/>
            <w:vAlign w:val="bottom"/>
          </w:tcPr>
          <w:p>
            <w:pPr>
              <w:ind w:left="320"/>
              <w:spacing w:after="0"/>
              <w:rPr>
                <w:sz w:val="20"/>
                <w:szCs w:val="20"/>
                <w:color w:val="auto"/>
              </w:rPr>
            </w:pPr>
            <w:r>
              <w:rPr>
                <w:rFonts w:ascii="Arial" w:cs="Arial" w:eastAsia="Arial" w:hAnsi="Arial"/>
                <w:sz w:val="3"/>
                <w:szCs w:val="3"/>
                <w:color w:val="FFFFFF"/>
              </w:rPr>
              <w:t>equity on page 80 of the fi nancial</w:t>
            </w:r>
          </w:p>
        </w:tc>
        <w:tc>
          <w:tcPr>
            <w:tcW w:w="1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0100" w:type="dxa"/>
            <w:vAlign w:val="bottom"/>
            <w:gridSpan w:val="4"/>
          </w:tcPr>
          <w:p>
            <w:pPr>
              <w:spacing w:after="0" w:line="80" w:lineRule="exact"/>
              <w:rPr>
                <w:sz w:val="20"/>
                <w:szCs w:val="20"/>
                <w:color w:val="auto"/>
              </w:rPr>
            </w:pPr>
            <w:r>
              <w:rPr>
                <w:rFonts w:ascii="Arial" w:cs="Arial" w:eastAsia="Arial" w:hAnsi="Arial"/>
                <w:sz w:val="9"/>
                <w:szCs w:val="9"/>
                <w:color w:val="FFFFFF"/>
              </w:rPr>
              <w:t>In accordance with the provisions of the Macau Commercial Code, the Company’ subsidiaries incorporated in Macau are required to transferchangesminimum of 10% of the annual net profi</w:t>
            </w:r>
          </w:p>
        </w:tc>
        <w:tc>
          <w:tcPr>
            <w:tcW w:w="1200" w:type="dxa"/>
            <w:vAlign w:val="bottom"/>
          </w:tcPr>
          <w:p>
            <w:pPr>
              <w:jc w:val="center"/>
              <w:spacing w:after="0" w:line="80" w:lineRule="exact"/>
              <w:rPr>
                <w:sz w:val="20"/>
                <w:szCs w:val="20"/>
                <w:color w:val="auto"/>
              </w:rPr>
            </w:pPr>
            <w:r>
              <w:rPr>
                <w:rFonts w:ascii="Arial" w:cs="Arial" w:eastAsia="Arial" w:hAnsi="Arial"/>
                <w:sz w:val="9"/>
                <w:szCs w:val="9"/>
                <w:color w:val="FFFFFF"/>
              </w:rPr>
              <w:t>statementslegalreserve until</w:t>
            </w:r>
          </w:p>
        </w:tc>
        <w:tc>
          <w:tcPr>
            <w:tcW w:w="0" w:type="dxa"/>
            <w:vAlign w:val="bottom"/>
          </w:tcPr>
          <w:p>
            <w:pPr>
              <w:spacing w:after="0" w:line="20" w:lineRule="exact"/>
              <w:rPr>
                <w:sz w:val="1"/>
                <w:szCs w:val="1"/>
                <w:color w:val="auto"/>
              </w:rPr>
            </w:pPr>
          </w:p>
        </w:tc>
      </w:tr>
    </w:tbl>
    <w:p>
      <w:pPr>
        <w:jc w:val="both"/>
        <w:spacing w:after="0"/>
        <w:rPr>
          <w:sz w:val="20"/>
          <w:szCs w:val="20"/>
          <w:color w:val="auto"/>
        </w:rPr>
      </w:pPr>
      <w:r>
        <w:rPr>
          <w:rFonts w:ascii="Arial" w:cs="Arial" w:eastAsia="Arial" w:hAnsi="Arial"/>
          <w:sz w:val="9"/>
          <w:szCs w:val="9"/>
          <w:color w:val="FFFFFF"/>
        </w:rPr>
        <w:t>that reserve equals 25% of their issued capital. The Company’s subsidiaries met this statutory requirement and WRM continues to maintain the required reserve of HK$48.6 million in “statutory reserves”. This reserve is not distributable to the respective shareholders.</w:t>
      </w:r>
    </w:p>
    <w:p>
      <w:pPr>
        <w:sectPr>
          <w:pgSz w:w="11900" w:h="16838" w:orient="portrait"/>
          <w:cols w:equalWidth="0" w:num="1">
            <w:col w:w="11300"/>
          </w:cols>
          <w:pgMar w:left="240" w:top="1440" w:right="359" w:bottom="1440" w:gutter="0" w:footer="0" w:header="0"/>
        </w:sectPr>
      </w:pPr>
    </w:p>
    <w:bookmarkStart w:id="138" w:name="page139"/>
    <w:bookmarkEnd w:id="1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tcPr>
          <w:p>
            <w:pPr>
              <w:spacing w:after="0"/>
              <w:rPr>
                <w:sz w:val="20"/>
                <w:szCs w:val="20"/>
                <w:color w:val="auto"/>
              </w:rPr>
            </w:pPr>
            <w:r>
              <w:rPr>
                <w:rFonts w:ascii="Arial" w:cs="Arial" w:eastAsia="Arial" w:hAnsi="Arial"/>
                <w:sz w:val="14"/>
                <w:szCs w:val="14"/>
                <w:color w:val="FFFFFF"/>
              </w:rPr>
              <w:t>Annual Report 2012 133</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Financial Statements</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For the year ended 31 December 2012</w:t>
            </w: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23.</w:t>
            </w:r>
          </w:p>
        </w:tc>
        <w:tc>
          <w:tcPr>
            <w:tcW w:w="4060" w:type="dxa"/>
            <w:vAlign w:val="bottom"/>
            <w:gridSpan w:val="2"/>
          </w:tcPr>
          <w:p>
            <w:pPr>
              <w:ind w:left="140"/>
              <w:spacing w:after="0"/>
              <w:rPr>
                <w:sz w:val="20"/>
                <w:szCs w:val="20"/>
                <w:color w:val="auto"/>
              </w:rPr>
            </w:pPr>
            <w:r>
              <w:rPr>
                <w:rFonts w:ascii="Arial" w:cs="Arial" w:eastAsia="Arial" w:hAnsi="Arial"/>
                <w:sz w:val="3"/>
                <w:szCs w:val="3"/>
                <w:color w:val="FFFFFF"/>
              </w:rPr>
              <w:t>SHARE PREMIUM ACCOUNT AND RESERVES (CONTINUED)</w:t>
            </w:r>
          </w:p>
        </w:tc>
      </w:tr>
      <w:tr>
        <w:trPr>
          <w:trHeight w:val="54"/>
        </w:trPr>
        <w:tc>
          <w:tcPr>
            <w:tcW w:w="320" w:type="dxa"/>
            <w:vAlign w:val="bottom"/>
          </w:tcPr>
          <w:p>
            <w:pPr>
              <w:spacing w:after="0" w:line="54" w:lineRule="exact"/>
              <w:rPr>
                <w:sz w:val="20"/>
                <w:szCs w:val="20"/>
                <w:color w:val="auto"/>
              </w:rPr>
            </w:pPr>
            <w:r>
              <w:rPr>
                <w:rFonts w:ascii="Arial" w:cs="Arial" w:eastAsia="Arial" w:hAnsi="Arial"/>
                <w:sz w:val="6"/>
                <w:szCs w:val="6"/>
                <w:color w:val="FFFFFF"/>
              </w:rPr>
              <w:t>(b)</w:t>
            </w:r>
          </w:p>
        </w:tc>
        <w:tc>
          <w:tcPr>
            <w:tcW w:w="4060" w:type="dxa"/>
            <w:vAlign w:val="bottom"/>
            <w:gridSpan w:val="2"/>
          </w:tcPr>
          <w:p>
            <w:pPr>
              <w:ind w:left="140"/>
              <w:spacing w:after="0" w:line="54" w:lineRule="exact"/>
              <w:rPr>
                <w:sz w:val="20"/>
                <w:szCs w:val="20"/>
                <w:color w:val="auto"/>
              </w:rPr>
            </w:pPr>
            <w:r>
              <w:rPr>
                <w:rFonts w:ascii="Arial" w:cs="Arial" w:eastAsia="Arial" w:hAnsi="Arial"/>
                <w:sz w:val="6"/>
                <w:szCs w:val="6"/>
                <w:color w:val="FFFFFF"/>
              </w:rPr>
              <w:t>Company</w:t>
            </w:r>
          </w:p>
        </w:tc>
      </w:tr>
      <w:tr>
        <w:trPr>
          <w:trHeight w:val="54"/>
        </w:trPr>
        <w:tc>
          <w:tcPr>
            <w:tcW w:w="900" w:type="dxa"/>
            <w:vAlign w:val="bottom"/>
            <w:gridSpan w:val="2"/>
          </w:tcPr>
          <w:p>
            <w:pPr>
              <w:spacing w:after="0" w:line="54" w:lineRule="exact"/>
              <w:rPr>
                <w:sz w:val="20"/>
                <w:szCs w:val="20"/>
                <w:color w:val="auto"/>
              </w:rPr>
            </w:pPr>
            <w:r>
              <w:rPr>
                <w:rFonts w:ascii="Arial" w:cs="Arial" w:eastAsia="Arial" w:hAnsi="Arial"/>
                <w:sz w:val="6"/>
                <w:szCs w:val="6"/>
                <w:color w:val="FFFFFF"/>
              </w:rPr>
              <w:t>Available-</w:t>
            </w:r>
          </w:p>
        </w:tc>
        <w:tc>
          <w:tcPr>
            <w:tcW w:w="3480" w:type="dxa"/>
            <w:vAlign w:val="bottom"/>
          </w:tcPr>
          <w:p>
            <w:pPr>
              <w:spacing w:after="0"/>
              <w:rPr>
                <w:sz w:val="4"/>
                <w:szCs w:val="4"/>
                <w:color w:val="auto"/>
              </w:rPr>
            </w:pP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for-sale Retained</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Share Investments Share Earnings/ Proposed</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Issued Premium Revaluation Option (Accumulated Final Total</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Note Capital Account Reserve Reserve Losses) Dividend Equity</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HK$ HK$ HK$ HK$ HK$ HK$ HK$</w:t>
            </w:r>
          </w:p>
        </w:tc>
      </w:tr>
      <w:tr>
        <w:trPr>
          <w:trHeight w:val="41"/>
        </w:trPr>
        <w:tc>
          <w:tcPr>
            <w:tcW w:w="900" w:type="dxa"/>
            <w:vAlign w:val="bottom"/>
            <w:gridSpan w:val="2"/>
          </w:tcPr>
          <w:p>
            <w:pPr>
              <w:spacing w:after="0"/>
              <w:rPr>
                <w:sz w:val="20"/>
                <w:szCs w:val="20"/>
                <w:color w:val="auto"/>
              </w:rPr>
            </w:pPr>
            <w:r>
              <w:rPr>
                <w:rFonts w:ascii="Arial" w:cs="Arial" w:eastAsia="Arial" w:hAnsi="Arial"/>
                <w:sz w:val="3"/>
                <w:szCs w:val="3"/>
                <w:color w:val="FFFFFF"/>
              </w:rPr>
              <w:t>(in thousands)</w:t>
            </w:r>
          </w:p>
        </w:tc>
        <w:tc>
          <w:tcPr>
            <w:tcW w:w="3480" w:type="dxa"/>
            <w:vAlign w:val="bottom"/>
          </w:tcPr>
          <w:p>
            <w:pPr>
              <w:spacing w:after="0"/>
              <w:rPr>
                <w:sz w:val="3"/>
                <w:szCs w:val="3"/>
                <w:color w:val="auto"/>
              </w:rPr>
            </w:pP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At 1 January 2011 5,188 12,713,852 — 1,596 (76,372) — 12,644,264</w:t>
            </w: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Net</w:t>
            </w:r>
          </w:p>
        </w:tc>
        <w:tc>
          <w:tcPr>
            <w:tcW w:w="4060" w:type="dxa"/>
            <w:vAlign w:val="bottom"/>
            <w:gridSpan w:val="2"/>
          </w:tcPr>
          <w:p>
            <w:pPr>
              <w:ind w:left="340"/>
              <w:spacing w:after="0"/>
              <w:rPr>
                <w:sz w:val="20"/>
                <w:szCs w:val="20"/>
                <w:color w:val="auto"/>
              </w:rPr>
            </w:pPr>
            <w:r>
              <w:rPr>
                <w:rFonts w:ascii="Arial" w:cs="Arial" w:eastAsia="Arial" w:hAnsi="Arial"/>
                <w:sz w:val="3"/>
                <w:szCs w:val="3"/>
                <w:color w:val="FFFFFF"/>
              </w:rPr>
              <w:t>for the year — — — — 7,818,924 — 7,818,924</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Changesincome fair value</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of available-for-sale</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investments, net of tax — — (14,341) — — — (14,341)</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Total comprehensive</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income for the year — — (14,341) — 7,818,924 — 7,804,583</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Special dividend paid 6 — — — — (6,225,060) — (6,225,060)</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Exercise of share options — 779 — (233) — — 546</w:t>
            </w:r>
          </w:p>
        </w:tc>
      </w:tr>
      <w:tr>
        <w:trPr>
          <w:trHeight w:val="41"/>
        </w:trPr>
        <w:tc>
          <w:tcPr>
            <w:tcW w:w="4380" w:type="dxa"/>
            <w:vAlign w:val="bottom"/>
            <w:gridSpan w:val="3"/>
          </w:tcPr>
          <w:p>
            <w:pPr>
              <w:spacing w:after="0"/>
              <w:rPr>
                <w:sz w:val="20"/>
                <w:szCs w:val="20"/>
                <w:color w:val="auto"/>
              </w:rPr>
            </w:pPr>
            <w:r>
              <w:rPr>
                <w:rFonts w:ascii="Arial" w:cs="Arial" w:eastAsia="Arial" w:hAnsi="Arial"/>
                <w:sz w:val="3"/>
                <w:szCs w:val="3"/>
                <w:color w:val="FFFFFF"/>
              </w:rPr>
              <w:t>Share-based payments — — — 2,098 — — 2,098</w:t>
            </w:r>
          </w:p>
        </w:tc>
      </w:tr>
      <w:tr>
        <w:trPr>
          <w:trHeight w:val="41"/>
        </w:trPr>
        <w:tc>
          <w:tcPr>
            <w:tcW w:w="900" w:type="dxa"/>
            <w:vAlign w:val="bottom"/>
            <w:gridSpan w:val="2"/>
          </w:tcPr>
          <w:p>
            <w:pPr>
              <w:spacing w:after="0"/>
              <w:rPr>
                <w:sz w:val="20"/>
                <w:szCs w:val="20"/>
                <w:color w:val="auto"/>
              </w:rPr>
            </w:pPr>
            <w:r>
              <w:rPr>
                <w:rFonts w:ascii="Arial" w:cs="Arial" w:eastAsia="Arial" w:hAnsi="Arial"/>
                <w:sz w:val="3"/>
                <w:szCs w:val="3"/>
                <w:color w:val="FFFFFF"/>
              </w:rPr>
              <w:t>At 31 December</w:t>
            </w:r>
          </w:p>
        </w:tc>
        <w:tc>
          <w:tcPr>
            <w:tcW w:w="3480" w:type="dxa"/>
            <w:vAlign w:val="bottom"/>
          </w:tcPr>
          <w:p>
            <w:pPr>
              <w:ind w:left="240"/>
              <w:spacing w:after="0"/>
              <w:rPr>
                <w:sz w:val="20"/>
                <w:szCs w:val="20"/>
                <w:color w:val="auto"/>
              </w:rPr>
            </w:pPr>
            <w:r>
              <w:rPr>
                <w:rFonts w:ascii="Arial" w:cs="Arial" w:eastAsia="Arial" w:hAnsi="Arial"/>
                <w:sz w:val="3"/>
                <w:szCs w:val="3"/>
                <w:color w:val="FFFFFF"/>
              </w:rPr>
              <w:t>1 and</w:t>
            </w: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1</w:t>
            </w:r>
          </w:p>
        </w:tc>
        <w:tc>
          <w:tcPr>
            <w:tcW w:w="580" w:type="dxa"/>
            <w:vAlign w:val="bottom"/>
          </w:tcPr>
          <w:p>
            <w:pPr>
              <w:ind w:left="140"/>
              <w:spacing w:after="0"/>
              <w:rPr>
                <w:sz w:val="20"/>
                <w:szCs w:val="20"/>
                <w:color w:val="auto"/>
              </w:rPr>
            </w:pPr>
            <w:r>
              <w:rPr>
                <w:rFonts w:ascii="Arial" w:cs="Arial" w:eastAsia="Arial" w:hAnsi="Arial"/>
                <w:sz w:val="3"/>
                <w:szCs w:val="3"/>
                <w:color w:val="FFFFFF"/>
              </w:rPr>
              <w:t>January</w:t>
            </w:r>
          </w:p>
        </w:tc>
        <w:tc>
          <w:tcPr>
            <w:tcW w:w="3480" w:type="dxa"/>
            <w:vAlign w:val="bottom"/>
          </w:tcPr>
          <w:p>
            <w:pPr>
              <w:spacing w:after="0"/>
              <w:rPr>
                <w:sz w:val="20"/>
                <w:szCs w:val="20"/>
                <w:color w:val="auto"/>
              </w:rPr>
            </w:pPr>
            <w:r>
              <w:rPr>
                <w:rFonts w:ascii="Arial" w:cs="Arial" w:eastAsia="Arial" w:hAnsi="Arial"/>
                <w:sz w:val="3"/>
                <w:szCs w:val="3"/>
                <w:color w:val="FFFFFF"/>
              </w:rPr>
              <w:t>2012 5,188 12,714,631 (14,341) 3,461 1,517,492 — 14,226,431</w:t>
            </w:r>
          </w:p>
        </w:tc>
      </w:tr>
      <w:tr>
        <w:trPr>
          <w:trHeight w:val="0"/>
        </w:trPr>
        <w:tc>
          <w:tcPr>
            <w:tcW w:w="320" w:type="dxa"/>
            <w:vAlign w:val="bottom"/>
          </w:tcPr>
          <w:p>
            <w:pPr>
              <w:spacing w:after="0" w:line="67" w:lineRule="exact"/>
              <w:rPr>
                <w:sz w:val="20"/>
                <w:szCs w:val="20"/>
                <w:color w:val="auto"/>
              </w:rPr>
            </w:pPr>
            <w:r>
              <w:rPr>
                <w:rFonts w:ascii="Arial" w:cs="Arial" w:eastAsia="Arial" w:hAnsi="Arial"/>
                <w:sz w:val="7"/>
                <w:szCs w:val="7"/>
                <w:color w:val="FFFFFF"/>
              </w:rPr>
              <w:t>Net</w:t>
            </w:r>
          </w:p>
        </w:tc>
        <w:tc>
          <w:tcPr>
            <w:tcW w:w="4060" w:type="dxa"/>
            <w:vAlign w:val="bottom"/>
            <w:gridSpan w:val="2"/>
          </w:tcPr>
          <w:p>
            <w:pPr>
              <w:ind w:left="340"/>
              <w:spacing w:after="0" w:line="67" w:lineRule="exact"/>
              <w:rPr>
                <w:sz w:val="20"/>
                <w:szCs w:val="20"/>
                <w:color w:val="auto"/>
              </w:rPr>
            </w:pPr>
            <w:r>
              <w:rPr>
                <w:rFonts w:ascii="Arial" w:cs="Arial" w:eastAsia="Arial" w:hAnsi="Arial"/>
                <w:sz w:val="7"/>
                <w:szCs w:val="7"/>
                <w:color w:val="FFFFFF"/>
              </w:rPr>
              <w:t>for the year — — — — 560 — 560</w:t>
            </w:r>
          </w:p>
        </w:tc>
      </w:tr>
    </w:tbl>
    <w:p>
      <w:pPr>
        <w:ind w:left="240"/>
        <w:spacing w:after="0"/>
        <w:rPr>
          <w:sz w:val="20"/>
          <w:szCs w:val="20"/>
          <w:color w:val="auto"/>
        </w:rPr>
      </w:pPr>
      <w:r>
        <w:rPr>
          <w:rFonts w:ascii="Arial" w:cs="Arial" w:eastAsia="Arial" w:hAnsi="Arial"/>
          <w:sz w:val="1"/>
          <w:szCs w:val="1"/>
          <w:color w:val="FFFFFF"/>
        </w:rPr>
        <w:t>income</w:t>
      </w:r>
    </w:p>
    <w:p>
      <w:pPr>
        <w:spacing w:after="0" w:line="195" w:lineRule="auto"/>
        <w:rPr>
          <w:sz w:val="20"/>
          <w:szCs w:val="20"/>
          <w:color w:val="auto"/>
        </w:rPr>
      </w:pPr>
      <w:r>
        <w:rPr>
          <w:rFonts w:ascii="Arial" w:cs="Arial" w:eastAsia="Arial" w:hAnsi="Arial"/>
          <w:sz w:val="9"/>
          <w:szCs w:val="9"/>
          <w:color w:val="FFFFFF"/>
        </w:rPr>
        <w:t>ofChangesavailable-fairfor-valuesale</w:t>
      </w:r>
    </w:p>
    <w:p>
      <w:pPr>
        <w:spacing w:after="0"/>
        <w:rPr>
          <w:sz w:val="20"/>
          <w:szCs w:val="20"/>
          <w:color w:val="auto"/>
        </w:rPr>
      </w:pPr>
      <w:r>
        <w:rPr>
          <w:rFonts w:ascii="Arial" w:cs="Arial" w:eastAsia="Arial" w:hAnsi="Arial"/>
          <w:sz w:val="3"/>
          <w:szCs w:val="3"/>
          <w:color w:val="FFFFFF"/>
        </w:rPr>
        <w:t>Totalinvestments,comprehensivenetoftax — — 11,967 — — — 11,967</w:t>
      </w:r>
    </w:p>
    <w:p>
      <w:pPr>
        <w:spacing w:after="0" w:line="181" w:lineRule="auto"/>
        <w:rPr>
          <w:sz w:val="20"/>
          <w:szCs w:val="20"/>
          <w:color w:val="auto"/>
        </w:rPr>
      </w:pPr>
      <w:r>
        <w:rPr>
          <w:rFonts w:ascii="Arial" w:cs="Arial" w:eastAsia="Arial" w:hAnsi="Arial"/>
          <w:sz w:val="10"/>
          <w:szCs w:val="10"/>
          <w:color w:val="FFFFFF"/>
        </w:rPr>
        <w:t>income for the year — — 11,967 — 560 — 12,527</w:t>
      </w:r>
    </w:p>
    <w:p>
      <w:pPr>
        <w:spacing w:after="0"/>
        <w:rPr>
          <w:sz w:val="20"/>
          <w:szCs w:val="20"/>
          <w:color w:val="auto"/>
        </w:rPr>
      </w:pPr>
      <w:r>
        <w:rPr>
          <w:rFonts w:ascii="Arial" w:cs="Arial" w:eastAsia="Arial" w:hAnsi="Arial"/>
          <w:sz w:val="3"/>
          <w:szCs w:val="3"/>
          <w:color w:val="FFFFFF"/>
        </w:rPr>
        <w:t>ProposedShared-based?nalpayments2012 — — — 2,844 — — 2,844</w:t>
      </w:r>
    </w:p>
    <w:p>
      <w:pPr>
        <w:spacing w:after="0" w:line="194" w:lineRule="auto"/>
        <w:rPr>
          <w:sz w:val="20"/>
          <w:szCs w:val="20"/>
          <w:color w:val="auto"/>
        </w:rPr>
      </w:pPr>
      <w:r>
        <w:rPr>
          <w:rFonts w:ascii="Arial" w:cs="Arial" w:eastAsia="Arial" w:hAnsi="Arial"/>
          <w:sz w:val="5"/>
          <w:szCs w:val="5"/>
          <w:color w:val="FFFFFF"/>
        </w:rPr>
        <w:t>dividend 6 — — — — (6,432,562) 6,432,562 —</w:t>
      </w:r>
    </w:p>
    <w:p>
      <w:pPr>
        <w:spacing w:after="0"/>
        <w:rPr>
          <w:sz w:val="20"/>
          <w:szCs w:val="20"/>
          <w:color w:val="auto"/>
        </w:rPr>
      </w:pPr>
      <w:r>
        <w:rPr>
          <w:rFonts w:ascii="Arial" w:cs="Arial" w:eastAsia="Arial" w:hAnsi="Arial"/>
          <w:sz w:val="12"/>
          <w:szCs w:val="12"/>
          <w:color w:val="FFFFFF"/>
        </w:rPr>
        <w:t>At 31 December 2012 5,188 12,714,631 (2,374) 6,305 (4,914,510) 6,432,562 14,241,802</w:t>
      </w:r>
    </w:p>
    <w:p>
      <w:pPr>
        <w:sectPr>
          <w:pgSz w:w="11900" w:h="16838" w:orient="portrait"/>
          <w:cols w:equalWidth="0" w:num="1">
            <w:col w:w="10219"/>
          </w:cols>
          <w:pgMar w:left="240" w:top="1440" w:right="1440" w:bottom="1440" w:gutter="0" w:footer="0" w:header="0"/>
        </w:sectPr>
      </w:pPr>
    </w:p>
    <w:bookmarkStart w:id="139" w:name="page140"/>
    <w:bookmarkEnd w:id="1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2"/>
          </w:tcPr>
          <w:p>
            <w:pPr>
              <w:spacing w:after="0"/>
              <w:rPr>
                <w:sz w:val="20"/>
                <w:szCs w:val="20"/>
                <w:color w:val="auto"/>
              </w:rPr>
            </w:pPr>
            <w:r>
              <w:rPr>
                <w:rFonts w:ascii="Arial" w:cs="Arial" w:eastAsia="Arial" w:hAnsi="Arial"/>
                <w:sz w:val="14"/>
                <w:szCs w:val="14"/>
                <w:color w:val="FFFFFF"/>
              </w:rPr>
              <w:t>134 Wynn Macau, Limited</w:t>
            </w:r>
          </w:p>
        </w:tc>
        <w:tc>
          <w:tcPr>
            <w:tcW w:w="1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8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1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1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84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c>
          <w:tcPr>
            <w:tcW w:w="1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23.</w:t>
            </w:r>
          </w:p>
        </w:tc>
        <w:tc>
          <w:tcPr>
            <w:tcW w:w="5520" w:type="dxa"/>
            <w:vAlign w:val="bottom"/>
          </w:tcPr>
          <w:p>
            <w:pPr>
              <w:ind w:left="140"/>
              <w:spacing w:after="0"/>
              <w:rPr>
                <w:sz w:val="20"/>
                <w:szCs w:val="20"/>
                <w:color w:val="auto"/>
              </w:rPr>
            </w:pPr>
            <w:r>
              <w:rPr>
                <w:rFonts w:ascii="Arial" w:cs="Arial" w:eastAsia="Arial" w:hAnsi="Arial"/>
                <w:sz w:val="3"/>
                <w:szCs w:val="3"/>
                <w:color w:val="FFFFFF"/>
              </w:rPr>
              <w:t>SHARE PREMIUM ACCOUNT AND RESERVES (CONTINUED)</w:t>
            </w:r>
          </w:p>
        </w:tc>
        <w:tc>
          <w:tcPr>
            <w:tcW w:w="1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340" w:type="dxa"/>
            <w:vAlign w:val="bottom"/>
            <w:gridSpan w:val="5"/>
          </w:tcPr>
          <w:p>
            <w:pPr>
              <w:spacing w:after="0" w:line="54" w:lineRule="exact"/>
              <w:rPr>
                <w:sz w:val="20"/>
                <w:szCs w:val="20"/>
                <w:color w:val="auto"/>
              </w:rPr>
            </w:pPr>
            <w:r>
              <w:rPr>
                <w:rFonts w:ascii="Arial" w:cs="Arial" w:eastAsia="Arial" w:hAnsi="Arial"/>
                <w:sz w:val="6"/>
                <w:szCs w:val="6"/>
                <w:color w:val="FFFFFF"/>
              </w:rPr>
              <w:t>The Company’s reserves available for distribution represent the share premium account, available-for-sale investments revaluation reserve, share option reserve and retained earnings/ accumulated losses. Under</w:t>
            </w:r>
          </w:p>
        </w:tc>
        <w:tc>
          <w:tcPr>
            <w:tcW w:w="0" w:type="dxa"/>
            <w:vAlign w:val="bottom"/>
          </w:tcPr>
          <w:p>
            <w:pPr>
              <w:spacing w:after="0"/>
              <w:rPr>
                <w:sz w:val="1"/>
                <w:szCs w:val="1"/>
                <w:color w:val="auto"/>
              </w:rPr>
            </w:pPr>
          </w:p>
        </w:tc>
      </w:tr>
      <w:tr>
        <w:trPr>
          <w:trHeight w:val="41"/>
        </w:trPr>
        <w:tc>
          <w:tcPr>
            <w:tcW w:w="7100" w:type="dxa"/>
            <w:vAlign w:val="bottom"/>
            <w:gridSpan w:val="3"/>
          </w:tcPr>
          <w:p>
            <w:pPr>
              <w:spacing w:after="0"/>
              <w:rPr>
                <w:sz w:val="20"/>
                <w:szCs w:val="20"/>
                <w:color w:val="auto"/>
              </w:rPr>
            </w:pPr>
            <w:r>
              <w:rPr>
                <w:rFonts w:ascii="Arial" w:cs="Arial" w:eastAsia="Arial" w:hAnsi="Arial"/>
                <w:sz w:val="3"/>
                <w:szCs w:val="3"/>
                <w:color w:val="FFFFFF"/>
              </w:rPr>
              <w:t>the Companies Law (Revised) Chapter 22 of the Cayman Islands, the share premium of the Company is available for paying</w:t>
            </w:r>
          </w:p>
        </w:tc>
        <w:tc>
          <w:tcPr>
            <w:tcW w:w="4240" w:type="dxa"/>
            <w:vAlign w:val="bottom"/>
            <w:gridSpan w:val="2"/>
          </w:tcPr>
          <w:p>
            <w:pPr>
              <w:ind w:left="380"/>
              <w:spacing w:after="0"/>
              <w:rPr>
                <w:sz w:val="20"/>
                <w:szCs w:val="20"/>
                <w:color w:val="auto"/>
              </w:rPr>
            </w:pPr>
            <w:r>
              <w:rPr>
                <w:rFonts w:ascii="Arial" w:cs="Arial" w:eastAsia="Arial" w:hAnsi="Arial"/>
                <w:sz w:val="3"/>
                <w:szCs w:val="3"/>
                <w:color w:val="FFFFFF"/>
              </w:rPr>
              <w:t>or dividends to shareholders subject to the provisions of its</w:t>
            </w: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Memorandum or Articles of Association and provided that immediately following the distribution of a dividend, the Companydistributionsabletopay its debts as they fall due in the ordinary course of business.</w:t>
            </w: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Accordingly, the Company’s reserves available for distribution to shareholders as at 31 December 2012 amounted to approximately HK$14.2 billion (2011: HK$14.2 billion).</w:t>
            </w: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24.</w:t>
            </w:r>
          </w:p>
        </w:tc>
        <w:tc>
          <w:tcPr>
            <w:tcW w:w="5520" w:type="dxa"/>
            <w:vAlign w:val="bottom"/>
          </w:tcPr>
          <w:p>
            <w:pPr>
              <w:ind w:left="140"/>
              <w:spacing w:after="0"/>
              <w:rPr>
                <w:sz w:val="20"/>
                <w:szCs w:val="20"/>
                <w:color w:val="auto"/>
              </w:rPr>
            </w:pPr>
            <w:r>
              <w:rPr>
                <w:rFonts w:ascii="Arial" w:cs="Arial" w:eastAsia="Arial" w:hAnsi="Arial"/>
                <w:sz w:val="3"/>
                <w:szCs w:val="3"/>
                <w:color w:val="FFFFFF"/>
              </w:rPr>
              <w:t>SHARE-BASED PAYMENT PLAN</w:t>
            </w:r>
          </w:p>
        </w:tc>
        <w:tc>
          <w:tcPr>
            <w:tcW w:w="12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5520" w:type="dxa"/>
            <w:vAlign w:val="bottom"/>
          </w:tcPr>
          <w:p>
            <w:pPr>
              <w:ind w:left="460"/>
              <w:spacing w:after="0" w:line="54" w:lineRule="exact"/>
              <w:rPr>
                <w:sz w:val="20"/>
                <w:szCs w:val="20"/>
                <w:color w:val="auto"/>
              </w:rPr>
            </w:pPr>
            <w:r>
              <w:rPr>
                <w:rFonts w:ascii="Arial" w:cs="Arial" w:eastAsia="Arial" w:hAnsi="Arial"/>
                <w:sz w:val="6"/>
                <w:szCs w:val="6"/>
                <w:color w:val="FFFFFF"/>
              </w:rPr>
              <w:t>’ share option scheme</w:t>
            </w:r>
          </w:p>
        </w:tc>
        <w:tc>
          <w:tcPr>
            <w:tcW w:w="5500" w:type="dxa"/>
            <w:vAlign w:val="bottom"/>
            <w:gridSpan w:val="3"/>
            <w:vMerge w:val="restart"/>
          </w:tcPr>
          <w:p>
            <w:pPr>
              <w:ind w:left="360"/>
              <w:spacing w:after="0" w:line="95" w:lineRule="exact"/>
              <w:rPr>
                <w:sz w:val="20"/>
                <w:szCs w:val="20"/>
                <w:color w:val="auto"/>
              </w:rPr>
            </w:pPr>
            <w:r>
              <w:rPr>
                <w:rFonts w:ascii="Arial" w:cs="Arial" w:eastAsia="Arial" w:hAnsi="Arial"/>
                <w:sz w:val="10"/>
                <w:szCs w:val="10"/>
                <w:color w:val="FFFFFF"/>
              </w:rPr>
              <w:t>which may include Directors and employees of the Group who have contributed to the Group</w:t>
            </w:r>
          </w:p>
        </w:tc>
        <w:tc>
          <w:tcPr>
            <w:tcW w:w="0" w:type="dxa"/>
            <w:vAlign w:val="bottom"/>
          </w:tcPr>
          <w:p>
            <w:pPr>
              <w:spacing w:after="0"/>
              <w:rPr>
                <w:sz w:val="1"/>
                <w:szCs w:val="1"/>
                <w:color w:val="auto"/>
              </w:rPr>
            </w:pPr>
          </w:p>
        </w:tc>
      </w:tr>
      <w:tr>
        <w:trPr>
          <w:trHeight w:val="41"/>
        </w:trPr>
        <w:tc>
          <w:tcPr>
            <w:tcW w:w="5840" w:type="dxa"/>
            <w:vAlign w:val="bottom"/>
            <w:gridSpan w:val="2"/>
          </w:tcPr>
          <w:p>
            <w:pPr>
              <w:spacing w:after="0"/>
              <w:rPr>
                <w:sz w:val="20"/>
                <w:szCs w:val="20"/>
                <w:color w:val="auto"/>
              </w:rPr>
            </w:pPr>
            <w:r>
              <w:rPr>
                <w:rFonts w:ascii="Arial" w:cs="Arial" w:eastAsia="Arial" w:hAnsi="Arial"/>
                <w:sz w:val="3"/>
                <w:szCs w:val="3"/>
                <w:color w:val="FFFFFF"/>
              </w:rPr>
              <w:t>The Company established a share option scheme on 16 September 2009 for the purpose of rewarding</w:t>
            </w:r>
          </w:p>
        </w:tc>
        <w:tc>
          <w:tcPr>
            <w:tcW w:w="55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and to encourage them to work towards enhancing the value of the Company and its Shares for the bene?participants,oftheCompany and its Shareholders as a whole. Under the rules of the share option scheme, the</w:t>
            </w:r>
          </w:p>
        </w:tc>
        <w:tc>
          <w:tcPr>
            <w:tcW w:w="0" w:type="dxa"/>
            <w:vAlign w:val="bottom"/>
          </w:tcPr>
          <w:p>
            <w:pPr>
              <w:spacing w:after="0"/>
              <w:rPr>
                <w:sz w:val="1"/>
                <w:szCs w:val="1"/>
                <w:color w:val="auto"/>
              </w:rPr>
            </w:pPr>
          </w:p>
        </w:tc>
      </w:tr>
      <w:tr>
        <w:trPr>
          <w:trHeight w:val="41"/>
        </w:trPr>
        <w:tc>
          <w:tcPr>
            <w:tcW w:w="8320" w:type="dxa"/>
            <w:vAlign w:val="bottom"/>
            <w:gridSpan w:val="4"/>
          </w:tcPr>
          <w:p>
            <w:pPr>
              <w:spacing w:after="0"/>
              <w:rPr>
                <w:sz w:val="20"/>
                <w:szCs w:val="20"/>
                <w:color w:val="auto"/>
              </w:rPr>
            </w:pPr>
            <w:r>
              <w:rPr>
                <w:rFonts w:ascii="Arial" w:cs="Arial" w:eastAsia="Arial" w:hAnsi="Arial"/>
                <w:sz w:val="3"/>
                <w:szCs w:val="3"/>
                <w:color w:val="FFFFFF"/>
              </w:rPr>
              <w:t>maximum number of Shares which can be issued upon exercise of all options granted under the share option scheme and of the Company shall not, in the</w:t>
            </w:r>
          </w:p>
        </w:tc>
        <w:tc>
          <w:tcPr>
            <w:tcW w:w="3020" w:type="dxa"/>
            <w:vAlign w:val="bottom"/>
          </w:tcPr>
          <w:p>
            <w:pPr>
              <w:ind w:left="80"/>
              <w:spacing w:after="0"/>
              <w:rPr>
                <w:sz w:val="20"/>
                <w:szCs w:val="20"/>
                <w:color w:val="auto"/>
              </w:rPr>
            </w:pPr>
            <w:r>
              <w:rPr>
                <w:rFonts w:ascii="Arial" w:cs="Arial" w:eastAsia="Arial" w:hAnsi="Arial"/>
                <w:sz w:val="3"/>
                <w:szCs w:val="3"/>
                <w:color w:val="FFFFFF"/>
              </w:rPr>
              <w:t>bsence of shareholders’ approval, in aggregate exceed</w:t>
            </w:r>
          </w:p>
        </w:tc>
        <w:tc>
          <w:tcPr>
            <w:tcW w:w="0" w:type="dxa"/>
            <w:vAlign w:val="bottom"/>
          </w:tcPr>
          <w:p>
            <w:pPr>
              <w:spacing w:after="0"/>
              <w:rPr>
                <w:sz w:val="1"/>
                <w:szCs w:val="1"/>
                <w:color w:val="auto"/>
              </w:rPr>
            </w:pPr>
          </w:p>
        </w:tc>
      </w:tr>
      <w:tr>
        <w:trPr>
          <w:trHeight w:val="41"/>
        </w:trPr>
        <w:tc>
          <w:tcPr>
            <w:tcW w:w="11340" w:type="dxa"/>
            <w:vAlign w:val="bottom"/>
            <w:gridSpan w:val="5"/>
          </w:tcPr>
          <w:p>
            <w:pPr>
              <w:spacing w:after="0"/>
              <w:rPr>
                <w:sz w:val="20"/>
                <w:szCs w:val="20"/>
                <w:color w:val="auto"/>
              </w:rPr>
            </w:pPr>
            <w:r>
              <w:rPr>
                <w:rFonts w:ascii="Arial" w:cs="Arial" w:eastAsia="Arial" w:hAnsi="Arial"/>
                <w:sz w:val="3"/>
                <w:szCs w:val="3"/>
                <w:color w:val="FFFFFF"/>
              </w:rPr>
              <w:t>10% in nominal amount of the aggregate of Shares in issue on the date of the listing of the Shares   the Hong Kong Stock Exchange (the “Scheme Mandate Limit”); and the Scheme Mandate Limit may be</w:t>
            </w:r>
          </w:p>
        </w:tc>
        <w:tc>
          <w:tcPr>
            <w:tcW w:w="0" w:type="dxa"/>
            <w:vAlign w:val="bottom"/>
          </w:tcPr>
          <w:p>
            <w:pPr>
              <w:spacing w:after="0"/>
              <w:rPr>
                <w:sz w:val="1"/>
                <w:szCs w:val="1"/>
                <w:color w:val="auto"/>
              </w:rPr>
            </w:pPr>
          </w:p>
        </w:tc>
      </w:tr>
      <w:tr>
        <w:trPr>
          <w:trHeight w:val="0"/>
        </w:trPr>
        <w:tc>
          <w:tcPr>
            <w:tcW w:w="5840" w:type="dxa"/>
            <w:vAlign w:val="bottom"/>
            <w:gridSpan w:val="2"/>
          </w:tcPr>
          <w:p>
            <w:pPr>
              <w:spacing w:after="0" w:line="80" w:lineRule="exact"/>
              <w:rPr>
                <w:sz w:val="20"/>
                <w:szCs w:val="20"/>
                <w:color w:val="auto"/>
              </w:rPr>
            </w:pPr>
            <w:r>
              <w:rPr>
                <w:rFonts w:ascii="Arial" w:cs="Arial" w:eastAsia="Arial" w:hAnsi="Arial"/>
                <w:sz w:val="9"/>
                <w:szCs w:val="9"/>
                <w:color w:val="FFFFFF"/>
              </w:rPr>
              <w:t>renewed subject to Shareholders’ approval. A maximum of 518.75 million shares (2011: 518.75 million</w:t>
            </w:r>
          </w:p>
        </w:tc>
        <w:tc>
          <w:tcPr>
            <w:tcW w:w="2480" w:type="dxa"/>
            <w:vAlign w:val="bottom"/>
            <w:gridSpan w:val="2"/>
          </w:tcPr>
          <w:p>
            <w:pPr>
              <w:ind w:left="220"/>
              <w:spacing w:after="0" w:line="80" w:lineRule="exact"/>
              <w:rPr>
                <w:sz w:val="20"/>
                <w:szCs w:val="20"/>
                <w:color w:val="auto"/>
              </w:rPr>
            </w:pPr>
            <w:r>
              <w:rPr>
                <w:rFonts w:ascii="Arial" w:cs="Arial" w:eastAsia="Arial" w:hAnsi="Arial"/>
                <w:sz w:val="9"/>
                <w:szCs w:val="9"/>
                <w:color w:val="FFFFFF"/>
              </w:rPr>
              <w:t>have been reserved for issuance under</w:t>
            </w:r>
          </w:p>
        </w:tc>
        <w:tc>
          <w:tcPr>
            <w:tcW w:w="3020" w:type="dxa"/>
            <w:vAlign w:val="bottom"/>
          </w:tcPr>
          <w:p>
            <w:pPr>
              <w:ind w:left="40"/>
              <w:spacing w:after="0" w:line="80" w:lineRule="exact"/>
              <w:rPr>
                <w:sz w:val="20"/>
                <w:szCs w:val="20"/>
                <w:color w:val="auto"/>
              </w:rPr>
            </w:pPr>
            <w:r>
              <w:rPr>
                <w:rFonts w:ascii="Arial" w:cs="Arial" w:eastAsia="Arial" w:hAnsi="Arial"/>
                <w:sz w:val="9"/>
                <w:szCs w:val="9"/>
                <w:color w:val="FFFFFF"/>
              </w:rPr>
              <w:t>share option scheme. The options granted under the</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share option scheme do not give immediate ownership of the underlying Shares as they require payment shares)ofsubscription price which is based on the then prevailing market price of the Shares.</w:t>
      </w:r>
    </w:p>
    <w:p>
      <w:pPr>
        <w:sectPr>
          <w:pgSz w:w="11900" w:h="16838" w:orient="portrait"/>
          <w:cols w:equalWidth="0" w:num="1">
            <w:col w:w="11340"/>
          </w:cols>
          <w:pgMar w:left="240" w:top="1440" w:right="319"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AnnualFinancialReportStatements2012 135</w:t>
      </w:r>
    </w:p>
    <w:p>
      <w:pPr>
        <w:spacing w:after="0"/>
        <w:rPr>
          <w:sz w:val="20"/>
          <w:szCs w:val="20"/>
          <w:color w:val="auto"/>
        </w:rPr>
      </w:pPr>
      <w:r>
        <w:rPr>
          <w:rFonts w:ascii="Arial" w:cs="Arial" w:eastAsia="Arial" w:hAnsi="Arial"/>
          <w:sz w:val="3"/>
          <w:szCs w:val="3"/>
          <w:color w:val="FFFFFF"/>
        </w:rPr>
        <w:t>Notes to Financial Statements</w:t>
      </w:r>
    </w:p>
    <w:p>
      <w:pPr>
        <w:spacing w:after="0" w:line="190" w:lineRule="auto"/>
        <w:rPr>
          <w:sz w:val="20"/>
          <w:szCs w:val="20"/>
          <w:color w:val="auto"/>
        </w:rPr>
      </w:pPr>
      <w:r>
        <w:rPr>
          <w:rFonts w:ascii="Arial" w:cs="Arial" w:eastAsia="Arial" w:hAnsi="Arial"/>
          <w:sz w:val="11"/>
          <w:szCs w:val="11"/>
          <w:color w:val="FFFFFF"/>
        </w:rPr>
        <w:t>24.For the yearSHAREended-BASED31DecemberPAYMENT2012 PLAN (CONTINUED)</w:t>
      </w:r>
    </w:p>
    <w:p>
      <w:pPr>
        <w:ind w:left="260"/>
        <w:spacing w:after="0"/>
        <w:rPr>
          <w:sz w:val="20"/>
          <w:szCs w:val="20"/>
          <w:color w:val="auto"/>
        </w:rPr>
      </w:pPr>
      <w:r>
        <w:rPr>
          <w:rFonts w:ascii="Arial" w:cs="Arial" w:eastAsia="Arial" w:hAnsi="Arial"/>
          <w:sz w:val="3"/>
          <w:szCs w:val="3"/>
          <w:color w:val="FFFFFF"/>
        </w:rPr>
        <w:t>Compa y’ share option scheme (cont  ued)</w:t>
      </w:r>
    </w:p>
    <w:p>
      <w:pPr>
        <w:spacing w:after="0" w:line="181" w:lineRule="auto"/>
        <w:rPr>
          <w:sz w:val="20"/>
          <w:szCs w:val="20"/>
          <w:color w:val="auto"/>
        </w:rPr>
      </w:pPr>
      <w:r>
        <w:rPr>
          <w:rFonts w:ascii="Arial" w:cs="Arial" w:eastAsia="Arial" w:hAnsi="Arial"/>
          <w:sz w:val="10"/>
          <w:szCs w:val="10"/>
          <w:color w:val="FFFFFF"/>
        </w:rPr>
        <w:t>WeightedThefollowingWeightedshare options were outstanding under the share option scheme during the year:</w:t>
      </w:r>
    </w:p>
    <w:p>
      <w:pPr>
        <w:spacing w:after="0"/>
        <w:rPr>
          <w:sz w:val="20"/>
          <w:szCs w:val="20"/>
          <w:color w:val="auto"/>
        </w:rPr>
      </w:pPr>
      <w:r>
        <w:rPr>
          <w:rFonts w:ascii="Arial" w:cs="Arial" w:eastAsia="Arial" w:hAnsi="Arial"/>
          <w:sz w:val="3"/>
          <w:szCs w:val="3"/>
          <w:color w:val="FFFFFF"/>
        </w:rPr>
        <w:t>Number of Average Average</w:t>
      </w:r>
    </w:p>
    <w:p>
      <w:pPr>
        <w:spacing w:after="0" w:line="181" w:lineRule="auto"/>
        <w:rPr>
          <w:sz w:val="20"/>
          <w:szCs w:val="20"/>
          <w:color w:val="auto"/>
        </w:rPr>
      </w:pPr>
      <w:r>
        <w:rPr>
          <w:rFonts w:ascii="Arial" w:cs="Arial" w:eastAsia="Arial" w:hAnsi="Arial"/>
          <w:sz w:val="10"/>
          <w:szCs w:val="10"/>
          <w:color w:val="FFFFFF"/>
        </w:rPr>
        <w:t>(HKOptions$)(Years)Exercise Price Exercise Term</w:t>
      </w:r>
    </w:p>
    <w:p>
      <w:pPr>
        <w:spacing w:after="0"/>
        <w:rPr>
          <w:sz w:val="20"/>
          <w:szCs w:val="20"/>
          <w:color w:val="auto"/>
        </w:rPr>
      </w:pPr>
      <w:r>
        <w:rPr>
          <w:rFonts w:ascii="Arial" w:cs="Arial" w:eastAsia="Arial" w:hAnsi="Arial"/>
          <w:sz w:val="3"/>
          <w:szCs w:val="3"/>
          <w:color w:val="FFFFFF"/>
        </w:rPr>
        <w:t>Outstanding as at 1 January 2011 1,000,000 10.92 9.3</w:t>
      </w:r>
    </w:p>
    <w:p>
      <w:pPr>
        <w:spacing w:after="0" w:line="181" w:lineRule="auto"/>
        <w:rPr>
          <w:sz w:val="20"/>
          <w:szCs w:val="20"/>
          <w:color w:val="auto"/>
        </w:rPr>
      </w:pPr>
      <w:r>
        <w:rPr>
          <w:rFonts w:ascii="Arial" w:cs="Arial" w:eastAsia="Arial" w:hAnsi="Arial"/>
          <w:sz w:val="10"/>
          <w:szCs w:val="10"/>
          <w:color w:val="FFFFFF"/>
        </w:rPr>
        <w:t>ExercisedGrantedduringduringthetheyearyear400,000(50,000)25.9610.92</w:t>
      </w:r>
    </w:p>
    <w:p>
      <w:pPr>
        <w:spacing w:after="0" w:line="189" w:lineRule="auto"/>
        <w:rPr>
          <w:sz w:val="20"/>
          <w:szCs w:val="20"/>
          <w:color w:val="auto"/>
        </w:rPr>
      </w:pPr>
      <w:r>
        <w:rPr>
          <w:rFonts w:ascii="Arial" w:cs="Arial" w:eastAsia="Arial" w:hAnsi="Arial"/>
          <w:sz w:val="6"/>
          <w:szCs w:val="6"/>
          <w:color w:val="FFFFFF"/>
        </w:rPr>
        <w:t>1OutstandingJanuaryasat201231December1,350,00020115.38or8.6</w:t>
      </w:r>
    </w:p>
    <w:p>
      <w:pPr>
        <w:spacing w:after="0" w:line="187" w:lineRule="auto"/>
        <w:rPr>
          <w:sz w:val="20"/>
          <w:szCs w:val="20"/>
          <w:color w:val="auto"/>
        </w:rPr>
      </w:pPr>
      <w:r>
        <w:rPr>
          <w:rFonts w:ascii="Arial" w:cs="Arial" w:eastAsia="Arial" w:hAnsi="Arial"/>
          <w:sz w:val="9"/>
          <w:szCs w:val="9"/>
          <w:color w:val="FFFFFF"/>
        </w:rPr>
        <w:t>Granted during the year 760,000 19.04</w:t>
      </w:r>
    </w:p>
    <w:p>
      <w:pPr>
        <w:spacing w:after="0"/>
        <w:rPr>
          <w:sz w:val="20"/>
          <w:szCs w:val="20"/>
          <w:color w:val="auto"/>
        </w:rPr>
      </w:pPr>
      <w:r>
        <w:rPr>
          <w:rFonts w:ascii="Arial" w:cs="Arial" w:eastAsia="Arial" w:hAnsi="Arial"/>
          <w:sz w:val="3"/>
          <w:szCs w:val="3"/>
          <w:color w:val="FFFFFF"/>
        </w:rPr>
        <w:t>SharesOutstandingexercisableasat31asDecemberat 2012 2,110,000 16.70 8.3</w:t>
      </w:r>
    </w:p>
    <w:p>
      <w:pPr>
        <w:spacing w:after="0" w:line="194" w:lineRule="auto"/>
        <w:rPr>
          <w:sz w:val="20"/>
          <w:szCs w:val="20"/>
          <w:color w:val="auto"/>
        </w:rPr>
      </w:pPr>
      <w:r>
        <w:rPr>
          <w:rFonts w:ascii="Arial" w:cs="Arial" w:eastAsia="Arial" w:hAnsi="Arial"/>
          <w:sz w:val="5"/>
          <w:szCs w:val="5"/>
          <w:color w:val="FFFFFF"/>
        </w:rPr>
        <w:t>31 December 2012 430,000 13.72 7.5</w:t>
      </w:r>
    </w:p>
    <w:p>
      <w:pPr>
        <w:spacing w:after="0"/>
        <w:rPr>
          <w:sz w:val="20"/>
          <w:szCs w:val="20"/>
          <w:color w:val="auto"/>
        </w:rPr>
      </w:pPr>
      <w:r>
        <w:rPr>
          <w:rFonts w:ascii="Arial" w:cs="Arial" w:eastAsia="Arial" w:hAnsi="Arial"/>
          <w:sz w:val="3"/>
          <w:szCs w:val="3"/>
          <w:color w:val="FFFFFF"/>
        </w:rPr>
        <w:t>Shares exercisable as at 31 December 2011 150,000 10.92 8.3</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color w:val="FFFFFF"/>
        </w:rPr>
        <w:t>No share options were exercised during the year ended 31 December 2012. The weighted average share price at the date of exercise for options exercised during the year ended 31 December 2011 was HK$26.35 per Share.</w:t>
      </w:r>
    </w:p>
    <w:p>
      <w:pPr>
        <w:sectPr>
          <w:pgSz w:w="11900" w:h="16838" w:orient="portrait"/>
          <w:cols w:equalWidth="0" w:num="1">
            <w:col w:w="11400"/>
          </w:cols>
          <w:pgMar w:left="240" w:top="1440" w:right="259" w:bottom="1440" w:gutter="0" w:footer="0" w:header="0"/>
        </w:sectPr>
      </w:pPr>
    </w:p>
    <w:bookmarkStart w:id="141" w:name="page142"/>
    <w:bookmarkEnd w:id="1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2"/>
          </w:tcPr>
          <w:p>
            <w:pPr>
              <w:spacing w:after="0"/>
              <w:rPr>
                <w:sz w:val="20"/>
                <w:szCs w:val="20"/>
                <w:color w:val="auto"/>
              </w:rPr>
            </w:pPr>
            <w:r>
              <w:rPr>
                <w:rFonts w:ascii="Arial" w:cs="Arial" w:eastAsia="Arial" w:hAnsi="Arial"/>
                <w:sz w:val="14"/>
                <w:szCs w:val="14"/>
                <w:color w:val="FFFFFF"/>
              </w:rPr>
              <w:t>136 Wynn Macau, Limited</w:t>
            </w:r>
          </w:p>
        </w:tc>
        <w:tc>
          <w:tcPr>
            <w:tcW w:w="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For the year ended 31 December 2012</w:t>
            </w:r>
          </w:p>
        </w:tc>
        <w:tc>
          <w:tcPr>
            <w:tcW w:w="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24.</w:t>
            </w:r>
          </w:p>
        </w:tc>
        <w:tc>
          <w:tcPr>
            <w:tcW w:w="4660" w:type="dxa"/>
            <w:vAlign w:val="bottom"/>
            <w:gridSpan w:val="3"/>
          </w:tcPr>
          <w:p>
            <w:pPr>
              <w:jc w:val="right"/>
              <w:ind w:right="1523"/>
              <w:spacing w:after="0"/>
              <w:rPr>
                <w:sz w:val="20"/>
                <w:szCs w:val="20"/>
                <w:color w:val="auto"/>
              </w:rPr>
            </w:pPr>
            <w:r>
              <w:rPr>
                <w:rFonts w:ascii="Arial" w:cs="Arial" w:eastAsia="Arial" w:hAnsi="Arial"/>
                <w:sz w:val="3"/>
                <w:szCs w:val="3"/>
                <w:color w:val="FFFFFF"/>
              </w:rPr>
              <w:t>SHARE-BASED PAYMENT PLAN (CONTINUED)</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4660" w:type="dxa"/>
            <w:vAlign w:val="bottom"/>
            <w:gridSpan w:val="3"/>
          </w:tcPr>
          <w:p>
            <w:pPr>
              <w:jc w:val="right"/>
              <w:ind w:right="2203"/>
              <w:spacing w:after="0" w:line="54" w:lineRule="exact"/>
              <w:rPr>
                <w:sz w:val="20"/>
                <w:szCs w:val="20"/>
                <w:color w:val="auto"/>
              </w:rPr>
            </w:pPr>
            <w:r>
              <w:rPr>
                <w:rFonts w:ascii="Arial" w:cs="Arial" w:eastAsia="Arial" w:hAnsi="Arial"/>
                <w:sz w:val="6"/>
                <w:szCs w:val="6"/>
                <w:color w:val="FFFFFF"/>
              </w:rPr>
              <w:t>Company’s share option scheme (continued)</w:t>
            </w:r>
          </w:p>
        </w:tc>
        <w:tc>
          <w:tcPr>
            <w:tcW w:w="6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fair value of the share options granted during the year was estimated at HK$6.02 per option (2011: HK$5.87 per option) based on the Black-Scholes valuation model. The following table lists the signifi cant</w:t>
            </w:r>
          </w:p>
        </w:tc>
        <w:tc>
          <w:tcPr>
            <w:tcW w:w="0" w:type="dxa"/>
            <w:vAlign w:val="bottom"/>
          </w:tcPr>
          <w:p>
            <w:pPr>
              <w:spacing w:after="0"/>
              <w:rPr>
                <w:sz w:val="1"/>
                <w:szCs w:val="1"/>
                <w:color w:val="auto"/>
              </w:rPr>
            </w:pPr>
          </w:p>
        </w:tc>
      </w:tr>
      <w:tr>
        <w:trPr>
          <w:trHeight w:val="41"/>
        </w:trPr>
        <w:tc>
          <w:tcPr>
            <w:tcW w:w="4880" w:type="dxa"/>
            <w:vAlign w:val="bottom"/>
            <w:gridSpan w:val="4"/>
          </w:tcPr>
          <w:p>
            <w:pPr>
              <w:spacing w:after="0"/>
              <w:rPr>
                <w:sz w:val="20"/>
                <w:szCs w:val="20"/>
                <w:color w:val="auto"/>
              </w:rPr>
            </w:pPr>
            <w:r>
              <w:rPr>
                <w:rFonts w:ascii="Arial" w:cs="Arial" w:eastAsia="Arial" w:hAnsi="Arial"/>
                <w:sz w:val="3"/>
                <w:szCs w:val="3"/>
                <w:color w:val="FFFFFF"/>
              </w:rPr>
              <w:t>inputs used in estimating the fair value per option on the date of grant.</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80" w:type="dxa"/>
            <w:vAlign w:val="bottom"/>
            <w:gridSpan w:val="2"/>
          </w:tcPr>
          <w:p>
            <w:pPr>
              <w:spacing w:after="0" w:line="81" w:lineRule="exact"/>
              <w:rPr>
                <w:sz w:val="20"/>
                <w:szCs w:val="20"/>
                <w:color w:val="auto"/>
              </w:rPr>
            </w:pPr>
            <w:r>
              <w:rPr>
                <w:rFonts w:ascii="Arial" w:cs="Arial" w:eastAsia="Arial" w:hAnsi="Arial"/>
                <w:sz w:val="9"/>
                <w:szCs w:val="9"/>
                <w:color w:val="FFFFFF"/>
                <w:vertAlign w:val="superscript"/>
              </w:rPr>
              <w:t>2012 2011</w:t>
            </w:r>
            <w:r>
              <w:rPr>
                <w:rFonts w:ascii="Arial" w:cs="Arial" w:eastAsia="Arial" w:hAnsi="Arial"/>
                <w:sz w:val="7"/>
                <w:szCs w:val="7"/>
                <w:color w:val="FFFFFF"/>
              </w:rPr>
              <w:t>dividend yield 4.0% 4.1%</w:t>
            </w:r>
          </w:p>
        </w:tc>
        <w:tc>
          <w:tcPr>
            <w:tcW w:w="80" w:type="dxa"/>
            <w:vAlign w:val="bottom"/>
          </w:tcPr>
          <w:p>
            <w:pPr>
              <w:spacing w:after="0"/>
              <w:rPr>
                <w:sz w:val="7"/>
                <w:szCs w:val="7"/>
                <w:color w:val="auto"/>
              </w:rPr>
            </w:pPr>
          </w:p>
        </w:tc>
        <w:tc>
          <w:tcPr>
            <w:tcW w:w="2720" w:type="dxa"/>
            <w:vAlign w:val="bottom"/>
          </w:tcPr>
          <w:p>
            <w:pPr>
              <w:spacing w:after="0"/>
              <w:rPr>
                <w:sz w:val="7"/>
                <w:szCs w:val="7"/>
                <w:color w:val="auto"/>
              </w:rPr>
            </w:pPr>
          </w:p>
        </w:tc>
        <w:tc>
          <w:tcPr>
            <w:tcW w:w="6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4880" w:type="dxa"/>
            <w:vAlign w:val="bottom"/>
            <w:gridSpan w:val="4"/>
          </w:tcPr>
          <w:p>
            <w:pPr>
              <w:spacing w:after="0"/>
              <w:rPr>
                <w:sz w:val="20"/>
                <w:szCs w:val="20"/>
                <w:color w:val="auto"/>
              </w:rPr>
            </w:pPr>
            <w:r>
              <w:rPr>
                <w:rFonts w:ascii="Arial" w:cs="Arial" w:eastAsia="Arial" w:hAnsi="Arial"/>
                <w:sz w:val="3"/>
                <w:szCs w:val="3"/>
                <w:color w:val="FFFFFF"/>
              </w:rPr>
              <w:t>Expected stock price volatility 49.0% 37.8%</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Risk-free interest rate 0.672% 2.11%</w:t>
            </w:r>
          </w:p>
        </w:tc>
        <w:tc>
          <w:tcPr>
            <w:tcW w:w="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80" w:type="dxa"/>
            <w:vAlign w:val="bottom"/>
            <w:gridSpan w:val="4"/>
          </w:tcPr>
          <w:p>
            <w:pPr>
              <w:spacing w:after="0"/>
              <w:rPr>
                <w:sz w:val="20"/>
                <w:szCs w:val="20"/>
                <w:color w:val="auto"/>
              </w:rPr>
            </w:pPr>
            <w:r>
              <w:rPr>
                <w:rFonts w:ascii="Arial" w:cs="Arial" w:eastAsia="Arial" w:hAnsi="Arial"/>
                <w:sz w:val="3"/>
                <w:szCs w:val="3"/>
                <w:color w:val="FFFFFF"/>
              </w:rPr>
              <w:t>Expected average life of options (years) 6.5 6.5</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080" w:type="dxa"/>
            <w:vAlign w:val="bottom"/>
            <w:gridSpan w:val="2"/>
          </w:tcPr>
          <w:p>
            <w:pPr>
              <w:spacing w:after="0"/>
              <w:rPr>
                <w:sz w:val="20"/>
                <w:szCs w:val="20"/>
                <w:color w:val="auto"/>
              </w:rPr>
            </w:pPr>
            <w:r>
              <w:rPr>
                <w:rFonts w:ascii="Arial" w:cs="Arial" w:eastAsia="Arial" w:hAnsi="Arial"/>
                <w:sz w:val="3"/>
                <w:szCs w:val="3"/>
                <w:color w:val="FFFFFF"/>
              </w:rPr>
              <w:t>Share price on the date of grant</w:t>
            </w:r>
          </w:p>
        </w:tc>
        <w:tc>
          <w:tcPr>
            <w:tcW w:w="2800" w:type="dxa"/>
            <w:vAlign w:val="bottom"/>
            <w:gridSpan w:val="2"/>
          </w:tcPr>
          <w:p>
            <w:pPr>
              <w:jc w:val="right"/>
              <w:ind w:right="1343"/>
              <w:spacing w:after="0"/>
              <w:rPr>
                <w:sz w:val="20"/>
                <w:szCs w:val="20"/>
                <w:color w:val="auto"/>
              </w:rPr>
            </w:pPr>
            <w:r>
              <w:rPr>
                <w:rFonts w:ascii="Arial" w:cs="Arial" w:eastAsia="Arial" w:hAnsi="Arial"/>
                <w:sz w:val="3"/>
                <w:szCs w:val="3"/>
                <w:color w:val="FFFFFF"/>
              </w:rPr>
              <w:t>per Share) $ 18.36 $ 24.35</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3"/>
          </w:tcPr>
          <w:p>
            <w:pPr>
              <w:spacing w:after="0"/>
              <w:rPr>
                <w:sz w:val="20"/>
                <w:szCs w:val="20"/>
                <w:color w:val="auto"/>
              </w:rPr>
            </w:pPr>
            <w:r>
              <w:rPr>
                <w:rFonts w:ascii="Arial" w:cs="Arial" w:eastAsia="Arial" w:hAnsi="Arial"/>
                <w:sz w:val="3"/>
                <w:szCs w:val="3"/>
                <w:color w:val="FFFFFF"/>
              </w:rPr>
              <w:t>Exercise price (HK$ per Share) (HK19.04$</w:t>
            </w:r>
          </w:p>
        </w:tc>
        <w:tc>
          <w:tcPr>
            <w:tcW w:w="2720" w:type="dxa"/>
            <w:vAlign w:val="bottom"/>
          </w:tcPr>
          <w:p>
            <w:pPr>
              <w:jc w:val="right"/>
              <w:ind w:right="2283"/>
              <w:spacing w:after="0"/>
              <w:rPr>
                <w:sz w:val="20"/>
                <w:szCs w:val="20"/>
                <w:color w:val="auto"/>
              </w:rPr>
            </w:pPr>
            <w:r>
              <w:rPr>
                <w:rFonts w:ascii="Arial" w:cs="Arial" w:eastAsia="Arial" w:hAnsi="Arial"/>
                <w:sz w:val="3"/>
                <w:szCs w:val="3"/>
                <w:color w:val="FFFFFF"/>
              </w:rPr>
              <w:t>$ 25.96</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880" w:type="dxa"/>
            <w:vAlign w:val="bottom"/>
            <w:gridSpan w:val="4"/>
          </w:tcPr>
          <w:p>
            <w:pPr>
              <w:spacing w:after="0"/>
              <w:rPr>
                <w:sz w:val="20"/>
                <w:szCs w:val="20"/>
                <w:color w:val="auto"/>
              </w:rPr>
            </w:pPr>
            <w:r>
              <w:rPr>
                <w:rFonts w:ascii="Arial" w:cs="Arial" w:eastAsia="Arial" w:hAnsi="Arial"/>
                <w:sz w:val="3"/>
                <w:szCs w:val="3"/>
                <w:color w:val="FFFFFF"/>
              </w:rPr>
              <w:t>Changes in subjective input assumptions could materially affect the fair value estimate.</w:t>
            </w: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Group recognized a share option expense of HK$2.8 million (2011: HK$2.1 million) under the Company’s share option scheme during the year.</w:t>
            </w:r>
          </w:p>
        </w:tc>
        <w:tc>
          <w:tcPr>
            <w:tcW w:w="0" w:type="dxa"/>
            <w:vAlign w:val="bottom"/>
          </w:tcPr>
          <w:p>
            <w:pPr>
              <w:spacing w:after="0"/>
              <w:rPr>
                <w:sz w:val="1"/>
                <w:szCs w:val="1"/>
                <w:color w:val="auto"/>
              </w:rPr>
            </w:pPr>
          </w:p>
        </w:tc>
      </w:tr>
      <w:tr>
        <w:trPr>
          <w:trHeight w:val="41"/>
        </w:trPr>
        <w:tc>
          <w:tcPr>
            <w:tcW w:w="2080" w:type="dxa"/>
            <w:vAlign w:val="bottom"/>
            <w:gridSpan w:val="2"/>
          </w:tcPr>
          <w:p>
            <w:pPr>
              <w:ind w:left="140"/>
              <w:spacing w:after="0"/>
              <w:rPr>
                <w:sz w:val="20"/>
                <w:szCs w:val="20"/>
                <w:color w:val="auto"/>
              </w:rPr>
            </w:pPr>
            <w:r>
              <w:rPr>
                <w:rFonts w:ascii="Arial" w:cs="Arial" w:eastAsia="Arial" w:hAnsi="Arial"/>
                <w:sz w:val="3"/>
                <w:szCs w:val="3"/>
                <w:color w:val="FFFFFF"/>
              </w:rPr>
              <w:t>RL Stock Plan</w:t>
            </w:r>
          </w:p>
        </w:tc>
        <w:tc>
          <w:tcPr>
            <w:tcW w:w="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6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Wynn Resorts, Limited established its 2002 Stock Incentive Plan (the “WRL Stock Plan”) which provides for the grant of (i) incentive stock options, (ii) compensatory (i. . non qualifi ed) stock options, and</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(iii) non-vested shares of Wynn Resorts, Limited’s common stock for employees, directors and independent contractors or consultants of Wynn Resorts, Limited and its subsidiaries, including the Group.</w:t>
            </w:r>
          </w:p>
        </w:tc>
        <w:tc>
          <w:tcPr>
            <w:tcW w:w="0" w:type="dxa"/>
            <w:vAlign w:val="bottom"/>
          </w:tcPr>
          <w:p>
            <w:pPr>
              <w:spacing w:after="0"/>
              <w:rPr>
                <w:sz w:val="1"/>
                <w:szCs w:val="1"/>
                <w:color w:val="auto"/>
              </w:rPr>
            </w:pPr>
          </w:p>
        </w:tc>
      </w:tr>
      <w:tr>
        <w:trPr>
          <w:trHeight w:val="41"/>
        </w:trPr>
        <w:tc>
          <w:tcPr>
            <w:tcW w:w="4880" w:type="dxa"/>
            <w:vAlign w:val="bottom"/>
            <w:gridSpan w:val="4"/>
          </w:tcPr>
          <w:p>
            <w:pPr>
              <w:spacing w:after="0"/>
              <w:rPr>
                <w:sz w:val="20"/>
                <w:szCs w:val="20"/>
                <w:color w:val="auto"/>
              </w:rPr>
            </w:pPr>
            <w:r>
              <w:rPr>
                <w:rFonts w:ascii="Arial" w:cs="Arial" w:eastAsia="Arial" w:hAnsi="Arial"/>
                <w:sz w:val="3"/>
                <w:szCs w:val="3"/>
                <w:color w:val="FFFFFF"/>
              </w:rPr>
              <w:t>However, only employees are eligible to receive incentive stock options.</w:t>
            </w:r>
          </w:p>
        </w:tc>
        <w:tc>
          <w:tcPr>
            <w:tcW w:w="6520" w:type="dxa"/>
            <w:vAlign w:val="bottom"/>
            <w:vMerge w:val="restart"/>
          </w:tcPr>
          <w:p>
            <w:pPr>
              <w:ind w:left="180"/>
              <w:spacing w:after="0"/>
              <w:rPr>
                <w:sz w:val="20"/>
                <w:szCs w:val="20"/>
                <w:color w:val="auto"/>
              </w:rPr>
            </w:pPr>
            <w:r>
              <w:rPr>
                <w:rFonts w:ascii="Arial" w:cs="Arial" w:eastAsia="Arial" w:hAnsi="Arial"/>
                <w:sz w:val="3"/>
                <w:szCs w:val="3"/>
                <w:color w:val="FFFFFF"/>
              </w:rPr>
              <w:t>Limited’ common stock have been reserved for issuance under the WRL Stock Plan. As at 31 December 2012,</w:t>
            </w:r>
          </w:p>
        </w:tc>
        <w:tc>
          <w:tcPr>
            <w:tcW w:w="0" w:type="dxa"/>
            <w:vAlign w:val="bottom"/>
          </w:tcPr>
          <w:p>
            <w:pPr>
              <w:spacing w:after="0"/>
              <w:rPr>
                <w:sz w:val="1"/>
                <w:szCs w:val="1"/>
                <w:color w:val="auto"/>
              </w:rPr>
            </w:pPr>
          </w:p>
        </w:tc>
      </w:tr>
      <w:tr>
        <w:trPr>
          <w:trHeight w:val="0"/>
        </w:trPr>
        <w:tc>
          <w:tcPr>
            <w:tcW w:w="4880" w:type="dxa"/>
            <w:vAlign w:val="bottom"/>
            <w:gridSpan w:val="4"/>
          </w:tcPr>
          <w:p>
            <w:pPr>
              <w:spacing w:after="0" w:line="80" w:lineRule="exact"/>
              <w:rPr>
                <w:sz w:val="20"/>
                <w:szCs w:val="20"/>
                <w:color w:val="auto"/>
              </w:rPr>
            </w:pPr>
            <w:r>
              <w:rPr>
                <w:rFonts w:ascii="Arial" w:cs="Arial" w:eastAsia="Arial" w:hAnsi="Arial"/>
                <w:sz w:val="9"/>
                <w:szCs w:val="9"/>
                <w:color w:val="FFFFFF"/>
              </w:rPr>
              <w:t>A maximum of 12,750,000 shares (31 December 2011: 12,750,000 shares) of Wynn</w:t>
            </w:r>
          </w:p>
        </w:tc>
        <w:tc>
          <w:tcPr>
            <w:tcW w:w="6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4,087,064 shares (2011: 4,098,336 shares) remain available for the grant of stock optionsResorts,non-vested shares of Wynn Resorts, Limited’s common stock.</w:t>
      </w:r>
    </w:p>
    <w:p>
      <w:pPr>
        <w:ind w:right="260"/>
        <w:spacing w:after="0" w:line="190" w:lineRule="auto"/>
        <w:rPr>
          <w:sz w:val="20"/>
          <w:szCs w:val="20"/>
          <w:color w:val="auto"/>
        </w:rPr>
      </w:pPr>
      <w:r>
        <w:rPr>
          <w:rFonts w:ascii="Arial" w:cs="Arial" w:eastAsia="Arial" w:hAnsi="Arial"/>
          <w:sz w:val="11"/>
          <w:szCs w:val="11"/>
          <w:color w:val="FFFFFF"/>
        </w:rPr>
        <w:t>Options are granted with exercise prices equal to the current market price at the date of grant. The WRL Stock Plan provides for a variety of vesting schedules, all determined at the time of grant. All options expire ten years from the date of grant.</w:t>
      </w:r>
    </w:p>
    <w:p>
      <w:pPr>
        <w:sectPr>
          <w:pgSz w:w="11900" w:h="16838" w:orient="portrait"/>
          <w:cols w:equalWidth="0" w:num="1">
            <w:col w:w="11400"/>
          </w:cols>
          <w:pgMar w:left="240" w:top="1440" w:right="259" w:bottom="1440" w:gutter="0" w:footer="0" w:header="0"/>
        </w:sectPr>
      </w:pPr>
    </w:p>
    <w:bookmarkStart w:id="142" w:name="page143"/>
    <w:bookmarkEnd w:id="1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FinancialAnnualReportStatements2012 137</w:t>
      </w:r>
    </w:p>
    <w:p>
      <w:pPr>
        <w:spacing w:after="0"/>
        <w:rPr>
          <w:sz w:val="20"/>
          <w:szCs w:val="20"/>
          <w:color w:val="auto"/>
        </w:rPr>
      </w:pPr>
      <w:r>
        <w:rPr>
          <w:rFonts w:ascii="Arial" w:cs="Arial" w:eastAsia="Arial" w:hAnsi="Arial"/>
          <w:sz w:val="3"/>
          <w:szCs w:val="3"/>
          <w:color w:val="FFFFFF"/>
        </w:rPr>
        <w:t>Notes to Financial Statements</w:t>
      </w:r>
    </w:p>
    <w:p>
      <w:pPr>
        <w:spacing w:after="0" w:line="190" w:lineRule="auto"/>
        <w:rPr>
          <w:sz w:val="20"/>
          <w:szCs w:val="20"/>
          <w:color w:val="auto"/>
        </w:rPr>
      </w:pPr>
      <w:r>
        <w:rPr>
          <w:rFonts w:ascii="Arial" w:cs="Arial" w:eastAsia="Arial" w:hAnsi="Arial"/>
          <w:sz w:val="11"/>
          <w:szCs w:val="11"/>
          <w:color w:val="FFFFFF"/>
        </w:rPr>
        <w:t>For the year ended 31 December 2012</w:t>
      </w:r>
    </w:p>
    <w:p>
      <w:pPr>
        <w:spacing w:after="0" w:line="188" w:lineRule="auto"/>
        <w:rPr>
          <w:sz w:val="20"/>
          <w:szCs w:val="20"/>
          <w:color w:val="auto"/>
        </w:rPr>
      </w:pPr>
      <w:r>
        <w:rPr>
          <w:rFonts w:ascii="Arial" w:cs="Arial" w:eastAsia="Arial" w:hAnsi="Arial"/>
          <w:sz w:val="9"/>
          <w:szCs w:val="9"/>
          <w:color w:val="FFFFFF"/>
        </w:rPr>
        <w:t>WRL24. StockSHAREPlan-BASED(continued)PAYMENT PLAN (CONTINUED)</w:t>
      </w:r>
    </w:p>
    <w:p>
      <w:pPr>
        <w:spacing w:after="0"/>
        <w:rPr>
          <w:sz w:val="20"/>
          <w:szCs w:val="20"/>
          <w:color w:val="auto"/>
        </w:rPr>
      </w:pPr>
      <w:r>
        <w:rPr>
          <w:rFonts w:ascii="Arial" w:cs="Arial" w:eastAsia="Arial" w:hAnsi="Arial"/>
          <w:sz w:val="3"/>
          <w:szCs w:val="3"/>
          <w:color w:val="FFFFFF"/>
        </w:rPr>
        <w:t>WeightedAsummaryWeightedofoption activities under the WRL Stock Plan as at 31 December 2012 and 2011 and the changes during the years then ended are presented below:</w:t>
      </w:r>
    </w:p>
    <w:p>
      <w:pPr>
        <w:spacing w:after="0" w:line="181" w:lineRule="auto"/>
        <w:rPr>
          <w:sz w:val="20"/>
          <w:szCs w:val="20"/>
          <w:color w:val="auto"/>
        </w:rPr>
      </w:pPr>
      <w:r>
        <w:rPr>
          <w:rFonts w:ascii="Arial" w:cs="Arial" w:eastAsia="Arial" w:hAnsi="Arial"/>
          <w:sz w:val="10"/>
          <w:szCs w:val="10"/>
          <w:color w:val="FFFFFF"/>
        </w:rPr>
        <w:t>Number of Average Average</w:t>
      </w:r>
    </w:p>
    <w:p>
      <w:pPr>
        <w:spacing w:after="0"/>
        <w:rPr>
          <w:sz w:val="20"/>
          <w:szCs w:val="20"/>
          <w:color w:val="auto"/>
        </w:rPr>
      </w:pPr>
      <w:r>
        <w:rPr>
          <w:rFonts w:ascii="Arial" w:cs="Arial" w:eastAsia="Arial" w:hAnsi="Arial"/>
          <w:sz w:val="3"/>
          <w:szCs w:val="3"/>
          <w:color w:val="FFFFFF"/>
        </w:rPr>
        <w:t>(HKOptions$)(Years)Exercise Price Exercise Term</w:t>
      </w:r>
    </w:p>
    <w:p>
      <w:pPr>
        <w:spacing w:after="0" w:line="190" w:lineRule="auto"/>
        <w:rPr>
          <w:sz w:val="20"/>
          <w:szCs w:val="20"/>
          <w:color w:val="auto"/>
        </w:rPr>
      </w:pPr>
      <w:r>
        <w:rPr>
          <w:rFonts w:ascii="Arial" w:cs="Arial" w:eastAsia="Arial" w:hAnsi="Arial"/>
          <w:sz w:val="9"/>
          <w:szCs w:val="9"/>
          <w:color w:val="FFFFFF"/>
        </w:rPr>
        <w:t xml:space="preserve">OutstandingTransferredduringasat1 </w:t>
      </w:r>
      <w:r>
        <w:rPr>
          <w:rFonts w:ascii="Arial" w:cs="Arial" w:eastAsia="Arial" w:hAnsi="Arial"/>
          <w:sz w:val="14"/>
          <w:szCs w:val="14"/>
          <w:color w:val="FFFFFF"/>
          <w:vertAlign w:val="superscript"/>
        </w:rPr>
        <w:t>201</w:t>
      </w:r>
      <w:r>
        <w:rPr>
          <w:rFonts w:ascii="Arial" w:cs="Arial" w:eastAsia="Arial" w:hAnsi="Arial"/>
          <w:sz w:val="9"/>
          <w:szCs w:val="9"/>
          <w:color w:val="FFFFFF"/>
        </w:rPr>
        <w:t>January1151,8942011 577543,158 585 7.3</w:t>
      </w:r>
    </w:p>
    <w:p>
      <w:pPr>
        <w:spacing w:after="0"/>
        <w:rPr>
          <w:sz w:val="20"/>
          <w:szCs w:val="20"/>
          <w:color w:val="auto"/>
        </w:rPr>
      </w:pPr>
      <w:r>
        <w:rPr>
          <w:rFonts w:ascii="Arial" w:cs="Arial" w:eastAsia="Arial" w:hAnsi="Arial"/>
          <w:sz w:val="3"/>
          <w:szCs w:val="3"/>
          <w:color w:val="FFFFFF"/>
        </w:rPr>
        <w:t>OutstandingExercisedduringasat 20131December(91,484) 2011446 or</w:t>
      </w:r>
    </w:p>
    <w:p>
      <w:pPr>
        <w:spacing w:after="0" w:line="210" w:lineRule="auto"/>
        <w:rPr>
          <w:sz w:val="20"/>
          <w:szCs w:val="20"/>
          <w:color w:val="auto"/>
        </w:rPr>
      </w:pPr>
      <w:r>
        <w:rPr>
          <w:rFonts w:ascii="Arial" w:cs="Arial" w:eastAsia="Arial" w:hAnsi="Arial"/>
          <w:sz w:val="14"/>
          <w:szCs w:val="14"/>
          <w:color w:val="FFFFFF"/>
        </w:rPr>
        <w:t>1Expired Januaryduring20122012(75,000)603,568 837603 6.5</w:t>
      </w:r>
    </w:p>
    <w:p>
      <w:pPr>
        <w:spacing w:after="0" w:line="188" w:lineRule="auto"/>
        <w:rPr>
          <w:sz w:val="20"/>
          <w:szCs w:val="20"/>
          <w:color w:val="auto"/>
        </w:rPr>
      </w:pPr>
      <w:r>
        <w:rPr>
          <w:rFonts w:ascii="Arial" w:cs="Arial" w:eastAsia="Arial" w:hAnsi="Arial"/>
          <w:sz w:val="9"/>
          <w:szCs w:val="9"/>
          <w:color w:val="FFFFFF"/>
        </w:rPr>
        <w:t>ExercisedTransferredduringduring20122012(40,275)(4,721) 358581</w:t>
      </w:r>
    </w:p>
    <w:p>
      <w:pPr>
        <w:spacing w:after="0"/>
        <w:rPr>
          <w:sz w:val="20"/>
          <w:szCs w:val="20"/>
          <w:color w:val="auto"/>
        </w:rPr>
      </w:pPr>
      <w:r>
        <w:rPr>
          <w:rFonts w:ascii="Arial" w:cs="Arial" w:eastAsia="Arial" w:hAnsi="Arial"/>
          <w:sz w:val="3"/>
          <w:szCs w:val="3"/>
          <w:color w:val="FFFFFF"/>
        </w:rPr>
        <w:t>SharesOutstandingexercisableasat31asDecemberat 2012 483,572 586 6.1</w:t>
      </w:r>
    </w:p>
    <w:p>
      <w:pPr>
        <w:spacing w:after="0" w:line="194" w:lineRule="auto"/>
        <w:rPr>
          <w:sz w:val="20"/>
          <w:szCs w:val="20"/>
          <w:color w:val="auto"/>
        </w:rPr>
      </w:pPr>
      <w:r>
        <w:rPr>
          <w:rFonts w:ascii="Arial" w:cs="Arial" w:eastAsia="Arial" w:hAnsi="Arial"/>
          <w:sz w:val="5"/>
          <w:szCs w:val="5"/>
          <w:color w:val="FFFFFF"/>
        </w:rPr>
        <w:t>31 December 2012 45,609 416 4.1</w:t>
      </w:r>
    </w:p>
    <w:p>
      <w:pPr>
        <w:spacing w:after="0" w:line="211" w:lineRule="auto"/>
        <w:rPr>
          <w:sz w:val="20"/>
          <w:szCs w:val="20"/>
          <w:color w:val="auto"/>
        </w:rPr>
      </w:pPr>
      <w:r>
        <w:rPr>
          <w:rFonts w:ascii="Arial" w:cs="Arial" w:eastAsia="Arial" w:hAnsi="Arial"/>
          <w:sz w:val="4"/>
          <w:szCs w:val="4"/>
          <w:color w:val="FFFFFF"/>
          <w:vertAlign w:val="superscript"/>
        </w:rPr>
        <w:t>Since</w:t>
      </w:r>
      <w:r>
        <w:rPr>
          <w:rFonts w:ascii="Arial" w:cs="Arial" w:eastAsia="Arial" w:hAnsi="Arial"/>
          <w:sz w:val="2"/>
          <w:szCs w:val="2"/>
          <w:color w:val="FFFFFF"/>
        </w:rPr>
        <w:t>hares exercisable as at 31 December 2011 55,130 403 3.8</w:t>
      </w:r>
    </w:p>
    <w:p>
      <w:pPr>
        <w:ind w:firstLine="334"/>
        <w:spacing w:after="0"/>
        <w:rPr>
          <w:sz w:val="20"/>
          <w:szCs w:val="20"/>
          <w:color w:val="auto"/>
        </w:rPr>
      </w:pPr>
      <w:r>
        <w:rPr>
          <w:rFonts w:ascii="Arial" w:cs="Arial" w:eastAsia="Arial" w:hAnsi="Arial"/>
          <w:sz w:val="8"/>
          <w:szCs w:val="8"/>
          <w:color w:val="FFFFFF"/>
        </w:rPr>
        <w:t>no options were granted under the WRL Stock Plan for the years ended 31 December 2012 and 2011, the disclosures of the weighted average fair value of options granted at the measurement date and, in turn, the signi? cant input used in estimating the fair value per option are not applicable.</w:t>
      </w:r>
    </w:p>
    <w:p>
      <w:pPr>
        <w:spacing w:after="0" w:line="30" w:lineRule="exact"/>
        <w:rPr>
          <w:sz w:val="20"/>
          <w:szCs w:val="20"/>
          <w:color w:val="auto"/>
        </w:rPr>
      </w:pPr>
    </w:p>
    <w:p>
      <w:pPr>
        <w:spacing w:after="0"/>
        <w:rPr>
          <w:sz w:val="20"/>
          <w:szCs w:val="20"/>
          <w:color w:val="auto"/>
        </w:rPr>
      </w:pPr>
      <w:r>
        <w:rPr>
          <w:rFonts w:ascii="Arial" w:cs="Arial" w:eastAsia="Arial" w:hAnsi="Arial"/>
          <w:sz w:val="7"/>
          <w:szCs w:val="7"/>
          <w:color w:val="FFFFFF"/>
        </w:rPr>
        <w:t>relatingThetotaltointrinsicstockoptionsvalue ofat 31the Decemberoptionsexercised2012(2011:fortheapproximatelyyearended31HKDecember$112.3million)2012waswillHKbe$recognized20.7millionas(2011:compensationHK$48.9overmillion)thevesting.ApproximatelyoftherelatedHK$grants97.8millionthroughof31unamortizedDecember 2019.compensation cost</w:t>
      </w:r>
    </w:p>
    <w:p>
      <w:pPr>
        <w:sectPr>
          <w:pgSz w:w="11900" w:h="16838" w:orient="portrait"/>
          <w:cols w:equalWidth="0" w:num="1">
            <w:col w:w="11280"/>
          </w:cols>
          <w:pgMar w:left="240" w:top="1440" w:right="379" w:bottom="1440" w:gutter="0" w:footer="0" w:header="0"/>
        </w:sectPr>
      </w:pPr>
    </w:p>
    <w:bookmarkStart w:id="143" w:name="page144"/>
    <w:bookmarkEnd w:id="1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Financial138WynnStatementsMacau,Limited</w:t>
      </w:r>
    </w:p>
    <w:p>
      <w:pPr>
        <w:spacing w:after="0"/>
        <w:rPr>
          <w:sz w:val="20"/>
          <w:szCs w:val="20"/>
          <w:color w:val="auto"/>
        </w:rPr>
      </w:pPr>
      <w:r>
        <w:rPr>
          <w:rFonts w:ascii="Arial" w:cs="Arial" w:eastAsia="Arial" w:hAnsi="Arial"/>
          <w:sz w:val="3"/>
          <w:szCs w:val="3"/>
          <w:color w:val="FFFFFF"/>
        </w:rPr>
        <w:t>Notes to Financial Statements</w:t>
      </w:r>
    </w:p>
    <w:p>
      <w:pPr>
        <w:spacing w:after="0" w:line="190" w:lineRule="auto"/>
        <w:rPr>
          <w:sz w:val="20"/>
          <w:szCs w:val="20"/>
          <w:color w:val="auto"/>
        </w:rPr>
      </w:pPr>
      <w:r>
        <w:rPr>
          <w:rFonts w:ascii="Arial" w:cs="Arial" w:eastAsia="Arial" w:hAnsi="Arial"/>
          <w:sz w:val="11"/>
          <w:szCs w:val="11"/>
          <w:color w:val="FFFFFF"/>
        </w:rPr>
        <w:t>For the year ended 31 December 2012</w:t>
      </w:r>
    </w:p>
    <w:p>
      <w:pPr>
        <w:spacing w:after="0" w:line="188" w:lineRule="auto"/>
        <w:rPr>
          <w:sz w:val="20"/>
          <w:szCs w:val="20"/>
          <w:color w:val="auto"/>
        </w:rPr>
      </w:pPr>
      <w:r>
        <w:rPr>
          <w:rFonts w:ascii="Arial" w:cs="Arial" w:eastAsia="Arial" w:hAnsi="Arial"/>
          <w:sz w:val="9"/>
          <w:szCs w:val="9"/>
          <w:color w:val="FFFFFF"/>
        </w:rPr>
        <w:t>Non24.-vestedSHAREshares-BASEDunderthePAYMENTWRLStockPLANPlan(CONTINUED)</w:t>
      </w:r>
    </w:p>
    <w:p>
      <w:pPr>
        <w:spacing w:after="0"/>
        <w:rPr>
          <w:sz w:val="20"/>
          <w:szCs w:val="20"/>
          <w:color w:val="auto"/>
        </w:rPr>
      </w:pPr>
      <w:r>
        <w:rPr>
          <w:rFonts w:ascii="Arial" w:cs="Arial" w:eastAsia="Arial" w:hAnsi="Arial"/>
          <w:sz w:val="3"/>
          <w:szCs w:val="3"/>
          <w:color w:val="FFFFFF"/>
        </w:rPr>
        <w:t>WeightedAsummary of the status of the WRL Stock Plan’s non-vested shares as at 31 December 2012 and changes during the year then ended is set out below:</w:t>
      </w:r>
    </w:p>
    <w:p>
      <w:pPr>
        <w:spacing w:after="0" w:line="194" w:lineRule="auto"/>
        <w:rPr>
          <w:sz w:val="20"/>
          <w:szCs w:val="20"/>
          <w:color w:val="auto"/>
        </w:rPr>
      </w:pPr>
      <w:r>
        <w:rPr>
          <w:rFonts w:ascii="Arial" w:cs="Arial" w:eastAsia="Arial" w:hAnsi="Arial"/>
          <w:sz w:val="5"/>
          <w:szCs w:val="5"/>
          <w:color w:val="FFFFFF"/>
        </w:rPr>
        <w:t>Average</w:t>
      </w:r>
    </w:p>
    <w:p>
      <w:pPr>
        <w:spacing w:after="0"/>
        <w:rPr>
          <w:sz w:val="20"/>
          <w:szCs w:val="20"/>
          <w:color w:val="auto"/>
        </w:rPr>
      </w:pPr>
      <w:r>
        <w:rPr>
          <w:rFonts w:ascii="Arial" w:cs="Arial" w:eastAsia="Arial" w:hAnsi="Arial"/>
          <w:sz w:val="3"/>
          <w:szCs w:val="3"/>
          <w:color w:val="FFFFFF"/>
        </w:rPr>
        <w:t>Grant Date</w:t>
      </w:r>
    </w:p>
    <w:p>
      <w:pPr>
        <w:spacing w:after="0" w:line="194" w:lineRule="auto"/>
        <w:rPr>
          <w:sz w:val="20"/>
          <w:szCs w:val="20"/>
          <w:color w:val="auto"/>
        </w:rPr>
      </w:pPr>
      <w:r>
        <w:rPr>
          <w:rFonts w:ascii="Arial" w:cs="Arial" w:eastAsia="Arial" w:hAnsi="Arial"/>
          <w:sz w:val="5"/>
          <w:szCs w:val="5"/>
          <w:color w:val="FFFFFF"/>
        </w:rPr>
        <w:t>Number of Fair Value</w:t>
      </w:r>
    </w:p>
    <w:p>
      <w:pPr>
        <w:spacing w:after="0"/>
        <w:rPr>
          <w:sz w:val="20"/>
          <w:szCs w:val="20"/>
          <w:color w:val="auto"/>
        </w:rPr>
      </w:pPr>
      <w:r>
        <w:rPr>
          <w:rFonts w:ascii="Arial" w:cs="Arial" w:eastAsia="Arial" w:hAnsi="Arial"/>
          <w:sz w:val="3"/>
          <w:szCs w:val="3"/>
          <w:color w:val="FFFFFF"/>
        </w:rPr>
        <w:t>Shares (HK$)</w:t>
      </w:r>
    </w:p>
    <w:p>
      <w:pPr>
        <w:spacing w:after="0" w:line="181" w:lineRule="auto"/>
        <w:rPr>
          <w:sz w:val="20"/>
          <w:szCs w:val="20"/>
          <w:color w:val="auto"/>
        </w:rPr>
      </w:pPr>
      <w:r>
        <w:rPr>
          <w:rFonts w:ascii="Arial" w:cs="Arial" w:eastAsia="Arial" w:hAnsi="Arial"/>
          <w:sz w:val="10"/>
          <w:szCs w:val="10"/>
          <w:color w:val="FFFFFF"/>
        </w:rPr>
        <w:t>Non-vested as at 1 January 2011 196,750 716</w:t>
      </w:r>
    </w:p>
    <w:p>
      <w:pPr>
        <w:spacing w:after="0" w:line="188" w:lineRule="auto"/>
        <w:rPr>
          <w:sz w:val="20"/>
          <w:szCs w:val="20"/>
          <w:color w:val="auto"/>
        </w:rPr>
      </w:pPr>
      <w:r>
        <w:rPr>
          <w:rFonts w:ascii="Arial" w:cs="Arial" w:eastAsia="Arial" w:hAnsi="Arial"/>
          <w:sz w:val="9"/>
          <w:szCs w:val="9"/>
          <w:color w:val="FFFFFF"/>
        </w:rPr>
        <w:t>TransferredVestedand/orduringexpiredthe duringyear52,188theyear692(3,000) 590</w:t>
      </w:r>
    </w:p>
    <w:p>
      <w:pPr>
        <w:spacing w:after="0" w:line="188" w:lineRule="auto"/>
        <w:rPr>
          <w:sz w:val="20"/>
          <w:szCs w:val="20"/>
          <w:color w:val="auto"/>
        </w:rPr>
      </w:pPr>
      <w:r>
        <w:rPr>
          <w:rFonts w:ascii="Arial" w:cs="Arial" w:eastAsia="Arial" w:hAnsi="Arial"/>
          <w:sz w:val="9"/>
          <w:szCs w:val="9"/>
          <w:color w:val="FFFFFF"/>
        </w:rPr>
        <w:t>VestedNon-vestedand/oras expiredat31Decemberduringthe2011yearor(42,500)1January8012012 245,938 711</w:t>
      </w:r>
    </w:p>
    <w:p>
      <w:pPr>
        <w:spacing w:after="0"/>
        <w:rPr>
          <w:sz w:val="20"/>
          <w:szCs w:val="20"/>
          <w:color w:val="auto"/>
        </w:rPr>
      </w:pPr>
      <w:r>
        <w:rPr>
          <w:rFonts w:ascii="Arial" w:cs="Arial" w:eastAsia="Arial" w:hAnsi="Arial"/>
          <w:sz w:val="3"/>
          <w:szCs w:val="3"/>
          <w:color w:val="FFFFFF"/>
        </w:rPr>
        <w:t>NonTransferred-vested asduringat31theDecemberyear5,37520121,034208,813 699</w:t>
      </w:r>
    </w:p>
    <w:p>
      <w:pPr>
        <w:spacing w:after="0" w:line="6" w:lineRule="exact"/>
        <w:rPr>
          <w:sz w:val="20"/>
          <w:szCs w:val="20"/>
          <w:color w:val="auto"/>
        </w:rPr>
      </w:pPr>
    </w:p>
    <w:p>
      <w:pPr>
        <w:ind w:right="60"/>
        <w:spacing w:after="0"/>
        <w:rPr>
          <w:sz w:val="20"/>
          <w:szCs w:val="20"/>
          <w:color w:val="auto"/>
        </w:rPr>
      </w:pPr>
      <w:r>
        <w:rPr>
          <w:rFonts w:ascii="Arial" w:cs="Arial" w:eastAsia="Arial" w:hAnsi="Arial"/>
          <w:sz w:val="7"/>
          <w:szCs w:val="7"/>
          <w:color w:val="FFFFFF"/>
        </w:rPr>
        <w:t>Approximately HK$57.3 million of unamortized compensation cost relating to non-vested shares of common stock granted under the WRL Stock Plan at 31 December 2012 (2011: approximately HK$60.5 million) will be recognized as compensation over the vesting period of the related grants through 31 December 2016.</w:t>
      </w:r>
    </w:p>
    <w:p>
      <w:pPr>
        <w:spacing w:after="0" w:line="189" w:lineRule="auto"/>
        <w:tabs>
          <w:tab w:leader="none" w:pos="440" w:val="left"/>
        </w:tabs>
        <w:rPr>
          <w:sz w:val="20"/>
          <w:szCs w:val="20"/>
          <w:color w:val="auto"/>
        </w:rPr>
      </w:pPr>
      <w:r>
        <w:rPr>
          <w:rFonts w:ascii="Arial" w:cs="Arial" w:eastAsia="Arial" w:hAnsi="Arial"/>
          <w:sz w:val="6"/>
          <w:szCs w:val="6"/>
          <w:color w:val="FFFFFF"/>
        </w:rPr>
        <w:t>25.</w:t>
      </w:r>
      <w:r>
        <w:rPr>
          <w:sz w:val="20"/>
          <w:szCs w:val="20"/>
          <w:color w:val="auto"/>
        </w:rPr>
        <w:tab/>
      </w:r>
      <w:r>
        <w:rPr>
          <w:rFonts w:ascii="Arial" w:cs="Arial" w:eastAsia="Arial" w:hAnsi="Arial"/>
          <w:sz w:val="6"/>
          <w:szCs w:val="6"/>
          <w:color w:val="FFFFFF"/>
        </w:rPr>
        <w:t>PENSIONS AND OTHER POST-EMPLOYMENT BENEFIT PLANS</w:t>
      </w:r>
    </w:p>
    <w:p>
      <w:pPr>
        <w:spacing w:after="0" w:line="212" w:lineRule="auto"/>
        <w:rPr>
          <w:sz w:val="20"/>
          <w:szCs w:val="20"/>
          <w:color w:val="auto"/>
        </w:rPr>
      </w:pPr>
      <w:r>
        <w:rPr>
          <w:rFonts w:ascii="Arial" w:cs="Arial" w:eastAsia="Arial" w:hAnsi="Arial"/>
          <w:sz w:val="2"/>
          <w:szCs w:val="2"/>
          <w:color w:val="FFFFFF"/>
        </w:rPr>
        <w:t>In April 2005, the Group established</w:t>
      </w:r>
      <w:r>
        <w:rPr>
          <w:rFonts w:ascii="Arial" w:cs="Arial" w:eastAsia="Arial" w:hAnsi="Arial"/>
          <w:sz w:val="4"/>
          <w:szCs w:val="4"/>
          <w:color w:val="FFFFFF"/>
          <w:vertAlign w:val="subscript"/>
        </w:rPr>
        <w:t>equal</w:t>
      </w:r>
      <w:r>
        <w:rPr>
          <w:rFonts w:ascii="Arial" w:cs="Arial" w:eastAsia="Arial" w:hAnsi="Arial"/>
          <w:sz w:val="2"/>
          <w:szCs w:val="2"/>
          <w:color w:val="FFFFFF"/>
        </w:rPr>
        <w:t>de? ned contribution retirement bene? t scheme (the “Scheme”). The Scheme allows eligible</w:t>
      </w:r>
      <w:r>
        <w:rPr>
          <w:rFonts w:ascii="Arial" w:cs="Arial" w:eastAsia="Arial" w:hAnsi="Arial"/>
          <w:sz w:val="4"/>
          <w:szCs w:val="4"/>
          <w:color w:val="FFFFFF"/>
          <w:vertAlign w:val="subscript"/>
        </w:rPr>
        <w:t>independently</w:t>
      </w:r>
      <w:r>
        <w:rPr>
          <w:rFonts w:ascii="Arial" w:cs="Arial" w:eastAsia="Arial" w:hAnsi="Arial"/>
          <w:sz w:val="2"/>
          <w:szCs w:val="2"/>
          <w:color w:val="FFFFFF"/>
        </w:rPr>
        <w:t xml:space="preserve">employees to contribute 5% of their </w:t>
      </w:r>
      <w:r>
        <w:rPr>
          <w:rFonts w:ascii="Arial" w:cs="Arial" w:eastAsia="Arial" w:hAnsi="Arial"/>
          <w:sz w:val="4"/>
          <w:szCs w:val="4"/>
          <w:color w:val="FFFFFF"/>
          <w:vertAlign w:val="subscript"/>
        </w:rPr>
        <w:t>salary</w:t>
      </w:r>
      <w:r>
        <w:rPr>
          <w:rFonts w:ascii="Arial" w:cs="Arial" w:eastAsia="Arial" w:hAnsi="Arial"/>
          <w:sz w:val="2"/>
          <w:szCs w:val="2"/>
          <w:color w:val="FFFFFF"/>
        </w:rPr>
        <w:t xml:space="preserve"> to the Scheme and the Group</w:t>
      </w:r>
    </w:p>
    <w:p>
      <w:pPr>
        <w:spacing w:after="0"/>
        <w:rPr>
          <w:sz w:val="20"/>
          <w:szCs w:val="20"/>
          <w:color w:val="auto"/>
        </w:rPr>
      </w:pPr>
      <w:r>
        <w:rPr>
          <w:rFonts w:ascii="Arial" w:cs="Arial" w:eastAsia="Arial" w:hAnsi="Arial"/>
          <w:sz w:val="6"/>
          <w:szCs w:val="6"/>
          <w:color w:val="FFFFFF"/>
        </w:rPr>
        <w:t xml:space="preserve">matches the contributions with an amount. The assets of the Scheme are held separately from those of the Group in an administered fund. The Group’ matching contributions vest to the </w:t>
      </w:r>
      <w:r>
        <w:rPr>
          <w:rFonts w:ascii="Arial" w:cs="Arial" w:eastAsia="Arial" w:hAnsi="Arial"/>
          <w:sz w:val="7"/>
          <w:szCs w:val="7"/>
          <w:color w:val="FFFFFF"/>
          <w:vertAlign w:val="subscript"/>
        </w:rPr>
        <w:t>expense</w:t>
      </w:r>
      <w:r>
        <w:rPr>
          <w:rFonts w:ascii="Arial" w:cs="Arial" w:eastAsia="Arial" w:hAnsi="Arial"/>
          <w:sz w:val="6"/>
          <w:szCs w:val="6"/>
          <w:color w:val="FFFFFF"/>
        </w:rPr>
        <w:t>mployees at 10% per year with full vesting in ten years. Forfeitures of unvested contributions are used to reduce the Group’s liability for its contributions payable under the Scheme. The Group recorded an</w:t>
      </w:r>
    </w:p>
    <w:p>
      <w:pPr>
        <w:ind w:left="480"/>
        <w:spacing w:after="0"/>
        <w:rPr>
          <w:sz w:val="20"/>
          <w:szCs w:val="20"/>
          <w:color w:val="auto"/>
        </w:rPr>
      </w:pPr>
      <w:r>
        <w:rPr>
          <w:rFonts w:ascii="Arial" w:cs="Arial" w:eastAsia="Arial" w:hAnsi="Arial"/>
          <w:sz w:val="14"/>
          <w:szCs w:val="14"/>
          <w:color w:val="FFFFFF"/>
        </w:rPr>
        <w:t>for matching contributions of approximately HK$55.4 million for the year ended 31 December 2012 (2011: HK$51.7 million).</w:t>
      </w:r>
    </w:p>
    <w:p>
      <w:pPr>
        <w:sectPr>
          <w:pgSz w:w="11900" w:h="16838" w:orient="portrait"/>
          <w:cols w:equalWidth="0" w:num="1">
            <w:col w:w="11140"/>
          </w:cols>
          <w:pgMar w:left="240" w:top="1440" w:right="519" w:bottom="1440" w:gutter="0" w:footer="0" w:header="0"/>
        </w:sectPr>
      </w:pPr>
    </w:p>
    <w:bookmarkStart w:id="144" w:name="page145"/>
    <w:bookmarkEnd w:id="1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FinancialAnnualReportStatements2012 139</w:t>
      </w:r>
    </w:p>
    <w:p>
      <w:pPr>
        <w:spacing w:after="0"/>
        <w:rPr>
          <w:sz w:val="20"/>
          <w:szCs w:val="20"/>
          <w:color w:val="auto"/>
        </w:rPr>
      </w:pPr>
      <w:r>
        <w:rPr>
          <w:rFonts w:ascii="Arial" w:cs="Arial" w:eastAsia="Arial" w:hAnsi="Arial"/>
          <w:sz w:val="3"/>
          <w:szCs w:val="3"/>
          <w:color w:val="FFFFFF"/>
        </w:rPr>
        <w:t>Notes to Financial Statements</w:t>
      </w:r>
    </w:p>
    <w:p>
      <w:pPr>
        <w:spacing w:after="0" w:line="194" w:lineRule="auto"/>
        <w:rPr>
          <w:sz w:val="20"/>
          <w:szCs w:val="20"/>
          <w:color w:val="auto"/>
        </w:rPr>
      </w:pPr>
      <w:r>
        <w:rPr>
          <w:rFonts w:ascii="Arial" w:cs="Arial" w:eastAsia="Arial" w:hAnsi="Arial"/>
          <w:sz w:val="5"/>
          <w:szCs w:val="5"/>
          <w:color w:val="FFFFFF"/>
        </w:rPr>
        <w:t>For the year ended 31 December 2012</w:t>
      </w:r>
    </w:p>
    <w:p>
      <w:pPr>
        <w:ind w:right="3699"/>
        <w:spacing w:after="0" w:line="197" w:lineRule="auto"/>
        <w:rPr>
          <w:sz w:val="20"/>
          <w:szCs w:val="20"/>
          <w:color w:val="auto"/>
        </w:rPr>
      </w:pPr>
      <w:r>
        <w:rPr>
          <w:rFonts w:ascii="Arial" w:cs="Arial" w:eastAsia="Arial" w:hAnsi="Arial"/>
          <w:sz w:val="7"/>
          <w:szCs w:val="7"/>
          <w:color w:val="FFFFFF"/>
        </w:rPr>
        <w:t xml:space="preserve">26. DIRECTORS’ AND CHIEF EXECUTIVE’S REMUNERATION AND FIVE HIGHEST PAID INDIVIDUALS </w:t>
      </w:r>
      <w:r>
        <w:rPr>
          <w:rFonts w:ascii="Arial" w:cs="Arial" w:eastAsia="Arial" w:hAnsi="Arial"/>
          <w:sz w:val="10"/>
          <w:szCs w:val="10"/>
          <w:color w:val="FFFFFF"/>
          <w:vertAlign w:val="subscript"/>
        </w:rPr>
        <w:t>Directors’ and</w:t>
      </w:r>
      <w:r>
        <w:rPr>
          <w:rFonts w:ascii="Arial" w:cs="Arial" w:eastAsia="Arial" w:hAnsi="Arial"/>
          <w:sz w:val="7"/>
          <w:szCs w:val="7"/>
          <w:color w:val="FFFFFF"/>
        </w:rPr>
        <w:t xml:space="preserve"> Chief Executive’s Emoluments</w:t>
      </w:r>
    </w:p>
    <w:p>
      <w:pPr>
        <w:ind w:left="820"/>
        <w:spacing w:after="0" w:line="188" w:lineRule="auto"/>
        <w:rPr>
          <w:sz w:val="20"/>
          <w:szCs w:val="20"/>
          <w:color w:val="auto"/>
        </w:rPr>
      </w:pPr>
      <w:r>
        <w:rPr>
          <w:rFonts w:ascii="Arial" w:cs="Arial" w:eastAsia="Arial" w:hAnsi="Arial"/>
          <w:sz w:val="9"/>
          <w:szCs w:val="9"/>
          <w:color w:val="FFFFFF"/>
        </w:rPr>
        <w:t>chief executive’s emoluments for the years, disclosed pursuant to the Listing Rules and Section 161 of the Hong Kong Companies Ordinance, are as follows:</w:t>
      </w:r>
    </w:p>
    <w:p>
      <w:pPr>
        <w:spacing w:after="0" w:line="211" w:lineRule="auto"/>
        <w:rPr>
          <w:sz w:val="20"/>
          <w:szCs w:val="20"/>
          <w:color w:val="auto"/>
        </w:rPr>
      </w:pPr>
      <w:r>
        <w:rPr>
          <w:rFonts w:ascii="Arial" w:cs="Arial" w:eastAsia="Arial" w:hAnsi="Arial"/>
          <w:sz w:val="2"/>
          <w:szCs w:val="2"/>
          <w:color w:val="FFFFFF"/>
        </w:rPr>
        <w:t>For</w:t>
      </w:r>
      <w:r>
        <w:rPr>
          <w:rFonts w:ascii="Arial" w:cs="Arial" w:eastAsia="Arial" w:hAnsi="Arial"/>
          <w:sz w:val="4"/>
          <w:szCs w:val="4"/>
          <w:color w:val="FFFFFF"/>
          <w:vertAlign w:val="subscript"/>
        </w:rPr>
        <w:t>Group</w:t>
      </w:r>
      <w:r>
        <w:rPr>
          <w:rFonts w:ascii="Arial" w:cs="Arial" w:eastAsia="Arial" w:hAnsi="Arial"/>
          <w:sz w:val="2"/>
          <w:szCs w:val="2"/>
          <w:color w:val="FFFFFF"/>
        </w:rPr>
        <w:t>the year ended 31</w:t>
      </w:r>
    </w:p>
    <w:p>
      <w:pPr>
        <w:spacing w:after="0"/>
        <w:rPr>
          <w:sz w:val="20"/>
          <w:szCs w:val="20"/>
          <w:color w:val="auto"/>
        </w:rPr>
      </w:pPr>
      <w:r>
        <w:rPr>
          <w:rFonts w:ascii="Arial" w:cs="Arial" w:eastAsia="Arial" w:hAnsi="Arial"/>
          <w:sz w:val="3"/>
          <w:szCs w:val="3"/>
          <w:color w:val="FFFFFF"/>
        </w:rPr>
        <w:t>December</w:t>
      </w:r>
    </w:p>
    <w:p>
      <w:pPr>
        <w:spacing w:after="0" w:line="181" w:lineRule="auto"/>
        <w:rPr>
          <w:sz w:val="20"/>
          <w:szCs w:val="20"/>
          <w:color w:val="auto"/>
        </w:rPr>
      </w:pPr>
      <w:r>
        <w:rPr>
          <w:rFonts w:ascii="Arial" w:cs="Arial" w:eastAsia="Arial" w:hAnsi="Arial"/>
          <w:sz w:val="10"/>
          <w:szCs w:val="10"/>
          <w:color w:val="FFFFFF"/>
        </w:rPr>
        <w:t>2012 2011</w:t>
      </w:r>
    </w:p>
    <w:p>
      <w:pPr>
        <w:spacing w:after="0" w:line="188" w:lineRule="auto"/>
        <w:rPr>
          <w:sz w:val="20"/>
          <w:szCs w:val="20"/>
          <w:color w:val="auto"/>
        </w:rPr>
      </w:pPr>
      <w:r>
        <w:rPr>
          <w:rFonts w:ascii="Arial" w:cs="Arial" w:eastAsia="Arial" w:hAnsi="Arial"/>
          <w:sz w:val="9"/>
          <w:szCs w:val="9"/>
          <w:color w:val="FFFFFF"/>
        </w:rPr>
        <w:t>(inHKthousands)$HK$</w:t>
      </w:r>
    </w:p>
    <w:p>
      <w:pPr>
        <w:spacing w:after="0"/>
        <w:rPr>
          <w:sz w:val="20"/>
          <w:szCs w:val="20"/>
          <w:color w:val="auto"/>
        </w:rPr>
      </w:pPr>
      <w:r>
        <w:rPr>
          <w:rFonts w:ascii="Arial" w:cs="Arial" w:eastAsia="Arial" w:hAnsi="Arial"/>
          <w:sz w:val="3"/>
          <w:szCs w:val="3"/>
          <w:color w:val="FFFFFF"/>
        </w:rPr>
        <w:t>Fees 4,525 3,100</w:t>
      </w:r>
    </w:p>
    <w:p>
      <w:pPr>
        <w:spacing w:after="0" w:line="181" w:lineRule="auto"/>
        <w:rPr>
          <w:sz w:val="20"/>
          <w:szCs w:val="20"/>
          <w:color w:val="auto"/>
        </w:rPr>
      </w:pPr>
      <w:r>
        <w:rPr>
          <w:rFonts w:ascii="Arial" w:cs="Arial" w:eastAsia="Arial" w:hAnsi="Arial"/>
          <w:sz w:val="10"/>
          <w:szCs w:val="10"/>
          <w:color w:val="FFFFFF"/>
        </w:rPr>
        <w:t>DiscretionarySalaries16,285bonus5,83947,265 27,237</w:t>
      </w:r>
    </w:p>
    <w:p>
      <w:pPr>
        <w:spacing w:after="0" w:line="213" w:lineRule="auto"/>
        <w:rPr>
          <w:sz w:val="20"/>
          <w:szCs w:val="20"/>
          <w:color w:val="auto"/>
        </w:rPr>
      </w:pPr>
      <w:r>
        <w:rPr>
          <w:rFonts w:ascii="Arial" w:cs="Arial" w:eastAsia="Arial" w:hAnsi="Arial"/>
          <w:sz w:val="4"/>
          <w:szCs w:val="4"/>
          <w:color w:val="FFFFFF"/>
          <w:vertAlign w:val="subscript"/>
        </w:rPr>
        <w:t>Other</w:t>
      </w:r>
      <w:r>
        <w:rPr>
          <w:rFonts w:ascii="Arial" w:cs="Arial" w:eastAsia="Arial" w:hAnsi="Arial"/>
          <w:sz w:val="2"/>
          <w:szCs w:val="2"/>
          <w:color w:val="FFFFFF"/>
        </w:rPr>
        <w:t>ContShareibutions-basedpaymentstoretirement33,517plan6,478311 292</w:t>
      </w:r>
    </w:p>
    <w:p>
      <w:pPr>
        <w:ind w:left="340"/>
        <w:spacing w:after="0"/>
        <w:rPr>
          <w:sz w:val="20"/>
          <w:szCs w:val="20"/>
          <w:color w:val="auto"/>
        </w:rPr>
      </w:pPr>
      <w:r>
        <w:rPr>
          <w:rFonts w:ascii="Arial" w:cs="Arial" w:eastAsia="Arial" w:hAnsi="Arial"/>
          <w:sz w:val="3"/>
          <w:szCs w:val="3"/>
          <w:color w:val="FFFFFF"/>
        </w:rPr>
        <w:t>8,767 1,824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Total emoluments 110,670 44,770</w:t>
      </w:r>
    </w:p>
    <w:p>
      <w:pPr>
        <w:sectPr>
          <w:pgSz w:w="11900" w:h="16838" w:orient="portrait"/>
          <w:cols w:equalWidth="0" w:num="1">
            <w:col w:w="10219"/>
          </w:cols>
          <w:pgMar w:left="240" w:top="1440" w:right="1440"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2"/>
          </w:tcPr>
          <w:p>
            <w:pPr>
              <w:spacing w:after="0"/>
              <w:rPr>
                <w:sz w:val="20"/>
                <w:szCs w:val="20"/>
                <w:color w:val="auto"/>
              </w:rPr>
            </w:pPr>
            <w:r>
              <w:rPr>
                <w:rFonts w:ascii="Arial" w:cs="Arial" w:eastAsia="Arial" w:hAnsi="Arial"/>
                <w:sz w:val="14"/>
                <w:szCs w:val="14"/>
                <w:color w:val="FFFFFF"/>
                <w:w w:val="93"/>
              </w:rPr>
              <w:t>140 Wynn Macau, Limited</w:t>
            </w:r>
          </w:p>
        </w:tc>
        <w:tc>
          <w:tcPr>
            <w:tcW w:w="5900" w:type="dxa"/>
            <w:vAlign w:val="bottom"/>
          </w:tcPr>
          <w:p>
            <w:pPr>
              <w:spacing w:after="0"/>
              <w:rPr>
                <w:sz w:val="14"/>
                <w:szCs w:val="14"/>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5900" w:type="dxa"/>
            <w:vAlign w:val="bottom"/>
          </w:tcPr>
          <w:p>
            <w:pPr>
              <w:spacing w:after="0"/>
              <w:rPr>
                <w:sz w:val="3"/>
                <w:szCs w:val="3"/>
                <w:color w:val="auto"/>
              </w:rPr>
            </w:pP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For the year ended 31 December 2012</w:t>
            </w: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26.</w:t>
            </w:r>
          </w:p>
        </w:tc>
        <w:tc>
          <w:tcPr>
            <w:tcW w:w="7080" w:type="dxa"/>
            <w:vAlign w:val="bottom"/>
            <w:gridSpan w:val="2"/>
          </w:tcPr>
          <w:p>
            <w:pPr>
              <w:ind w:left="100"/>
              <w:spacing w:after="0"/>
              <w:rPr>
                <w:sz w:val="20"/>
                <w:szCs w:val="20"/>
                <w:color w:val="auto"/>
              </w:rPr>
            </w:pPr>
            <w:r>
              <w:rPr>
                <w:rFonts w:ascii="Arial" w:cs="Arial" w:eastAsia="Arial" w:hAnsi="Arial"/>
                <w:sz w:val="3"/>
                <w:szCs w:val="3"/>
                <w:color w:val="FFFFFF"/>
              </w:rPr>
              <w:t>DIRECTORS’ AND CHIEF EXECUTIVE’S REMUNERATION AND FIVE HIGHEST PAID INDIVIDUALS (CONTINUED)</w:t>
            </w:r>
          </w:p>
        </w:tc>
      </w:tr>
      <w:tr>
        <w:trPr>
          <w:trHeight w:val="54"/>
        </w:trPr>
        <w:tc>
          <w:tcPr>
            <w:tcW w:w="7440" w:type="dxa"/>
            <w:vAlign w:val="bottom"/>
            <w:gridSpan w:val="3"/>
          </w:tcPr>
          <w:p>
            <w:pPr>
              <w:spacing w:after="0" w:line="54" w:lineRule="exact"/>
              <w:rPr>
                <w:sz w:val="20"/>
                <w:szCs w:val="20"/>
                <w:color w:val="auto"/>
              </w:rPr>
            </w:pPr>
            <w:r>
              <w:rPr>
                <w:rFonts w:ascii="Arial" w:cs="Arial" w:eastAsia="Arial" w:hAnsi="Arial"/>
                <w:sz w:val="6"/>
                <w:szCs w:val="6"/>
                <w:color w:val="FFFFFF"/>
              </w:rPr>
              <w:t>Directors’ and Chief Executive’s Emoluments (continued)</w:t>
            </w: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Contributions</w:t>
            </w:r>
          </w:p>
        </w:tc>
        <w:tc>
          <w:tcPr>
            <w:tcW w:w="5900" w:type="dxa"/>
            <w:vAlign w:val="bottom"/>
          </w:tcPr>
          <w:p>
            <w:pPr>
              <w:spacing w:after="0"/>
              <w:rPr>
                <w:sz w:val="3"/>
                <w:szCs w:val="3"/>
                <w:color w:val="auto"/>
              </w:rPr>
            </w:pP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Discretionary Share-based to Retirement</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Fees Salary Bonus Payments Plan Other Total</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HK$ HK$ HK$ HK$ HK$ HK$ HK$</w:t>
            </w: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(in thousands)</w:t>
            </w:r>
          </w:p>
        </w:tc>
        <w:tc>
          <w:tcPr>
            <w:tcW w:w="5900" w:type="dxa"/>
            <w:vAlign w:val="bottom"/>
          </w:tcPr>
          <w:p>
            <w:pPr>
              <w:spacing w:after="0"/>
              <w:rPr>
                <w:sz w:val="3"/>
                <w:szCs w:val="3"/>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2012</w:t>
            </w:r>
          </w:p>
        </w:tc>
        <w:tc>
          <w:tcPr>
            <w:tcW w:w="1180" w:type="dxa"/>
            <w:vAlign w:val="bottom"/>
          </w:tcPr>
          <w:p>
            <w:pPr>
              <w:spacing w:after="0"/>
              <w:rPr>
                <w:sz w:val="3"/>
                <w:szCs w:val="3"/>
                <w:color w:val="auto"/>
              </w:rPr>
            </w:pPr>
          </w:p>
        </w:tc>
        <w:tc>
          <w:tcPr>
            <w:tcW w:w="5900" w:type="dxa"/>
            <w:vAlign w:val="bottom"/>
          </w:tcPr>
          <w:p>
            <w:pPr>
              <w:spacing w:after="0"/>
              <w:rPr>
                <w:sz w:val="3"/>
                <w:szCs w:val="3"/>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Executive Directors:</w:t>
            </w:r>
          </w:p>
        </w:tc>
        <w:tc>
          <w:tcPr>
            <w:tcW w:w="5900" w:type="dxa"/>
            <w:vAlign w:val="bottom"/>
          </w:tcPr>
          <w:p>
            <w:pPr>
              <w:spacing w:after="0"/>
              <w:rPr>
                <w:sz w:val="3"/>
                <w:szCs w:val="3"/>
                <w:color w:val="auto"/>
              </w:rPr>
            </w:pP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Stephen A. Wynn — — 15,516 — — — 15,516</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Linda Chen — 10,066 20,112 29,080 — 6, 87 66,245</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Ian Michael Coughlan — 6,219 11,637 1,593 311 1,780 21,540</w:t>
            </w: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Non-executive Directors:</w:t>
            </w:r>
          </w:p>
        </w:tc>
        <w:tc>
          <w:tcPr>
            <w:tcW w:w="5900" w:type="dxa"/>
            <w:vAlign w:val="bottom"/>
          </w:tcPr>
          <w:p>
            <w:pPr>
              <w:spacing w:after="0"/>
              <w:rPr>
                <w:sz w:val="3"/>
                <w:szCs w:val="3"/>
                <w:color w:val="auto"/>
              </w:rPr>
            </w:pP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Kazuo Okada* — — — — — — —</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Marc D. Schorr — — — — — — —</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Allan Zeman 1,075 — — 711 — — 1,786</w:t>
            </w: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Independent</w:t>
            </w:r>
          </w:p>
        </w:tc>
        <w:tc>
          <w:tcPr>
            <w:tcW w:w="5900" w:type="dxa"/>
            <w:vAlign w:val="bottom"/>
          </w:tcPr>
          <w:p>
            <w:pPr>
              <w:spacing w:after="0"/>
              <w:rPr>
                <w:sz w:val="3"/>
                <w:szCs w:val="3"/>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non-executives</w:t>
            </w:r>
          </w:p>
        </w:tc>
        <w:tc>
          <w:tcPr>
            <w:tcW w:w="5900" w:type="dxa"/>
            <w:vAlign w:val="bottom"/>
          </w:tcPr>
          <w:p>
            <w:pPr>
              <w:spacing w:after="0"/>
              <w:rPr>
                <w:sz w:val="3"/>
                <w:szCs w:val="3"/>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Directors:</w:t>
            </w:r>
          </w:p>
        </w:tc>
        <w:tc>
          <w:tcPr>
            <w:tcW w:w="5900" w:type="dxa"/>
            <w:vAlign w:val="bottom"/>
          </w:tcPr>
          <w:p>
            <w:pPr>
              <w:spacing w:after="0"/>
              <w:rPr>
                <w:sz w:val="3"/>
                <w:szCs w:val="3"/>
                <w:color w:val="auto"/>
              </w:rPr>
            </w:pP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Jeffrey Kin-fung Lam 1,050 — — 711 — — 1,761</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Bruce Rockowitz 1,075 — — 711 — — 1,786</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Nicholas Sallnow-Smith 1,325 — — 711 — — 2,036</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4,525 16,285 47,265 33,517 311 8,767 110,670</w:t>
            </w: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2011</w:t>
            </w:r>
          </w:p>
        </w:tc>
        <w:tc>
          <w:tcPr>
            <w:tcW w:w="1180" w:type="dxa"/>
            <w:vAlign w:val="bottom"/>
          </w:tcPr>
          <w:p>
            <w:pPr>
              <w:spacing w:after="0"/>
              <w:rPr>
                <w:sz w:val="3"/>
                <w:szCs w:val="3"/>
                <w:color w:val="auto"/>
              </w:rPr>
            </w:pPr>
          </w:p>
        </w:tc>
        <w:tc>
          <w:tcPr>
            <w:tcW w:w="5900" w:type="dxa"/>
            <w:vAlign w:val="bottom"/>
          </w:tcPr>
          <w:p>
            <w:pPr>
              <w:spacing w:after="0"/>
              <w:rPr>
                <w:sz w:val="3"/>
                <w:szCs w:val="3"/>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Executive Directors:</w:t>
            </w:r>
          </w:p>
        </w:tc>
        <w:tc>
          <w:tcPr>
            <w:tcW w:w="5900" w:type="dxa"/>
            <w:vAlign w:val="bottom"/>
          </w:tcPr>
          <w:p>
            <w:pPr>
              <w:spacing w:after="0"/>
              <w:rPr>
                <w:sz w:val="3"/>
                <w:szCs w:val="3"/>
                <w:color w:val="auto"/>
              </w:rPr>
            </w:pP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Stephen A. Wynn — — 15,570 — — — 15,570</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Linda Chen** — — — — — — —</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Ian Michael Coughlan — 5,839 11,667 4,378 292 1,824 24,000</w:t>
            </w: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Non-executive Directors:</w:t>
            </w:r>
          </w:p>
        </w:tc>
        <w:tc>
          <w:tcPr>
            <w:tcW w:w="5900" w:type="dxa"/>
            <w:vAlign w:val="bottom"/>
          </w:tcPr>
          <w:p>
            <w:pPr>
              <w:spacing w:after="0"/>
              <w:rPr>
                <w:sz w:val="3"/>
                <w:szCs w:val="3"/>
                <w:color w:val="auto"/>
              </w:rPr>
            </w:pP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Kazuo Okada* 500 — — — — — 500</w:t>
            </w: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Marc D. Schorr — — — —</w:t>
            </w:r>
          </w:p>
        </w:tc>
        <w:tc>
          <w:tcPr>
            <w:tcW w:w="5900" w:type="dxa"/>
            <w:vAlign w:val="bottom"/>
          </w:tcPr>
          <w:p>
            <w:pPr>
              <w:ind w:left="360"/>
              <w:spacing w:after="0"/>
              <w:rPr>
                <w:sz w:val="20"/>
                <w:szCs w:val="20"/>
                <w:color w:val="auto"/>
              </w:rPr>
            </w:pPr>
            <w:r>
              <w:rPr>
                <w:rFonts w:ascii="Arial" w:cs="Arial" w:eastAsia="Arial" w:hAnsi="Arial"/>
                <w:sz w:val="3"/>
                <w:szCs w:val="3"/>
                <w:color w:val="FFFFFF"/>
              </w:rPr>
              <w:t>—</w:t>
            </w: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Allan Zeman 625 — — 525</w:t>
            </w:r>
          </w:p>
        </w:tc>
        <w:tc>
          <w:tcPr>
            <w:tcW w:w="5900" w:type="dxa"/>
            <w:vAlign w:val="bottom"/>
          </w:tcPr>
          <w:p>
            <w:pPr>
              <w:ind w:left="20"/>
              <w:spacing w:after="0"/>
              <w:rPr>
                <w:sz w:val="20"/>
                <w:szCs w:val="20"/>
                <w:color w:val="auto"/>
              </w:rPr>
            </w:pPr>
            <w:r>
              <w:rPr>
                <w:rFonts w:ascii="Arial" w:cs="Arial" w:eastAsia="Arial" w:hAnsi="Arial"/>
                <w:sz w:val="3"/>
                <w:szCs w:val="3"/>
                <w:color w:val="FFFFFF"/>
              </w:rPr>
              <w:t>— — 1,150</w:t>
            </w: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Independent</w:t>
            </w:r>
          </w:p>
        </w:tc>
        <w:tc>
          <w:tcPr>
            <w:tcW w:w="5900" w:type="dxa"/>
            <w:vAlign w:val="bottom"/>
          </w:tcPr>
          <w:p>
            <w:pPr>
              <w:spacing w:after="0"/>
              <w:rPr>
                <w:sz w:val="3"/>
                <w:szCs w:val="3"/>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non-executives</w:t>
            </w:r>
          </w:p>
        </w:tc>
        <w:tc>
          <w:tcPr>
            <w:tcW w:w="5900" w:type="dxa"/>
            <w:vAlign w:val="bottom"/>
          </w:tcPr>
          <w:p>
            <w:pPr>
              <w:spacing w:after="0"/>
              <w:rPr>
                <w:sz w:val="3"/>
                <w:szCs w:val="3"/>
                <w:color w:val="auto"/>
              </w:rPr>
            </w:pPr>
          </w:p>
        </w:tc>
      </w:tr>
      <w:tr>
        <w:trPr>
          <w:trHeight w:val="41"/>
        </w:trPr>
        <w:tc>
          <w:tcPr>
            <w:tcW w:w="1540" w:type="dxa"/>
            <w:vAlign w:val="bottom"/>
            <w:gridSpan w:val="2"/>
          </w:tcPr>
          <w:p>
            <w:pPr>
              <w:spacing w:after="0"/>
              <w:rPr>
                <w:sz w:val="20"/>
                <w:szCs w:val="20"/>
                <w:color w:val="auto"/>
              </w:rPr>
            </w:pPr>
            <w:r>
              <w:rPr>
                <w:rFonts w:ascii="Arial" w:cs="Arial" w:eastAsia="Arial" w:hAnsi="Arial"/>
                <w:sz w:val="3"/>
                <w:szCs w:val="3"/>
                <w:color w:val="FFFFFF"/>
              </w:rPr>
              <w:t>Directors:</w:t>
            </w:r>
          </w:p>
        </w:tc>
        <w:tc>
          <w:tcPr>
            <w:tcW w:w="5900" w:type="dxa"/>
            <w:vAlign w:val="bottom"/>
          </w:tcPr>
          <w:p>
            <w:pPr>
              <w:spacing w:after="0"/>
              <w:rPr>
                <w:sz w:val="3"/>
                <w:szCs w:val="3"/>
                <w:color w:val="auto"/>
              </w:rPr>
            </w:pP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Jeffrey Kin-fung Lam 625 — — 525 — — 1,150</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Bruce Rockowitz 625 — — 525 — — 1,150</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Nicholas Sallnow-Smith 725 — — 525 — — 1,250</w:t>
            </w:r>
          </w:p>
        </w:tc>
      </w:tr>
      <w:tr>
        <w:trPr>
          <w:trHeight w:val="41"/>
        </w:trPr>
        <w:tc>
          <w:tcPr>
            <w:tcW w:w="7440" w:type="dxa"/>
            <w:vAlign w:val="bottom"/>
            <w:gridSpan w:val="3"/>
          </w:tcPr>
          <w:p>
            <w:pPr>
              <w:spacing w:after="0"/>
              <w:rPr>
                <w:sz w:val="20"/>
                <w:szCs w:val="20"/>
                <w:color w:val="auto"/>
              </w:rPr>
            </w:pPr>
            <w:r>
              <w:rPr>
                <w:rFonts w:ascii="Arial" w:cs="Arial" w:eastAsia="Arial" w:hAnsi="Arial"/>
                <w:sz w:val="3"/>
                <w:szCs w:val="3"/>
                <w:color w:val="FFFFFF"/>
              </w:rPr>
              <w:t>3,100 5,839 27,237 6,478 292 1,824 44,770</w:t>
            </w:r>
          </w:p>
        </w:tc>
      </w:tr>
      <w:tr>
        <w:trPr>
          <w:trHeight w:val="0"/>
        </w:trPr>
        <w:tc>
          <w:tcPr>
            <w:tcW w:w="360" w:type="dxa"/>
            <w:vAlign w:val="bottom"/>
          </w:tcPr>
          <w:p>
            <w:pPr>
              <w:spacing w:after="0"/>
              <w:rPr>
                <w:sz w:val="20"/>
                <w:szCs w:val="20"/>
                <w:color w:val="auto"/>
              </w:rPr>
            </w:pPr>
            <w:r>
              <w:rPr>
                <w:rFonts w:ascii="Arial" w:cs="Arial" w:eastAsia="Arial" w:hAnsi="Arial"/>
                <w:sz w:val="2"/>
                <w:szCs w:val="2"/>
                <w:color w:val="FFFFFF"/>
              </w:rPr>
              <w:t>*</w:t>
            </w:r>
          </w:p>
        </w:tc>
        <w:tc>
          <w:tcPr>
            <w:tcW w:w="7080" w:type="dxa"/>
            <w:vAlign w:val="bottom"/>
            <w:gridSpan w:val="2"/>
          </w:tcPr>
          <w:p>
            <w:pPr>
              <w:ind w:left="100"/>
              <w:spacing w:after="0"/>
              <w:rPr>
                <w:sz w:val="20"/>
                <w:szCs w:val="20"/>
                <w:color w:val="auto"/>
              </w:rPr>
            </w:pPr>
            <w:r>
              <w:rPr>
                <w:rFonts w:ascii="Arial" w:cs="Arial" w:eastAsia="Arial" w:hAnsi="Arial"/>
                <w:sz w:val="2"/>
                <w:szCs w:val="2"/>
                <w:color w:val="FFFFFF"/>
              </w:rPr>
              <w:t>Mr. Kazuo Okada ceased to be a member of our Board on 24 February 2012.</w:t>
            </w:r>
          </w:p>
        </w:tc>
      </w:tr>
    </w:tbl>
    <w:p>
      <w:pPr>
        <w:spacing w:after="0"/>
        <w:rPr>
          <w:sz w:val="20"/>
          <w:szCs w:val="20"/>
          <w:color w:val="auto"/>
        </w:rPr>
      </w:pPr>
      <w:r>
        <w:rPr>
          <w:rFonts w:ascii="Arial" w:cs="Arial" w:eastAsia="Arial" w:hAnsi="Arial"/>
          <w:sz w:val="10"/>
          <w:szCs w:val="10"/>
          <w:color w:val="FFFFFF"/>
        </w:rPr>
        <w:t>** Ms. Linda Chen received emoluments (inclusive of share-based payments) of HK$62.1 million for the year ended 31 December 2011, representing the portion charged to the Group through the marketing and secondment service agreement with WIML.</w:t>
      </w:r>
    </w:p>
    <w:p>
      <w:pPr>
        <w:sectPr>
          <w:pgSz w:w="11900" w:h="16838" w:orient="portrait"/>
          <w:cols w:equalWidth="0" w:num="1">
            <w:col w:w="11380"/>
          </w:cols>
          <w:pgMar w:left="240" w:top="1440" w:right="279" w:bottom="1440" w:gutter="0" w:footer="0" w:header="0"/>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141</w:t>
      </w:r>
    </w:p>
    <w:p>
      <w:pPr>
        <w:spacing w:after="0"/>
        <w:rPr>
          <w:sz w:val="20"/>
          <w:szCs w:val="20"/>
          <w:color w:val="auto"/>
        </w:rPr>
      </w:pPr>
      <w:r>
        <w:rPr>
          <w:rFonts w:ascii="Arial" w:cs="Arial" w:eastAsia="Arial" w:hAnsi="Arial"/>
          <w:sz w:val="3"/>
          <w:szCs w:val="3"/>
          <w:color w:val="FFFFFF"/>
        </w:rPr>
        <w:t>Financial Statements</w:t>
      </w:r>
    </w:p>
    <w:p>
      <w:pPr>
        <w:spacing w:after="0" w:line="194" w:lineRule="auto"/>
        <w:rPr>
          <w:sz w:val="20"/>
          <w:szCs w:val="20"/>
          <w:color w:val="auto"/>
        </w:rPr>
      </w:pPr>
      <w:r>
        <w:rPr>
          <w:rFonts w:ascii="Arial" w:cs="Arial" w:eastAsia="Arial" w:hAnsi="Arial"/>
          <w:sz w:val="5"/>
          <w:szCs w:val="5"/>
          <w:color w:val="FFFFFF"/>
        </w:rPr>
        <w:t>Notes to Financial Statements</w:t>
      </w:r>
    </w:p>
    <w:p>
      <w:pPr>
        <w:spacing w:after="0"/>
        <w:rPr>
          <w:sz w:val="20"/>
          <w:szCs w:val="20"/>
          <w:color w:val="auto"/>
        </w:rPr>
      </w:pPr>
      <w:r>
        <w:rPr>
          <w:rFonts w:ascii="Arial" w:cs="Arial" w:eastAsia="Arial" w:hAnsi="Arial"/>
          <w:sz w:val="3"/>
          <w:szCs w:val="3"/>
          <w:color w:val="FFFFFF"/>
        </w:rPr>
        <w:t>For the year ended 31 December 2012</w:t>
      </w:r>
    </w:p>
    <w:p>
      <w:pPr>
        <w:spacing w:after="0" w:line="208" w:lineRule="auto"/>
        <w:tabs>
          <w:tab w:leader="none" w:pos="440" w:val="left"/>
        </w:tabs>
        <w:rPr>
          <w:sz w:val="20"/>
          <w:szCs w:val="20"/>
          <w:color w:val="auto"/>
        </w:rPr>
      </w:pPr>
      <w:r>
        <w:rPr>
          <w:rFonts w:ascii="Arial" w:cs="Arial" w:eastAsia="Arial" w:hAnsi="Arial"/>
          <w:sz w:val="6"/>
          <w:szCs w:val="6"/>
          <w:color w:val="FFFFFF"/>
        </w:rPr>
        <w:t>26.</w:t>
      </w:r>
      <w:r>
        <w:rPr>
          <w:sz w:val="20"/>
          <w:szCs w:val="20"/>
          <w:color w:val="auto"/>
        </w:rPr>
        <w:tab/>
      </w:r>
      <w:r>
        <w:rPr>
          <w:rFonts w:ascii="Arial" w:cs="Arial" w:eastAsia="Arial" w:hAnsi="Arial"/>
          <w:sz w:val="6"/>
          <w:szCs w:val="6"/>
          <w:color w:val="FFFFFF"/>
        </w:rPr>
        <w:t>DIRECTORS’ AND CHIEF EXECUTIVE’S REMUNERATION AND FIVE HIGHEST PAID INDIVIDUALS (CONTINUED)</w:t>
      </w:r>
    </w:p>
    <w:p>
      <w:pPr>
        <w:spacing w:after="0" w:line="212" w:lineRule="auto"/>
        <w:rPr>
          <w:sz w:val="20"/>
          <w:szCs w:val="20"/>
          <w:color w:val="auto"/>
        </w:rPr>
      </w:pPr>
      <w:r>
        <w:rPr>
          <w:rFonts w:ascii="Arial" w:cs="Arial" w:eastAsia="Arial" w:hAnsi="Arial"/>
          <w:sz w:val="2"/>
          <w:szCs w:val="2"/>
          <w:color w:val="FFFFFF"/>
        </w:rPr>
        <w:t>Directors’ and Chief Executive’</w:t>
      </w:r>
      <w:r>
        <w:rPr>
          <w:rFonts w:ascii="Arial" w:cs="Arial" w:eastAsia="Arial" w:hAnsi="Arial"/>
          <w:sz w:val="4"/>
          <w:szCs w:val="4"/>
          <w:color w:val="FFFFFF"/>
          <w:vertAlign w:val="subscript"/>
        </w:rPr>
        <w:t>emoluments</w:t>
      </w:r>
      <w:r>
        <w:rPr>
          <w:rFonts w:ascii="Arial" w:cs="Arial" w:eastAsia="Arial" w:hAnsi="Arial"/>
          <w:sz w:val="2"/>
          <w:szCs w:val="2"/>
          <w:color w:val="FFFFFF"/>
        </w:rPr>
        <w:t xml:space="preserve">Emoluments </w:t>
      </w:r>
      <w:r>
        <w:rPr>
          <w:rFonts w:ascii="Arial" w:cs="Arial" w:eastAsia="Arial" w:hAnsi="Arial"/>
          <w:sz w:val="4"/>
          <w:szCs w:val="4"/>
          <w:color w:val="FFFFFF"/>
          <w:vertAlign w:val="subscript"/>
        </w:rPr>
        <w:t>(continued)</w:t>
      </w:r>
    </w:p>
    <w:p>
      <w:pPr>
        <w:ind w:right="300"/>
        <w:spacing w:after="0"/>
        <w:rPr>
          <w:sz w:val="20"/>
          <w:szCs w:val="20"/>
          <w:color w:val="auto"/>
        </w:rPr>
      </w:pPr>
      <w:r>
        <w:rPr>
          <w:rFonts w:ascii="Arial" w:cs="Arial" w:eastAsia="Arial" w:hAnsi="Arial"/>
          <w:sz w:val="7"/>
          <w:szCs w:val="7"/>
          <w:color w:val="FFFFFF"/>
        </w:rPr>
        <w:t>In addition to the directors’ disclosed the above tables, emoluments for Mr. Stephen A. Wynn and Mr. Marc D. Schorr were charged to the Group, through the corporate allocation agreement, amounting to HK$54.3 million and HK$37.4 million for the year ended 31 December 2012, respectively (2011: HK$50.4 million and HK$37.4 million, respectively).</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Five highest paid individuals’ emoluments</w:t>
      </w:r>
    </w:p>
    <w:p>
      <w:pPr>
        <w:spacing w:after="0" w:line="181" w:lineRule="auto"/>
        <w:rPr>
          <w:sz w:val="20"/>
          <w:szCs w:val="20"/>
          <w:color w:val="auto"/>
        </w:rPr>
      </w:pPr>
      <w:r>
        <w:rPr>
          <w:rFonts w:ascii="Arial" w:cs="Arial" w:eastAsia="Arial" w:hAnsi="Arial"/>
          <w:sz w:val="10"/>
          <w:szCs w:val="10"/>
          <w:color w:val="FFFFFF"/>
        </w:rPr>
        <w:t>During the year ended 31 December 2012, the ? ve individuals whose emoluments were the highest in the Group included three (2011: three) Directors whose emoluments were re? ected in the analysis presented</w:t>
      </w:r>
    </w:p>
    <w:p>
      <w:pPr>
        <w:spacing w:after="0" w:line="188" w:lineRule="auto"/>
        <w:rPr>
          <w:sz w:val="20"/>
          <w:szCs w:val="20"/>
          <w:color w:val="auto"/>
        </w:rPr>
      </w:pPr>
      <w:r>
        <w:rPr>
          <w:rFonts w:ascii="Arial" w:cs="Arial" w:eastAsia="Arial" w:hAnsi="Arial"/>
          <w:sz w:val="9"/>
          <w:szCs w:val="9"/>
          <w:color w:val="FFFFFF"/>
        </w:rPr>
        <w:t>Groupabove. Details of the emoluments payable to the remaining two (2011: two) highest paid individuals for each of the years ended 31 December 2012 and 2011 are as follows:</w:t>
      </w:r>
    </w:p>
    <w:p>
      <w:pPr>
        <w:spacing w:after="0"/>
        <w:rPr>
          <w:sz w:val="20"/>
          <w:szCs w:val="20"/>
          <w:color w:val="auto"/>
        </w:rPr>
      </w:pPr>
      <w:r>
        <w:rPr>
          <w:rFonts w:ascii="Arial" w:cs="Arial" w:eastAsia="Arial" w:hAnsi="Arial"/>
          <w:sz w:val="3"/>
          <w:szCs w:val="3"/>
          <w:color w:val="FFFFFF"/>
        </w:rPr>
        <w:t>DecemberFortheyear ended 31</w:t>
      </w:r>
    </w:p>
    <w:p>
      <w:pPr>
        <w:spacing w:after="0" w:line="181" w:lineRule="auto"/>
        <w:rPr>
          <w:sz w:val="20"/>
          <w:szCs w:val="20"/>
          <w:color w:val="auto"/>
        </w:rPr>
      </w:pPr>
      <w:r>
        <w:rPr>
          <w:rFonts w:ascii="Arial" w:cs="Arial" w:eastAsia="Arial" w:hAnsi="Arial"/>
          <w:sz w:val="10"/>
          <w:szCs w:val="10"/>
          <w:color w:val="FFFFFF"/>
        </w:rPr>
        <w:t>2012 2011</w:t>
      </w:r>
    </w:p>
    <w:p>
      <w:pPr>
        <w:spacing w:after="0" w:line="188" w:lineRule="auto"/>
        <w:rPr>
          <w:sz w:val="20"/>
          <w:szCs w:val="20"/>
          <w:color w:val="auto"/>
        </w:rPr>
      </w:pPr>
      <w:r>
        <w:rPr>
          <w:rFonts w:ascii="Arial" w:cs="Arial" w:eastAsia="Arial" w:hAnsi="Arial"/>
          <w:sz w:val="9"/>
          <w:szCs w:val="9"/>
          <w:color w:val="FFFFFF"/>
          <w:vertAlign w:val="superscript"/>
        </w:rPr>
        <w:t>(in</w:t>
      </w:r>
      <w:r>
        <w:rPr>
          <w:rFonts w:ascii="Arial" w:cs="Arial" w:eastAsia="Arial" w:hAnsi="Arial"/>
          <w:sz w:val="7"/>
          <w:szCs w:val="7"/>
          <w:color w:val="FFFFFF"/>
        </w:rPr>
        <w:t>HKthousands)$HK$</w:t>
      </w:r>
    </w:p>
    <w:p>
      <w:pPr>
        <w:spacing w:after="0"/>
        <w:tabs>
          <w:tab w:leader="none" w:pos="680" w:val="left"/>
        </w:tabs>
        <w:rPr>
          <w:sz w:val="20"/>
          <w:szCs w:val="20"/>
          <w:color w:val="auto"/>
        </w:rPr>
      </w:pPr>
      <w:r>
        <w:rPr>
          <w:rFonts w:ascii="Arial" w:cs="Arial" w:eastAsia="Arial" w:hAnsi="Arial"/>
          <w:sz w:val="3"/>
          <w:szCs w:val="3"/>
          <w:color w:val="FFFFFF"/>
        </w:rPr>
        <w:t>Salaries</w:t>
      </w:r>
      <w:r>
        <w:rPr>
          <w:sz w:val="20"/>
          <w:szCs w:val="20"/>
          <w:color w:val="auto"/>
        </w:rPr>
        <w:tab/>
      </w:r>
      <w:r>
        <w:rPr>
          <w:rFonts w:ascii="Arial" w:cs="Arial" w:eastAsia="Arial" w:hAnsi="Arial"/>
          <w:sz w:val="3"/>
          <w:szCs w:val="3"/>
          <w:color w:val="FFFFFF"/>
        </w:rPr>
        <w:t>other bene?ts 12,934 10,364</w:t>
      </w:r>
    </w:p>
    <w:p>
      <w:pPr>
        <w:spacing w:after="0" w:line="181" w:lineRule="auto"/>
        <w:rPr>
          <w:sz w:val="20"/>
          <w:szCs w:val="20"/>
          <w:color w:val="auto"/>
        </w:rPr>
      </w:pPr>
      <w:r>
        <w:rPr>
          <w:rFonts w:ascii="Arial" w:cs="Arial" w:eastAsia="Arial" w:hAnsi="Arial"/>
          <w:sz w:val="7"/>
          <w:szCs w:val="7"/>
          <w:color w:val="FFFFFF"/>
        </w:rPr>
        <w:t>ShareDiscretionary-basedpaymentsbonus10,3275,9499,346</w:t>
      </w:r>
      <w:r>
        <w:rPr>
          <w:rFonts w:ascii="Arial" w:cs="Arial" w:eastAsia="Arial" w:hAnsi="Arial"/>
          <w:sz w:val="10"/>
          <w:szCs w:val="10"/>
          <w:color w:val="FFFFFF"/>
          <w:vertAlign w:val="subscript"/>
        </w:rPr>
        <w:t>10,558</w:t>
      </w:r>
    </w:p>
    <w:p>
      <w:pPr>
        <w:spacing w:after="0"/>
        <w:rPr>
          <w:sz w:val="20"/>
          <w:szCs w:val="20"/>
          <w:color w:val="auto"/>
        </w:rPr>
      </w:pPr>
      <w:r>
        <w:rPr>
          <w:rFonts w:ascii="Arial" w:cs="Arial" w:eastAsia="Arial" w:hAnsi="Arial"/>
          <w:sz w:val="14"/>
          <w:szCs w:val="14"/>
          <w:color w:val="FFFFFF"/>
        </w:rPr>
        <w:t>TotalContributionsemolumentstoretirement29,21230,269plan2</w:t>
      </w:r>
    </w:p>
    <w:p>
      <w:pPr>
        <w:sectPr>
          <w:pgSz w:w="11900" w:h="16838" w:orient="portrait"/>
          <w:cols w:equalWidth="0" w:num="1">
            <w:col w:w="11420"/>
          </w:cols>
          <w:pgMar w:left="240" w:top="1440" w:right="239"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4"/>
          </w:tcPr>
          <w:p>
            <w:pPr>
              <w:spacing w:after="0"/>
              <w:rPr>
                <w:sz w:val="20"/>
                <w:szCs w:val="20"/>
                <w:color w:val="auto"/>
              </w:rPr>
            </w:pPr>
            <w:r>
              <w:rPr>
                <w:rFonts w:ascii="Arial" w:cs="Arial" w:eastAsia="Arial" w:hAnsi="Arial"/>
                <w:sz w:val="14"/>
                <w:szCs w:val="14"/>
                <w:color w:val="FFFFFF"/>
              </w:rPr>
              <w:t>142 Wynn Macau, Limited</w:t>
            </w:r>
          </w:p>
        </w:tc>
        <w:tc>
          <w:tcPr>
            <w:tcW w:w="52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28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6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4"/>
          </w:tcPr>
          <w:p>
            <w:pPr>
              <w:spacing w:after="0"/>
              <w:rPr>
                <w:sz w:val="20"/>
                <w:szCs w:val="20"/>
                <w:color w:val="auto"/>
              </w:rPr>
            </w:pPr>
            <w:r>
              <w:rPr>
                <w:rFonts w:ascii="Arial" w:cs="Arial" w:eastAsia="Arial" w:hAnsi="Arial"/>
                <w:sz w:val="3"/>
                <w:szCs w:val="3"/>
                <w:color w:val="FFFFFF"/>
              </w:rPr>
              <w:t>Notes to Financial Statements</w:t>
            </w:r>
          </w:p>
        </w:tc>
        <w:tc>
          <w:tcPr>
            <w:tcW w:w="52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200" w:type="dxa"/>
            <w:vAlign w:val="bottom"/>
            <w:gridSpan w:val="5"/>
          </w:tcPr>
          <w:p>
            <w:pPr>
              <w:spacing w:after="0"/>
              <w:rPr>
                <w:sz w:val="20"/>
                <w:szCs w:val="20"/>
                <w:color w:val="auto"/>
              </w:rPr>
            </w:pPr>
            <w:r>
              <w:rPr>
                <w:rFonts w:ascii="Arial" w:cs="Arial" w:eastAsia="Arial" w:hAnsi="Arial"/>
                <w:sz w:val="3"/>
                <w:szCs w:val="3"/>
                <w:color w:val="FFFFFF"/>
              </w:rPr>
              <w:t>For the year ended 31 December 2012</w:t>
            </w:r>
          </w:p>
        </w:tc>
        <w:tc>
          <w:tcPr>
            <w:tcW w:w="4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26.</w:t>
            </w:r>
          </w:p>
        </w:tc>
        <w:tc>
          <w:tcPr>
            <w:tcW w:w="10900" w:type="dxa"/>
            <w:vAlign w:val="bottom"/>
            <w:gridSpan w:val="5"/>
          </w:tcPr>
          <w:p>
            <w:pPr>
              <w:ind w:left="40"/>
              <w:spacing w:after="0"/>
              <w:rPr>
                <w:sz w:val="20"/>
                <w:szCs w:val="20"/>
                <w:color w:val="auto"/>
              </w:rPr>
            </w:pPr>
            <w:r>
              <w:rPr>
                <w:rFonts w:ascii="Arial" w:cs="Arial" w:eastAsia="Arial" w:hAnsi="Arial"/>
                <w:sz w:val="3"/>
                <w:szCs w:val="3"/>
                <w:color w:val="FFFFFF"/>
              </w:rPr>
              <w:t>DIRECTORS’ AND CHIEF EXECUTIVE’S REMUNERATION AND FIVE HIGHEST PAID INDIVIDUALS (CONTINUED)</w:t>
            </w:r>
          </w:p>
        </w:tc>
        <w:tc>
          <w:tcPr>
            <w:tcW w:w="0" w:type="dxa"/>
            <w:vAlign w:val="bottom"/>
          </w:tcPr>
          <w:p>
            <w:pPr>
              <w:spacing w:after="0"/>
              <w:rPr>
                <w:sz w:val="1"/>
                <w:szCs w:val="1"/>
                <w:color w:val="auto"/>
              </w:rPr>
            </w:pPr>
          </w:p>
        </w:tc>
      </w:tr>
      <w:tr>
        <w:trPr>
          <w:trHeight w:val="54"/>
        </w:trPr>
        <w:tc>
          <w:tcPr>
            <w:tcW w:w="7200" w:type="dxa"/>
            <w:vAlign w:val="bottom"/>
            <w:gridSpan w:val="5"/>
          </w:tcPr>
          <w:p>
            <w:pPr>
              <w:spacing w:after="0" w:line="54" w:lineRule="exact"/>
              <w:rPr>
                <w:sz w:val="20"/>
                <w:szCs w:val="20"/>
                <w:color w:val="auto"/>
              </w:rPr>
            </w:pPr>
            <w:r>
              <w:rPr>
                <w:rFonts w:ascii="Arial" w:cs="Arial" w:eastAsia="Arial" w:hAnsi="Arial"/>
                <w:sz w:val="6"/>
                <w:szCs w:val="6"/>
                <w:color w:val="FFFFFF"/>
              </w:rPr>
              <w:t>Five highest paid individuals’ emoluments (continued)</w:t>
            </w:r>
          </w:p>
        </w:tc>
        <w:tc>
          <w:tcPr>
            <w:tcW w:w="4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7200" w:type="dxa"/>
            <w:vAlign w:val="bottom"/>
            <w:gridSpan w:val="5"/>
          </w:tcPr>
          <w:p>
            <w:pPr>
              <w:spacing w:after="0"/>
              <w:rPr>
                <w:sz w:val="20"/>
                <w:szCs w:val="20"/>
                <w:color w:val="auto"/>
              </w:rPr>
            </w:pPr>
            <w:r>
              <w:rPr>
                <w:rFonts w:ascii="Arial" w:cs="Arial" w:eastAsia="Arial" w:hAnsi="Arial"/>
                <w:sz w:val="3"/>
                <w:szCs w:val="3"/>
                <w:color w:val="FFFFFF"/>
              </w:rPr>
              <w:t>The emolum  ts were within the following bands:</w:t>
            </w:r>
          </w:p>
        </w:tc>
        <w:tc>
          <w:tcPr>
            <w:tcW w:w="4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For the year ended</w:t>
            </w: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31 December</w:t>
            </w: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2012 2011</w:t>
            </w: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gridSpan w:val="3"/>
          </w:tcPr>
          <w:p>
            <w:pPr>
              <w:spacing w:after="0"/>
              <w:rPr>
                <w:sz w:val="20"/>
                <w:szCs w:val="20"/>
                <w:color w:val="auto"/>
              </w:rPr>
            </w:pPr>
            <w:r>
              <w:rPr>
                <w:rFonts w:ascii="Arial" w:cs="Arial" w:eastAsia="Arial" w:hAnsi="Arial"/>
                <w:sz w:val="3"/>
                <w:szCs w:val="3"/>
                <w:color w:val="FFFFFF"/>
              </w:rPr>
              <w:t>Number of Number of</w:t>
            </w:r>
          </w:p>
        </w:tc>
        <w:tc>
          <w:tcPr>
            <w:tcW w:w="6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gridSpan w:val="3"/>
          </w:tcPr>
          <w:p>
            <w:pPr>
              <w:spacing w:after="0"/>
              <w:rPr>
                <w:sz w:val="20"/>
                <w:szCs w:val="20"/>
                <w:color w:val="auto"/>
              </w:rPr>
            </w:pPr>
            <w:r>
              <w:rPr>
                <w:rFonts w:ascii="Arial" w:cs="Arial" w:eastAsia="Arial" w:hAnsi="Arial"/>
                <w:sz w:val="3"/>
                <w:szCs w:val="3"/>
                <w:color w:val="FFFFFF"/>
              </w:rPr>
              <w:t>Individuals Individuals</w:t>
            </w:r>
          </w:p>
        </w:tc>
        <w:tc>
          <w:tcPr>
            <w:tcW w:w="660" w:type="dxa"/>
            <w:vAlign w:val="bottom"/>
          </w:tcPr>
          <w:p>
            <w:pPr>
              <w:spacing w:after="0"/>
              <w:rPr>
                <w:sz w:val="3"/>
                <w:szCs w:val="3"/>
                <w:color w:val="auto"/>
              </w:rPr>
            </w:pPr>
          </w:p>
        </w:tc>
        <w:tc>
          <w:tcPr>
            <w:tcW w:w="5260" w:type="dxa"/>
            <w:vAlign w:val="bottom"/>
          </w:tcPr>
          <w:p>
            <w:pPr>
              <w:spacing w:after="0"/>
              <w:rPr>
                <w:sz w:val="3"/>
                <w:szCs w:val="3"/>
                <w:color w:val="auto"/>
              </w:rPr>
            </w:pPr>
          </w:p>
        </w:tc>
        <w:tc>
          <w:tcPr>
            <w:tcW w:w="4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940" w:type="dxa"/>
            <w:vAlign w:val="bottom"/>
            <w:gridSpan w:val="4"/>
          </w:tcPr>
          <w:p>
            <w:pPr>
              <w:spacing w:after="0"/>
              <w:rPr>
                <w:sz w:val="20"/>
                <w:szCs w:val="20"/>
                <w:color w:val="auto"/>
              </w:rPr>
            </w:pPr>
            <w:r>
              <w:rPr>
                <w:rFonts w:ascii="Arial" w:cs="Arial" w:eastAsia="Arial" w:hAnsi="Arial"/>
                <w:sz w:val="3"/>
                <w:szCs w:val="3"/>
                <w:color w:val="FFFFFF"/>
              </w:rPr>
              <w:t>Nil to HK$10,000,000 1 —</w:t>
            </w:r>
          </w:p>
        </w:tc>
        <w:tc>
          <w:tcPr>
            <w:tcW w:w="5260" w:type="dxa"/>
            <w:vAlign w:val="bottom"/>
            <w:vMerge w:val="restart"/>
          </w:tcPr>
          <w:p>
            <w:pPr>
              <w:ind w:left="20"/>
              <w:spacing w:after="0" w:line="122" w:lineRule="exact"/>
              <w:rPr>
                <w:sz w:val="20"/>
                <w:szCs w:val="20"/>
                <w:color w:val="auto"/>
              </w:rPr>
            </w:pPr>
            <w:r>
              <w:rPr>
                <w:rFonts w:ascii="Arial" w:cs="Arial" w:eastAsia="Arial" w:hAnsi="Arial"/>
                <w:sz w:val="14"/>
                <w:szCs w:val="14"/>
                <w:color w:val="FFFFFF"/>
              </w:rPr>
              <w:t>— 1</w:t>
            </w:r>
          </w:p>
        </w:tc>
        <w:tc>
          <w:tcPr>
            <w:tcW w:w="4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420" w:type="dxa"/>
            <w:vAlign w:val="bottom"/>
          </w:tcPr>
          <w:p>
            <w:pPr>
              <w:ind w:left="280"/>
              <w:spacing w:after="0" w:line="81" w:lineRule="exact"/>
              <w:rPr>
                <w:sz w:val="20"/>
                <w:szCs w:val="20"/>
                <w:color w:val="auto"/>
              </w:rPr>
            </w:pPr>
            <w:r>
              <w:rPr>
                <w:rFonts w:ascii="Arial" w:cs="Arial" w:eastAsia="Arial" w:hAnsi="Arial"/>
                <w:sz w:val="7"/>
                <w:szCs w:val="7"/>
                <w:color w:val="FFFFFF"/>
              </w:rPr>
              <w:t>16</w:t>
            </w:r>
            <w:r>
              <w:rPr>
                <w:rFonts w:ascii="Arial" w:cs="Arial" w:eastAsia="Arial" w:hAnsi="Arial"/>
                <w:sz w:val="9"/>
                <w:szCs w:val="9"/>
                <w:color w:val="FFFFFF"/>
                <w:vertAlign w:val="superscript"/>
              </w:rPr>
              <w:t>3</w:t>
            </w:r>
          </w:p>
        </w:tc>
        <w:tc>
          <w:tcPr>
            <w:tcW w:w="620" w:type="dxa"/>
            <w:vAlign w:val="bottom"/>
          </w:tcPr>
          <w:p>
            <w:pPr>
              <w:ind w:left="20"/>
              <w:spacing w:after="0" w:line="81" w:lineRule="exact"/>
              <w:rPr>
                <w:sz w:val="20"/>
                <w:szCs w:val="20"/>
                <w:color w:val="auto"/>
              </w:rPr>
            </w:pPr>
            <w:r>
              <w:rPr>
                <w:rFonts w:ascii="Arial" w:cs="Arial" w:eastAsia="Arial" w:hAnsi="Arial"/>
                <w:sz w:val="9"/>
                <w:szCs w:val="9"/>
                <w:color w:val="FFFFFF"/>
              </w:rPr>
              <w:t>0</w:t>
            </w:r>
          </w:p>
        </w:tc>
        <w:tc>
          <w:tcPr>
            <w:tcW w:w="240" w:type="dxa"/>
            <w:vAlign w:val="bottom"/>
          </w:tcPr>
          <w:p>
            <w:pPr>
              <w:spacing w:after="0"/>
              <w:rPr>
                <w:sz w:val="7"/>
                <w:szCs w:val="7"/>
                <w:color w:val="auto"/>
              </w:rPr>
            </w:pPr>
          </w:p>
        </w:tc>
        <w:tc>
          <w:tcPr>
            <w:tcW w:w="660" w:type="dxa"/>
            <w:vAlign w:val="bottom"/>
          </w:tcPr>
          <w:p>
            <w:pPr>
              <w:jc w:val="right"/>
              <w:ind w:right="365"/>
              <w:spacing w:after="0" w:line="81" w:lineRule="exact"/>
              <w:rPr>
                <w:sz w:val="20"/>
                <w:szCs w:val="20"/>
                <w:color w:val="auto"/>
              </w:rPr>
            </w:pPr>
            <w:r>
              <w:rPr>
                <w:rFonts w:ascii="Arial" w:cs="Arial" w:eastAsia="Arial" w:hAnsi="Arial"/>
                <w:sz w:val="7"/>
                <w:szCs w:val="7"/>
                <w:color w:val="FFFFFF"/>
              </w:rPr>
              <w:t>16</w:t>
            </w:r>
            <w:r>
              <w:rPr>
                <w:rFonts w:ascii="Arial" w:cs="Arial" w:eastAsia="Arial" w:hAnsi="Arial"/>
                <w:sz w:val="9"/>
                <w:szCs w:val="9"/>
                <w:color w:val="FFFFFF"/>
                <w:vertAlign w:val="superscript"/>
              </w:rPr>
              <w:t>4</w:t>
            </w:r>
            <w:r>
              <w:rPr>
                <w:rFonts w:ascii="Arial" w:cs="Arial" w:eastAsia="Arial" w:hAnsi="Arial"/>
                <w:sz w:val="7"/>
                <w:szCs w:val="7"/>
                <w:color w:val="FFFFFF"/>
              </w:rPr>
              <w:t xml:space="preserve"> 5</w:t>
            </w:r>
          </w:p>
        </w:tc>
        <w:tc>
          <w:tcPr>
            <w:tcW w:w="5260" w:type="dxa"/>
            <w:vAlign w:val="bottom"/>
            <w:vMerge w:val="continue"/>
          </w:tcPr>
          <w:p>
            <w:pPr>
              <w:spacing w:after="0"/>
              <w:rPr>
                <w:sz w:val="7"/>
                <w:szCs w:val="7"/>
                <w:color w:val="auto"/>
              </w:rPr>
            </w:pPr>
          </w:p>
        </w:tc>
        <w:tc>
          <w:tcPr>
            <w:tcW w:w="4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040" w:type="dxa"/>
            <w:vAlign w:val="bottom"/>
            <w:gridSpan w:val="2"/>
          </w:tcPr>
          <w:p>
            <w:pPr>
              <w:spacing w:after="0" w:line="81" w:lineRule="exact"/>
              <w:rPr>
                <w:sz w:val="20"/>
                <w:szCs w:val="20"/>
                <w:color w:val="auto"/>
              </w:rPr>
            </w:pPr>
            <w:r>
              <w:rPr>
                <w:rFonts w:ascii="Arial" w:cs="Arial" w:eastAsia="Arial" w:hAnsi="Arial"/>
                <w:sz w:val="7"/>
                <w:szCs w:val="7"/>
                <w:color w:val="FFFFFF"/>
              </w:rPr>
              <w:t xml:space="preserve">HKotal$21,500,001 </w:t>
            </w:r>
            <w:r>
              <w:rPr>
                <w:rFonts w:ascii="Arial" w:cs="Arial" w:eastAsia="Arial" w:hAnsi="Arial"/>
                <w:sz w:val="9"/>
                <w:szCs w:val="9"/>
                <w:color w:val="FFFFFF"/>
                <w:vertAlign w:val="superscript"/>
              </w:rPr>
              <w:t>to</w:t>
            </w:r>
          </w:p>
        </w:tc>
        <w:tc>
          <w:tcPr>
            <w:tcW w:w="900" w:type="dxa"/>
            <w:vAlign w:val="bottom"/>
            <w:gridSpan w:val="2"/>
          </w:tcPr>
          <w:p>
            <w:pPr>
              <w:jc w:val="right"/>
              <w:spacing w:after="0" w:line="81" w:lineRule="exact"/>
              <w:rPr>
                <w:sz w:val="20"/>
                <w:szCs w:val="20"/>
                <w:color w:val="auto"/>
              </w:rPr>
            </w:pPr>
            <w:r>
              <w:rPr>
                <w:rFonts w:ascii="Arial" w:cs="Arial" w:eastAsia="Arial" w:hAnsi="Arial"/>
                <w:sz w:val="9"/>
                <w:szCs w:val="9"/>
                <w:color w:val="FFFFFF"/>
              </w:rPr>
              <w:t>HK$22,000,000</w:t>
            </w:r>
          </w:p>
        </w:tc>
        <w:tc>
          <w:tcPr>
            <w:tcW w:w="5260" w:type="dxa"/>
            <w:vAlign w:val="bottom"/>
          </w:tcPr>
          <w:p>
            <w:pPr>
              <w:ind w:left="20"/>
              <w:spacing w:after="0" w:line="81" w:lineRule="exact"/>
              <w:rPr>
                <w:sz w:val="20"/>
                <w:szCs w:val="20"/>
                <w:color w:val="auto"/>
              </w:rPr>
            </w:pPr>
            <w:r>
              <w:rPr>
                <w:rFonts w:ascii="Arial" w:cs="Arial" w:eastAsia="Arial" w:hAnsi="Arial"/>
                <w:sz w:val="9"/>
                <w:szCs w:val="9"/>
                <w:color w:val="FFFFFF"/>
              </w:rPr>
              <w:t>1 —</w:t>
            </w:r>
          </w:p>
        </w:tc>
        <w:tc>
          <w:tcPr>
            <w:tcW w:w="4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320" w:type="dxa"/>
            <w:vAlign w:val="bottom"/>
            <w:gridSpan w:val="6"/>
          </w:tcPr>
          <w:p>
            <w:pPr>
              <w:spacing w:after="0"/>
              <w:rPr>
                <w:sz w:val="20"/>
                <w:szCs w:val="20"/>
                <w:color w:val="auto"/>
              </w:rPr>
            </w:pPr>
            <w:r>
              <w:rPr>
                <w:rFonts w:ascii="Arial" w:cs="Arial" w:eastAsia="Arial" w:hAnsi="Arial"/>
                <w:sz w:val="3"/>
                <w:szCs w:val="3"/>
                <w:color w:val="FFFFFF"/>
              </w:rPr>
              <w:t>The emoluments of certain individuals have been apportioned   a basis that is considered to be reasonable estimates of the utilization of service provided or the benefi t received by the Group. The apportioned</w:t>
            </w:r>
          </w:p>
        </w:tc>
        <w:tc>
          <w:tcPr>
            <w:tcW w:w="0" w:type="dxa"/>
            <w:vAlign w:val="bottom"/>
          </w:tcPr>
          <w:p>
            <w:pPr>
              <w:spacing w:after="0"/>
              <w:rPr>
                <w:sz w:val="1"/>
                <w:szCs w:val="1"/>
                <w:color w:val="auto"/>
              </w:rPr>
            </w:pPr>
          </w:p>
        </w:tc>
      </w:tr>
      <w:tr>
        <w:trPr>
          <w:trHeight w:val="41"/>
        </w:trPr>
        <w:tc>
          <w:tcPr>
            <w:tcW w:w="11320" w:type="dxa"/>
            <w:vAlign w:val="bottom"/>
            <w:gridSpan w:val="6"/>
          </w:tcPr>
          <w:p>
            <w:pPr>
              <w:spacing w:after="0"/>
              <w:rPr>
                <w:sz w:val="20"/>
                <w:szCs w:val="20"/>
                <w:color w:val="auto"/>
              </w:rPr>
            </w:pPr>
            <w:r>
              <w:rPr>
                <w:rFonts w:ascii="Arial" w:cs="Arial" w:eastAsia="Arial" w:hAnsi="Arial"/>
                <w:sz w:val="3"/>
                <w:szCs w:val="3"/>
                <w:color w:val="FFFFFF"/>
              </w:rPr>
              <w:t>emoluments of these individuals are included in the expense allocations charged by Wynn Resorts, Limited and the Group’s fellow subsidiaries for the years ended 31 December 2012 and 2011 (See note 28</w:t>
            </w:r>
          </w:p>
        </w:tc>
        <w:tc>
          <w:tcPr>
            <w:tcW w:w="0" w:type="dxa"/>
            <w:vAlign w:val="bottom"/>
          </w:tcPr>
          <w:p>
            <w:pPr>
              <w:spacing w:after="0"/>
              <w:rPr>
                <w:sz w:val="1"/>
                <w:szCs w:val="1"/>
                <w:color w:val="auto"/>
              </w:rPr>
            </w:pPr>
          </w:p>
        </w:tc>
      </w:tr>
      <w:tr>
        <w:trPr>
          <w:trHeight w:val="41"/>
        </w:trPr>
        <w:tc>
          <w:tcPr>
            <w:tcW w:w="1940" w:type="dxa"/>
            <w:vAlign w:val="bottom"/>
            <w:gridSpan w:val="4"/>
          </w:tcPr>
          <w:p>
            <w:pPr>
              <w:spacing w:after="0"/>
              <w:rPr>
                <w:sz w:val="20"/>
                <w:szCs w:val="20"/>
                <w:color w:val="auto"/>
              </w:rPr>
            </w:pPr>
            <w:r>
              <w:rPr>
                <w:rFonts w:ascii="Arial" w:cs="Arial" w:eastAsia="Arial" w:hAnsi="Arial"/>
                <w:sz w:val="3"/>
                <w:szCs w:val="3"/>
                <w:color w:val="FFFFFF"/>
              </w:rPr>
              <w:t>“Related Party Disclosures”).</w:t>
            </w:r>
          </w:p>
        </w:tc>
        <w:tc>
          <w:tcPr>
            <w:tcW w:w="5260" w:type="dxa"/>
            <w:vAlign w:val="bottom"/>
          </w:tcPr>
          <w:p>
            <w:pPr>
              <w:spacing w:after="0"/>
              <w:rPr>
                <w:sz w:val="3"/>
                <w:szCs w:val="3"/>
                <w:color w:val="auto"/>
              </w:rPr>
            </w:pPr>
          </w:p>
        </w:tc>
        <w:tc>
          <w:tcPr>
            <w:tcW w:w="4120" w:type="dxa"/>
            <w:vAlign w:val="bottom"/>
            <w:vMerge w:val="restart"/>
          </w:tcPr>
          <w:p>
            <w:pPr>
              <w:ind w:left="180"/>
              <w:spacing w:after="0" w:line="81" w:lineRule="exact"/>
              <w:rPr>
                <w:sz w:val="20"/>
                <w:szCs w:val="20"/>
                <w:color w:val="auto"/>
              </w:rPr>
            </w:pPr>
            <w:r>
              <w:rPr>
                <w:rFonts w:ascii="Arial" w:cs="Arial" w:eastAsia="Arial" w:hAnsi="Arial"/>
                <w:sz w:val="9"/>
                <w:szCs w:val="9"/>
                <w:color w:val="FFFFFF"/>
              </w:rPr>
              <w:t>join or upon joining the Group or as compensation for loss of of? ce as a</w:t>
            </w:r>
          </w:p>
        </w:tc>
        <w:tc>
          <w:tcPr>
            <w:tcW w:w="0" w:type="dxa"/>
            <w:vAlign w:val="bottom"/>
          </w:tcPr>
          <w:p>
            <w:pPr>
              <w:spacing w:after="0"/>
              <w:rPr>
                <w:sz w:val="1"/>
                <w:szCs w:val="1"/>
                <w:color w:val="auto"/>
              </w:rPr>
            </w:pPr>
          </w:p>
        </w:tc>
      </w:tr>
      <w:tr>
        <w:trPr>
          <w:trHeight w:val="41"/>
        </w:trPr>
        <w:tc>
          <w:tcPr>
            <w:tcW w:w="7200" w:type="dxa"/>
            <w:vAlign w:val="bottom"/>
            <w:gridSpan w:val="5"/>
          </w:tcPr>
          <w:p>
            <w:pPr>
              <w:spacing w:after="0"/>
              <w:rPr>
                <w:sz w:val="20"/>
                <w:szCs w:val="20"/>
                <w:color w:val="auto"/>
              </w:rPr>
            </w:pPr>
            <w:r>
              <w:rPr>
                <w:rFonts w:ascii="Arial" w:cs="Arial" w:eastAsia="Arial" w:hAnsi="Arial"/>
                <w:sz w:val="3"/>
                <w:szCs w:val="3"/>
                <w:color w:val="FFFFFF"/>
              </w:rPr>
              <w:t>During the year, no emoluments were paid by the Group to any of the Directors or the ? ve highest paid individuals as an inducement</w:t>
            </w:r>
          </w:p>
        </w:tc>
        <w:tc>
          <w:tcPr>
            <w:tcW w:w="4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7200" w:type="dxa"/>
            <w:vAlign w:val="bottom"/>
            <w:gridSpan w:val="5"/>
          </w:tcPr>
          <w:p>
            <w:pPr>
              <w:spacing w:after="0"/>
              <w:rPr>
                <w:sz w:val="20"/>
                <w:szCs w:val="20"/>
                <w:color w:val="auto"/>
              </w:rPr>
            </w:pPr>
            <w:r>
              <w:rPr>
                <w:rFonts w:ascii="Arial" w:cs="Arial" w:eastAsia="Arial" w:hAnsi="Arial"/>
                <w:sz w:val="14"/>
                <w:szCs w:val="14"/>
                <w:color w:val="FFFFFF"/>
                <w:w w:val="88"/>
              </w:rPr>
              <w:t>director of any member of the Group or in connection with the management of the affairs of any members of the Group. None of the</w:t>
            </w:r>
          </w:p>
        </w:tc>
        <w:tc>
          <w:tcPr>
            <w:tcW w:w="4120" w:type="dxa"/>
            <w:vAlign w:val="bottom"/>
          </w:tcPr>
          <w:p>
            <w:pPr>
              <w:spacing w:after="0"/>
              <w:rPr>
                <w:sz w:val="20"/>
                <w:szCs w:val="20"/>
                <w:color w:val="auto"/>
              </w:rPr>
            </w:pPr>
            <w:r>
              <w:rPr>
                <w:rFonts w:ascii="Arial" w:cs="Arial" w:eastAsia="Arial" w:hAnsi="Arial"/>
                <w:sz w:val="14"/>
                <w:szCs w:val="14"/>
                <w:color w:val="FFFFFF"/>
              </w:rPr>
              <w:t>Directors waived any emoluments during the years.</w:t>
            </w:r>
          </w:p>
        </w:tc>
        <w:tc>
          <w:tcPr>
            <w:tcW w:w="0" w:type="dxa"/>
            <w:vAlign w:val="bottom"/>
          </w:tcPr>
          <w:p>
            <w:pPr>
              <w:spacing w:after="0"/>
              <w:rPr>
                <w:sz w:val="1"/>
                <w:szCs w:val="1"/>
                <w:color w:val="auto"/>
              </w:rPr>
            </w:pPr>
          </w:p>
        </w:tc>
      </w:tr>
    </w:tbl>
    <w:p>
      <w:pPr>
        <w:sectPr>
          <w:pgSz w:w="11900" w:h="16838" w:orient="portrait"/>
          <w:cols w:equalWidth="0" w:num="1">
            <w:col w:w="11320"/>
          </w:cols>
          <w:pgMar w:left="240" w:top="1440" w:right="339"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FinancialAnnualReportStatements2012 143</w:t>
      </w:r>
    </w:p>
    <w:p>
      <w:pPr>
        <w:spacing w:after="0"/>
        <w:rPr>
          <w:sz w:val="20"/>
          <w:szCs w:val="20"/>
          <w:color w:val="auto"/>
        </w:rPr>
      </w:pPr>
      <w:r>
        <w:rPr>
          <w:rFonts w:ascii="Arial" w:cs="Arial" w:eastAsia="Arial" w:hAnsi="Arial"/>
          <w:sz w:val="3"/>
          <w:szCs w:val="3"/>
          <w:color w:val="FFFFFF"/>
        </w:rPr>
        <w:t>Notes to Financial Statements</w:t>
      </w:r>
    </w:p>
    <w:p>
      <w:pPr>
        <w:spacing w:after="0" w:line="190" w:lineRule="auto"/>
        <w:rPr>
          <w:sz w:val="20"/>
          <w:szCs w:val="20"/>
          <w:color w:val="auto"/>
        </w:rPr>
      </w:pPr>
      <w:r>
        <w:rPr>
          <w:rFonts w:ascii="Arial" w:cs="Arial" w:eastAsia="Arial" w:hAnsi="Arial"/>
          <w:sz w:val="11"/>
          <w:szCs w:val="11"/>
          <w:color w:val="FFFFFF"/>
        </w:rPr>
        <w:t>For the year ended 31 December 2012</w:t>
      </w:r>
    </w:p>
    <w:p>
      <w:pPr>
        <w:spacing w:after="0"/>
        <w:rPr>
          <w:sz w:val="20"/>
          <w:szCs w:val="20"/>
          <w:color w:val="auto"/>
        </w:rPr>
      </w:pPr>
      <w:r>
        <w:rPr>
          <w:rFonts w:ascii="Arial" w:cs="Arial" w:eastAsia="Arial" w:hAnsi="Arial"/>
          <w:sz w:val="3"/>
          <w:szCs w:val="3"/>
          <w:color w:val="FFFFFF"/>
        </w:rPr>
        <w:t>Operating27.COMMITMENTSleasecommitmentsAND— GroupCONTINGENCIESaslessee</w:t>
      </w:r>
    </w:p>
    <w:p>
      <w:pPr>
        <w:spacing w:after="0" w:line="6" w:lineRule="exact"/>
        <w:rPr>
          <w:sz w:val="20"/>
          <w:szCs w:val="20"/>
          <w:color w:val="auto"/>
        </w:rPr>
      </w:pPr>
    </w:p>
    <w:p>
      <w:pPr>
        <w:spacing w:after="0"/>
        <w:rPr>
          <w:sz w:val="20"/>
          <w:szCs w:val="20"/>
          <w:color w:val="auto"/>
        </w:rPr>
      </w:pPr>
      <w:r>
        <w:rPr>
          <w:rFonts w:ascii="Arial" w:cs="Arial" w:eastAsia="Arial" w:hAnsi="Arial"/>
          <w:sz w:val="9"/>
          <w:szCs w:val="9"/>
          <w:color w:val="FFFFFF"/>
        </w:rPr>
        <w:t>The Group has entered into leases for administrative of? ces in Macau, warehouse facilities, apartment units for executives and staff, dormitories for imported labor, and for certain of? ce equipment. These leases typically contain renewal or continuation clauses.</w:t>
      </w:r>
    </w:p>
    <w:p>
      <w:pPr>
        <w:spacing w:after="0" w:line="203" w:lineRule="auto"/>
        <w:rPr>
          <w:sz w:val="20"/>
          <w:szCs w:val="20"/>
          <w:color w:val="auto"/>
        </w:rPr>
      </w:pPr>
      <w:r>
        <w:rPr>
          <w:rFonts w:ascii="Arial" w:cs="Arial" w:eastAsia="Arial" w:hAnsi="Arial"/>
          <w:sz w:val="6"/>
          <w:szCs w:val="6"/>
          <w:color w:val="FFFFFF"/>
        </w:rPr>
        <w:t>AtIn addition31Decembertothe2012leasesanddescribed2011,outstandingabove,the commitmentsGrouppaysrentsfor forfuturethe minimumuseofthe leaseland onpaymentswhich Wynnunder Macaunon-cancellableandWynnoperatingCotaiwasleasesconstructedareasfollows:andwill be constructed, respectively.</w:t>
      </w:r>
    </w:p>
    <w:p>
      <w:pPr>
        <w:spacing w:after="0" w:line="188" w:lineRule="auto"/>
        <w:rPr>
          <w:sz w:val="20"/>
          <w:szCs w:val="20"/>
          <w:color w:val="auto"/>
        </w:rPr>
      </w:pPr>
      <w:r>
        <w:rPr>
          <w:rFonts w:ascii="Arial" w:cs="Arial" w:eastAsia="Arial" w:hAnsi="Arial"/>
          <w:sz w:val="9"/>
          <w:szCs w:val="9"/>
          <w:color w:val="FFFFFF"/>
        </w:rPr>
        <w:t>Group</w:t>
      </w:r>
    </w:p>
    <w:p>
      <w:pPr>
        <w:spacing w:after="0" w:line="188" w:lineRule="auto"/>
        <w:rPr>
          <w:sz w:val="20"/>
          <w:szCs w:val="20"/>
          <w:color w:val="auto"/>
        </w:rPr>
      </w:pPr>
      <w:r>
        <w:rPr>
          <w:rFonts w:ascii="Arial" w:cs="Arial" w:eastAsia="Arial" w:hAnsi="Arial"/>
          <w:sz w:val="9"/>
          <w:szCs w:val="9"/>
          <w:color w:val="FFFFFF"/>
        </w:rPr>
        <w:t>2012Asat 201131December</w:t>
      </w:r>
    </w:p>
    <w:p>
      <w:pPr>
        <w:spacing w:after="0"/>
        <w:rPr>
          <w:sz w:val="20"/>
          <w:szCs w:val="20"/>
          <w:color w:val="auto"/>
        </w:rPr>
      </w:pPr>
      <w:r>
        <w:rPr>
          <w:rFonts w:ascii="Arial" w:cs="Arial" w:eastAsia="Arial" w:hAnsi="Arial"/>
          <w:sz w:val="3"/>
          <w:szCs w:val="3"/>
          <w:color w:val="FFFFFF"/>
        </w:rPr>
        <w:t>(inHKthousands)$HK$</w:t>
      </w:r>
    </w:p>
    <w:p>
      <w:pPr>
        <w:spacing w:after="0" w:line="181" w:lineRule="auto"/>
        <w:rPr>
          <w:sz w:val="20"/>
          <w:szCs w:val="20"/>
          <w:color w:val="auto"/>
        </w:rPr>
      </w:pPr>
      <w:r>
        <w:rPr>
          <w:rFonts w:ascii="Arial" w:cs="Arial" w:eastAsia="Arial" w:hAnsi="Arial"/>
          <w:sz w:val="10"/>
          <w:szCs w:val="10"/>
          <w:color w:val="FFFFFF"/>
        </w:rPr>
        <w:t>Within one year 26,329 21,712</w:t>
      </w:r>
    </w:p>
    <w:p>
      <w:pPr>
        <w:spacing w:after="0"/>
        <w:rPr>
          <w:sz w:val="20"/>
          <w:szCs w:val="20"/>
          <w:color w:val="auto"/>
        </w:rPr>
      </w:pPr>
      <w:r>
        <w:rPr>
          <w:rFonts w:ascii="Arial" w:cs="Arial" w:eastAsia="Arial" w:hAnsi="Arial"/>
          <w:sz w:val="3"/>
          <w:szCs w:val="3"/>
          <w:color w:val="FFFFFF"/>
        </w:rPr>
        <w:t>MoreAfter onethanyear?ve yearsbutnot221,119morethan233,519?veyears 85,914 52,092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333,362 307,323</w:t>
      </w:r>
    </w:p>
    <w:p>
      <w:pPr>
        <w:sectPr>
          <w:pgSz w:w="11900" w:h="16838" w:orient="portrait"/>
          <w:cols w:equalWidth="0" w:num="1">
            <w:col w:w="11400"/>
          </w:cols>
          <w:pgMar w:left="240" w:top="1440" w:right="259"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20" w:type="dxa"/>
            <w:vAlign w:val="bottom"/>
            <w:gridSpan w:val="3"/>
          </w:tcPr>
          <w:p>
            <w:pPr>
              <w:spacing w:after="0"/>
              <w:rPr>
                <w:sz w:val="20"/>
                <w:szCs w:val="20"/>
                <w:color w:val="auto"/>
              </w:rPr>
            </w:pPr>
            <w:r>
              <w:rPr>
                <w:rFonts w:ascii="Arial" w:cs="Arial" w:eastAsia="Arial" w:hAnsi="Arial"/>
                <w:sz w:val="14"/>
                <w:szCs w:val="14"/>
                <w:color w:val="FFFFFF"/>
              </w:rPr>
              <w:t>144 Wynn Macau, Limited</w:t>
            </w: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Financial Statements</w:t>
            </w: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For the year ended 31 December 2012</w:t>
            </w:r>
          </w:p>
        </w:tc>
      </w:tr>
      <w:tr>
        <w:trPr>
          <w:trHeight w:val="41"/>
        </w:trPr>
        <w:tc>
          <w:tcPr>
            <w:tcW w:w="260" w:type="dxa"/>
            <w:vAlign w:val="bottom"/>
          </w:tcPr>
          <w:p>
            <w:pPr>
              <w:spacing w:after="0"/>
              <w:rPr>
                <w:sz w:val="20"/>
                <w:szCs w:val="20"/>
                <w:color w:val="auto"/>
              </w:rPr>
            </w:pPr>
            <w:r>
              <w:rPr>
                <w:rFonts w:ascii="Arial" w:cs="Arial" w:eastAsia="Arial" w:hAnsi="Arial"/>
                <w:sz w:val="3"/>
                <w:szCs w:val="3"/>
                <w:color w:val="FFFFFF"/>
              </w:rPr>
              <w:t>27.</w:t>
            </w:r>
          </w:p>
        </w:tc>
        <w:tc>
          <w:tcPr>
            <w:tcW w:w="11060" w:type="dxa"/>
            <w:vAlign w:val="bottom"/>
            <w:gridSpan w:val="2"/>
          </w:tcPr>
          <w:p>
            <w:pPr>
              <w:ind w:left="200"/>
              <w:spacing w:after="0"/>
              <w:rPr>
                <w:sz w:val="20"/>
                <w:szCs w:val="20"/>
                <w:color w:val="auto"/>
              </w:rPr>
            </w:pPr>
            <w:r>
              <w:rPr>
                <w:rFonts w:ascii="Arial" w:cs="Arial" w:eastAsia="Arial" w:hAnsi="Arial"/>
                <w:sz w:val="3"/>
                <w:szCs w:val="3"/>
                <w:color w:val="FFFFFF"/>
              </w:rPr>
              <w:t>COMMITMENTS AND CONTINGENCIES (CONTINUED)</w:t>
            </w:r>
          </w:p>
        </w:tc>
      </w:tr>
      <w:tr>
        <w:trPr>
          <w:trHeight w:val="54"/>
        </w:trPr>
        <w:tc>
          <w:tcPr>
            <w:tcW w:w="11320" w:type="dxa"/>
            <w:vAlign w:val="bottom"/>
            <w:gridSpan w:val="3"/>
          </w:tcPr>
          <w:p>
            <w:pPr>
              <w:spacing w:after="0" w:line="54" w:lineRule="exact"/>
              <w:rPr>
                <w:sz w:val="20"/>
                <w:szCs w:val="20"/>
                <w:color w:val="auto"/>
              </w:rPr>
            </w:pPr>
            <w:r>
              <w:rPr>
                <w:rFonts w:ascii="Arial" w:cs="Arial" w:eastAsia="Arial" w:hAnsi="Arial"/>
                <w:sz w:val="6"/>
                <w:szCs w:val="6"/>
                <w:color w:val="FFFFFF"/>
              </w:rPr>
              <w:t>Operating lease commitments — Group as lessor</w:t>
            </w: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The Group has entered into leases for space at Wynn Macau’s retail promenade with several high-end retailers. These non-cancelable leases typically contain provisions for minimum rentals plus additional rent</w:t>
            </w: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based upon the net sales of the retailers. The Group recorded contingent rental income under operating leases of approximately HK$674.9 million for the year ended 31 December 2012 (2011: HK$525.8</w:t>
            </w: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million).</w:t>
            </w:r>
          </w:p>
        </w:tc>
        <w:tc>
          <w:tcPr>
            <w:tcW w:w="10520" w:type="dxa"/>
            <w:vAlign w:val="bottom"/>
          </w:tcPr>
          <w:p>
            <w:pPr>
              <w:spacing w:after="0"/>
              <w:rPr>
                <w:sz w:val="3"/>
                <w:szCs w:val="3"/>
                <w:color w:val="auto"/>
              </w:rPr>
            </w:pP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Future minimum rents to be received at 31 December 2012 and 2011 are as follows:</w:t>
            </w: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Group</w:t>
            </w:r>
          </w:p>
        </w:tc>
        <w:tc>
          <w:tcPr>
            <w:tcW w:w="10520" w:type="dxa"/>
            <w:vAlign w:val="bottom"/>
          </w:tcPr>
          <w:p>
            <w:pPr>
              <w:spacing w:after="0"/>
              <w:rPr>
                <w:sz w:val="3"/>
                <w:szCs w:val="3"/>
                <w:color w:val="auto"/>
              </w:rPr>
            </w:pP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As at 31 December</w:t>
            </w: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2012 2011</w:t>
            </w:r>
          </w:p>
        </w:tc>
        <w:tc>
          <w:tcPr>
            <w:tcW w:w="10520" w:type="dxa"/>
            <w:vAlign w:val="bottom"/>
          </w:tcPr>
          <w:p>
            <w:pPr>
              <w:spacing w:after="0"/>
              <w:rPr>
                <w:sz w:val="3"/>
                <w:szCs w:val="3"/>
                <w:color w:val="auto"/>
              </w:rPr>
            </w:pP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HK$ HK$</w:t>
            </w:r>
          </w:p>
        </w:tc>
        <w:tc>
          <w:tcPr>
            <w:tcW w:w="10520" w:type="dxa"/>
            <w:vAlign w:val="bottom"/>
          </w:tcPr>
          <w:p>
            <w:pPr>
              <w:spacing w:after="0"/>
              <w:rPr>
                <w:sz w:val="3"/>
                <w:szCs w:val="3"/>
                <w:color w:val="auto"/>
              </w:rPr>
            </w:pPr>
          </w:p>
        </w:tc>
      </w:tr>
      <w:tr>
        <w:trPr>
          <w:trHeight w:val="41"/>
        </w:trPr>
        <w:tc>
          <w:tcPr>
            <w:tcW w:w="800" w:type="dxa"/>
            <w:vAlign w:val="bottom"/>
            <w:gridSpan w:val="2"/>
          </w:tcPr>
          <w:p>
            <w:pPr>
              <w:spacing w:after="0"/>
              <w:rPr>
                <w:sz w:val="20"/>
                <w:szCs w:val="20"/>
                <w:color w:val="auto"/>
              </w:rPr>
            </w:pPr>
            <w:r>
              <w:rPr>
                <w:rFonts w:ascii="Arial" w:cs="Arial" w:eastAsia="Arial" w:hAnsi="Arial"/>
                <w:sz w:val="3"/>
                <w:szCs w:val="3"/>
                <w:color w:val="FFFFFF"/>
              </w:rPr>
              <w:t>(in thousands)</w:t>
            </w:r>
          </w:p>
        </w:tc>
        <w:tc>
          <w:tcPr>
            <w:tcW w:w="10520" w:type="dxa"/>
            <w:vAlign w:val="bottom"/>
          </w:tcPr>
          <w:p>
            <w:pPr>
              <w:spacing w:after="0"/>
              <w:rPr>
                <w:sz w:val="3"/>
                <w:szCs w:val="3"/>
                <w:color w:val="auto"/>
              </w:rPr>
            </w:pPr>
          </w:p>
        </w:tc>
      </w:tr>
      <w:tr>
        <w:trPr>
          <w:trHeight w:val="41"/>
        </w:trPr>
        <w:tc>
          <w:tcPr>
            <w:tcW w:w="11320" w:type="dxa"/>
            <w:vAlign w:val="bottom"/>
            <w:gridSpan w:val="3"/>
          </w:tcPr>
          <w:p>
            <w:pPr>
              <w:spacing w:after="0"/>
              <w:rPr>
                <w:sz w:val="20"/>
                <w:szCs w:val="20"/>
                <w:color w:val="auto"/>
              </w:rPr>
            </w:pPr>
            <w:r>
              <w:rPr>
                <w:rFonts w:ascii="Arial" w:cs="Arial" w:eastAsia="Arial" w:hAnsi="Arial"/>
                <w:sz w:val="3"/>
                <w:szCs w:val="3"/>
                <w:color w:val="FFFFFF"/>
              </w:rPr>
              <w:t>Within one year 239,820 137,215</w:t>
            </w:r>
          </w:p>
        </w:tc>
      </w:tr>
      <w:tr>
        <w:trPr>
          <w:trHeight w:val="0"/>
        </w:trPr>
        <w:tc>
          <w:tcPr>
            <w:tcW w:w="260" w:type="dxa"/>
            <w:vAlign w:val="bottom"/>
          </w:tcPr>
          <w:p>
            <w:pPr>
              <w:spacing w:after="0" w:line="20" w:lineRule="exact"/>
              <w:rPr>
                <w:sz w:val="1"/>
                <w:szCs w:val="1"/>
                <w:color w:val="auto"/>
              </w:rPr>
            </w:pPr>
          </w:p>
        </w:tc>
        <w:tc>
          <w:tcPr>
            <w:tcW w:w="540" w:type="dxa"/>
            <w:vAlign w:val="bottom"/>
          </w:tcPr>
          <w:p>
            <w:pPr>
              <w:ind w:left="60"/>
              <w:spacing w:after="0" w:line="80" w:lineRule="exact"/>
              <w:rPr>
                <w:sz w:val="20"/>
                <w:szCs w:val="20"/>
                <w:color w:val="auto"/>
              </w:rPr>
            </w:pPr>
            <w:r>
              <w:rPr>
                <w:rFonts w:ascii="Arial" w:cs="Arial" w:eastAsia="Arial" w:hAnsi="Arial"/>
                <w:sz w:val="9"/>
                <w:szCs w:val="9"/>
                <w:color w:val="FFFFFF"/>
              </w:rPr>
              <w:t>one</w:t>
            </w:r>
          </w:p>
        </w:tc>
        <w:tc>
          <w:tcPr>
            <w:tcW w:w="10520" w:type="dxa"/>
            <w:vAlign w:val="bottom"/>
          </w:tcPr>
          <w:p>
            <w:pPr>
              <w:ind w:left="20"/>
              <w:spacing w:after="0" w:line="80" w:lineRule="exact"/>
              <w:rPr>
                <w:sz w:val="20"/>
                <w:szCs w:val="20"/>
                <w:color w:val="auto"/>
              </w:rPr>
            </w:pPr>
            <w:r>
              <w:rPr>
                <w:rFonts w:ascii="Arial" w:cs="Arial" w:eastAsia="Arial" w:hAnsi="Arial"/>
                <w:sz w:val="9"/>
                <w:szCs w:val="9"/>
                <w:color w:val="FFFFFF"/>
              </w:rPr>
              <w:t>but not more than ?ve years 873,435 315,952</w:t>
            </w:r>
          </w:p>
        </w:tc>
      </w:tr>
    </w:tbl>
    <w:p>
      <w:pPr>
        <w:spacing w:after="0" w:line="25" w:lineRule="auto"/>
        <w:tabs>
          <w:tab w:leader="none" w:pos="520" w:val="left"/>
        </w:tabs>
        <w:rPr>
          <w:sz w:val="20"/>
          <w:szCs w:val="20"/>
          <w:color w:val="auto"/>
        </w:rPr>
      </w:pPr>
      <w:r>
        <w:rPr>
          <w:rFonts w:ascii="Arial" w:cs="Arial" w:eastAsia="Arial" w:hAnsi="Arial"/>
          <w:sz w:val="1"/>
          <w:szCs w:val="1"/>
          <w:color w:val="FFFFFF"/>
        </w:rPr>
        <w:t>After</w:t>
      </w:r>
      <w:r>
        <w:rPr>
          <w:sz w:val="20"/>
          <w:szCs w:val="20"/>
          <w:color w:val="auto"/>
        </w:rPr>
        <w:tab/>
      </w:r>
      <w:r>
        <w:rPr>
          <w:rFonts w:ascii="Arial" w:cs="Arial" w:eastAsia="Arial" w:hAnsi="Arial"/>
          <w:sz w:val="1"/>
          <w:szCs w:val="1"/>
          <w:color w:val="FFFFFF"/>
        </w:rPr>
        <w:t>years</w:t>
      </w:r>
    </w:p>
    <w:p>
      <w:pPr>
        <w:spacing w:after="0"/>
        <w:rPr>
          <w:sz w:val="20"/>
          <w:szCs w:val="20"/>
          <w:color w:val="auto"/>
        </w:rPr>
      </w:pPr>
      <w:r>
        <w:rPr>
          <w:rFonts w:ascii="Arial" w:cs="Arial" w:eastAsia="Arial" w:hAnsi="Arial"/>
          <w:sz w:val="3"/>
          <w:szCs w:val="3"/>
          <w:color w:val="FFFFFF"/>
        </w:rPr>
        <w:t>1,122,850?ve 472,8129,595 19,645</w:t>
      </w:r>
    </w:p>
    <w:p>
      <w:pPr>
        <w:spacing w:after="0" w:line="194" w:lineRule="auto"/>
        <w:rPr>
          <w:sz w:val="20"/>
          <w:szCs w:val="20"/>
          <w:color w:val="auto"/>
        </w:rPr>
      </w:pPr>
      <w:r>
        <w:rPr>
          <w:rFonts w:ascii="Arial" w:cs="Arial" w:eastAsia="Arial" w:hAnsi="Arial"/>
          <w:sz w:val="3"/>
          <w:szCs w:val="3"/>
          <w:color w:val="FFFFFF"/>
        </w:rPr>
        <w:t xml:space="preserve">The operating lease rentals of certain retailers are based on the higher </w:t>
      </w:r>
      <w:r>
        <w:rPr>
          <w:rFonts w:ascii="Arial" w:cs="Arial" w:eastAsia="Arial" w:hAnsi="Arial"/>
          <w:sz w:val="5"/>
          <w:szCs w:val="5"/>
          <w:color w:val="FFFFFF"/>
          <w:vertAlign w:val="subscript"/>
        </w:rPr>
        <w:t>reliably</w:t>
      </w:r>
      <w:r>
        <w:rPr>
          <w:rFonts w:ascii="Arial" w:cs="Arial" w:eastAsia="Arial" w:hAnsi="Arial"/>
          <w:sz w:val="3"/>
          <w:szCs w:val="3"/>
          <w:color w:val="FFFFFF"/>
        </w:rPr>
        <w:t>of?xed rental and contingent rent based on the sales of the retailers pursuant to the terms and conditions as set out in the respective rental</w:t>
      </w:r>
    </w:p>
    <w:p>
      <w:pPr>
        <w:spacing w:after="0"/>
        <w:tabs>
          <w:tab w:leader="none" w:pos="4180" w:val="left"/>
        </w:tabs>
        <w:rPr>
          <w:sz w:val="20"/>
          <w:szCs w:val="20"/>
          <w:color w:val="auto"/>
        </w:rPr>
      </w:pPr>
      <w:r>
        <w:rPr>
          <w:rFonts w:ascii="Arial" w:cs="Arial" w:eastAsia="Arial" w:hAnsi="Arial"/>
          <w:sz w:val="14"/>
          <w:szCs w:val="14"/>
          <w:color w:val="FFFFFF"/>
        </w:rPr>
        <w:t>agreements. As the future sales of these retailers can not be estimated</w:t>
      </w:r>
      <w:r>
        <w:rPr>
          <w:sz w:val="20"/>
          <w:szCs w:val="20"/>
          <w:color w:val="auto"/>
        </w:rPr>
        <w:tab/>
      </w:r>
      <w:r>
        <w:rPr>
          <w:rFonts w:ascii="Arial" w:cs="Arial" w:eastAsia="Arial" w:hAnsi="Arial"/>
          <w:sz w:val="12"/>
          <w:szCs w:val="12"/>
          <w:color w:val="FFFFFF"/>
        </w:rPr>
        <w:t>, only the minimum lease commitments, and not the contingent rents, have been included in the above table.</w:t>
      </w:r>
    </w:p>
    <w:p>
      <w:pPr>
        <w:sectPr>
          <w:pgSz w:w="11900" w:h="16838" w:orient="portrait"/>
          <w:cols w:equalWidth="0" w:num="1">
            <w:col w:w="11360"/>
          </w:cols>
          <w:pgMar w:left="240" w:top="1440" w:right="29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FFFFFF"/>
        </w:rPr>
        <w:t>AnnualFinancialReportStatements2012 145</w:t>
      </w:r>
    </w:p>
    <w:p>
      <w:pPr>
        <w:spacing w:after="0"/>
        <w:rPr>
          <w:sz w:val="20"/>
          <w:szCs w:val="20"/>
          <w:color w:val="auto"/>
        </w:rPr>
      </w:pPr>
      <w:r>
        <w:rPr>
          <w:rFonts w:ascii="Arial" w:cs="Arial" w:eastAsia="Arial" w:hAnsi="Arial"/>
          <w:sz w:val="3"/>
          <w:szCs w:val="3"/>
          <w:color w:val="FFFFFF"/>
        </w:rPr>
        <w:t>Notes to Financial Statements</w:t>
      </w:r>
    </w:p>
    <w:p>
      <w:pPr>
        <w:spacing w:after="0" w:line="190" w:lineRule="auto"/>
        <w:rPr>
          <w:sz w:val="20"/>
          <w:szCs w:val="20"/>
          <w:color w:val="auto"/>
        </w:rPr>
      </w:pPr>
      <w:r>
        <w:rPr>
          <w:rFonts w:ascii="Arial" w:cs="Arial" w:eastAsia="Arial" w:hAnsi="Arial"/>
          <w:sz w:val="11"/>
          <w:szCs w:val="11"/>
          <w:color w:val="FFFFFF"/>
        </w:rPr>
        <w:t>27.For the yearCOMMITMENTSended31DecemberAND 2012CONTINGENCIES (CONTINUED)</w:t>
      </w:r>
    </w:p>
    <w:p>
      <w:pPr>
        <w:spacing w:after="0"/>
        <w:rPr>
          <w:sz w:val="20"/>
          <w:szCs w:val="20"/>
          <w:color w:val="auto"/>
        </w:rPr>
      </w:pPr>
      <w:r>
        <w:rPr>
          <w:rFonts w:ascii="Arial" w:cs="Arial" w:eastAsia="Arial" w:hAnsi="Arial"/>
          <w:sz w:val="8"/>
          <w:szCs w:val="8"/>
          <w:color w:val="FFFFFF"/>
        </w:rPr>
        <w:t>AsCapitalat31commitmentsDecember2012 and 2011, the Group had the following capital commitments under construction contracts, construction-related consulting and other agreements and purchase orders which have not been provided for in the Group’s statement of fi nancial position:</w:t>
      </w:r>
    </w:p>
    <w:p>
      <w:pPr>
        <w:spacing w:after="0" w:line="182" w:lineRule="auto"/>
        <w:rPr>
          <w:sz w:val="20"/>
          <w:szCs w:val="20"/>
          <w:color w:val="auto"/>
        </w:rPr>
      </w:pPr>
      <w:r>
        <w:rPr>
          <w:rFonts w:ascii="Arial" w:cs="Arial" w:eastAsia="Arial" w:hAnsi="Arial"/>
          <w:sz w:val="8"/>
          <w:szCs w:val="8"/>
          <w:color w:val="FFFFFF"/>
        </w:rPr>
        <w:t>Group</w:t>
      </w:r>
    </w:p>
    <w:p>
      <w:pPr>
        <w:spacing w:after="0" w:line="188" w:lineRule="auto"/>
        <w:rPr>
          <w:sz w:val="20"/>
          <w:szCs w:val="20"/>
          <w:color w:val="auto"/>
        </w:rPr>
      </w:pPr>
      <w:r>
        <w:rPr>
          <w:rFonts w:ascii="Arial" w:cs="Arial" w:eastAsia="Arial" w:hAnsi="Arial"/>
          <w:sz w:val="9"/>
          <w:szCs w:val="9"/>
          <w:color w:val="FFFFFF"/>
        </w:rPr>
        <w:t>2012Asat 201131December</w:t>
      </w:r>
    </w:p>
    <w:p>
      <w:pPr>
        <w:spacing w:after="0" w:line="188" w:lineRule="auto"/>
        <w:rPr>
          <w:sz w:val="20"/>
          <w:szCs w:val="20"/>
          <w:color w:val="auto"/>
        </w:rPr>
      </w:pPr>
      <w:r>
        <w:rPr>
          <w:rFonts w:ascii="Arial" w:cs="Arial" w:eastAsia="Arial" w:hAnsi="Arial"/>
          <w:sz w:val="9"/>
          <w:szCs w:val="9"/>
          <w:color w:val="FFFFFF"/>
        </w:rPr>
        <w:t>(inHKthousands)$HK$</w:t>
      </w:r>
    </w:p>
    <w:p>
      <w:pPr>
        <w:spacing w:after="0"/>
        <w:rPr>
          <w:sz w:val="20"/>
          <w:szCs w:val="20"/>
          <w:color w:val="auto"/>
        </w:rPr>
      </w:pPr>
      <w:r>
        <w:rPr>
          <w:rFonts w:ascii="Arial" w:cs="Arial" w:eastAsia="Arial" w:hAnsi="Arial"/>
          <w:sz w:val="3"/>
          <w:szCs w:val="3"/>
          <w:color w:val="FFFFFF"/>
        </w:rPr>
        <w:t>Contracted, but not provided for 645,563 181,996</w:t>
      </w:r>
    </w:p>
    <w:p>
      <w:pPr>
        <w:spacing w:after="0" w:line="181" w:lineRule="auto"/>
        <w:rPr>
          <w:sz w:val="20"/>
          <w:szCs w:val="20"/>
          <w:color w:val="auto"/>
        </w:rPr>
      </w:pPr>
      <w:r>
        <w:rPr>
          <w:rFonts w:ascii="Arial" w:cs="Arial" w:eastAsia="Arial" w:hAnsi="Arial"/>
          <w:sz w:val="10"/>
          <w:szCs w:val="10"/>
          <w:color w:val="FFFFFF"/>
        </w:rPr>
        <w:t>26,453,426Authorized, 318,125butnot contracted for 25,807,863 136,129</w:t>
      </w:r>
    </w:p>
    <w:p>
      <w:pPr>
        <w:ind w:left="10520"/>
        <w:spacing w:after="0"/>
        <w:rPr>
          <w:sz w:val="20"/>
          <w:szCs w:val="20"/>
          <w:color w:val="auto"/>
        </w:rPr>
      </w:pPr>
      <w:r>
        <w:rPr>
          <w:rFonts w:ascii="Arial" w:cs="Arial" w:eastAsia="Arial" w:hAnsi="Arial"/>
          <w:sz w:val="1"/>
          <w:szCs w:val="1"/>
          <w:color w:val="FFFFFF"/>
        </w:rPr>
        <w:t>PursuantGamingpremiumtothe commitmentAgreement signed with the Macau Government, the Group has committ d to paying an annual premium of MOP30.0 million (approximately HK$29.1 million) plus a variable</w:t>
      </w:r>
    </w:p>
    <w:p>
      <w:pPr>
        <w:spacing w:after="0"/>
        <w:rPr>
          <w:sz w:val="20"/>
          <w:szCs w:val="20"/>
          <w:color w:val="auto"/>
        </w:rPr>
      </w:pPr>
      <w:r>
        <w:rPr>
          <w:rFonts w:ascii="Arial" w:cs="Arial" w:eastAsia="Arial" w:hAnsi="Arial"/>
          <w:sz w:val="14"/>
          <w:szCs w:val="14"/>
          <w:color w:val="FFFFFF"/>
        </w:rPr>
        <w:t>premium calculatedConcessionthe basis of the number of gaming tables and gaming devices operated by the Group.</w:t>
      </w:r>
    </w:p>
    <w:p>
      <w:pPr>
        <w:sectPr>
          <w:pgSz w:w="11900" w:h="16838" w:orient="portrait"/>
          <w:cols w:equalWidth="0" w:num="1">
            <w:col w:w="11400"/>
          </w:cols>
          <w:pgMar w:left="240" w:top="1440" w:right="25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3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380" w:type="dxa"/>
            <w:vAlign w:val="bottom"/>
            <w:gridSpan w:val="3"/>
          </w:tcPr>
          <w:p>
            <w:pPr>
              <w:spacing w:after="0"/>
              <w:rPr>
                <w:sz w:val="20"/>
                <w:szCs w:val="20"/>
                <w:color w:val="auto"/>
              </w:rPr>
            </w:pPr>
            <w:r>
              <w:rPr>
                <w:rFonts w:ascii="Arial" w:cs="Arial" w:eastAsia="Arial" w:hAnsi="Arial"/>
                <w:sz w:val="14"/>
                <w:szCs w:val="14"/>
                <w:color w:val="FFFFFF"/>
              </w:rPr>
              <w:t>146 Wynn Macau, Limited</w:t>
            </w: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10180" w:type="dxa"/>
            <w:vAlign w:val="bottom"/>
          </w:tcPr>
          <w:p>
            <w:pPr>
              <w:spacing w:after="0"/>
              <w:rPr>
                <w:sz w:val="3"/>
                <w:szCs w:val="3"/>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For the year ended 31 December 2012</w:t>
            </w: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27.</w:t>
            </w:r>
          </w:p>
        </w:tc>
        <w:tc>
          <w:tcPr>
            <w:tcW w:w="10980" w:type="dxa"/>
            <w:vAlign w:val="bottom"/>
            <w:gridSpan w:val="2"/>
          </w:tcPr>
          <w:p>
            <w:pPr>
              <w:ind w:left="60"/>
              <w:spacing w:after="0"/>
              <w:rPr>
                <w:sz w:val="20"/>
                <w:szCs w:val="20"/>
                <w:color w:val="auto"/>
              </w:rPr>
            </w:pPr>
            <w:r>
              <w:rPr>
                <w:rFonts w:ascii="Arial" w:cs="Arial" w:eastAsia="Arial" w:hAnsi="Arial"/>
                <w:sz w:val="3"/>
                <w:szCs w:val="3"/>
                <w:color w:val="FFFFFF"/>
              </w:rPr>
              <w:t>COMMITMENTS AND CONTINGENCIES (CONTINUED)</w:t>
            </w:r>
          </w:p>
        </w:tc>
      </w:tr>
      <w:tr>
        <w:trPr>
          <w:trHeight w:val="54"/>
        </w:trPr>
        <w:tc>
          <w:tcPr>
            <w:tcW w:w="11380" w:type="dxa"/>
            <w:vAlign w:val="bottom"/>
            <w:gridSpan w:val="3"/>
          </w:tcPr>
          <w:p>
            <w:pPr>
              <w:spacing w:after="0" w:line="54" w:lineRule="exact"/>
              <w:rPr>
                <w:sz w:val="20"/>
                <w:szCs w:val="20"/>
                <w:color w:val="auto"/>
              </w:rPr>
            </w:pPr>
            <w:r>
              <w:rPr>
                <w:rFonts w:ascii="Arial" w:cs="Arial" w:eastAsia="Arial" w:hAnsi="Arial"/>
                <w:sz w:val="6"/>
                <w:szCs w:val="6"/>
                <w:color w:val="FFFFFF"/>
              </w:rPr>
              <w:t>Other services commitments</w:t>
            </w: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The Group has</w:t>
            </w:r>
          </w:p>
        </w:tc>
        <w:tc>
          <w:tcPr>
            <w:tcW w:w="10180" w:type="dxa"/>
            <w:vAlign w:val="bottom"/>
          </w:tcPr>
          <w:p>
            <w:pPr>
              <w:ind w:left="60"/>
              <w:spacing w:after="0"/>
              <w:rPr>
                <w:sz w:val="20"/>
                <w:szCs w:val="20"/>
                <w:color w:val="auto"/>
              </w:rPr>
            </w:pPr>
            <w:r>
              <w:rPr>
                <w:rFonts w:ascii="Arial" w:cs="Arial" w:eastAsia="Arial" w:hAnsi="Arial"/>
                <w:sz w:val="3"/>
                <w:szCs w:val="3"/>
                <w:color w:val="FFFFFF"/>
              </w:rPr>
              <w:t>agreements for signage in several cities in China, Macau and Hong Kong. Furthermore, the Group is obligated under several agreements for shuttle-bus services running from the People’s</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Republic of China’serviceborder to Wynn Macau and within Macau and under various agreements for maintenance, printing and other services. Under these agreements, the Group is obligated for the following future</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payments as at 31 December 2012 and 2011:</w:t>
            </w: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Group</w:t>
            </w:r>
          </w:p>
        </w:tc>
        <w:tc>
          <w:tcPr>
            <w:tcW w:w="800" w:type="dxa"/>
            <w:vAlign w:val="bottom"/>
          </w:tcPr>
          <w:p>
            <w:pPr>
              <w:spacing w:after="0"/>
              <w:rPr>
                <w:sz w:val="3"/>
                <w:szCs w:val="3"/>
                <w:color w:val="auto"/>
              </w:rPr>
            </w:pPr>
          </w:p>
        </w:tc>
        <w:tc>
          <w:tcPr>
            <w:tcW w:w="10180" w:type="dxa"/>
            <w:vAlign w:val="bottom"/>
          </w:tcPr>
          <w:p>
            <w:pPr>
              <w:spacing w:after="0"/>
              <w:rPr>
                <w:sz w:val="3"/>
                <w:szCs w:val="3"/>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As at 31 December</w:t>
            </w:r>
          </w:p>
        </w:tc>
        <w:tc>
          <w:tcPr>
            <w:tcW w:w="10180" w:type="dxa"/>
            <w:vAlign w:val="bottom"/>
          </w:tcPr>
          <w:p>
            <w:pPr>
              <w:spacing w:after="0"/>
              <w:rPr>
                <w:sz w:val="3"/>
                <w:szCs w:val="3"/>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2012 2011</w:t>
            </w:r>
          </w:p>
        </w:tc>
        <w:tc>
          <w:tcPr>
            <w:tcW w:w="10180" w:type="dxa"/>
            <w:vAlign w:val="bottom"/>
          </w:tcPr>
          <w:p>
            <w:pPr>
              <w:spacing w:after="0"/>
              <w:rPr>
                <w:sz w:val="3"/>
                <w:szCs w:val="3"/>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HK$ HK$</w:t>
            </w:r>
          </w:p>
        </w:tc>
        <w:tc>
          <w:tcPr>
            <w:tcW w:w="10180" w:type="dxa"/>
            <w:vAlign w:val="bottom"/>
          </w:tcPr>
          <w:p>
            <w:pPr>
              <w:spacing w:after="0"/>
              <w:rPr>
                <w:sz w:val="3"/>
                <w:szCs w:val="3"/>
                <w:color w:val="auto"/>
              </w:rPr>
            </w:pPr>
          </w:p>
        </w:tc>
      </w:tr>
      <w:tr>
        <w:trPr>
          <w:trHeight w:val="41"/>
        </w:trPr>
        <w:tc>
          <w:tcPr>
            <w:tcW w:w="1200" w:type="dxa"/>
            <w:vAlign w:val="bottom"/>
            <w:gridSpan w:val="2"/>
          </w:tcPr>
          <w:p>
            <w:pPr>
              <w:spacing w:after="0"/>
              <w:rPr>
                <w:sz w:val="20"/>
                <w:szCs w:val="20"/>
                <w:color w:val="auto"/>
              </w:rPr>
            </w:pPr>
            <w:r>
              <w:rPr>
                <w:rFonts w:ascii="Arial" w:cs="Arial" w:eastAsia="Arial" w:hAnsi="Arial"/>
                <w:sz w:val="3"/>
                <w:szCs w:val="3"/>
                <w:color w:val="FFFFFF"/>
              </w:rPr>
              <w:t>(in thousands)</w:t>
            </w:r>
          </w:p>
        </w:tc>
        <w:tc>
          <w:tcPr>
            <w:tcW w:w="10180" w:type="dxa"/>
            <w:vAlign w:val="bottom"/>
          </w:tcPr>
          <w:p>
            <w:pPr>
              <w:spacing w:after="0"/>
              <w:rPr>
                <w:sz w:val="3"/>
                <w:szCs w:val="3"/>
                <w:color w:val="auto"/>
              </w:rPr>
            </w:pP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Within one year 138,103 140,286</w:t>
            </w:r>
          </w:p>
        </w:tc>
      </w:tr>
      <w:tr>
        <w:trPr>
          <w:trHeight w:val="41"/>
        </w:trPr>
        <w:tc>
          <w:tcPr>
            <w:tcW w:w="11380" w:type="dxa"/>
            <w:vAlign w:val="bottom"/>
            <w:gridSpan w:val="3"/>
          </w:tcPr>
          <w:p>
            <w:pPr>
              <w:spacing w:after="0"/>
              <w:rPr>
                <w:sz w:val="20"/>
                <w:szCs w:val="20"/>
                <w:color w:val="auto"/>
              </w:rPr>
            </w:pPr>
            <w:r>
              <w:rPr>
                <w:rFonts w:ascii="Arial" w:cs="Arial" w:eastAsia="Arial" w:hAnsi="Arial"/>
                <w:sz w:val="3"/>
                <w:szCs w:val="3"/>
                <w:color w:val="FFFFFF"/>
              </w:rPr>
              <w:t>After one year but not more than ?ve years 211,093 29,485</w:t>
            </w:r>
          </w:p>
        </w:tc>
      </w:tr>
      <w:tr>
        <w:trPr>
          <w:trHeight w:val="0"/>
        </w:trPr>
        <w:tc>
          <w:tcPr>
            <w:tcW w:w="1200" w:type="dxa"/>
            <w:vAlign w:val="bottom"/>
            <w:gridSpan w:val="2"/>
          </w:tcPr>
          <w:p>
            <w:pPr>
              <w:spacing w:after="0"/>
              <w:rPr>
                <w:sz w:val="20"/>
                <w:szCs w:val="20"/>
                <w:color w:val="auto"/>
              </w:rPr>
            </w:pPr>
            <w:r>
              <w:rPr>
                <w:rFonts w:ascii="Arial" w:cs="Arial" w:eastAsia="Arial" w:hAnsi="Arial"/>
                <w:sz w:val="3"/>
                <w:szCs w:val="3"/>
                <w:color w:val="FFFFFF"/>
              </w:rPr>
              <w:t>349,196 169,771</w:t>
            </w:r>
          </w:p>
        </w:tc>
        <w:tc>
          <w:tcPr>
            <w:tcW w:w="10180" w:type="dxa"/>
            <w:vAlign w:val="bottom"/>
          </w:tcPr>
          <w:p>
            <w:pPr>
              <w:ind w:left="220"/>
              <w:spacing w:after="0"/>
              <w:rPr>
                <w:sz w:val="20"/>
                <w:szCs w:val="20"/>
                <w:color w:val="auto"/>
              </w:rPr>
            </w:pPr>
            <w:r>
              <w:rPr>
                <w:rFonts w:ascii="Arial" w:cs="Arial" w:eastAsia="Arial" w:hAnsi="Arial"/>
                <w:sz w:val="3"/>
                <w:szCs w:val="3"/>
                <w:color w:val="FFFFFF"/>
              </w:rPr>
              <w:t>the Group was committed to purchases for operating supplies totaling HK$79.5 million (2011: HK$96.2 million).</w:t>
            </w:r>
          </w:p>
        </w:tc>
      </w:tr>
    </w:tbl>
    <w:p>
      <w:pPr>
        <w:spacing w:after="0" w:line="190" w:lineRule="auto"/>
        <w:rPr>
          <w:sz w:val="20"/>
          <w:szCs w:val="20"/>
          <w:color w:val="auto"/>
        </w:rPr>
      </w:pPr>
      <w:r>
        <w:rPr>
          <w:rFonts w:ascii="Arial" w:cs="Arial" w:eastAsia="Arial" w:hAnsi="Arial"/>
          <w:sz w:val="7"/>
          <w:szCs w:val="7"/>
          <w:color w:val="FFFFFF"/>
        </w:rPr>
        <w:t>As at 31 December 2012, in addition</w:t>
      </w:r>
      <w:r>
        <w:rPr>
          <w:rFonts w:ascii="Arial" w:cs="Arial" w:eastAsia="Arial" w:hAnsi="Arial"/>
          <w:sz w:val="9"/>
          <w:szCs w:val="9"/>
          <w:color w:val="FFFFFF"/>
          <w:vertAlign w:val="superscript"/>
        </w:rPr>
        <w:t>extent</w:t>
      </w:r>
      <w:r>
        <w:rPr>
          <w:rFonts w:ascii="Arial" w:cs="Arial" w:eastAsia="Arial" w:hAnsi="Arial"/>
          <w:sz w:val="7"/>
          <w:szCs w:val="7"/>
          <w:color w:val="FFFFFF"/>
        </w:rPr>
        <w:t>o the MOP300 million (approximately HK$291.3 million) bank guarantee issued for the Concession Agreement as described in note 21 the banks granted guarantees to the</w:t>
      </w:r>
    </w:p>
    <w:p>
      <w:pPr>
        <w:spacing w:after="0"/>
        <w:tabs>
          <w:tab w:leader="none" w:pos="2080" w:val="left"/>
        </w:tabs>
        <w:rPr>
          <w:sz w:val="20"/>
          <w:szCs w:val="20"/>
          <w:color w:val="auto"/>
        </w:rPr>
      </w:pPr>
      <w:r>
        <w:rPr>
          <w:rFonts w:ascii="Arial" w:cs="Arial" w:eastAsia="Arial" w:hAnsi="Arial"/>
          <w:sz w:val="3"/>
          <w:szCs w:val="3"/>
          <w:color w:val="FFFFFF"/>
        </w:rPr>
        <w:t>EmploymentGroupforotheragreementspurposes to the</w:t>
      </w:r>
      <w:r>
        <w:rPr>
          <w:sz w:val="20"/>
          <w:szCs w:val="20"/>
          <w:color w:val="auto"/>
        </w:rPr>
        <w:tab/>
      </w:r>
      <w:r>
        <w:rPr>
          <w:rFonts w:ascii="Arial" w:cs="Arial" w:eastAsia="Arial" w:hAnsi="Arial"/>
          <w:sz w:val="3"/>
          <w:szCs w:val="3"/>
          <w:color w:val="FFFFFF"/>
        </w:rPr>
        <w:t>of approximately HK$24.7 million (2011: HK$22.7 million).</w:t>
      </w:r>
    </w:p>
    <w:p>
      <w:pPr>
        <w:spacing w:after="0" w:line="6" w:lineRule="exact"/>
        <w:rPr>
          <w:sz w:val="20"/>
          <w:szCs w:val="20"/>
          <w:color w:val="auto"/>
        </w:rPr>
      </w:pPr>
    </w:p>
    <w:p>
      <w:pPr>
        <w:ind w:right="320"/>
        <w:spacing w:after="0"/>
        <w:rPr>
          <w:sz w:val="20"/>
          <w:szCs w:val="20"/>
          <w:color w:val="auto"/>
        </w:rPr>
      </w:pPr>
      <w:r>
        <w:rPr>
          <w:rFonts w:ascii="Arial" w:cs="Arial" w:eastAsia="Arial" w:hAnsi="Arial"/>
          <w:sz w:val="3"/>
          <w:szCs w:val="3"/>
          <w:color w:val="FFFFFF"/>
        </w:rPr>
        <w:t xml:space="preserve">The Group has entered into employment agreements with several executive offi cers, other members of management and certain key employees. These agreements generally have two-to ten-year terms and </w:t>
      </w:r>
      <w:r>
        <w:rPr>
          <w:rFonts w:ascii="Arial" w:cs="Arial" w:eastAsia="Arial" w:hAnsi="Arial"/>
          <w:sz w:val="6"/>
          <w:szCs w:val="6"/>
          <w:color w:val="FFFFFF"/>
          <w:vertAlign w:val="subscript"/>
        </w:rPr>
        <w:t>termination</w:t>
      </w:r>
      <w:r>
        <w:rPr>
          <w:rFonts w:ascii="Arial" w:cs="Arial" w:eastAsia="Arial" w:hAnsi="Arial"/>
          <w:sz w:val="3"/>
          <w:szCs w:val="3"/>
          <w:color w:val="FFFFFF"/>
        </w:rPr>
        <w:t>ypicallyindicate a base salary and often contain provisions for discreti</w:t>
      </w:r>
      <w:r>
        <w:rPr>
          <w:rFonts w:ascii="Arial" w:cs="Arial" w:eastAsia="Arial" w:hAnsi="Arial"/>
          <w:sz w:val="6"/>
          <w:szCs w:val="6"/>
          <w:color w:val="FFFFFF"/>
          <w:vertAlign w:val="subscript"/>
        </w:rPr>
        <w:t>control”</w:t>
      </w:r>
      <w:r>
        <w:rPr>
          <w:rFonts w:ascii="Arial" w:cs="Arial" w:eastAsia="Arial" w:hAnsi="Arial"/>
          <w:sz w:val="3"/>
          <w:szCs w:val="3"/>
          <w:color w:val="FFFFFF"/>
        </w:rPr>
        <w:t>arybonuses. Certain of the executives are also entitled</w:t>
      </w:r>
      <w:r>
        <w:rPr>
          <w:rFonts w:ascii="Arial" w:cs="Arial" w:eastAsia="Arial" w:hAnsi="Arial"/>
          <w:sz w:val="6"/>
          <w:szCs w:val="6"/>
          <w:color w:val="FFFFFF"/>
          <w:vertAlign w:val="subscript"/>
        </w:rPr>
        <w:t>contracts)</w:t>
      </w:r>
      <w:r>
        <w:rPr>
          <w:rFonts w:ascii="Arial" w:cs="Arial" w:eastAsia="Arial" w:hAnsi="Arial"/>
          <w:sz w:val="3"/>
          <w:szCs w:val="3"/>
          <w:color w:val="FFFFFF"/>
        </w:rPr>
        <w:t>toseparation payment if terminated without “cause” or upon voluntary</w:t>
      </w:r>
    </w:p>
    <w:p>
      <w:pPr>
        <w:spacing w:after="0" w:line="11" w:lineRule="exact"/>
        <w:rPr>
          <w:sz w:val="20"/>
          <w:szCs w:val="20"/>
          <w:color w:val="auto"/>
        </w:rPr>
      </w:pPr>
    </w:p>
    <w:p>
      <w:pPr>
        <w:ind w:left="660"/>
        <w:spacing w:after="0"/>
        <w:tabs>
          <w:tab w:leader="none" w:pos="4260" w:val="left"/>
          <w:tab w:leader="none" w:pos="7340" w:val="left"/>
        </w:tabs>
        <w:rPr>
          <w:sz w:val="20"/>
          <w:szCs w:val="20"/>
          <w:color w:val="auto"/>
        </w:rPr>
      </w:pPr>
      <w:r>
        <w:rPr>
          <w:rFonts w:ascii="Arial" w:cs="Arial" w:eastAsia="Arial" w:hAnsi="Arial"/>
          <w:sz w:val="14"/>
          <w:szCs w:val="14"/>
          <w:color w:val="FFFFFF"/>
        </w:rPr>
        <w:t>of employment for “good reason” following a “change of</w:t>
      </w:r>
      <w:r>
        <w:rPr>
          <w:sz w:val="20"/>
          <w:szCs w:val="20"/>
          <w:color w:val="auto"/>
        </w:rPr>
        <w:tab/>
      </w:r>
      <w:r>
        <w:rPr>
          <w:rFonts w:ascii="Arial" w:cs="Arial" w:eastAsia="Arial" w:hAnsi="Arial"/>
          <w:sz w:val="14"/>
          <w:szCs w:val="14"/>
          <w:color w:val="FFFFFF"/>
        </w:rPr>
        <w:t>(as these terms are defi ned in the employment</w:t>
      </w:r>
      <w:r>
        <w:rPr>
          <w:sz w:val="20"/>
          <w:szCs w:val="20"/>
          <w:color w:val="auto"/>
        </w:rPr>
        <w:tab/>
      </w:r>
      <w:r>
        <w:rPr>
          <w:rFonts w:ascii="Arial" w:cs="Arial" w:eastAsia="Arial" w:hAnsi="Arial"/>
          <w:sz w:val="14"/>
          <w:szCs w:val="14"/>
          <w:color w:val="FFFFFF"/>
        </w:rPr>
        <w:t>.</w:t>
      </w:r>
    </w:p>
    <w:p>
      <w:pPr>
        <w:sectPr>
          <w:pgSz w:w="11900" w:h="16838" w:orient="portrait"/>
          <w:cols w:equalWidth="0" w:num="1">
            <w:col w:w="11380"/>
          </w:cols>
          <w:pgMar w:left="240" w:top="1440" w:right="279"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3"/>
          </w:tcPr>
          <w:p>
            <w:pPr>
              <w:spacing w:after="0"/>
              <w:rPr>
                <w:sz w:val="20"/>
                <w:szCs w:val="20"/>
                <w:color w:val="auto"/>
              </w:rPr>
            </w:pPr>
            <w:r>
              <w:rPr>
                <w:rFonts w:ascii="Arial" w:cs="Arial" w:eastAsia="Arial" w:hAnsi="Arial"/>
                <w:sz w:val="14"/>
                <w:szCs w:val="14"/>
                <w:color w:val="FFFFFF"/>
              </w:rPr>
              <w:t>Annual Report 2012 147</w:t>
            </w:r>
          </w:p>
        </w:tc>
        <w:tc>
          <w:tcPr>
            <w:tcW w:w="27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88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27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8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27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880" w:type="dxa"/>
            <w:vAlign w:val="bottom"/>
            <w:gridSpan w:val="3"/>
          </w:tcPr>
          <w:p>
            <w:pPr>
              <w:spacing w:after="0"/>
              <w:rPr>
                <w:sz w:val="20"/>
                <w:szCs w:val="20"/>
                <w:color w:val="auto"/>
              </w:rPr>
            </w:pPr>
            <w:r>
              <w:rPr>
                <w:rFonts w:ascii="Arial" w:cs="Arial" w:eastAsia="Arial" w:hAnsi="Arial"/>
                <w:sz w:val="3"/>
                <w:szCs w:val="3"/>
                <w:color w:val="FFFFFF"/>
              </w:rPr>
              <w:t>For the year ended 31 December 2012</w:t>
            </w:r>
          </w:p>
        </w:tc>
        <w:tc>
          <w:tcPr>
            <w:tcW w:w="27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27.</w:t>
            </w:r>
          </w:p>
        </w:tc>
        <w:tc>
          <w:tcPr>
            <w:tcW w:w="5280" w:type="dxa"/>
            <w:vAlign w:val="bottom"/>
            <w:gridSpan w:val="3"/>
          </w:tcPr>
          <w:p>
            <w:pPr>
              <w:jc w:val="center"/>
              <w:ind w:right="1606"/>
              <w:spacing w:after="0"/>
              <w:rPr>
                <w:sz w:val="20"/>
                <w:szCs w:val="20"/>
                <w:color w:val="auto"/>
              </w:rPr>
            </w:pPr>
            <w:r>
              <w:rPr>
                <w:rFonts w:ascii="Arial" w:cs="Arial" w:eastAsia="Arial" w:hAnsi="Arial"/>
                <w:sz w:val="3"/>
                <w:szCs w:val="3"/>
                <w:color w:val="FFFFFF"/>
              </w:rPr>
              <w:t>COMMITMENTS AND CONTINGENCIES (CONTINUED)</w:t>
            </w:r>
          </w:p>
        </w:tc>
        <w:tc>
          <w:tcPr>
            <w:tcW w:w="2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600" w:type="dxa"/>
            <w:vAlign w:val="bottom"/>
            <w:gridSpan w:val="2"/>
          </w:tcPr>
          <w:p>
            <w:pPr>
              <w:spacing w:after="0" w:line="95" w:lineRule="exact"/>
              <w:rPr>
                <w:sz w:val="20"/>
                <w:szCs w:val="20"/>
                <w:color w:val="auto"/>
              </w:rPr>
            </w:pPr>
            <w:r>
              <w:rPr>
                <w:rFonts w:ascii="Arial" w:cs="Arial" w:eastAsia="Arial" w:hAnsi="Arial"/>
                <w:sz w:val="10"/>
                <w:szCs w:val="10"/>
                <w:color w:val="FFFFFF"/>
              </w:rPr>
              <w:t>Litigation</w:t>
            </w:r>
          </w:p>
        </w:tc>
        <w:tc>
          <w:tcPr>
            <w:tcW w:w="2280" w:type="dxa"/>
            <w:vAlign w:val="bottom"/>
          </w:tcPr>
          <w:p>
            <w:pPr>
              <w:ind w:left="40"/>
              <w:spacing w:after="0" w:line="95" w:lineRule="exact"/>
              <w:rPr>
                <w:sz w:val="20"/>
                <w:szCs w:val="20"/>
                <w:color w:val="auto"/>
              </w:rPr>
            </w:pPr>
            <w:r>
              <w:rPr>
                <w:rFonts w:ascii="Arial" w:cs="Arial" w:eastAsia="Arial" w:hAnsi="Arial"/>
                <w:sz w:val="10"/>
                <w:szCs w:val="10"/>
                <w:color w:val="FFFFFF"/>
              </w:rPr>
              <w:t>did not have any material litigation</w:t>
            </w:r>
          </w:p>
        </w:tc>
        <w:tc>
          <w:tcPr>
            <w:tcW w:w="2720" w:type="dxa"/>
            <w:vAlign w:val="bottom"/>
          </w:tcPr>
          <w:p>
            <w:pPr>
              <w:ind w:left="340"/>
              <w:spacing w:after="0" w:line="95" w:lineRule="exact"/>
              <w:rPr>
                <w:sz w:val="20"/>
                <w:szCs w:val="20"/>
                <w:color w:val="auto"/>
              </w:rPr>
            </w:pPr>
            <w:r>
              <w:rPr>
                <w:rFonts w:ascii="Arial" w:cs="Arial" w:eastAsia="Arial" w:hAnsi="Arial"/>
                <w:sz w:val="10"/>
                <w:szCs w:val="10"/>
                <w:color w:val="FFFFFF"/>
              </w:rPr>
              <w:t>as at 31 December 2012 (2011: none).</w:t>
            </w:r>
          </w:p>
        </w:tc>
        <w:tc>
          <w:tcPr>
            <w:tcW w:w="2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11400" w:type="dxa"/>
            <w:vAlign w:val="bottom"/>
            <w:gridSpan w:val="7"/>
          </w:tcPr>
          <w:p>
            <w:pPr>
              <w:spacing w:after="0"/>
              <w:rPr>
                <w:sz w:val="20"/>
                <w:szCs w:val="20"/>
                <w:color w:val="auto"/>
              </w:rPr>
            </w:pPr>
            <w:r>
              <w:rPr>
                <w:rFonts w:ascii="Arial" w:cs="Arial" w:eastAsia="Arial" w:hAnsi="Arial"/>
                <w:sz w:val="3"/>
                <w:szCs w:val="3"/>
                <w:color w:val="FFFFFF"/>
              </w:rPr>
              <w:t>The Group’s affi liates are involved in litigationoutstandingaddition to the actions noted below, arising in the normal course of business. In the opinion of management, such litigation will not have a material effect on the</w:t>
            </w:r>
          </w:p>
        </w:tc>
        <w:tc>
          <w:tcPr>
            <w:tcW w:w="0" w:type="dxa"/>
            <w:vAlign w:val="bottom"/>
          </w:tcPr>
          <w:p>
            <w:pPr>
              <w:spacing w:after="0"/>
              <w:rPr>
                <w:sz w:val="1"/>
                <w:szCs w:val="1"/>
                <w:color w:val="auto"/>
              </w:rPr>
            </w:pPr>
          </w:p>
        </w:tc>
      </w:tr>
      <w:tr>
        <w:trPr>
          <w:trHeight w:val="41"/>
        </w:trPr>
        <w:tc>
          <w:tcPr>
            <w:tcW w:w="600" w:type="dxa"/>
            <w:vAlign w:val="bottom"/>
            <w:gridSpan w:val="2"/>
          </w:tcPr>
          <w:p>
            <w:pPr>
              <w:spacing w:after="0"/>
              <w:rPr>
                <w:sz w:val="20"/>
                <w:szCs w:val="20"/>
                <w:color w:val="auto"/>
              </w:rPr>
            </w:pPr>
            <w:r>
              <w:rPr>
                <w:rFonts w:ascii="Arial" w:cs="Arial" w:eastAsia="Arial" w:hAnsi="Arial"/>
                <w:sz w:val="3"/>
                <w:szCs w:val="3"/>
                <w:color w:val="FFFFFF"/>
              </w:rPr>
              <w:t>Group’s fi</w:t>
            </w:r>
          </w:p>
        </w:tc>
        <w:tc>
          <w:tcPr>
            <w:tcW w:w="5000" w:type="dxa"/>
            <w:vAlign w:val="bottom"/>
            <w:gridSpan w:val="2"/>
          </w:tcPr>
          <w:p>
            <w:pPr>
              <w:jc w:val="center"/>
              <w:ind w:right="1906"/>
              <w:spacing w:after="0"/>
              <w:rPr>
                <w:sz w:val="20"/>
                <w:szCs w:val="20"/>
                <w:color w:val="auto"/>
              </w:rPr>
            </w:pPr>
            <w:r>
              <w:rPr>
                <w:rFonts w:ascii="Arial" w:cs="Arial" w:eastAsia="Arial" w:hAnsi="Arial"/>
                <w:sz w:val="3"/>
                <w:szCs w:val="3"/>
                <w:color w:val="FFFFFF"/>
              </w:rPr>
              <w:t>cial condition, results of operations or cash ? ows.</w:t>
            </w:r>
          </w:p>
        </w:tc>
        <w:tc>
          <w:tcPr>
            <w:tcW w:w="2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600" w:type="dxa"/>
            <w:vAlign w:val="bottom"/>
            <w:gridSpan w:val="4"/>
          </w:tcPr>
          <w:p>
            <w:pPr>
              <w:spacing w:after="0"/>
              <w:rPr>
                <w:sz w:val="20"/>
                <w:szCs w:val="20"/>
                <w:color w:val="auto"/>
              </w:rPr>
            </w:pPr>
            <w:r>
              <w:rPr>
                <w:rFonts w:ascii="Arial" w:cs="Arial" w:eastAsia="Arial" w:hAnsi="Arial"/>
                <w:sz w:val="3"/>
                <w:szCs w:val="3"/>
                <w:color w:val="FFFFFF"/>
              </w:rPr>
              <w:t>Determination of unsuitability and redemption of Aruze USA, Inc. and af? liates</w:t>
            </w:r>
          </w:p>
        </w:tc>
        <w:tc>
          <w:tcPr>
            <w:tcW w:w="2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900" w:type="dxa"/>
            <w:vAlign w:val="bottom"/>
            <w:vMerge w:val="restart"/>
          </w:tcPr>
          <w:p>
            <w:pPr>
              <w:jc w:val="right"/>
              <w:ind w:right="429"/>
              <w:spacing w:after="0" w:line="81" w:lineRule="exact"/>
              <w:rPr>
                <w:sz w:val="20"/>
                <w:szCs w:val="20"/>
                <w:color w:val="auto"/>
              </w:rPr>
            </w:pPr>
            <w:r>
              <w:rPr>
                <w:rFonts w:ascii="Arial" w:cs="Arial" w:eastAsia="Arial" w:hAnsi="Arial"/>
                <w:sz w:val="9"/>
                <w:szCs w:val="9"/>
                <w:color w:val="FFFFFF"/>
              </w:rPr>
              <w:t>LLP (the “Freeh Report”) detailing</w:t>
            </w:r>
          </w:p>
        </w:tc>
        <w:tc>
          <w:tcPr>
            <w:tcW w:w="0" w:type="dxa"/>
            <w:vAlign w:val="bottom"/>
          </w:tcPr>
          <w:p>
            <w:pPr>
              <w:spacing w:after="0"/>
              <w:rPr>
                <w:sz w:val="1"/>
                <w:szCs w:val="1"/>
                <w:color w:val="auto"/>
              </w:rPr>
            </w:pPr>
          </w:p>
        </w:tc>
      </w:tr>
      <w:tr>
        <w:trPr>
          <w:trHeight w:val="41"/>
        </w:trPr>
        <w:tc>
          <w:tcPr>
            <w:tcW w:w="2880" w:type="dxa"/>
            <w:vAlign w:val="bottom"/>
            <w:gridSpan w:val="3"/>
          </w:tcPr>
          <w:p>
            <w:pPr>
              <w:spacing w:after="0"/>
              <w:rPr>
                <w:sz w:val="20"/>
                <w:szCs w:val="20"/>
                <w:color w:val="auto"/>
              </w:rPr>
            </w:pPr>
            <w:r>
              <w:rPr>
                <w:rFonts w:ascii="Arial" w:cs="Arial" w:eastAsia="Arial" w:hAnsi="Arial"/>
                <w:sz w:val="3"/>
                <w:szCs w:val="3"/>
                <w:color w:val="FFFFFF"/>
              </w:rPr>
              <w:t>On 18 February 2012, Wynn Resorts’ Gaming</w:t>
            </w:r>
          </w:p>
        </w:tc>
        <w:tc>
          <w:tcPr>
            <w:tcW w:w="5620" w:type="dxa"/>
            <w:vAlign w:val="bottom"/>
            <w:gridSpan w:val="3"/>
          </w:tcPr>
          <w:p>
            <w:pPr>
              <w:ind w:left="340"/>
              <w:spacing w:after="0"/>
              <w:rPr>
                <w:sz w:val="20"/>
                <w:szCs w:val="20"/>
                <w:color w:val="auto"/>
              </w:rPr>
            </w:pPr>
            <w:r>
              <w:rPr>
                <w:rFonts w:ascii="Arial" w:cs="Arial" w:eastAsia="Arial" w:hAnsi="Arial"/>
                <w:sz w:val="3"/>
                <w:szCs w:val="3"/>
                <w:color w:val="FFFFFF"/>
              </w:rPr>
              <w:t>Committee concluded an investigation after receiving an independent report by Freeh, Sporkin &amp;</w:t>
            </w:r>
          </w:p>
        </w:tc>
        <w:tc>
          <w:tcPr>
            <w:tcW w:w="2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8160" w:type="dxa"/>
            <w:vAlign w:val="bottom"/>
            <w:gridSpan w:val="5"/>
          </w:tcPr>
          <w:p>
            <w:pPr>
              <w:spacing w:after="0"/>
              <w:rPr>
                <w:sz w:val="20"/>
                <w:szCs w:val="20"/>
                <w:color w:val="auto"/>
              </w:rPr>
            </w:pPr>
            <w:r>
              <w:rPr>
                <w:rFonts w:ascii="Arial" w:cs="Arial" w:eastAsia="Arial" w:hAnsi="Arial"/>
                <w:sz w:val="3"/>
                <w:szCs w:val="3"/>
                <w:color w:val="FFFFFF"/>
              </w:rPr>
              <w:t>pattern of misconduct by Aruze USA, Inc. at theCompliancetimestockholder of Wynn Resorts, Universal Entertainment Corporation, Aruze USA, Inc.’s</w:t>
            </w:r>
          </w:p>
        </w:tc>
        <w:tc>
          <w:tcPr>
            <w:tcW w:w="3240" w:type="dxa"/>
            <w:vAlign w:val="bottom"/>
            <w:gridSpan w:val="2"/>
          </w:tcPr>
          <w:p>
            <w:pPr>
              <w:jc w:val="right"/>
              <w:ind w:right="49"/>
              <w:spacing w:after="0"/>
              <w:rPr>
                <w:sz w:val="20"/>
                <w:szCs w:val="20"/>
                <w:color w:val="auto"/>
              </w:rPr>
            </w:pPr>
            <w:r>
              <w:rPr>
                <w:rFonts w:ascii="Arial" w:cs="Arial" w:eastAsia="Arial" w:hAnsi="Arial"/>
                <w:sz w:val="3"/>
                <w:szCs w:val="3"/>
                <w:color w:val="FFFFFF"/>
              </w:rPr>
              <w:t>companySullivan,andMr. Kazuo Okada, the majority shareholder</w:t>
            </w:r>
          </w:p>
        </w:tc>
        <w:tc>
          <w:tcPr>
            <w:tcW w:w="0" w:type="dxa"/>
            <w:vAlign w:val="bottom"/>
          </w:tcPr>
          <w:p>
            <w:pPr>
              <w:spacing w:after="0"/>
              <w:rPr>
                <w:sz w:val="1"/>
                <w:szCs w:val="1"/>
                <w:color w:val="auto"/>
              </w:rPr>
            </w:pPr>
          </w:p>
        </w:tc>
      </w:tr>
      <w:tr>
        <w:trPr>
          <w:trHeight w:val="41"/>
        </w:trPr>
        <w:tc>
          <w:tcPr>
            <w:tcW w:w="8160" w:type="dxa"/>
            <w:vAlign w:val="bottom"/>
            <w:gridSpan w:val="5"/>
          </w:tcPr>
          <w:p>
            <w:pPr>
              <w:spacing w:after="0"/>
              <w:rPr>
                <w:sz w:val="20"/>
                <w:szCs w:val="20"/>
                <w:color w:val="auto"/>
              </w:rPr>
            </w:pPr>
            <w:r>
              <w:rPr>
                <w:rFonts w:ascii="Arial" w:cs="Arial" w:eastAsia="Arial" w:hAnsi="Arial"/>
                <w:sz w:val="3"/>
                <w:szCs w:val="3"/>
                <w:color w:val="FFFFFF"/>
              </w:rPr>
              <w:t>of Universal Entertainment Corporation, who, until 21 February 2013, was also a member of Wynn Resorts’ board of directors and was at the timeparent</w:t>
            </w:r>
          </w:p>
        </w:tc>
        <w:tc>
          <w:tcPr>
            <w:tcW w:w="340" w:type="dxa"/>
            <w:vAlign w:val="bottom"/>
          </w:tcPr>
          <w:p>
            <w:pPr>
              <w:spacing w:after="0"/>
              <w:rPr>
                <w:sz w:val="3"/>
                <w:szCs w:val="3"/>
                <w:color w:val="auto"/>
              </w:rPr>
            </w:pPr>
          </w:p>
        </w:tc>
        <w:tc>
          <w:tcPr>
            <w:tcW w:w="2900" w:type="dxa"/>
            <w:vAlign w:val="bottom"/>
          </w:tcPr>
          <w:p>
            <w:pPr>
              <w:jc w:val="right"/>
              <w:ind w:right="429"/>
              <w:spacing w:after="0"/>
              <w:rPr>
                <w:sz w:val="20"/>
                <w:szCs w:val="20"/>
                <w:color w:val="auto"/>
              </w:rPr>
            </w:pPr>
            <w:r>
              <w:rPr>
                <w:rFonts w:ascii="Arial" w:cs="Arial" w:eastAsia="Arial" w:hAnsi="Arial"/>
                <w:sz w:val="3"/>
                <w:szCs w:val="3"/>
                <w:color w:val="FFFFFF"/>
              </w:rPr>
              <w:t>of Wynn Macau, Limited. The factual record</w:t>
            </w:r>
          </w:p>
        </w:tc>
        <w:tc>
          <w:tcPr>
            <w:tcW w:w="0" w:type="dxa"/>
            <w:vAlign w:val="bottom"/>
          </w:tcPr>
          <w:p>
            <w:pPr>
              <w:spacing w:after="0"/>
              <w:rPr>
                <w:sz w:val="1"/>
                <w:szCs w:val="1"/>
                <w:color w:val="auto"/>
              </w:rPr>
            </w:pPr>
          </w:p>
        </w:tc>
      </w:tr>
      <w:tr>
        <w:trPr>
          <w:trHeight w:val="0"/>
        </w:trPr>
        <w:tc>
          <w:tcPr>
            <w:tcW w:w="600" w:type="dxa"/>
            <w:vAlign w:val="bottom"/>
            <w:gridSpan w:val="2"/>
          </w:tcPr>
          <w:p>
            <w:pPr>
              <w:spacing w:after="0" w:line="80" w:lineRule="exact"/>
              <w:rPr>
                <w:sz w:val="20"/>
                <w:szCs w:val="20"/>
                <w:color w:val="auto"/>
              </w:rPr>
            </w:pPr>
            <w:r>
              <w:rPr>
                <w:rFonts w:ascii="Arial" w:cs="Arial" w:eastAsia="Arial" w:hAnsi="Arial"/>
                <w:sz w:val="9"/>
                <w:szCs w:val="9"/>
                <w:color w:val="FFFFFF"/>
              </w:rPr>
              <w:t>presented</w:t>
            </w:r>
          </w:p>
        </w:tc>
        <w:tc>
          <w:tcPr>
            <w:tcW w:w="5000" w:type="dxa"/>
            <w:vAlign w:val="bottom"/>
            <w:gridSpan w:val="2"/>
          </w:tcPr>
          <w:p>
            <w:pPr>
              <w:ind w:left="100"/>
              <w:spacing w:after="0" w:line="80" w:lineRule="exact"/>
              <w:rPr>
                <w:sz w:val="20"/>
                <w:szCs w:val="20"/>
                <w:color w:val="auto"/>
              </w:rPr>
            </w:pPr>
            <w:r>
              <w:rPr>
                <w:rFonts w:ascii="Arial" w:cs="Arial" w:eastAsia="Arial" w:hAnsi="Arial"/>
                <w:sz w:val="9"/>
                <w:szCs w:val="9"/>
                <w:color w:val="FFFFFF"/>
              </w:rPr>
              <w:t>the Freeh Report included evidence that Aruze USA, Inc., Universal Entertainment</w:t>
            </w:r>
          </w:p>
        </w:tc>
        <w:tc>
          <w:tcPr>
            <w:tcW w:w="5800" w:type="dxa"/>
            <w:vAlign w:val="bottom"/>
            <w:gridSpan w:val="3"/>
          </w:tcPr>
          <w:p>
            <w:pPr>
              <w:jc w:val="right"/>
              <w:spacing w:after="0" w:line="80" w:lineRule="exact"/>
              <w:rPr>
                <w:sz w:val="20"/>
                <w:szCs w:val="20"/>
                <w:color w:val="auto"/>
              </w:rPr>
            </w:pPr>
            <w:r>
              <w:rPr>
                <w:rFonts w:ascii="Arial" w:cs="Arial" w:eastAsia="Arial" w:hAnsi="Arial"/>
                <w:sz w:val="9"/>
                <w:szCs w:val="9"/>
                <w:color w:val="FFFFFF"/>
              </w:rPr>
              <w:t>and Mr. Okada had provided valuable itemsdirectorcertain foreign gaming offi cials who were responsible</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for regulating gaming in</w:t>
      </w:r>
      <w:r>
        <w:rPr>
          <w:rFonts w:ascii="Arial" w:cs="Arial" w:eastAsia="Arial" w:hAnsi="Arial"/>
          <w:sz w:val="1"/>
          <w:szCs w:val="1"/>
          <w:color w:val="FFFFFF"/>
          <w:vertAlign w:val="superscript"/>
        </w:rPr>
        <w:t>Okada</w:t>
      </w:r>
      <w:r>
        <w:rPr>
          <w:rFonts w:ascii="Arial" w:cs="Arial" w:eastAsia="Arial" w:hAnsi="Arial"/>
          <w:sz w:val="1"/>
          <w:szCs w:val="1"/>
          <w:color w:val="FFFFFF"/>
        </w:rPr>
        <w:t>jurisdiction in which entities controlled by Mr. Okada were developingCorporationgamingresort. Mr. Okada has denied the impropriety of such conduct to members of the board of directors of</w:t>
      </w:r>
    </w:p>
    <w:p>
      <w:pPr>
        <w:spacing w:after="0"/>
        <w:tabs>
          <w:tab w:leader="none" w:pos="1620" w:val="left"/>
        </w:tabs>
        <w:rPr>
          <w:sz w:val="20"/>
          <w:szCs w:val="20"/>
          <w:color w:val="auto"/>
        </w:rPr>
      </w:pPr>
      <w:r>
        <w:rPr>
          <w:rFonts w:ascii="Arial" w:cs="Arial" w:eastAsia="Arial" w:hAnsi="Arial"/>
          <w:sz w:val="14"/>
          <w:szCs w:val="14"/>
          <w:color w:val="FFFFFF"/>
        </w:rPr>
        <w:t>Wynn Resorts and Mr.</w:t>
      </w:r>
      <w:r>
        <w:rPr>
          <w:sz w:val="20"/>
          <w:szCs w:val="20"/>
          <w:color w:val="auto"/>
        </w:rPr>
        <w:tab/>
      </w:r>
      <w:r>
        <w:rPr>
          <w:rFonts w:ascii="Arial" w:cs="Arial" w:eastAsia="Arial" w:hAnsi="Arial"/>
          <w:sz w:val="12"/>
          <w:szCs w:val="12"/>
          <w:color w:val="FFFFFF"/>
        </w:rPr>
        <w:t>has refused to acknowledge or abide by Wynn Resorts’ anti-bribery policies and has refused to participate in the training all other directors have received concerning these policies.</w:t>
      </w:r>
    </w:p>
    <w:p>
      <w:pPr>
        <w:sectPr>
          <w:pgSz w:w="11900" w:h="16838" w:orient="portrait"/>
          <w:cols w:equalWidth="0" w:num="1">
            <w:col w:w="11400"/>
          </w:cols>
          <w:pgMar w:left="240" w:top="1440" w:right="25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3"/>
          </w:tcPr>
          <w:p>
            <w:pPr>
              <w:spacing w:after="0"/>
              <w:rPr>
                <w:sz w:val="20"/>
                <w:szCs w:val="20"/>
                <w:color w:val="auto"/>
              </w:rPr>
            </w:pPr>
            <w:r>
              <w:rPr>
                <w:rFonts w:ascii="Arial" w:cs="Arial" w:eastAsia="Arial" w:hAnsi="Arial"/>
                <w:sz w:val="14"/>
                <w:szCs w:val="14"/>
                <w:color w:val="FFFFFF"/>
              </w:rPr>
              <w:t>148 Wynn Macau, Limited</w:t>
            </w:r>
          </w:p>
        </w:tc>
        <w:tc>
          <w:tcPr>
            <w:tcW w:w="17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06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1780" w:type="dxa"/>
            <w:vAlign w:val="bottom"/>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6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1780" w:type="dxa"/>
            <w:vAlign w:val="bottom"/>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060" w:type="dxa"/>
            <w:vAlign w:val="bottom"/>
            <w:gridSpan w:val="3"/>
          </w:tcPr>
          <w:p>
            <w:pPr>
              <w:spacing w:after="0"/>
              <w:rPr>
                <w:sz w:val="20"/>
                <w:szCs w:val="20"/>
                <w:color w:val="auto"/>
              </w:rPr>
            </w:pPr>
            <w:r>
              <w:rPr>
                <w:rFonts w:ascii="Arial" w:cs="Arial" w:eastAsia="Arial" w:hAnsi="Arial"/>
                <w:sz w:val="3"/>
                <w:szCs w:val="3"/>
                <w:color w:val="FFFFFF"/>
              </w:rPr>
              <w:t>For the year ended 31 December 2012</w:t>
            </w:r>
          </w:p>
        </w:tc>
        <w:tc>
          <w:tcPr>
            <w:tcW w:w="1780" w:type="dxa"/>
            <w:vAlign w:val="bottom"/>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27.</w:t>
            </w:r>
          </w:p>
        </w:tc>
        <w:tc>
          <w:tcPr>
            <w:tcW w:w="4640" w:type="dxa"/>
            <w:vAlign w:val="bottom"/>
            <w:gridSpan w:val="2"/>
          </w:tcPr>
          <w:p>
            <w:pPr>
              <w:ind w:left="40"/>
              <w:spacing w:after="0"/>
              <w:rPr>
                <w:sz w:val="20"/>
                <w:szCs w:val="20"/>
                <w:color w:val="auto"/>
              </w:rPr>
            </w:pPr>
            <w:r>
              <w:rPr>
                <w:rFonts w:ascii="Arial" w:cs="Arial" w:eastAsia="Arial" w:hAnsi="Arial"/>
                <w:sz w:val="3"/>
                <w:szCs w:val="3"/>
                <w:color w:val="FFFFFF"/>
              </w:rPr>
              <w:t>COMMITMENTS AND CONTINGENCIES (CONTINUED)</w:t>
            </w:r>
          </w:p>
        </w:tc>
        <w:tc>
          <w:tcPr>
            <w:tcW w:w="1780" w:type="dxa"/>
            <w:vAlign w:val="bottom"/>
          </w:tcPr>
          <w:p>
            <w:pPr>
              <w:spacing w:after="0"/>
              <w:rPr>
                <w:sz w:val="3"/>
                <w:szCs w:val="3"/>
                <w:color w:val="auto"/>
              </w:rPr>
            </w:pPr>
          </w:p>
        </w:tc>
        <w:tc>
          <w:tcPr>
            <w:tcW w:w="4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5060" w:type="dxa"/>
            <w:vAlign w:val="bottom"/>
            <w:gridSpan w:val="3"/>
          </w:tcPr>
          <w:p>
            <w:pPr>
              <w:spacing w:after="0" w:line="54" w:lineRule="exact"/>
              <w:rPr>
                <w:sz w:val="20"/>
                <w:szCs w:val="20"/>
                <w:color w:val="auto"/>
              </w:rPr>
            </w:pPr>
            <w:r>
              <w:rPr>
                <w:rFonts w:ascii="Arial" w:cs="Arial" w:eastAsia="Arial" w:hAnsi="Arial"/>
                <w:sz w:val="6"/>
                <w:szCs w:val="6"/>
                <w:color w:val="FFFFFF"/>
              </w:rPr>
              <w:t>Litigation (continued)</w:t>
            </w:r>
          </w:p>
        </w:tc>
        <w:tc>
          <w:tcPr>
            <w:tcW w:w="1780" w:type="dxa"/>
            <w:vAlign w:val="bottom"/>
          </w:tcPr>
          <w:p>
            <w:pPr>
              <w:spacing w:after="0"/>
              <w:rPr>
                <w:sz w:val="4"/>
                <w:szCs w:val="4"/>
                <w:color w:val="auto"/>
              </w:rPr>
            </w:pPr>
          </w:p>
        </w:tc>
        <w:tc>
          <w:tcPr>
            <w:tcW w:w="4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540" w:type="dxa"/>
            <w:vAlign w:val="bottom"/>
          </w:tcPr>
          <w:p>
            <w:pPr>
              <w:ind w:left="300"/>
              <w:spacing w:after="0"/>
              <w:rPr>
                <w:sz w:val="20"/>
                <w:szCs w:val="20"/>
                <w:color w:val="auto"/>
              </w:rPr>
            </w:pPr>
            <w:r>
              <w:rPr>
                <w:rFonts w:ascii="Arial" w:cs="Arial" w:eastAsia="Arial" w:hAnsi="Arial"/>
                <w:sz w:val="3"/>
                <w:szCs w:val="3"/>
                <w:color w:val="FFFFFF"/>
              </w:rPr>
              <w:t>of unsuitability and redemption of Aruze USA, Inc. and af? liates (continued)</w:t>
            </w:r>
          </w:p>
        </w:tc>
        <w:tc>
          <w:tcPr>
            <w:tcW w:w="1780" w:type="dxa"/>
            <w:vAlign w:val="bottom"/>
          </w:tcPr>
          <w:p>
            <w:pPr>
              <w:spacing w:after="0"/>
              <w:rPr>
                <w:sz w:val="3"/>
                <w:szCs w:val="3"/>
                <w:color w:val="auto"/>
              </w:rPr>
            </w:pPr>
          </w:p>
        </w:tc>
        <w:tc>
          <w:tcPr>
            <w:tcW w:w="454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Corporation and Mr. Okada are “unsuitable persons” under Article VII of Wynn</w:t>
            </w:r>
          </w:p>
        </w:tc>
        <w:tc>
          <w:tcPr>
            <w:tcW w:w="0" w:type="dxa"/>
            <w:vAlign w:val="bottom"/>
          </w:tcPr>
          <w:p>
            <w:pPr>
              <w:spacing w:after="0"/>
              <w:rPr>
                <w:sz w:val="1"/>
                <w:szCs w:val="1"/>
                <w:color w:val="auto"/>
              </w:rPr>
            </w:pPr>
          </w:p>
        </w:tc>
      </w:tr>
      <w:tr>
        <w:trPr>
          <w:trHeight w:val="41"/>
        </w:trPr>
        <w:tc>
          <w:tcPr>
            <w:tcW w:w="6840" w:type="dxa"/>
            <w:vAlign w:val="bottom"/>
            <w:gridSpan w:val="4"/>
          </w:tcPr>
          <w:p>
            <w:pPr>
              <w:spacing w:after="0"/>
              <w:rPr>
                <w:sz w:val="20"/>
                <w:szCs w:val="20"/>
                <w:color w:val="auto"/>
              </w:rPr>
            </w:pPr>
            <w:r>
              <w:rPr>
                <w:rFonts w:ascii="Arial" w:cs="Arial" w:eastAsia="Arial" w:hAnsi="Arial"/>
                <w:sz w:val="3"/>
                <w:szCs w:val="3"/>
                <w:color w:val="FFFFFF"/>
              </w:rPr>
              <w:t>DeterminationBaedtheFreeh Report, the board of directors of Wynn Resorts determined that Aruze USA, Inc., Universal</w:t>
            </w:r>
          </w:p>
        </w:tc>
        <w:tc>
          <w:tcPr>
            <w:tcW w:w="4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0" w:type="dxa"/>
            <w:vAlign w:val="bottom"/>
            <w:gridSpan w:val="2"/>
          </w:tcPr>
          <w:p>
            <w:pPr>
              <w:spacing w:after="0"/>
              <w:rPr>
                <w:sz w:val="20"/>
                <w:szCs w:val="20"/>
                <w:color w:val="auto"/>
              </w:rPr>
            </w:pPr>
            <w:r>
              <w:rPr>
                <w:rFonts w:ascii="Arial" w:cs="Arial" w:eastAsia="Arial" w:hAnsi="Arial"/>
                <w:sz w:val="3"/>
                <w:szCs w:val="3"/>
                <w:color w:val="FFFFFF"/>
              </w:rPr>
              <w:t>Resorts’</w:t>
            </w:r>
          </w:p>
        </w:tc>
        <w:tc>
          <w:tcPr>
            <w:tcW w:w="6320" w:type="dxa"/>
            <w:vAlign w:val="bottom"/>
            <w:gridSpan w:val="2"/>
          </w:tcPr>
          <w:p>
            <w:pPr>
              <w:ind w:left="400"/>
              <w:spacing w:after="0"/>
              <w:rPr>
                <w:sz w:val="20"/>
                <w:szCs w:val="20"/>
                <w:color w:val="auto"/>
              </w:rPr>
            </w:pPr>
            <w:r>
              <w:rPr>
                <w:rFonts w:ascii="Arial" w:cs="Arial" w:eastAsia="Arial" w:hAnsi="Arial"/>
                <w:sz w:val="3"/>
                <w:szCs w:val="3"/>
                <w:color w:val="FFFFFF"/>
              </w:rPr>
              <w:t>of incorporation. The board of directors of Wynn Resorts was unanimous (other than Mr. Okada)Entertainmentits</w:t>
            </w:r>
          </w:p>
        </w:tc>
        <w:tc>
          <w:tcPr>
            <w:tcW w:w="4540" w:type="dxa"/>
            <w:vAlign w:val="bottom"/>
          </w:tcPr>
          <w:p>
            <w:pPr>
              <w:ind w:left="400"/>
              <w:spacing w:after="0"/>
              <w:rPr>
                <w:sz w:val="20"/>
                <w:szCs w:val="20"/>
                <w:color w:val="auto"/>
              </w:rPr>
            </w:pPr>
            <w:r>
              <w:rPr>
                <w:rFonts w:ascii="Arial" w:cs="Arial" w:eastAsia="Arial" w:hAnsi="Arial"/>
                <w:sz w:val="3"/>
                <w:szCs w:val="3"/>
                <w:color w:val="FFFFFF"/>
              </w:rPr>
              <w:t>. The board of directors of Wynn Resorts also requested that Mr. Okada</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resign as articlesdirector of Wynn Resorts (under Nevada corporation law, a board of directors does not have the power to removedeterminationdirector) and recommended that Mr. Okada be removed as a member of the Board</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of the Company. In addition, on 18 February 2012, Mr. Okada was removed from the board of directors of Wynn Las Vegas Capital Corp., an indirect wholly owned subsidiary of Wynn Resorts. On 24 February</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2012, Mr. Okada was removed from the Board and on 22 February 2013, he was removed from the board of directors of Wynn Resorts by a stockholder vote in which 99.6% of the over 86 million shares voted</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were cast in favor of removal. Additionally, Mr. Okada resigned from the board of directors of Wynn Resorts on 21 February 2013.</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Based on the board of directors of Wynn Resorts’ fi nding of “unsuitability,” on 18 February 2012, Wynn Resorts redeemed and cancelled Aruze USA, Inc.’ 24,549,222 shares of Wynn Resorts’ common stock.</w:t>
            </w:r>
          </w:p>
        </w:tc>
        <w:tc>
          <w:tcPr>
            <w:tcW w:w="0" w:type="dxa"/>
            <w:vAlign w:val="bottom"/>
          </w:tcPr>
          <w:p>
            <w:pPr>
              <w:spacing w:after="0"/>
              <w:rPr>
                <w:sz w:val="1"/>
                <w:szCs w:val="1"/>
                <w:color w:val="auto"/>
              </w:rPr>
            </w:pPr>
          </w:p>
        </w:tc>
      </w:tr>
      <w:tr>
        <w:trPr>
          <w:trHeight w:val="41"/>
        </w:trPr>
        <w:tc>
          <w:tcPr>
            <w:tcW w:w="5060" w:type="dxa"/>
            <w:vAlign w:val="bottom"/>
            <w:gridSpan w:val="3"/>
          </w:tcPr>
          <w:p>
            <w:pPr>
              <w:spacing w:after="0"/>
              <w:rPr>
                <w:sz w:val="20"/>
                <w:szCs w:val="20"/>
                <w:color w:val="auto"/>
              </w:rPr>
            </w:pPr>
            <w:r>
              <w:rPr>
                <w:rFonts w:ascii="Arial" w:cs="Arial" w:eastAsia="Arial" w:hAnsi="Arial"/>
                <w:sz w:val="3"/>
                <w:szCs w:val="3"/>
                <w:color w:val="FFFFFF"/>
              </w:rPr>
              <w:t>Following a fi nding of “unsuitability,” Article VII of Wynn Resorts’ articles of</w:t>
            </w:r>
          </w:p>
        </w:tc>
        <w:tc>
          <w:tcPr>
            <w:tcW w:w="6320" w:type="dxa"/>
            <w:vAlign w:val="bottom"/>
            <w:gridSpan w:val="2"/>
          </w:tcPr>
          <w:p>
            <w:pPr>
              <w:ind w:left="40"/>
              <w:spacing w:after="0"/>
              <w:rPr>
                <w:sz w:val="20"/>
                <w:szCs w:val="20"/>
                <w:color w:val="auto"/>
              </w:rPr>
            </w:pPr>
            <w:r>
              <w:rPr>
                <w:rFonts w:ascii="Arial" w:cs="Arial" w:eastAsia="Arial" w:hAnsi="Arial"/>
                <w:sz w:val="3"/>
                <w:szCs w:val="3"/>
                <w:color w:val="FFFFFF"/>
              </w:rPr>
              <w:t>authorizes redemption at “fair value” of the shares held by unsuitable persons. Wynn Resorts engaged an</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independent fi nancial advisor to assist in the fair value calculation and concludedincorporationthatdiscount to the then current trading price was appropriate because of, among other things, restrictions on most of the</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shares held by Aruze USA, Inc. under the terms of the Stockholders Agreement (as de? ned below). Pursuant to the articles of incorporation, Wynn Resorts issued the redemption price promissory note (the</w:t>
            </w: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“Redemption Note”) to Aruze USA, Inc. in redemption of the shares. The Redemption Note has a principal amount of US$1.94 billion (approximately HK$15.1 billion), matures on 18 February 2022 and bears</w:t>
            </w:r>
          </w:p>
        </w:tc>
        <w:tc>
          <w:tcPr>
            <w:tcW w:w="0" w:type="dxa"/>
            <w:vAlign w:val="bottom"/>
          </w:tcPr>
          <w:p>
            <w:pPr>
              <w:spacing w:after="0"/>
              <w:rPr>
                <w:sz w:val="1"/>
                <w:szCs w:val="1"/>
                <w:color w:val="auto"/>
              </w:rPr>
            </w:pPr>
          </w:p>
        </w:tc>
      </w:tr>
      <w:tr>
        <w:trPr>
          <w:trHeight w:val="1"/>
        </w:trPr>
        <w:tc>
          <w:tcPr>
            <w:tcW w:w="420" w:type="dxa"/>
            <w:vAlign w:val="bottom"/>
          </w:tcPr>
          <w:p>
            <w:pPr>
              <w:spacing w:after="0" w:line="2" w:lineRule="exact"/>
              <w:rPr>
                <w:sz w:val="20"/>
                <w:szCs w:val="20"/>
                <w:color w:val="auto"/>
              </w:rPr>
            </w:pPr>
            <w:r>
              <w:rPr>
                <w:rFonts w:ascii="Arial" w:cs="Arial" w:eastAsia="Arial" w:hAnsi="Arial"/>
                <w:sz w:val="1"/>
                <w:szCs w:val="1"/>
                <w:color w:val="FFFFFF"/>
              </w:rPr>
              <w:t>interest</w:t>
            </w:r>
          </w:p>
        </w:tc>
        <w:tc>
          <w:tcPr>
            <w:tcW w:w="100" w:type="dxa"/>
            <w:vAlign w:val="bottom"/>
          </w:tcPr>
          <w:p>
            <w:pPr>
              <w:spacing w:after="0" w:line="20" w:lineRule="exact"/>
              <w:rPr>
                <w:sz w:val="1"/>
                <w:szCs w:val="1"/>
                <w:color w:val="auto"/>
              </w:rPr>
            </w:pPr>
          </w:p>
        </w:tc>
        <w:tc>
          <w:tcPr>
            <w:tcW w:w="10860" w:type="dxa"/>
            <w:vAlign w:val="bottom"/>
            <w:gridSpan w:val="3"/>
          </w:tcPr>
          <w:p>
            <w:pPr>
              <w:ind w:left="60"/>
              <w:spacing w:after="0" w:line="2" w:lineRule="exact"/>
              <w:rPr>
                <w:sz w:val="20"/>
                <w:szCs w:val="20"/>
                <w:color w:val="auto"/>
              </w:rPr>
            </w:pPr>
            <w:r>
              <w:rPr>
                <w:rFonts w:ascii="Arial" w:cs="Arial" w:eastAsia="Arial" w:hAnsi="Arial"/>
                <w:sz w:val="1"/>
                <w:szCs w:val="1"/>
                <w:color w:val="FFFFFF"/>
              </w:rPr>
              <w:t>the rate of 2% per annum, payable annually in arrears on each anniversary of the date of the Redemption Note. Wynn Resorts may, in its sole and absolute discretion, at any time and from time to time,</w:t>
            </w:r>
          </w:p>
        </w:tc>
        <w:tc>
          <w:tcPr>
            <w:tcW w:w="0" w:type="dxa"/>
            <w:vAlign w:val="bottom"/>
          </w:tcPr>
          <w:p>
            <w:pPr>
              <w:spacing w:after="0" w:line="20" w:lineRule="exact"/>
              <w:rPr>
                <w:sz w:val="1"/>
                <w:szCs w:val="1"/>
                <w:color w:val="auto"/>
              </w:rPr>
            </w:pPr>
          </w:p>
        </w:tc>
      </w:tr>
    </w:tbl>
    <w:p>
      <w:pPr>
        <w:spacing w:after="0" w:line="211" w:lineRule="auto"/>
        <w:rPr>
          <w:sz w:val="20"/>
          <w:szCs w:val="20"/>
          <w:color w:val="auto"/>
        </w:rPr>
      </w:pPr>
      <w:r>
        <w:rPr>
          <w:rFonts w:ascii="Arial" w:cs="Arial" w:eastAsia="Arial" w:hAnsi="Arial"/>
          <w:sz w:val="2"/>
          <w:szCs w:val="2"/>
          <w:color w:val="FFFFFF"/>
        </w:rPr>
        <w:t>acceleratedndwithoutexceptpenaltyinorthepremium,soleandprepayabsolutethediscretionwholeor ofanyWynnportionResortsoftheorprincipalasspecifiorcallyinterestmandateddueunderby law.the RedemptionTheindebtednessNote. evidencedInnoinstancebytheshallRedemptionanypaymentNoteobligationisandshallunderbe subordinatedtheRedemption</w:t>
      </w:r>
      <w:r>
        <w:rPr>
          <w:rFonts w:ascii="Arial" w:cs="Arial" w:eastAsia="Arial" w:hAnsi="Arial"/>
          <w:sz w:val="4"/>
          <w:szCs w:val="4"/>
          <w:color w:val="FFFFFF"/>
          <w:vertAlign w:val="subscript"/>
        </w:rPr>
        <w:t>indebtedness</w:t>
      </w:r>
      <w:r>
        <w:rPr>
          <w:rFonts w:ascii="Arial" w:cs="Arial" w:eastAsia="Arial" w:hAnsi="Arial"/>
          <w:sz w:val="2"/>
          <w:szCs w:val="2"/>
          <w:color w:val="FFFFFF"/>
        </w:rPr>
        <w:t>rightNoteofbepayment,</w:t>
      </w:r>
    </w:p>
    <w:p>
      <w:pPr>
        <w:ind w:right="20"/>
        <w:spacing w:after="0"/>
        <w:rPr>
          <w:sz w:val="20"/>
          <w:szCs w:val="20"/>
          <w:color w:val="auto"/>
        </w:rPr>
      </w:pPr>
      <w:r>
        <w:rPr>
          <w:rFonts w:ascii="Arial" w:cs="Arial" w:eastAsia="Arial" w:hAnsi="Arial"/>
          <w:sz w:val="11"/>
          <w:szCs w:val="11"/>
          <w:color w:val="FFFFFF"/>
        </w:rPr>
        <w:t>to the extent and in the manner provided in the Redemption Note, to the prior payment in full of all existing and future obligations of Wynn Resorts or any of its af? liates in respect of for borrowed money of any kind or nature.</w:t>
      </w:r>
    </w:p>
    <w:p>
      <w:pPr>
        <w:sectPr>
          <w:pgSz w:w="11900" w:h="16838" w:orient="portrait"/>
          <w:cols w:equalWidth="0" w:num="1">
            <w:col w:w="11380"/>
          </w:cols>
          <w:pgMar w:left="240" w:top="1440" w:right="27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gridSpan w:val="3"/>
          </w:tcPr>
          <w:p>
            <w:pPr>
              <w:spacing w:after="0"/>
              <w:rPr>
                <w:sz w:val="20"/>
                <w:szCs w:val="20"/>
                <w:color w:val="auto"/>
              </w:rPr>
            </w:pPr>
            <w:r>
              <w:rPr>
                <w:rFonts w:ascii="Arial" w:cs="Arial" w:eastAsia="Arial" w:hAnsi="Arial"/>
                <w:sz w:val="14"/>
                <w:szCs w:val="14"/>
                <w:color w:val="FFFFFF"/>
              </w:rPr>
              <w:t>Annual Report 2012 149</w:t>
            </w:r>
          </w:p>
        </w:tc>
        <w:tc>
          <w:tcPr>
            <w:tcW w:w="158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8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578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41"/>
        </w:trPr>
        <w:tc>
          <w:tcPr>
            <w:tcW w:w="208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1580" w:type="dxa"/>
            <w:vAlign w:val="bottom"/>
          </w:tcPr>
          <w:p>
            <w:pPr>
              <w:spacing w:after="0"/>
              <w:rPr>
                <w:sz w:val="3"/>
                <w:szCs w:val="3"/>
                <w:color w:val="auto"/>
              </w:rPr>
            </w:pPr>
          </w:p>
        </w:tc>
        <w:tc>
          <w:tcPr>
            <w:tcW w:w="578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41"/>
        </w:trPr>
        <w:tc>
          <w:tcPr>
            <w:tcW w:w="2080" w:type="dxa"/>
            <w:vAlign w:val="bottom"/>
            <w:gridSpan w:val="3"/>
          </w:tcPr>
          <w:p>
            <w:pPr>
              <w:spacing w:after="0"/>
              <w:rPr>
                <w:sz w:val="20"/>
                <w:szCs w:val="20"/>
                <w:color w:val="auto"/>
              </w:rPr>
            </w:pPr>
            <w:r>
              <w:rPr>
                <w:rFonts w:ascii="Arial" w:cs="Arial" w:eastAsia="Arial" w:hAnsi="Arial"/>
                <w:sz w:val="3"/>
                <w:szCs w:val="3"/>
                <w:color w:val="FFFFFF"/>
              </w:rPr>
              <w:t>For the year ended 31 December 2012</w:t>
            </w:r>
          </w:p>
        </w:tc>
        <w:tc>
          <w:tcPr>
            <w:tcW w:w="1580" w:type="dxa"/>
            <w:vAlign w:val="bottom"/>
          </w:tcPr>
          <w:p>
            <w:pPr>
              <w:spacing w:after="0"/>
              <w:rPr>
                <w:sz w:val="3"/>
                <w:szCs w:val="3"/>
                <w:color w:val="auto"/>
              </w:rPr>
            </w:pPr>
          </w:p>
        </w:tc>
        <w:tc>
          <w:tcPr>
            <w:tcW w:w="5780" w:type="dxa"/>
            <w:vAlign w:val="bottom"/>
          </w:tcPr>
          <w:p>
            <w:pPr>
              <w:spacing w:after="0"/>
              <w:rPr>
                <w:sz w:val="3"/>
                <w:szCs w:val="3"/>
                <w:color w:val="auto"/>
              </w:rPr>
            </w:pPr>
          </w:p>
        </w:tc>
        <w:tc>
          <w:tcPr>
            <w:tcW w:w="1960" w:type="dxa"/>
            <w:vAlign w:val="bottom"/>
          </w:tcPr>
          <w:p>
            <w:pPr>
              <w:spacing w:after="0"/>
              <w:rPr>
                <w:sz w:val="3"/>
                <w:szCs w:val="3"/>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27.</w:t>
            </w:r>
          </w:p>
        </w:tc>
        <w:tc>
          <w:tcPr>
            <w:tcW w:w="9120" w:type="dxa"/>
            <w:vAlign w:val="bottom"/>
            <w:gridSpan w:val="4"/>
          </w:tcPr>
          <w:p>
            <w:pPr>
              <w:ind w:left="140"/>
              <w:spacing w:after="0"/>
              <w:rPr>
                <w:sz w:val="20"/>
                <w:szCs w:val="20"/>
                <w:color w:val="auto"/>
              </w:rPr>
            </w:pPr>
            <w:r>
              <w:rPr>
                <w:rFonts w:ascii="Arial" w:cs="Arial" w:eastAsia="Arial" w:hAnsi="Arial"/>
                <w:sz w:val="3"/>
                <w:szCs w:val="3"/>
                <w:color w:val="FFFFFF"/>
              </w:rPr>
              <w:t>COMMITMENTS AND CONTINGENCIES (CONTINUED)</w:t>
            </w:r>
          </w:p>
        </w:tc>
        <w:tc>
          <w:tcPr>
            <w:tcW w:w="1960" w:type="dxa"/>
            <w:vAlign w:val="bottom"/>
          </w:tcPr>
          <w:p>
            <w:pPr>
              <w:spacing w:after="0"/>
              <w:rPr>
                <w:sz w:val="3"/>
                <w:szCs w:val="3"/>
                <w:color w:val="auto"/>
              </w:rPr>
            </w:pPr>
          </w:p>
        </w:tc>
      </w:tr>
      <w:tr>
        <w:trPr>
          <w:trHeight w:val="54"/>
        </w:trPr>
        <w:tc>
          <w:tcPr>
            <w:tcW w:w="1220" w:type="dxa"/>
            <w:vAlign w:val="bottom"/>
            <w:gridSpan w:val="2"/>
          </w:tcPr>
          <w:p>
            <w:pPr>
              <w:spacing w:after="0" w:line="54" w:lineRule="exact"/>
              <w:rPr>
                <w:sz w:val="20"/>
                <w:szCs w:val="20"/>
                <w:color w:val="auto"/>
              </w:rPr>
            </w:pPr>
            <w:r>
              <w:rPr>
                <w:rFonts w:ascii="Arial" w:cs="Arial" w:eastAsia="Arial" w:hAnsi="Arial"/>
                <w:sz w:val="6"/>
                <w:szCs w:val="6"/>
                <w:color w:val="FFFFFF"/>
              </w:rPr>
              <w:t>Litigation (continued)</w:t>
            </w:r>
          </w:p>
        </w:tc>
        <w:tc>
          <w:tcPr>
            <w:tcW w:w="8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5780" w:type="dxa"/>
            <w:vAlign w:val="bottom"/>
          </w:tcPr>
          <w:p>
            <w:pPr>
              <w:spacing w:after="0"/>
              <w:rPr>
                <w:sz w:val="4"/>
                <w:szCs w:val="4"/>
                <w:color w:val="auto"/>
              </w:rPr>
            </w:pPr>
          </w:p>
        </w:tc>
        <w:tc>
          <w:tcPr>
            <w:tcW w:w="1960" w:type="dxa"/>
            <w:vAlign w:val="bottom"/>
          </w:tcPr>
          <w:p>
            <w:pPr>
              <w:spacing w:after="0"/>
              <w:rPr>
                <w:sz w:val="4"/>
                <w:szCs w:val="4"/>
                <w:color w:val="auto"/>
              </w:rPr>
            </w:pPr>
          </w:p>
        </w:tc>
      </w:tr>
      <w:tr>
        <w:trPr>
          <w:trHeight w:val="41"/>
        </w:trPr>
        <w:tc>
          <w:tcPr>
            <w:tcW w:w="9440" w:type="dxa"/>
            <w:vAlign w:val="bottom"/>
            <w:gridSpan w:val="5"/>
          </w:tcPr>
          <w:p>
            <w:pPr>
              <w:spacing w:after="0"/>
              <w:rPr>
                <w:sz w:val="20"/>
                <w:szCs w:val="20"/>
                <w:color w:val="auto"/>
              </w:rPr>
            </w:pPr>
            <w:r>
              <w:rPr>
                <w:rFonts w:ascii="Arial" w:cs="Arial" w:eastAsia="Arial" w:hAnsi="Arial"/>
                <w:sz w:val="3"/>
                <w:szCs w:val="3"/>
                <w:color w:val="FFFFFF"/>
              </w:rPr>
              <w:t>Determination of unsuitability and redemption of Aruze USA, Inc. and af? liates (continued)</w:t>
            </w:r>
          </w:p>
        </w:tc>
        <w:tc>
          <w:tcPr>
            <w:tcW w:w="1960" w:type="dxa"/>
            <w:vAlign w:val="bottom"/>
          </w:tcPr>
          <w:p>
            <w:pPr>
              <w:spacing w:after="0"/>
              <w:rPr>
                <w:sz w:val="3"/>
                <w:szCs w:val="3"/>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After authorizing the redemption of the Aruze USA, Inc. shares, the board of directors of Wynn Resorts took certain actions to protect Wynn Resorts and its operations from any infl uence of an unsuitable</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person, including placing limitations on the provision of certain operating information to unsuitable persons, evaluating whether to seek the removal of Mr. Okada from the Wynn Resorts’ board of directors, and</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the formation of an Executive Committee  f Wynn Resorts’ board of directors to manage the business and affairs of Wynn Resorts during the period between each annual meeting. The Charter of the Executive</w:t>
            </w:r>
          </w:p>
        </w:tc>
      </w:tr>
      <w:tr>
        <w:trPr>
          <w:trHeight w:val="41"/>
        </w:trPr>
        <w:tc>
          <w:tcPr>
            <w:tcW w:w="3660" w:type="dxa"/>
            <w:vAlign w:val="bottom"/>
            <w:gridSpan w:val="4"/>
          </w:tcPr>
          <w:p>
            <w:pPr>
              <w:spacing w:after="0"/>
              <w:rPr>
                <w:sz w:val="20"/>
                <w:szCs w:val="20"/>
                <w:color w:val="auto"/>
              </w:rPr>
            </w:pPr>
            <w:r>
              <w:rPr>
                <w:rFonts w:ascii="Arial" w:cs="Arial" w:eastAsia="Arial" w:hAnsi="Arial"/>
                <w:sz w:val="3"/>
                <w:szCs w:val="3"/>
                <w:color w:val="FFFFFF"/>
              </w:rPr>
              <w:t>Committee provides that “Unsuitable Persons” are not permitted</w:t>
            </w:r>
          </w:p>
        </w:tc>
        <w:tc>
          <w:tcPr>
            <w:tcW w:w="7740" w:type="dxa"/>
            <w:vAlign w:val="bottom"/>
            <w:gridSpan w:val="2"/>
          </w:tcPr>
          <w:p>
            <w:pPr>
              <w:spacing w:after="0"/>
              <w:rPr>
                <w:sz w:val="20"/>
                <w:szCs w:val="20"/>
                <w:color w:val="auto"/>
              </w:rPr>
            </w:pPr>
            <w:r>
              <w:rPr>
                <w:rFonts w:ascii="Arial" w:cs="Arial" w:eastAsia="Arial" w:hAnsi="Arial"/>
                <w:sz w:val="3"/>
                <w:szCs w:val="3"/>
                <w:color w:val="FFFFFF"/>
              </w:rPr>
              <w:t>serve on the Committee. All members of Wynn Resorts’ board of directors, other than Mr. Okada, were appointed to the Executive Committee</w:t>
            </w:r>
          </w:p>
        </w:tc>
      </w:tr>
      <w:tr>
        <w:trPr>
          <w:trHeight w:val="41"/>
        </w:trPr>
        <w:tc>
          <w:tcPr>
            <w:tcW w:w="2080" w:type="dxa"/>
            <w:vAlign w:val="bottom"/>
            <w:gridSpan w:val="3"/>
          </w:tcPr>
          <w:p>
            <w:pPr>
              <w:spacing w:after="0"/>
              <w:rPr>
                <w:sz w:val="20"/>
                <w:szCs w:val="20"/>
                <w:color w:val="auto"/>
              </w:rPr>
            </w:pPr>
            <w:r>
              <w:rPr>
                <w:rFonts w:ascii="Arial" w:cs="Arial" w:eastAsia="Arial" w:hAnsi="Arial"/>
                <w:sz w:val="3"/>
                <w:szCs w:val="3"/>
                <w:color w:val="FFFFFF"/>
              </w:rPr>
              <w:t>on 18 February 2012. On 24</w:t>
            </w:r>
          </w:p>
        </w:tc>
        <w:tc>
          <w:tcPr>
            <w:tcW w:w="1580" w:type="dxa"/>
            <w:vAlign w:val="bottom"/>
          </w:tcPr>
          <w:p>
            <w:pPr>
              <w:ind w:left="20"/>
              <w:spacing w:after="0"/>
              <w:rPr>
                <w:sz w:val="20"/>
                <w:szCs w:val="20"/>
                <w:color w:val="auto"/>
              </w:rPr>
            </w:pPr>
            <w:r>
              <w:rPr>
                <w:rFonts w:ascii="Arial" w:cs="Arial" w:eastAsia="Arial" w:hAnsi="Arial"/>
                <w:sz w:val="3"/>
                <w:szCs w:val="3"/>
                <w:color w:val="FFFFFF"/>
              </w:rPr>
              <w:t>2012, the Board of Directors</w:t>
            </w:r>
          </w:p>
        </w:tc>
        <w:tc>
          <w:tcPr>
            <w:tcW w:w="7740" w:type="dxa"/>
            <w:vAlign w:val="bottom"/>
            <w:gridSpan w:val="2"/>
          </w:tcPr>
          <w:p>
            <w:pPr>
              <w:ind w:left="80"/>
              <w:spacing w:after="0"/>
              <w:rPr>
                <w:sz w:val="20"/>
                <w:szCs w:val="20"/>
                <w:color w:val="auto"/>
              </w:rPr>
            </w:pPr>
            <w:r>
              <w:rPr>
                <w:rFonts w:ascii="Arial" w:cs="Arial" w:eastAsia="Arial" w:hAnsi="Arial"/>
                <w:sz w:val="3"/>
                <w:szCs w:val="3"/>
                <w:color w:val="FFFFFF"/>
              </w:rPr>
              <w:t>f the Company removed Mr. Kazuo Okada from the board. On 3 January 2013, Wynn Resorts fi led  defi nitive proxy statement on Schedule</w:t>
            </w: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14A (“Proxy</w:t>
            </w:r>
          </w:p>
        </w:tc>
        <w:tc>
          <w:tcPr>
            <w:tcW w:w="10180" w:type="dxa"/>
            <w:vAlign w:val="bottom"/>
            <w:gridSpan w:val="4"/>
          </w:tcPr>
          <w:p>
            <w:pPr>
              <w:ind w:left="200"/>
              <w:spacing w:after="0"/>
              <w:rPr>
                <w:sz w:val="20"/>
                <w:szCs w:val="20"/>
                <w:color w:val="auto"/>
              </w:rPr>
            </w:pPr>
            <w:r>
              <w:rPr>
                <w:rFonts w:ascii="Arial" w:cs="Arial" w:eastAsia="Arial" w:hAnsi="Arial"/>
                <w:sz w:val="3"/>
                <w:szCs w:val="3"/>
                <w:color w:val="FFFFFF"/>
              </w:rPr>
              <w:t>for Februaryspecial meeting of the stockholders to consider and vote upon a proposal to remove Mr. Okada as  director of Wynn Resorts (“Removal Proposal”). On 24 January 2013,</w:t>
            </w:r>
          </w:p>
        </w:tc>
      </w:tr>
      <w:tr>
        <w:trPr>
          <w:trHeight w:val="41"/>
        </w:trPr>
        <w:tc>
          <w:tcPr>
            <w:tcW w:w="9440" w:type="dxa"/>
            <w:vAlign w:val="bottom"/>
            <w:gridSpan w:val="5"/>
          </w:tcPr>
          <w:p>
            <w:pPr>
              <w:spacing w:after="0"/>
              <w:rPr>
                <w:sz w:val="20"/>
                <w:szCs w:val="20"/>
                <w:color w:val="auto"/>
              </w:rPr>
            </w:pPr>
            <w:r>
              <w:rPr>
                <w:rFonts w:ascii="Arial" w:cs="Arial" w:eastAsia="Arial" w:hAnsi="Arial"/>
                <w:sz w:val="3"/>
                <w:szCs w:val="3"/>
                <w:color w:val="FFFFFF"/>
              </w:rPr>
              <w:t>Mr. Okada fi Statement”)ledcomplaint in the United States District Court, District of Nevada against Wynn Resorts, alleging that Proxy Statement was materially false and</w:t>
            </w:r>
          </w:p>
        </w:tc>
        <w:tc>
          <w:tcPr>
            <w:tcW w:w="1960" w:type="dxa"/>
            <w:vAlign w:val="bottom"/>
          </w:tcPr>
          <w:p>
            <w:pPr>
              <w:ind w:left="100"/>
              <w:spacing w:after="0"/>
              <w:rPr>
                <w:sz w:val="20"/>
                <w:szCs w:val="20"/>
                <w:color w:val="auto"/>
              </w:rPr>
            </w:pPr>
            <w:r>
              <w:rPr>
                <w:rFonts w:ascii="Arial" w:cs="Arial" w:eastAsia="Arial" w:hAnsi="Arial"/>
                <w:sz w:val="3"/>
                <w:szCs w:val="3"/>
                <w:color w:val="FFFFFF"/>
              </w:rPr>
              <w:t>contravention of Section 14(a) of</w:t>
            </w:r>
          </w:p>
        </w:tc>
      </w:tr>
      <w:tr>
        <w:trPr>
          <w:trHeight w:val="41"/>
        </w:trPr>
        <w:tc>
          <w:tcPr>
            <w:tcW w:w="1220" w:type="dxa"/>
            <w:vAlign w:val="bottom"/>
            <w:gridSpan w:val="2"/>
          </w:tcPr>
          <w:p>
            <w:pPr>
              <w:spacing w:after="0"/>
              <w:rPr>
                <w:sz w:val="20"/>
                <w:szCs w:val="20"/>
                <w:color w:val="auto"/>
              </w:rPr>
            </w:pPr>
            <w:r>
              <w:rPr>
                <w:rFonts w:ascii="Arial" w:cs="Arial" w:eastAsia="Arial" w:hAnsi="Arial"/>
                <w:sz w:val="3"/>
                <w:szCs w:val="3"/>
                <w:color w:val="FFFFFF"/>
              </w:rPr>
              <w:t>the Securities</w:t>
            </w:r>
          </w:p>
        </w:tc>
        <w:tc>
          <w:tcPr>
            <w:tcW w:w="8220" w:type="dxa"/>
            <w:vAlign w:val="bottom"/>
            <w:gridSpan w:val="3"/>
          </w:tcPr>
          <w:p>
            <w:pPr>
              <w:ind w:left="120"/>
              <w:spacing w:after="0"/>
              <w:rPr>
                <w:sz w:val="20"/>
                <w:szCs w:val="20"/>
                <w:color w:val="auto"/>
              </w:rPr>
            </w:pPr>
            <w:r>
              <w:rPr>
                <w:rFonts w:ascii="Arial" w:cs="Arial" w:eastAsia="Arial" w:hAnsi="Arial"/>
                <w:sz w:val="3"/>
                <w:szCs w:val="3"/>
                <w:color w:val="FFFFFF"/>
              </w:rPr>
              <w:t>Act of 1934, as amended, and Securities and Exchange Commission Rule 14a-9 promulgated thereunder. Mr. Okada also ? led  motion formisleading</w:t>
            </w:r>
          </w:p>
        </w:tc>
        <w:tc>
          <w:tcPr>
            <w:tcW w:w="1960" w:type="dxa"/>
            <w:vAlign w:val="bottom"/>
          </w:tcPr>
          <w:p>
            <w:pPr>
              <w:ind w:left="220"/>
              <w:spacing w:after="0"/>
              <w:rPr>
                <w:sz w:val="20"/>
                <w:szCs w:val="20"/>
                <w:color w:val="auto"/>
              </w:rPr>
            </w:pPr>
            <w:r>
              <w:rPr>
                <w:rFonts w:ascii="Arial" w:cs="Arial" w:eastAsia="Arial" w:hAnsi="Arial"/>
                <w:sz w:val="3"/>
                <w:szCs w:val="3"/>
                <w:color w:val="FFFFFF"/>
              </w:rPr>
              <w:t>injunction on 28 January 2013,</w:t>
            </w:r>
          </w:p>
        </w:tc>
      </w:tr>
      <w:tr>
        <w:trPr>
          <w:trHeight w:val="0"/>
        </w:trPr>
        <w:tc>
          <w:tcPr>
            <w:tcW w:w="1220" w:type="dxa"/>
            <w:vAlign w:val="bottom"/>
            <w:gridSpan w:val="2"/>
          </w:tcPr>
          <w:p>
            <w:pPr>
              <w:spacing w:after="0" w:line="121" w:lineRule="exact"/>
              <w:rPr>
                <w:sz w:val="20"/>
                <w:szCs w:val="20"/>
                <w:color w:val="auto"/>
              </w:rPr>
            </w:pPr>
            <w:r>
              <w:rPr>
                <w:rFonts w:ascii="Arial" w:cs="Arial" w:eastAsia="Arial" w:hAnsi="Arial"/>
                <w:sz w:val="12"/>
                <w:szCs w:val="12"/>
                <w:color w:val="FFFFFF"/>
              </w:rPr>
              <w:t>in which he sought</w:t>
            </w:r>
          </w:p>
        </w:tc>
        <w:tc>
          <w:tcPr>
            <w:tcW w:w="10180" w:type="dxa"/>
            <w:vAlign w:val="bottom"/>
            <w:gridSpan w:val="4"/>
          </w:tcPr>
          <w:p>
            <w:pPr>
              <w:spacing w:after="0" w:line="121" w:lineRule="exact"/>
              <w:rPr>
                <w:sz w:val="20"/>
                <w:szCs w:val="20"/>
                <w:color w:val="auto"/>
              </w:rPr>
            </w:pPr>
            <w:r>
              <w:rPr>
                <w:rFonts w:ascii="Arial" w:cs="Arial" w:eastAsia="Arial" w:hAnsi="Arial"/>
                <w:sz w:val="12"/>
                <w:szCs w:val="12"/>
                <w:color w:val="FFFFFF"/>
              </w:rPr>
              <w:t>order preliminarily enjoining the special meeting of stockholders until such time as Wynn Resorts corrected certain alleged misstatements and omissionspreliminary its Proxy Statement. At the</w:t>
            </w:r>
          </w:p>
        </w:tc>
      </w:tr>
    </w:tbl>
    <w:p>
      <w:pPr>
        <w:spacing w:after="0" w:line="25" w:lineRule="auto"/>
        <w:rPr>
          <w:sz w:val="20"/>
          <w:szCs w:val="20"/>
          <w:color w:val="auto"/>
        </w:rPr>
      </w:pPr>
      <w:r>
        <w:rPr>
          <w:rFonts w:ascii="Arial" w:cs="Arial" w:eastAsia="Arial" w:hAnsi="Arial"/>
          <w:sz w:val="1"/>
          <w:szCs w:val="1"/>
          <w:color w:val="FFFFFF"/>
        </w:rPr>
        <w:t>conclusion of Exchangehearingheld on 15 February 2013, the federal court denied Mr. Okada’</w:t>
      </w:r>
      <w:r>
        <w:rPr>
          <w:rFonts w:ascii="Arial" w:cs="Arial" w:eastAsia="Arial" w:hAnsi="Arial"/>
          <w:sz w:val="1"/>
          <w:szCs w:val="1"/>
          <w:color w:val="FFFFFF"/>
          <w:vertAlign w:val="subscript"/>
        </w:rPr>
        <w:t>Resorts</w:t>
      </w:r>
      <w:r>
        <w:rPr>
          <w:rFonts w:ascii="Arial" w:cs="Arial" w:eastAsia="Arial" w:hAnsi="Arial"/>
          <w:sz w:val="1"/>
          <w:szCs w:val="1"/>
          <w:color w:val="FFFFFF"/>
        </w:rPr>
        <w:t>motion.</w:t>
      </w:r>
    </w:p>
    <w:p>
      <w:pPr>
        <w:spacing w:after="0" w:line="187" w:lineRule="auto"/>
        <w:tabs>
          <w:tab w:leader="none" w:pos="4820" w:val="left"/>
        </w:tabs>
        <w:rPr>
          <w:sz w:val="20"/>
          <w:szCs w:val="20"/>
          <w:color w:val="auto"/>
        </w:rPr>
      </w:pPr>
      <w:r>
        <w:rPr>
          <w:rFonts w:ascii="Arial" w:cs="Arial" w:eastAsia="Arial" w:hAnsi="Arial"/>
          <w:sz w:val="9"/>
          <w:szCs w:val="9"/>
          <w:color w:val="FFFFFF"/>
        </w:rPr>
        <w:t>On the afternoon of 21 February 2013, Mr. Okada resigned as a director of Wynn</w:t>
      </w:r>
      <w:r>
        <w:rPr>
          <w:sz w:val="20"/>
          <w:szCs w:val="20"/>
          <w:color w:val="auto"/>
        </w:rPr>
        <w:tab/>
      </w:r>
      <w:r>
        <w:rPr>
          <w:rFonts w:ascii="Arial" w:cs="Arial" w:eastAsia="Arial" w:hAnsi="Arial"/>
          <w:sz w:val="9"/>
          <w:szCs w:val="9"/>
          <w:color w:val="FFFFFF"/>
        </w:rPr>
        <w:t>. On</w:t>
      </w:r>
    </w:p>
    <w:p>
      <w:pPr>
        <w:spacing w:after="0"/>
        <w:rPr>
          <w:sz w:val="20"/>
          <w:szCs w:val="20"/>
          <w:color w:val="auto"/>
        </w:rPr>
      </w:pPr>
      <w:r>
        <w:rPr>
          <w:rFonts w:ascii="Arial" w:cs="Arial" w:eastAsia="Arial" w:hAnsi="Arial"/>
          <w:sz w:val="8"/>
          <w:szCs w:val="8"/>
          <w:color w:val="FFFFFF"/>
        </w:rPr>
        <w:t>(99.22February6%ofthe2013,sharesthethatspecialweremeetingvotedatofthestockholdersspecialmeetingwas heldofstockholdersandthestockholderswerevotedapprovedinfavor theoftheRemovalRemovalProposalProposal)with. an af? rmative vote of 85.7% of the shares entitled to vote at the special meeting</w:t>
      </w:r>
    </w:p>
    <w:p>
      <w:pPr>
        <w:sectPr>
          <w:pgSz w:w="11900" w:h="16838" w:orient="portrait"/>
          <w:cols w:equalWidth="0" w:num="1">
            <w:col w:w="11400"/>
          </w:cols>
          <w:pgMar w:left="240" w:top="1440" w:right="25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color w:val="FFFFFF"/>
              </w:rPr>
              <w:t>150 Wynn Macau, Limited</w:t>
            </w:r>
          </w:p>
        </w:tc>
        <w:tc>
          <w:tcPr>
            <w:tcW w:w="13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1320" w:type="dxa"/>
            <w:vAlign w:val="bottom"/>
          </w:tcPr>
          <w:p>
            <w:pPr>
              <w:spacing w:after="0"/>
              <w:rPr>
                <w:sz w:val="3"/>
                <w:szCs w:val="3"/>
                <w:color w:val="auto"/>
              </w:rPr>
            </w:pPr>
          </w:p>
        </w:tc>
        <w:tc>
          <w:tcPr>
            <w:tcW w:w="33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60" w:type="dxa"/>
            <w:vAlign w:val="bottom"/>
            <w:gridSpan w:val="3"/>
          </w:tcPr>
          <w:p>
            <w:pPr>
              <w:spacing w:after="0"/>
              <w:rPr>
                <w:sz w:val="20"/>
                <w:szCs w:val="20"/>
                <w:color w:val="auto"/>
              </w:rPr>
            </w:pPr>
            <w:r>
              <w:rPr>
                <w:rFonts w:ascii="Arial" w:cs="Arial" w:eastAsia="Arial" w:hAnsi="Arial"/>
                <w:sz w:val="3"/>
                <w:szCs w:val="3"/>
                <w:color w:val="FFFFFF"/>
              </w:rPr>
              <w:t>For the year ended 31 December 2012</w:t>
            </w:r>
          </w:p>
        </w:tc>
        <w:tc>
          <w:tcPr>
            <w:tcW w:w="33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27.</w:t>
            </w:r>
          </w:p>
        </w:tc>
        <w:tc>
          <w:tcPr>
            <w:tcW w:w="5920" w:type="dxa"/>
            <w:vAlign w:val="bottom"/>
            <w:gridSpan w:val="3"/>
          </w:tcPr>
          <w:p>
            <w:pPr>
              <w:ind w:left="100"/>
              <w:spacing w:after="0"/>
              <w:rPr>
                <w:sz w:val="20"/>
                <w:szCs w:val="20"/>
                <w:color w:val="auto"/>
              </w:rPr>
            </w:pPr>
            <w:r>
              <w:rPr>
                <w:rFonts w:ascii="Arial" w:cs="Arial" w:eastAsia="Arial" w:hAnsi="Arial"/>
                <w:sz w:val="3"/>
                <w:szCs w:val="3"/>
                <w:color w:val="FFFFFF"/>
              </w:rPr>
              <w:t>COMMITMENTS AND CONTINGENCIES (CONTINUED)</w:t>
            </w: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640" w:type="dxa"/>
            <w:vAlign w:val="bottom"/>
            <w:gridSpan w:val="2"/>
          </w:tcPr>
          <w:p>
            <w:pPr>
              <w:spacing w:after="0" w:line="54" w:lineRule="exact"/>
              <w:rPr>
                <w:sz w:val="20"/>
                <w:szCs w:val="20"/>
                <w:color w:val="auto"/>
              </w:rPr>
            </w:pPr>
            <w:r>
              <w:rPr>
                <w:rFonts w:ascii="Arial" w:cs="Arial" w:eastAsia="Arial" w:hAnsi="Arial"/>
                <w:sz w:val="6"/>
                <w:szCs w:val="6"/>
                <w:color w:val="FFFFFF"/>
              </w:rPr>
              <w:t>Litigation (continued)</w:t>
            </w:r>
          </w:p>
        </w:tc>
        <w:tc>
          <w:tcPr>
            <w:tcW w:w="1320" w:type="dxa"/>
            <w:vAlign w:val="bottom"/>
          </w:tcPr>
          <w:p>
            <w:pPr>
              <w:spacing w:after="0"/>
              <w:rPr>
                <w:sz w:val="4"/>
                <w:szCs w:val="4"/>
                <w:color w:val="auto"/>
              </w:rPr>
            </w:pPr>
          </w:p>
        </w:tc>
        <w:tc>
          <w:tcPr>
            <w:tcW w:w="3320" w:type="dxa"/>
            <w:vAlign w:val="bottom"/>
          </w:tcPr>
          <w:p>
            <w:pPr>
              <w:spacing w:after="0"/>
              <w:rPr>
                <w:sz w:val="4"/>
                <w:szCs w:val="4"/>
                <w:color w:val="auto"/>
              </w:rPr>
            </w:pPr>
          </w:p>
        </w:tc>
        <w:tc>
          <w:tcPr>
            <w:tcW w:w="31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6280" w:type="dxa"/>
            <w:vAlign w:val="bottom"/>
            <w:gridSpan w:val="4"/>
          </w:tcPr>
          <w:p>
            <w:pPr>
              <w:spacing w:after="0"/>
              <w:rPr>
                <w:sz w:val="20"/>
                <w:szCs w:val="20"/>
                <w:color w:val="auto"/>
              </w:rPr>
            </w:pPr>
            <w:r>
              <w:rPr>
                <w:rFonts w:ascii="Arial" w:cs="Arial" w:eastAsia="Arial" w:hAnsi="Arial"/>
                <w:sz w:val="3"/>
                <w:szCs w:val="3"/>
                <w:color w:val="FFFFFF"/>
              </w:rPr>
              <w:t>Determination of unsuitability and redemption of Aruze USA, Inc. and af? liates (continued)</w:t>
            </w:r>
          </w:p>
        </w:tc>
        <w:tc>
          <w:tcPr>
            <w:tcW w:w="3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60" w:type="dxa"/>
            <w:vAlign w:val="bottom"/>
            <w:gridSpan w:val="3"/>
          </w:tcPr>
          <w:p>
            <w:pPr>
              <w:spacing w:after="0"/>
              <w:rPr>
                <w:sz w:val="20"/>
                <w:szCs w:val="20"/>
                <w:color w:val="auto"/>
              </w:rPr>
            </w:pPr>
            <w:r>
              <w:rPr>
                <w:rFonts w:ascii="Arial" w:cs="Arial" w:eastAsia="Arial" w:hAnsi="Arial"/>
                <w:sz w:val="3"/>
                <w:szCs w:val="3"/>
                <w:color w:val="FFFFFF"/>
              </w:rPr>
              <w:t>Redemption action and counterclaim</w:t>
            </w:r>
          </w:p>
        </w:tc>
        <w:tc>
          <w:tcPr>
            <w:tcW w:w="33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20" w:type="dxa"/>
            <w:vAlign w:val="bottom"/>
            <w:vMerge w:val="restart"/>
          </w:tcPr>
          <w:p>
            <w:pPr>
              <w:ind w:left="420"/>
              <w:spacing w:after="0" w:line="81" w:lineRule="exact"/>
              <w:rPr>
                <w:sz w:val="20"/>
                <w:szCs w:val="20"/>
                <w:color w:val="auto"/>
              </w:rPr>
            </w:pPr>
            <w:r>
              <w:rPr>
                <w:rFonts w:ascii="Arial" w:cs="Arial" w:eastAsia="Arial" w:hAnsi="Arial"/>
                <w:sz w:val="9"/>
                <w:szCs w:val="9"/>
                <w:color w:val="FFFFFF"/>
              </w:rPr>
              <w:t>Corporation (companies</w:t>
            </w:r>
          </w:p>
        </w:tc>
        <w:tc>
          <w:tcPr>
            <w:tcW w:w="0" w:type="dxa"/>
            <w:vAlign w:val="bottom"/>
          </w:tcPr>
          <w:p>
            <w:pPr>
              <w:spacing w:after="0"/>
              <w:rPr>
                <w:sz w:val="1"/>
                <w:szCs w:val="1"/>
                <w:color w:val="auto"/>
              </w:rPr>
            </w:pPr>
          </w:p>
        </w:tc>
      </w:tr>
      <w:tr>
        <w:trPr>
          <w:trHeight w:val="41"/>
        </w:trPr>
        <w:tc>
          <w:tcPr>
            <w:tcW w:w="9400" w:type="dxa"/>
            <w:vAlign w:val="bottom"/>
            <w:gridSpan w:val="5"/>
          </w:tcPr>
          <w:p>
            <w:pPr>
              <w:spacing w:after="0"/>
              <w:rPr>
                <w:sz w:val="20"/>
                <w:szCs w:val="20"/>
                <w:color w:val="auto"/>
              </w:rPr>
            </w:pPr>
            <w:r>
              <w:rPr>
                <w:rFonts w:ascii="Arial" w:cs="Arial" w:eastAsia="Arial" w:hAnsi="Arial"/>
                <w:sz w:val="3"/>
                <w:szCs w:val="3"/>
                <w:color w:val="FFFFFF"/>
              </w:rPr>
              <w:t>On 19 February 2012, Wynn Resorts ? led  complaint in the Eighth Judicial District Court, Clark County, Nevada against Mr. Okada, Aruze USA, Inc. and Universal</w:t>
            </w:r>
          </w:p>
        </w:tc>
        <w:tc>
          <w:tcPr>
            <w:tcW w:w="20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controlled by Mr. Okada) (the “Okada Parties”), alleging breaches of fi duciary duty and related claims. Wynn Resorts is seeking compensatory and special damages asEntertainmentwellasdeclaration that it acted lawfully</w:t>
            </w:r>
          </w:p>
        </w:tc>
        <w:tc>
          <w:tcPr>
            <w:tcW w:w="0" w:type="dxa"/>
            <w:vAlign w:val="bottom"/>
          </w:tcPr>
          <w:p>
            <w:pPr>
              <w:spacing w:after="0"/>
              <w:rPr>
                <w:sz w:val="1"/>
                <w:szCs w:val="1"/>
                <w:color w:val="auto"/>
              </w:rPr>
            </w:pPr>
          </w:p>
        </w:tc>
      </w:tr>
      <w:tr>
        <w:trPr>
          <w:trHeight w:val="41"/>
        </w:trPr>
        <w:tc>
          <w:tcPr>
            <w:tcW w:w="9400" w:type="dxa"/>
            <w:vAlign w:val="bottom"/>
            <w:gridSpan w:val="5"/>
          </w:tcPr>
          <w:p>
            <w:pPr>
              <w:ind w:left="240"/>
              <w:spacing w:after="0"/>
              <w:rPr>
                <w:sz w:val="20"/>
                <w:szCs w:val="20"/>
                <w:color w:val="auto"/>
              </w:rPr>
            </w:pPr>
            <w:r>
              <w:rPr>
                <w:rFonts w:ascii="Arial" w:cs="Arial" w:eastAsia="Arial" w:hAnsi="Arial"/>
                <w:sz w:val="3"/>
                <w:szCs w:val="3"/>
                <w:color w:val="FFFFFF"/>
              </w:rPr>
              <w:t>in full compliance with its articles of incorporation, bylaws and other governing documents in redeeming and cancelling the shares of Aruze, USA, Inc.</w:t>
            </w:r>
          </w:p>
        </w:tc>
        <w:tc>
          <w:tcPr>
            <w:tcW w:w="2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60" w:type="dxa"/>
            <w:vAlign w:val="bottom"/>
            <w:gridSpan w:val="3"/>
          </w:tcPr>
          <w:p>
            <w:pPr>
              <w:spacing w:after="0"/>
              <w:rPr>
                <w:sz w:val="20"/>
                <w:szCs w:val="20"/>
                <w:color w:val="auto"/>
              </w:rPr>
            </w:pPr>
            <w:r>
              <w:rPr>
                <w:rFonts w:ascii="Arial" w:cs="Arial" w:eastAsia="Arial" w:hAnsi="Arial"/>
                <w:sz w:val="3"/>
                <w:szCs w:val="3"/>
                <w:color w:val="FFFFFF"/>
              </w:rPr>
              <w:t>and 12 March 2012, the Okada Parties removed the</w:t>
            </w:r>
          </w:p>
        </w:tc>
        <w:tc>
          <w:tcPr>
            <w:tcW w:w="8460" w:type="dxa"/>
            <w:vAlign w:val="bottom"/>
            <w:gridSpan w:val="3"/>
          </w:tcPr>
          <w:p>
            <w:pPr>
              <w:ind w:left="200"/>
              <w:spacing w:after="0"/>
              <w:rPr>
                <w:sz w:val="20"/>
                <w:szCs w:val="20"/>
                <w:color w:val="auto"/>
              </w:rPr>
            </w:pPr>
            <w:r>
              <w:rPr>
                <w:rFonts w:ascii="Arial" w:cs="Arial" w:eastAsia="Arial" w:hAnsi="Arial"/>
                <w:sz w:val="3"/>
                <w:szCs w:val="3"/>
                <w:color w:val="FFFFFF"/>
              </w:rPr>
              <w:t>to the United States District Court for the District of Nevada (the action was subsequently remanded to Nevada state court). On that same date, the</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Okada Parties ? led an answer denying the claims andactioncounterclaim that purports to assert claims against Wynn Resorts, each of the members of the Wynn Resorts’ board of directors (other than Mr. Okada) and</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Wynn Resorts’ General Counsel (the “Wynn Parties”). As amended, the Okada Parties’ counterclaim alleges, among other things: (1) that the shares of Wynn Resorts common stock owned by Aruze USA, Inc.</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were exempt from the redemption-for-unsuitability provisions in the Wynn Resorts articles of incorporation pursuant to certain agreements executed in 2002; (2) that the Wynn Resorts directors who authorized</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the redemption of Aruze USA, Inc.’s shares acted at the direction of Mr. Stephen A. Wynn and did not independently and objectively evaluate Mr. Okada’s, Universal Entertainment Corporation’s, and Aruze</w:t>
            </w:r>
          </w:p>
        </w:tc>
        <w:tc>
          <w:tcPr>
            <w:tcW w:w="0" w:type="dxa"/>
            <w:vAlign w:val="bottom"/>
          </w:tcPr>
          <w:p>
            <w:pPr>
              <w:spacing w:after="0"/>
              <w:rPr>
                <w:sz w:val="1"/>
                <w:szCs w:val="1"/>
                <w:color w:val="auto"/>
              </w:rPr>
            </w:pPr>
          </w:p>
        </w:tc>
      </w:tr>
      <w:tr>
        <w:trPr>
          <w:trHeight w:val="41"/>
        </w:trPr>
        <w:tc>
          <w:tcPr>
            <w:tcW w:w="11420" w:type="dxa"/>
            <w:vAlign w:val="bottom"/>
            <w:gridSpan w:val="6"/>
          </w:tcPr>
          <w:p>
            <w:pPr>
              <w:spacing w:after="0"/>
              <w:rPr>
                <w:sz w:val="20"/>
                <w:szCs w:val="20"/>
                <w:color w:val="auto"/>
              </w:rPr>
            </w:pPr>
            <w:r>
              <w:rPr>
                <w:rFonts w:ascii="Arial" w:cs="Arial" w:eastAsia="Arial" w:hAnsi="Arial"/>
                <w:sz w:val="3"/>
                <w:szCs w:val="3"/>
                <w:color w:val="FFFFFF"/>
              </w:rPr>
              <w:t>USA, Inc.’s suitability, and by so doing, breached their fi duciary duties; (3) that the Wynn Resorts directors violated the terms of the Wynn Resorts articles of incorporation by failing to pay Aruze USA, Inc. fair</w:t>
            </w:r>
          </w:p>
        </w:tc>
        <w:tc>
          <w:tcPr>
            <w:tcW w:w="0" w:type="dxa"/>
            <w:vAlign w:val="bottom"/>
          </w:tcPr>
          <w:p>
            <w:pPr>
              <w:spacing w:after="0"/>
              <w:rPr>
                <w:sz w:val="1"/>
                <w:szCs w:val="1"/>
                <w:color w:val="auto"/>
              </w:rPr>
            </w:pPr>
          </w:p>
        </w:tc>
      </w:tr>
      <w:tr>
        <w:trPr>
          <w:trHeight w:val="41"/>
        </w:trPr>
        <w:tc>
          <w:tcPr>
            <w:tcW w:w="6280" w:type="dxa"/>
            <w:vAlign w:val="bottom"/>
            <w:gridSpan w:val="4"/>
          </w:tcPr>
          <w:p>
            <w:pPr>
              <w:spacing w:after="0"/>
              <w:rPr>
                <w:sz w:val="20"/>
                <w:szCs w:val="20"/>
                <w:color w:val="auto"/>
              </w:rPr>
            </w:pPr>
            <w:r>
              <w:rPr>
                <w:rFonts w:ascii="Arial" w:cs="Arial" w:eastAsia="Arial" w:hAnsi="Arial"/>
                <w:sz w:val="3"/>
                <w:szCs w:val="3"/>
                <w:color w:val="FFFFFF"/>
              </w:rPr>
              <w:t>value for the redeemed shar s; and (4) that the terms of the Redemption Note that Aruze USA, Inc. received in</w:t>
            </w:r>
          </w:p>
        </w:tc>
        <w:tc>
          <w:tcPr>
            <w:tcW w:w="5140" w:type="dxa"/>
            <w:vAlign w:val="bottom"/>
            <w:gridSpan w:val="2"/>
          </w:tcPr>
          <w:p>
            <w:pPr>
              <w:ind w:left="280"/>
              <w:spacing w:after="0"/>
              <w:rPr>
                <w:sz w:val="20"/>
                <w:szCs w:val="20"/>
                <w:color w:val="auto"/>
              </w:rPr>
            </w:pPr>
            <w:r>
              <w:rPr>
                <w:rFonts w:ascii="Arial" w:cs="Arial" w:eastAsia="Arial" w:hAnsi="Arial"/>
                <w:sz w:val="3"/>
                <w:szCs w:val="3"/>
                <w:color w:val="FFFFFF"/>
              </w:rPr>
              <w:t>for the redeemed shares, including the Redemption Note’s principal amount, duration,</w:t>
            </w:r>
          </w:p>
        </w:tc>
        <w:tc>
          <w:tcPr>
            <w:tcW w:w="0" w:type="dxa"/>
            <w:vAlign w:val="bottom"/>
          </w:tcPr>
          <w:p>
            <w:pPr>
              <w:spacing w:after="0"/>
              <w:rPr>
                <w:sz w:val="1"/>
                <w:szCs w:val="1"/>
                <w:color w:val="auto"/>
              </w:rPr>
            </w:pPr>
          </w:p>
        </w:tc>
      </w:tr>
      <w:tr>
        <w:trPr>
          <w:trHeight w:val="41"/>
        </w:trPr>
        <w:tc>
          <w:tcPr>
            <w:tcW w:w="1640" w:type="dxa"/>
            <w:vAlign w:val="bottom"/>
            <w:gridSpan w:val="2"/>
          </w:tcPr>
          <w:p>
            <w:pPr>
              <w:spacing w:after="0"/>
              <w:rPr>
                <w:sz w:val="20"/>
                <w:szCs w:val="20"/>
                <w:color w:val="auto"/>
              </w:rPr>
            </w:pPr>
            <w:r>
              <w:rPr>
                <w:rFonts w:ascii="Arial" w:cs="Arial" w:eastAsia="Arial" w:hAnsi="Arial"/>
                <w:sz w:val="3"/>
                <w:szCs w:val="3"/>
                <w:color w:val="FFFFFF"/>
              </w:rPr>
              <w:t>interest rate, and</w:t>
            </w:r>
          </w:p>
        </w:tc>
        <w:tc>
          <w:tcPr>
            <w:tcW w:w="9780" w:type="dxa"/>
            <w:vAlign w:val="bottom"/>
            <w:gridSpan w:val="4"/>
          </w:tcPr>
          <w:p>
            <w:pPr>
              <w:ind w:left="20"/>
              <w:spacing w:after="0"/>
              <w:rPr>
                <w:sz w:val="20"/>
                <w:szCs w:val="20"/>
                <w:color w:val="auto"/>
              </w:rPr>
            </w:pPr>
            <w:r>
              <w:rPr>
                <w:rFonts w:ascii="Arial" w:cs="Arial" w:eastAsia="Arial" w:hAnsi="Arial"/>
                <w:sz w:val="3"/>
                <w:szCs w:val="3"/>
                <w:color w:val="FFFFFF"/>
              </w:rPr>
              <w:t>status, were unconscionable. Among other relief, the amended counterclaim seeksexchangedeclaration that the redemption of Aruze USA, Inc.’s shares was void, an injunction restoring</w:t>
            </w:r>
          </w:p>
        </w:tc>
        <w:tc>
          <w:tcPr>
            <w:tcW w:w="0" w:type="dxa"/>
            <w:vAlign w:val="bottom"/>
          </w:tcPr>
          <w:p>
            <w:pPr>
              <w:spacing w:after="0"/>
              <w:rPr>
                <w:sz w:val="1"/>
                <w:szCs w:val="1"/>
                <w:color w:val="auto"/>
              </w:rPr>
            </w:pPr>
          </w:p>
        </w:tc>
      </w:tr>
      <w:tr>
        <w:trPr>
          <w:trHeight w:val="0"/>
        </w:trPr>
        <w:tc>
          <w:tcPr>
            <w:tcW w:w="360" w:type="dxa"/>
            <w:vAlign w:val="bottom"/>
          </w:tcPr>
          <w:p>
            <w:pPr>
              <w:spacing w:after="0"/>
              <w:rPr>
                <w:sz w:val="20"/>
                <w:szCs w:val="20"/>
                <w:color w:val="auto"/>
              </w:rPr>
            </w:pPr>
            <w:r>
              <w:rPr>
                <w:rFonts w:ascii="Arial" w:cs="Arial" w:eastAsia="Arial" w:hAnsi="Arial"/>
                <w:sz w:val="3"/>
                <w:szCs w:val="3"/>
                <w:color w:val="FFFFFF"/>
              </w:rPr>
              <w:t>Aruze</w:t>
            </w:r>
          </w:p>
        </w:tc>
        <w:tc>
          <w:tcPr>
            <w:tcW w:w="11060" w:type="dxa"/>
            <w:vAlign w:val="bottom"/>
            <w:gridSpan w:val="5"/>
          </w:tcPr>
          <w:p>
            <w:pPr>
              <w:ind w:left="20"/>
              <w:spacing w:after="0"/>
              <w:rPr>
                <w:sz w:val="20"/>
                <w:szCs w:val="20"/>
                <w:color w:val="auto"/>
              </w:rPr>
            </w:pPr>
            <w:r>
              <w:rPr>
                <w:rFonts w:ascii="Arial" w:cs="Arial" w:eastAsia="Arial" w:hAnsi="Arial"/>
                <w:sz w:val="3"/>
                <w:szCs w:val="3"/>
                <w:color w:val="FFFFFF"/>
              </w:rPr>
              <w:t>USA, Inc.’subordinatedshareownership, damages in an unspecifi ed amount and rescission of the amended and restated stockholders agreement, dated as of 6 January 2010, by and among Aruze USA, Inc.,</w:t>
            </w: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8"/>
          <w:szCs w:val="8"/>
          <w:color w:val="FFFFFF"/>
        </w:rPr>
        <w:t>Mr. Stephen A. Wynn and Ms. Elaine P. Wynn as amended from time to time. On 31 August 2012, Aruze USA, Inc. ? led a motion for preliminary injunction with the Nevada state court. The motion sought an order that would prohibit Wynn Resorts from barring or preventing Aruze USA, Inc. from exercising rights as a stockholder at the 2 November 2012 annual meeting of Wynn Resorts’ stockholders. On 2 October 2012, the Nevada state court denied Aruze USA, Inc.’s motion for preliminary injunction. On 19 October 2012, Aruze USA, Inc. fi led a notice of appeal with the Nevada Supreme Court. The appeal was assigned to the Nevada Supreme Court’s mediation program, has not progressed, and is pending. Wynn Resorts intends to vigorously defend against the appeal and to argue that the Nevada Supreme Court should affi rm the state court’s decision denying Aruze USA, Inc.’s motion for a preliminary injunction.</w:t>
      </w:r>
    </w:p>
    <w:p>
      <w:pPr>
        <w:sectPr>
          <w:pgSz w:w="11900" w:h="16838" w:orient="portrait"/>
          <w:cols w:equalWidth="0" w:num="1">
            <w:col w:w="11420"/>
          </w:cols>
          <w:pgMar w:left="240" w:top="1440" w:right="23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gridSpan w:val="2"/>
          </w:tcPr>
          <w:p>
            <w:pPr>
              <w:spacing w:after="0"/>
              <w:rPr>
                <w:sz w:val="20"/>
                <w:szCs w:val="20"/>
                <w:color w:val="auto"/>
              </w:rPr>
            </w:pPr>
            <w:r>
              <w:rPr>
                <w:rFonts w:ascii="Arial" w:cs="Arial" w:eastAsia="Arial" w:hAnsi="Arial"/>
                <w:sz w:val="14"/>
                <w:szCs w:val="14"/>
                <w:color w:val="FFFFFF"/>
              </w:rPr>
              <w:t>Annual Report 2012 151</w:t>
            </w:r>
          </w:p>
        </w:tc>
        <w:tc>
          <w:tcPr>
            <w:tcW w:w="8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8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800" w:type="dxa"/>
            <w:vAlign w:val="bottom"/>
          </w:tcPr>
          <w:p>
            <w:pPr>
              <w:spacing w:after="0"/>
              <w:rPr>
                <w:sz w:val="3"/>
                <w:szCs w:val="3"/>
                <w:color w:val="auto"/>
              </w:rPr>
            </w:pPr>
          </w:p>
        </w:tc>
        <w:tc>
          <w:tcPr>
            <w:tcW w:w="32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108"/>
        </w:trPr>
        <w:tc>
          <w:tcPr>
            <w:tcW w:w="2380" w:type="dxa"/>
            <w:vAlign w:val="bottom"/>
            <w:gridSpan w:val="2"/>
          </w:tcPr>
          <w:p>
            <w:pPr>
              <w:spacing w:after="0" w:line="108" w:lineRule="exact"/>
              <w:rPr>
                <w:sz w:val="20"/>
                <w:szCs w:val="20"/>
                <w:color w:val="auto"/>
              </w:rPr>
            </w:pPr>
            <w:r>
              <w:rPr>
                <w:rFonts w:ascii="Arial" w:cs="Arial" w:eastAsia="Arial" w:hAnsi="Arial"/>
                <w:sz w:val="12"/>
                <w:szCs w:val="12"/>
                <w:color w:val="FFFFFF"/>
              </w:rPr>
              <w:t>For the year ended 31 December 2012</w:t>
            </w:r>
          </w:p>
        </w:tc>
        <w:tc>
          <w:tcPr>
            <w:tcW w:w="8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27.</w:t>
            </w:r>
          </w:p>
        </w:tc>
        <w:tc>
          <w:tcPr>
            <w:tcW w:w="6160" w:type="dxa"/>
            <w:vAlign w:val="bottom"/>
            <w:gridSpan w:val="3"/>
          </w:tcPr>
          <w:p>
            <w:pPr>
              <w:ind w:left="220"/>
              <w:spacing w:after="0"/>
              <w:rPr>
                <w:sz w:val="20"/>
                <w:szCs w:val="20"/>
                <w:color w:val="auto"/>
              </w:rPr>
            </w:pPr>
            <w:r>
              <w:rPr>
                <w:rFonts w:ascii="Arial" w:cs="Arial" w:eastAsia="Arial" w:hAnsi="Arial"/>
                <w:sz w:val="3"/>
                <w:szCs w:val="3"/>
                <w:color w:val="FFFFFF"/>
              </w:rPr>
              <w:t>COMMITMENTS AND CONTINGENCIES (CONTINUED)</w:t>
            </w:r>
          </w:p>
        </w:tc>
        <w:tc>
          <w:tcPr>
            <w:tcW w:w="36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54"/>
        </w:trPr>
        <w:tc>
          <w:tcPr>
            <w:tcW w:w="2380" w:type="dxa"/>
            <w:vAlign w:val="bottom"/>
            <w:gridSpan w:val="2"/>
          </w:tcPr>
          <w:p>
            <w:pPr>
              <w:spacing w:after="0" w:line="54" w:lineRule="exact"/>
              <w:rPr>
                <w:sz w:val="20"/>
                <w:szCs w:val="20"/>
                <w:color w:val="auto"/>
              </w:rPr>
            </w:pPr>
            <w:r>
              <w:rPr>
                <w:rFonts w:ascii="Arial" w:cs="Arial" w:eastAsia="Arial" w:hAnsi="Arial"/>
                <w:sz w:val="6"/>
                <w:szCs w:val="6"/>
                <w:color w:val="FFFFFF"/>
              </w:rPr>
              <w:t>Litigation (continued)</w:t>
            </w:r>
          </w:p>
        </w:tc>
        <w:tc>
          <w:tcPr>
            <w:tcW w:w="800" w:type="dxa"/>
            <w:vAlign w:val="bottom"/>
          </w:tcPr>
          <w:p>
            <w:pPr>
              <w:spacing w:after="0"/>
              <w:rPr>
                <w:sz w:val="4"/>
                <w:szCs w:val="4"/>
                <w:color w:val="auto"/>
              </w:rPr>
            </w:pPr>
          </w:p>
        </w:tc>
        <w:tc>
          <w:tcPr>
            <w:tcW w:w="322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41"/>
        </w:trPr>
        <w:tc>
          <w:tcPr>
            <w:tcW w:w="6400" w:type="dxa"/>
            <w:vAlign w:val="bottom"/>
            <w:gridSpan w:val="4"/>
          </w:tcPr>
          <w:p>
            <w:pPr>
              <w:spacing w:after="0"/>
              <w:rPr>
                <w:sz w:val="20"/>
                <w:szCs w:val="20"/>
                <w:color w:val="auto"/>
              </w:rPr>
            </w:pPr>
            <w:r>
              <w:rPr>
                <w:rFonts w:ascii="Arial" w:cs="Arial" w:eastAsia="Arial" w:hAnsi="Arial"/>
                <w:sz w:val="3"/>
                <w:szCs w:val="3"/>
                <w:color w:val="FFFFFF"/>
              </w:rPr>
              <w:t>Determination of unsuitability and redemption of Aruze USA, Inc. and af? liates (continued)</w:t>
            </w:r>
          </w:p>
        </w:tc>
        <w:tc>
          <w:tcPr>
            <w:tcW w:w="36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41"/>
        </w:trPr>
        <w:tc>
          <w:tcPr>
            <w:tcW w:w="3180" w:type="dxa"/>
            <w:vAlign w:val="bottom"/>
            <w:gridSpan w:val="3"/>
          </w:tcPr>
          <w:p>
            <w:pPr>
              <w:spacing w:after="0"/>
              <w:rPr>
                <w:sz w:val="20"/>
                <w:szCs w:val="20"/>
                <w:color w:val="auto"/>
              </w:rPr>
            </w:pPr>
            <w:r>
              <w:rPr>
                <w:rFonts w:ascii="Arial" w:cs="Arial" w:eastAsia="Arial" w:hAnsi="Arial"/>
                <w:sz w:val="3"/>
                <w:szCs w:val="3"/>
                <w:color w:val="FFFFFF"/>
              </w:rPr>
              <w:t>Redemption action and counterclaim (continued)</w:t>
            </w:r>
          </w:p>
        </w:tc>
        <w:tc>
          <w:tcPr>
            <w:tcW w:w="322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Wynn Resorts’ complaint, as amended, and the Okada Parties’ counterclaim, as amended, were challenged at the pleading stage through motion practice. At a hearing held on 13 November 2012, the Nevada</w:t>
            </w:r>
          </w:p>
        </w:tc>
      </w:tr>
      <w:tr>
        <w:trPr>
          <w:trHeight w:val="41"/>
        </w:trPr>
        <w:tc>
          <w:tcPr>
            <w:tcW w:w="240" w:type="dxa"/>
            <w:vAlign w:val="bottom"/>
          </w:tcPr>
          <w:p>
            <w:pPr>
              <w:spacing w:after="0"/>
              <w:rPr>
                <w:sz w:val="3"/>
                <w:szCs w:val="3"/>
                <w:color w:val="auto"/>
              </w:rPr>
            </w:pPr>
          </w:p>
        </w:tc>
        <w:tc>
          <w:tcPr>
            <w:tcW w:w="11160" w:type="dxa"/>
            <w:vAlign w:val="bottom"/>
            <w:gridSpan w:val="5"/>
          </w:tcPr>
          <w:p>
            <w:pPr>
              <w:ind w:left="40"/>
              <w:spacing w:after="0"/>
              <w:rPr>
                <w:sz w:val="20"/>
                <w:szCs w:val="20"/>
                <w:color w:val="auto"/>
              </w:rPr>
            </w:pPr>
            <w:r>
              <w:rPr>
                <w:rFonts w:ascii="Arial" w:cs="Arial" w:eastAsia="Arial" w:hAnsi="Arial"/>
                <w:sz w:val="3"/>
                <w:szCs w:val="3"/>
                <w:color w:val="FFFFFF"/>
              </w:rPr>
              <w:t>court denied the Wynn Parties’ motion to dismiss the Okada Parties’ amended counterclaim, but dismissed the Okada Parties’ claims under the Nevada Racketeer Infl uenced and Corrupt Organizations Act.</w:t>
            </w:r>
          </w:p>
        </w:tc>
      </w:tr>
      <w:tr>
        <w:trPr>
          <w:trHeight w:val="41"/>
        </w:trPr>
        <w:tc>
          <w:tcPr>
            <w:tcW w:w="6400" w:type="dxa"/>
            <w:vAlign w:val="bottom"/>
            <w:gridSpan w:val="4"/>
          </w:tcPr>
          <w:p>
            <w:pPr>
              <w:spacing w:after="0"/>
              <w:rPr>
                <w:sz w:val="20"/>
                <w:szCs w:val="20"/>
                <w:color w:val="auto"/>
              </w:rPr>
            </w:pPr>
            <w:r>
              <w:rPr>
                <w:rFonts w:ascii="Arial" w:cs="Arial" w:eastAsia="Arial" w:hAnsi="Arial"/>
                <w:sz w:val="3"/>
                <w:szCs w:val="3"/>
                <w:color w:val="FFFFFF"/>
              </w:rPr>
              <w:t>stateAt hearing held on 15 January 2013, the court denied the Okada Parties’ motion to dismiss Wynn Resorts’ amended</w:t>
            </w:r>
          </w:p>
        </w:tc>
        <w:tc>
          <w:tcPr>
            <w:tcW w:w="3680" w:type="dxa"/>
            <w:vAlign w:val="bottom"/>
          </w:tcPr>
          <w:p>
            <w:pPr>
              <w:jc w:val="right"/>
              <w:ind w:right="3103"/>
              <w:spacing w:after="0"/>
              <w:rPr>
                <w:sz w:val="20"/>
                <w:szCs w:val="20"/>
                <w:color w:val="auto"/>
              </w:rPr>
            </w:pPr>
            <w:r>
              <w:rPr>
                <w:rFonts w:ascii="Arial" w:cs="Arial" w:eastAsia="Arial" w:hAnsi="Arial"/>
                <w:sz w:val="3"/>
                <w:szCs w:val="3"/>
                <w:color w:val="FFFFFF"/>
              </w:rPr>
              <w:t>.</w:t>
            </w:r>
          </w:p>
        </w:tc>
        <w:tc>
          <w:tcPr>
            <w:tcW w:w="1320" w:type="dxa"/>
            <w:vAlign w:val="bottom"/>
          </w:tcPr>
          <w:p>
            <w:pPr>
              <w:spacing w:after="0"/>
              <w:rPr>
                <w:sz w:val="3"/>
                <w:szCs w:val="3"/>
                <w:color w:val="auto"/>
              </w:rPr>
            </w:pP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On 13 February 2013, the Okada Parties ? led a motion in the Nevada state court in which they asked the court to establishcomplaint“disputed ownership fund” as defi ned in a federal tax regulation. Speci? cally, the</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motion sought an order establishing an escrow account to hold the Redemption Note issued to Aruze USA, Inc. as compensation for the shares of Wynn Resorts common stock redeemed by the board of directors</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of Wynn Resorts in February 2012 in light of the board’s determination of unsuitability, as well as the redeemed shares themselves (although those shares were previously cancelled in February 2012), pending a</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resolution of the state court action. On 22 March 2013, the court entered a preliminary order for the establishment of an escrow into which interest on the Redemption Note will be paid. The court expressly</w:t>
            </w:r>
          </w:p>
        </w:tc>
      </w:tr>
      <w:tr>
        <w:trPr>
          <w:trHeight w:val="41"/>
        </w:trPr>
        <w:tc>
          <w:tcPr>
            <w:tcW w:w="10080" w:type="dxa"/>
            <w:vAlign w:val="bottom"/>
            <w:gridSpan w:val="5"/>
          </w:tcPr>
          <w:p>
            <w:pPr>
              <w:spacing w:after="0"/>
              <w:rPr>
                <w:sz w:val="20"/>
                <w:szCs w:val="20"/>
                <w:color w:val="auto"/>
              </w:rPr>
            </w:pPr>
            <w:r>
              <w:rPr>
                <w:rFonts w:ascii="Arial" w:cs="Arial" w:eastAsia="Arial" w:hAnsi="Arial"/>
                <w:sz w:val="3"/>
                <w:szCs w:val="3"/>
                <w:color w:val="FFFFFF"/>
              </w:rPr>
              <w:t>stated that it made no determination or fi nding with respect to any “disputed ownership” under Internal Revenue Service regulations.</w:t>
            </w:r>
          </w:p>
        </w:tc>
        <w:tc>
          <w:tcPr>
            <w:tcW w:w="1320" w:type="dxa"/>
            <w:vAlign w:val="bottom"/>
          </w:tcPr>
          <w:p>
            <w:pPr>
              <w:spacing w:after="0"/>
              <w:rPr>
                <w:sz w:val="3"/>
                <w:szCs w:val="3"/>
                <w:color w:val="auto"/>
              </w:rPr>
            </w:pPr>
          </w:p>
        </w:tc>
      </w:tr>
      <w:tr>
        <w:trPr>
          <w:trHeight w:val="41"/>
        </w:trPr>
        <w:tc>
          <w:tcPr>
            <w:tcW w:w="2380" w:type="dxa"/>
            <w:vAlign w:val="bottom"/>
            <w:gridSpan w:val="2"/>
          </w:tcPr>
          <w:p>
            <w:pPr>
              <w:spacing w:after="0"/>
              <w:rPr>
                <w:sz w:val="20"/>
                <w:szCs w:val="20"/>
                <w:color w:val="auto"/>
              </w:rPr>
            </w:pPr>
            <w:r>
              <w:rPr>
                <w:rFonts w:ascii="Arial" w:cs="Arial" w:eastAsia="Arial" w:hAnsi="Arial"/>
                <w:sz w:val="3"/>
                <w:szCs w:val="3"/>
                <w:color w:val="FFFFFF"/>
              </w:rPr>
              <w:t>Wynn Resorts is vigorously pursuing its</w:t>
            </w:r>
          </w:p>
        </w:tc>
        <w:tc>
          <w:tcPr>
            <w:tcW w:w="800" w:type="dxa"/>
            <w:vAlign w:val="bottom"/>
          </w:tcPr>
          <w:p>
            <w:pPr>
              <w:ind w:left="220"/>
              <w:spacing w:after="0"/>
              <w:rPr>
                <w:sz w:val="20"/>
                <w:szCs w:val="20"/>
                <w:color w:val="auto"/>
              </w:rPr>
            </w:pPr>
            <w:r>
              <w:rPr>
                <w:rFonts w:ascii="Arial" w:cs="Arial" w:eastAsia="Arial" w:hAnsi="Arial"/>
                <w:sz w:val="3"/>
                <w:szCs w:val="3"/>
                <w:color w:val="FFFFFF"/>
              </w:rPr>
              <w:t>against the</w:t>
            </w:r>
          </w:p>
        </w:tc>
        <w:tc>
          <w:tcPr>
            <w:tcW w:w="8220" w:type="dxa"/>
            <w:vAlign w:val="bottom"/>
            <w:gridSpan w:val="3"/>
          </w:tcPr>
          <w:p>
            <w:pPr>
              <w:ind w:left="420"/>
              <w:spacing w:after="0"/>
              <w:rPr>
                <w:sz w:val="20"/>
                <w:szCs w:val="20"/>
                <w:color w:val="auto"/>
              </w:rPr>
            </w:pPr>
            <w:r>
              <w:rPr>
                <w:rFonts w:ascii="Arial" w:cs="Arial" w:eastAsia="Arial" w:hAnsi="Arial"/>
                <w:sz w:val="3"/>
                <w:szCs w:val="3"/>
                <w:color w:val="FFFFFF"/>
              </w:rPr>
              <w:t>Parties, and Wynn Resorts and the other counter-defendants are vigorously defending against the counterclaims asserted against them. Wynn</w:t>
            </w:r>
          </w:p>
        </w:tc>
      </w:tr>
      <w:tr>
        <w:trPr>
          <w:trHeight w:val="41"/>
        </w:trPr>
        <w:tc>
          <w:tcPr>
            <w:tcW w:w="6400" w:type="dxa"/>
            <w:vAlign w:val="bottom"/>
            <w:gridSpan w:val="4"/>
          </w:tcPr>
          <w:p>
            <w:pPr>
              <w:spacing w:after="0"/>
              <w:rPr>
                <w:sz w:val="20"/>
                <w:szCs w:val="20"/>
                <w:color w:val="auto"/>
              </w:rPr>
            </w:pPr>
            <w:r>
              <w:rPr>
                <w:rFonts w:ascii="Arial" w:cs="Arial" w:eastAsia="Arial" w:hAnsi="Arial"/>
                <w:sz w:val="3"/>
                <w:szCs w:val="3"/>
                <w:color w:val="FFFFFF"/>
              </w:rPr>
              <w:t>Resorts’ claims and the Okada Parties’ counterclaims are inOkadapreliminary stage and the management of Wynn</w:t>
            </w:r>
          </w:p>
        </w:tc>
        <w:tc>
          <w:tcPr>
            <w:tcW w:w="3680" w:type="dxa"/>
            <w:vAlign w:val="bottom"/>
          </w:tcPr>
          <w:p>
            <w:pPr>
              <w:jc w:val="right"/>
              <w:ind w:right="203"/>
              <w:spacing w:after="0"/>
              <w:rPr>
                <w:sz w:val="20"/>
                <w:szCs w:val="20"/>
                <w:color w:val="auto"/>
              </w:rPr>
            </w:pPr>
            <w:r>
              <w:rPr>
                <w:rFonts w:ascii="Arial" w:cs="Arial" w:eastAsia="Arial" w:hAnsi="Arial"/>
                <w:sz w:val="3"/>
                <w:szCs w:val="3"/>
                <w:color w:val="FFFFFF"/>
              </w:rPr>
              <w:t>has determined that based on proceedings to date, it is currently</w:t>
            </w:r>
          </w:p>
        </w:tc>
        <w:tc>
          <w:tcPr>
            <w:tcW w:w="1320" w:type="dxa"/>
            <w:vAlign w:val="bottom"/>
          </w:tcPr>
          <w:p>
            <w:pPr>
              <w:ind w:left="220"/>
              <w:spacing w:after="0"/>
              <w:rPr>
                <w:sz w:val="20"/>
                <w:szCs w:val="20"/>
                <w:color w:val="auto"/>
              </w:rPr>
            </w:pPr>
            <w:r>
              <w:rPr>
                <w:rFonts w:ascii="Arial" w:cs="Arial" w:eastAsia="Arial" w:hAnsi="Arial"/>
                <w:sz w:val="3"/>
                <w:szCs w:val="3"/>
                <w:color w:val="FFFFFF"/>
              </w:rPr>
              <w:t>to determine the</w:t>
            </w:r>
          </w:p>
        </w:tc>
      </w:tr>
      <w:tr>
        <w:trPr>
          <w:trHeight w:val="41"/>
        </w:trPr>
        <w:tc>
          <w:tcPr>
            <w:tcW w:w="11400" w:type="dxa"/>
            <w:vAlign w:val="bottom"/>
            <w:gridSpan w:val="6"/>
          </w:tcPr>
          <w:p>
            <w:pPr>
              <w:spacing w:after="0"/>
              <w:rPr>
                <w:sz w:val="20"/>
                <w:szCs w:val="20"/>
                <w:color w:val="auto"/>
              </w:rPr>
            </w:pPr>
            <w:r>
              <w:rPr>
                <w:rFonts w:ascii="Arial" w:cs="Arial" w:eastAsia="Arial" w:hAnsi="Arial"/>
                <w:sz w:val="3"/>
                <w:szCs w:val="3"/>
                <w:color w:val="FFFFFF"/>
              </w:rPr>
              <w:t>probability of the outcome of this matter or the range of reasonably possible loss, if any. Any adverse judgmentsResortssettlements involving payment of a material sum of money could causeunablematerial adverse</w:t>
            </w:r>
          </w:p>
        </w:tc>
      </w:tr>
      <w:tr>
        <w:trPr>
          <w:trHeight w:val="41"/>
        </w:trPr>
        <w:tc>
          <w:tcPr>
            <w:tcW w:w="3180" w:type="dxa"/>
            <w:vAlign w:val="bottom"/>
            <w:gridSpan w:val="3"/>
          </w:tcPr>
          <w:p>
            <w:pPr>
              <w:spacing w:after="0"/>
              <w:rPr>
                <w:sz w:val="20"/>
                <w:szCs w:val="20"/>
                <w:color w:val="auto"/>
              </w:rPr>
            </w:pPr>
            <w:r>
              <w:rPr>
                <w:rFonts w:ascii="Arial" w:cs="Arial" w:eastAsia="Arial" w:hAnsi="Arial"/>
                <w:sz w:val="3"/>
                <w:szCs w:val="3"/>
                <w:color w:val="FFFFFF"/>
              </w:rPr>
              <w:t>effect on Wynn Resorts’ fi nancial condition and results</w:t>
            </w:r>
          </w:p>
        </w:tc>
        <w:tc>
          <w:tcPr>
            <w:tcW w:w="8220" w:type="dxa"/>
            <w:vAlign w:val="bottom"/>
            <w:gridSpan w:val="3"/>
          </w:tcPr>
          <w:p>
            <w:pPr>
              <w:ind w:left="20"/>
              <w:spacing w:after="0"/>
              <w:rPr>
                <w:sz w:val="20"/>
                <w:szCs w:val="20"/>
                <w:color w:val="auto"/>
              </w:rPr>
            </w:pPr>
            <w:r>
              <w:rPr>
                <w:rFonts w:ascii="Arial" w:cs="Arial" w:eastAsia="Arial" w:hAnsi="Arial"/>
                <w:sz w:val="3"/>
                <w:szCs w:val="3"/>
                <w:color w:val="FFFFFF"/>
              </w:rPr>
              <w:t>operations and could expose Wynn Resorts to additional claims by third parties, including current or former investors or regulators. Any adverse</w:t>
            </w:r>
          </w:p>
        </w:tc>
      </w:tr>
      <w:tr>
        <w:trPr>
          <w:trHeight w:val="213"/>
        </w:trPr>
        <w:tc>
          <w:tcPr>
            <w:tcW w:w="10080" w:type="dxa"/>
            <w:vAlign w:val="bottom"/>
            <w:gridSpan w:val="5"/>
          </w:tcPr>
          <w:p>
            <w:pPr>
              <w:spacing w:after="0"/>
              <w:rPr>
                <w:sz w:val="20"/>
                <w:szCs w:val="20"/>
                <w:color w:val="auto"/>
              </w:rPr>
            </w:pPr>
            <w:r>
              <w:rPr>
                <w:rFonts w:ascii="Arial" w:cs="Arial" w:eastAsia="Arial" w:hAnsi="Arial"/>
                <w:sz w:val="14"/>
                <w:szCs w:val="14"/>
                <w:color w:val="FFFFFF"/>
              </w:rPr>
              <w:t>judgments or settlements would reduce Wynn Resorts’ profi ts and could limit Wynn Resorts’ ability to operate their business.</w:t>
            </w:r>
          </w:p>
        </w:tc>
        <w:tc>
          <w:tcPr>
            <w:tcW w:w="1320" w:type="dxa"/>
            <w:vAlign w:val="bottom"/>
          </w:tcPr>
          <w:p>
            <w:pPr>
              <w:spacing w:after="0"/>
              <w:rPr>
                <w:sz w:val="18"/>
                <w:szCs w:val="18"/>
                <w:color w:val="auto"/>
              </w:rPr>
            </w:pPr>
          </w:p>
        </w:tc>
      </w:tr>
    </w:tbl>
    <w:p>
      <w:pPr>
        <w:sectPr>
          <w:pgSz w:w="11900" w:h="16838" w:orient="portrait"/>
          <w:cols w:equalWidth="0" w:num="1">
            <w:col w:w="11400"/>
          </w:cols>
          <w:pgMar w:left="240" w:top="1440" w:right="259" w:bottom="1440" w:gutter="0" w:footer="0" w:header="0"/>
        </w:sectPr>
      </w:pPr>
    </w:p>
    <w:bookmarkStart w:id="157" w:name="page158"/>
    <w:bookmarkEnd w:id="1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2"/>
          </w:tcPr>
          <w:p>
            <w:pPr>
              <w:spacing w:after="0"/>
              <w:rPr>
                <w:sz w:val="20"/>
                <w:szCs w:val="20"/>
                <w:color w:val="auto"/>
              </w:rPr>
            </w:pPr>
            <w:r>
              <w:rPr>
                <w:rFonts w:ascii="Arial" w:cs="Arial" w:eastAsia="Arial" w:hAnsi="Arial"/>
                <w:sz w:val="14"/>
                <w:szCs w:val="14"/>
                <w:color w:val="FFFFFF"/>
              </w:rPr>
              <w:t>152 Wynn Macau, Limited</w:t>
            </w:r>
          </w:p>
        </w:tc>
        <w:tc>
          <w:tcPr>
            <w:tcW w:w="1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41"/>
        </w:trPr>
        <w:tc>
          <w:tcPr>
            <w:tcW w:w="416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41"/>
        </w:trPr>
        <w:tc>
          <w:tcPr>
            <w:tcW w:w="416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108"/>
        </w:trPr>
        <w:tc>
          <w:tcPr>
            <w:tcW w:w="4160" w:type="dxa"/>
            <w:vAlign w:val="bottom"/>
            <w:gridSpan w:val="2"/>
          </w:tcPr>
          <w:p>
            <w:pPr>
              <w:spacing w:after="0" w:line="108" w:lineRule="exact"/>
              <w:rPr>
                <w:sz w:val="20"/>
                <w:szCs w:val="20"/>
                <w:color w:val="auto"/>
              </w:rPr>
            </w:pPr>
            <w:r>
              <w:rPr>
                <w:rFonts w:ascii="Arial" w:cs="Arial" w:eastAsia="Arial" w:hAnsi="Arial"/>
                <w:sz w:val="12"/>
                <w:szCs w:val="12"/>
                <w:color w:val="FFFFFF"/>
              </w:rPr>
              <w:t>For the year ended 31 December 2012</w:t>
            </w:r>
          </w:p>
        </w:tc>
        <w:tc>
          <w:tcPr>
            <w:tcW w:w="13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60" w:type="dxa"/>
            <w:vAlign w:val="bottom"/>
          </w:tcPr>
          <w:p>
            <w:pPr>
              <w:spacing w:after="0"/>
              <w:rPr>
                <w:sz w:val="9"/>
                <w:szCs w:val="9"/>
                <w:color w:val="auto"/>
              </w:rPr>
            </w:pPr>
          </w:p>
        </w:tc>
      </w:tr>
      <w:tr>
        <w:trPr>
          <w:trHeight w:val="41"/>
        </w:trPr>
        <w:tc>
          <w:tcPr>
            <w:tcW w:w="180" w:type="dxa"/>
            <w:vAlign w:val="bottom"/>
          </w:tcPr>
          <w:p>
            <w:pPr>
              <w:spacing w:after="0"/>
              <w:rPr>
                <w:sz w:val="20"/>
                <w:szCs w:val="20"/>
                <w:color w:val="auto"/>
              </w:rPr>
            </w:pPr>
            <w:r>
              <w:rPr>
                <w:rFonts w:ascii="Arial" w:cs="Arial" w:eastAsia="Arial" w:hAnsi="Arial"/>
                <w:sz w:val="3"/>
                <w:szCs w:val="3"/>
                <w:color w:val="FFFFFF"/>
              </w:rPr>
              <w:t>27.</w:t>
            </w:r>
          </w:p>
        </w:tc>
        <w:tc>
          <w:tcPr>
            <w:tcW w:w="3980" w:type="dxa"/>
            <w:vAlign w:val="bottom"/>
          </w:tcPr>
          <w:p>
            <w:pPr>
              <w:ind w:left="280"/>
              <w:spacing w:after="0"/>
              <w:rPr>
                <w:sz w:val="20"/>
                <w:szCs w:val="20"/>
                <w:color w:val="auto"/>
              </w:rPr>
            </w:pPr>
            <w:r>
              <w:rPr>
                <w:rFonts w:ascii="Arial" w:cs="Arial" w:eastAsia="Arial" w:hAnsi="Arial"/>
                <w:sz w:val="3"/>
                <w:szCs w:val="3"/>
                <w:color w:val="FFFFFF"/>
              </w:rPr>
              <w:t>COMMITMENTS AND CONTINGENCIES (CONTINUED)</w:t>
            </w: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54"/>
        </w:trPr>
        <w:tc>
          <w:tcPr>
            <w:tcW w:w="4160" w:type="dxa"/>
            <w:vAlign w:val="bottom"/>
            <w:gridSpan w:val="2"/>
          </w:tcPr>
          <w:p>
            <w:pPr>
              <w:spacing w:after="0" w:line="54" w:lineRule="exact"/>
              <w:rPr>
                <w:sz w:val="20"/>
                <w:szCs w:val="20"/>
                <w:color w:val="auto"/>
              </w:rPr>
            </w:pPr>
            <w:r>
              <w:rPr>
                <w:rFonts w:ascii="Arial" w:cs="Arial" w:eastAsia="Arial" w:hAnsi="Arial"/>
                <w:sz w:val="6"/>
                <w:szCs w:val="6"/>
                <w:color w:val="FFFFFF"/>
              </w:rPr>
              <w:t>Litigation (continued)</w:t>
            </w:r>
          </w:p>
        </w:tc>
        <w:tc>
          <w:tcPr>
            <w:tcW w:w="1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41"/>
        </w:trPr>
        <w:tc>
          <w:tcPr>
            <w:tcW w:w="4160" w:type="dxa"/>
            <w:vAlign w:val="bottom"/>
            <w:gridSpan w:val="2"/>
          </w:tcPr>
          <w:p>
            <w:pPr>
              <w:spacing w:after="0"/>
              <w:rPr>
                <w:sz w:val="20"/>
                <w:szCs w:val="20"/>
                <w:color w:val="auto"/>
              </w:rPr>
            </w:pPr>
            <w:r>
              <w:rPr>
                <w:rFonts w:ascii="Arial" w:cs="Arial" w:eastAsia="Arial" w:hAnsi="Arial"/>
                <w:sz w:val="3"/>
                <w:szCs w:val="3"/>
                <w:color w:val="FFFFFF"/>
              </w:rPr>
              <w:t>Related matters</w:t>
            </w:r>
          </w:p>
        </w:tc>
        <w:tc>
          <w:tcPr>
            <w:tcW w:w="1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Wynn Resorts provided the Freeh Report   appropriate regulators and law enforcement agencies and is cooperating with related investigations that such regulators and agencies have undertaken. The conduct of</w:t>
            </w:r>
          </w:p>
        </w:tc>
      </w:tr>
      <w:tr>
        <w:trPr>
          <w:trHeight w:val="41"/>
        </w:trPr>
        <w:tc>
          <w:tcPr>
            <w:tcW w:w="4160" w:type="dxa"/>
            <w:vAlign w:val="bottom"/>
            <w:gridSpan w:val="2"/>
          </w:tcPr>
          <w:p>
            <w:pPr>
              <w:spacing w:after="0"/>
              <w:rPr>
                <w:sz w:val="20"/>
                <w:szCs w:val="20"/>
                <w:color w:val="auto"/>
              </w:rPr>
            </w:pPr>
            <w:r>
              <w:rPr>
                <w:rFonts w:ascii="Arial" w:cs="Arial" w:eastAsia="Arial" w:hAnsi="Arial"/>
                <w:sz w:val="3"/>
                <w:szCs w:val="3"/>
                <w:color w:val="FFFFFF"/>
              </w:rPr>
              <w:t>the Okada Parties and any resulting regulatory investigations could have</w:t>
            </w:r>
          </w:p>
        </w:tc>
        <w:tc>
          <w:tcPr>
            <w:tcW w:w="7200" w:type="dxa"/>
            <w:vAlign w:val="bottom"/>
            <w:gridSpan w:val="5"/>
          </w:tcPr>
          <w:p>
            <w:pPr>
              <w:jc w:val="right"/>
              <w:ind w:right="83"/>
              <w:spacing w:after="0"/>
              <w:rPr>
                <w:sz w:val="20"/>
                <w:szCs w:val="20"/>
                <w:color w:val="auto"/>
              </w:rPr>
            </w:pPr>
            <w:r>
              <w:rPr>
                <w:rFonts w:ascii="Arial" w:cs="Arial" w:eastAsia="Arial" w:hAnsi="Arial"/>
                <w:sz w:val="3"/>
                <w:szCs w:val="3"/>
                <w:color w:val="FFFFFF"/>
              </w:rPr>
              <w:t>consequences to Wynn Resorts and its subsidiaries. A ? nding by regulatory authorities that Mr. Okada violated anti-corruption</w:t>
            </w: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statutes and/or other laws   regulations applicable to persons af? liated withadversegaming licensee on Wynn Resorts property and/ or otherwise involved Wynn Resorts in criminal or civil violations could result in</w:t>
            </w: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actions by regulatory authorities against Wynn Resorts. Relatedly, as described below, the Salt Lake Regional Of? ce of the SEC has commenced an informal inquiry into, and other regulators could pursue</w:t>
            </w:r>
          </w:p>
        </w:tc>
      </w:tr>
      <w:tr>
        <w:trPr>
          <w:trHeight w:val="41"/>
        </w:trPr>
        <w:tc>
          <w:tcPr>
            <w:tcW w:w="10300" w:type="dxa"/>
            <w:vAlign w:val="bottom"/>
            <w:gridSpan w:val="6"/>
          </w:tcPr>
          <w:p>
            <w:pPr>
              <w:spacing w:after="0"/>
              <w:rPr>
                <w:sz w:val="20"/>
                <w:szCs w:val="20"/>
                <w:color w:val="auto"/>
              </w:rPr>
            </w:pPr>
            <w:r>
              <w:rPr>
                <w:rFonts w:ascii="Arial" w:cs="Arial" w:eastAsia="Arial" w:hAnsi="Arial"/>
                <w:sz w:val="3"/>
                <w:szCs w:val="3"/>
                <w:color w:val="FFFFFF"/>
              </w:rPr>
              <w:t>separate investigations into, Wynn Resorts’ compliance with applicable laws arising from the allegations in the matters described above and in response to litigation fi led by Mr. Okada</w:t>
            </w:r>
          </w:p>
        </w:tc>
        <w:tc>
          <w:tcPr>
            <w:tcW w:w="1060" w:type="dxa"/>
            <w:vAlign w:val="bottom"/>
          </w:tcPr>
          <w:p>
            <w:pPr>
              <w:jc w:val="right"/>
              <w:ind w:right="3"/>
              <w:spacing w:after="0"/>
              <w:rPr>
                <w:sz w:val="20"/>
                <w:szCs w:val="20"/>
                <w:color w:val="auto"/>
              </w:rPr>
            </w:pPr>
            <w:r>
              <w:rPr>
                <w:rFonts w:ascii="Arial" w:cs="Arial" w:eastAsia="Arial" w:hAnsi="Arial"/>
                <w:sz w:val="3"/>
                <w:szCs w:val="3"/>
                <w:color w:val="FFFFFF"/>
              </w:rPr>
              <w:t>improprieties</w:t>
            </w:r>
          </w:p>
        </w:tc>
      </w:tr>
      <w:tr>
        <w:trPr>
          <w:trHeight w:val="41"/>
        </w:trPr>
        <w:tc>
          <w:tcPr>
            <w:tcW w:w="11360" w:type="dxa"/>
            <w:vAlign w:val="bottom"/>
            <w:gridSpan w:val="7"/>
          </w:tcPr>
          <w:p>
            <w:pPr>
              <w:ind w:left="140"/>
              <w:spacing w:after="0"/>
              <w:rPr>
                <w:sz w:val="20"/>
                <w:szCs w:val="20"/>
                <w:color w:val="auto"/>
              </w:rPr>
            </w:pPr>
            <w:r>
              <w:rPr>
                <w:rFonts w:ascii="Arial" w:cs="Arial" w:eastAsia="Arial" w:hAnsi="Arial"/>
                <w:sz w:val="3"/>
                <w:szCs w:val="3"/>
                <w:color w:val="FFFFFF"/>
              </w:rPr>
              <w:t>connection with Wynn Resorts’ donation to the University of Macau. While Wynn Resorts believes that it is in full compliance with all applicable laws, any such investigations could suggestingresultactions by</w:t>
            </w:r>
          </w:p>
        </w:tc>
      </w:tr>
      <w:tr>
        <w:trPr>
          <w:trHeight w:val="41"/>
        </w:trPr>
        <w:tc>
          <w:tcPr>
            <w:tcW w:w="180" w:type="dxa"/>
            <w:vAlign w:val="bottom"/>
          </w:tcPr>
          <w:p>
            <w:pPr>
              <w:spacing w:after="0"/>
              <w:rPr>
                <w:sz w:val="3"/>
                <w:szCs w:val="3"/>
                <w:color w:val="auto"/>
              </w:rPr>
            </w:pPr>
          </w:p>
        </w:tc>
        <w:tc>
          <w:tcPr>
            <w:tcW w:w="11180" w:type="dxa"/>
            <w:vAlign w:val="bottom"/>
            <w:gridSpan w:val="6"/>
          </w:tcPr>
          <w:p>
            <w:pPr>
              <w:jc w:val="right"/>
              <w:ind w:right="163"/>
              <w:spacing w:after="0"/>
              <w:rPr>
                <w:sz w:val="20"/>
                <w:szCs w:val="20"/>
                <w:color w:val="auto"/>
              </w:rPr>
            </w:pPr>
            <w:r>
              <w:rPr>
                <w:rFonts w:ascii="Arial" w:cs="Arial" w:eastAsia="Arial" w:hAnsi="Arial"/>
                <w:sz w:val="3"/>
                <w:szCs w:val="3"/>
                <w:color w:val="FFFFFF"/>
              </w:rPr>
              <w:t>ulators against Wynn Resorts. In February 2013, the Nevada Gaming Control Board informed Wynn Resorts that it has completed its investigation of allegations made by Mr. Okada against Wynn Resorts</w:t>
            </w:r>
          </w:p>
        </w:tc>
      </w:tr>
      <w:tr>
        <w:trPr>
          <w:trHeight w:val="41"/>
        </w:trPr>
        <w:tc>
          <w:tcPr>
            <w:tcW w:w="5480" w:type="dxa"/>
            <w:vAlign w:val="bottom"/>
            <w:gridSpan w:val="3"/>
          </w:tcPr>
          <w:p>
            <w:pPr>
              <w:spacing w:after="0"/>
              <w:rPr>
                <w:sz w:val="20"/>
                <w:szCs w:val="20"/>
                <w:color w:val="auto"/>
              </w:rPr>
            </w:pPr>
            <w:r>
              <w:rPr>
                <w:rFonts w:ascii="Arial" w:cs="Arial" w:eastAsia="Arial" w:hAnsi="Arial"/>
                <w:sz w:val="3"/>
                <w:szCs w:val="3"/>
                <w:color w:val="FFFFFF"/>
              </w:rPr>
              <w:t>regarding the activities of Mr. Wynn and related entities in Macau and found no violations of the</w:t>
            </w:r>
          </w:p>
        </w:tc>
        <w:tc>
          <w:tcPr>
            <w:tcW w:w="4820" w:type="dxa"/>
            <w:vAlign w:val="bottom"/>
            <w:gridSpan w:val="3"/>
          </w:tcPr>
          <w:p>
            <w:pPr>
              <w:ind w:left="240"/>
              <w:spacing w:after="0"/>
              <w:rPr>
                <w:sz w:val="20"/>
                <w:szCs w:val="20"/>
                <w:color w:val="auto"/>
              </w:rPr>
            </w:pPr>
            <w:r>
              <w:rPr>
                <w:rFonts w:ascii="Arial" w:cs="Arial" w:eastAsia="Arial" w:hAnsi="Arial"/>
                <w:sz w:val="3"/>
                <w:szCs w:val="3"/>
                <w:color w:val="FFFFFF"/>
              </w:rPr>
              <w:t>Control Act or the Nevada Gaming Commission Regulations.</w:t>
            </w:r>
          </w:p>
        </w:tc>
        <w:tc>
          <w:tcPr>
            <w:tcW w:w="1060" w:type="dxa"/>
            <w:vAlign w:val="bottom"/>
          </w:tcPr>
          <w:p>
            <w:pPr>
              <w:spacing w:after="0"/>
              <w:rPr>
                <w:sz w:val="3"/>
                <w:szCs w:val="3"/>
                <w:color w:val="auto"/>
              </w:rPr>
            </w:pP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On 19 June 2012,   . Elaine P. Wynn responded to the Okada Parties’ counterclaim and assertedGamingcross claim against Mr. Stephen A. Wynn and Mr. Kazuo Okada seeking a declaration that (1) any and all of</w:t>
            </w: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Ms. Elaine P. Wynn’Ms duties under the January 2010 Stockholders Agreement (the “Stockholders Agreement”) by and among Aruze USA, Inc., Mr. Stephen A. Wynn, and Ms. Elaine P. Wynn be discharged;</w:t>
            </w:r>
          </w:p>
        </w:tc>
      </w:tr>
      <w:tr>
        <w:trPr>
          <w:trHeight w:val="41"/>
        </w:trPr>
        <w:tc>
          <w:tcPr>
            <w:tcW w:w="6640" w:type="dxa"/>
            <w:vAlign w:val="bottom"/>
            <w:gridSpan w:val="4"/>
          </w:tcPr>
          <w:p>
            <w:pPr>
              <w:spacing w:after="0"/>
              <w:rPr>
                <w:sz w:val="20"/>
                <w:szCs w:val="20"/>
                <w:color w:val="auto"/>
              </w:rPr>
            </w:pPr>
            <w:r>
              <w:rPr>
                <w:rFonts w:ascii="Arial" w:cs="Arial" w:eastAsia="Arial" w:hAnsi="Arial"/>
                <w:sz w:val="3"/>
                <w:szCs w:val="3"/>
                <w:color w:val="FFFFFF"/>
              </w:rPr>
              <w:t>(2) the Stockholders Agreement is subject to rescission and is rescinded; (3) the Stockholders Agreement is an</w:t>
            </w:r>
          </w:p>
        </w:tc>
        <w:tc>
          <w:tcPr>
            <w:tcW w:w="4720" w:type="dxa"/>
            <w:vAlign w:val="bottom"/>
            <w:gridSpan w:val="3"/>
          </w:tcPr>
          <w:p>
            <w:pPr>
              <w:jc w:val="right"/>
              <w:ind w:right="23"/>
              <w:spacing w:after="0"/>
              <w:rPr>
                <w:sz w:val="20"/>
                <w:szCs w:val="20"/>
                <w:color w:val="auto"/>
              </w:rPr>
            </w:pPr>
            <w:r>
              <w:rPr>
                <w:rFonts w:ascii="Arial" w:cs="Arial" w:eastAsia="Arial" w:hAnsi="Arial"/>
                <w:sz w:val="3"/>
                <w:szCs w:val="3"/>
                <w:color w:val="FFFFFF"/>
              </w:rPr>
              <w:t>restraint on alienation in violation of public policy; and/or (4) the restrictions on sale</w:t>
            </w: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of shares shall be construed as inapplicable to Ms. Elaine P. Wynn. Mr. Wynn fi led his answer to Ms. Elaine P. unreasonableWynn’cross claim on 24 September 2012. The indentures for the Wynn Las Vegas, LLC 2022</w:t>
            </w:r>
          </w:p>
        </w:tc>
      </w:tr>
      <w:tr>
        <w:trPr>
          <w:trHeight w:val="41"/>
        </w:trPr>
        <w:tc>
          <w:tcPr>
            <w:tcW w:w="11360" w:type="dxa"/>
            <w:vAlign w:val="bottom"/>
            <w:gridSpan w:val="7"/>
          </w:tcPr>
          <w:p>
            <w:pPr>
              <w:spacing w:after="0"/>
              <w:rPr>
                <w:sz w:val="20"/>
                <w:szCs w:val="20"/>
                <w:color w:val="auto"/>
              </w:rPr>
            </w:pPr>
            <w:r>
              <w:rPr>
                <w:rFonts w:ascii="Arial" w:cs="Arial" w:eastAsia="Arial" w:hAnsi="Arial"/>
                <w:sz w:val="3"/>
                <w:szCs w:val="3"/>
                <w:color w:val="FFFFFF"/>
              </w:rPr>
              <w:t>notes and Existing Notes (the “Indentures”) provide that if Mr. Stephen A. Wynn, together with certain related parties, in the aggregate benefi cially owns a lesser percentage of the outstanding common stock of</w:t>
            </w:r>
          </w:p>
        </w:tc>
      </w:tr>
      <w:tr>
        <w:trPr>
          <w:trHeight w:val="41"/>
        </w:trPr>
        <w:tc>
          <w:tcPr>
            <w:tcW w:w="8140" w:type="dxa"/>
            <w:vAlign w:val="bottom"/>
            <w:gridSpan w:val="5"/>
          </w:tcPr>
          <w:p>
            <w:pPr>
              <w:spacing w:after="0"/>
              <w:rPr>
                <w:sz w:val="20"/>
                <w:szCs w:val="20"/>
                <w:color w:val="auto"/>
              </w:rPr>
            </w:pPr>
            <w:r>
              <w:rPr>
                <w:rFonts w:ascii="Arial" w:cs="Arial" w:eastAsia="Arial" w:hAnsi="Arial"/>
                <w:sz w:val="3"/>
                <w:szCs w:val="3"/>
                <w:color w:val="FFFFFF"/>
              </w:rPr>
              <w:t>Wynn Resorts than are bene? cially owned by any other person, a change of control will have occurred. If Ms. Elaine P. Wynn prevails in her cross</w:t>
            </w:r>
          </w:p>
        </w:tc>
        <w:tc>
          <w:tcPr>
            <w:tcW w:w="3220" w:type="dxa"/>
            <w:vAlign w:val="bottom"/>
            <w:gridSpan w:val="2"/>
          </w:tcPr>
          <w:p>
            <w:pPr>
              <w:jc w:val="right"/>
              <w:ind w:right="163"/>
              <w:spacing w:after="0"/>
              <w:rPr>
                <w:sz w:val="20"/>
                <w:szCs w:val="20"/>
                <w:color w:val="auto"/>
              </w:rPr>
            </w:pPr>
            <w:r>
              <w:rPr>
                <w:rFonts w:ascii="Arial" w:cs="Arial" w:eastAsia="Arial" w:hAnsi="Arial"/>
                <w:sz w:val="3"/>
                <w:szCs w:val="3"/>
                <w:color w:val="FFFFFF"/>
              </w:rPr>
              <w:t>Mr. Stephen A. Wynn would not bene? cially own or</w:t>
            </w:r>
          </w:p>
        </w:tc>
      </w:tr>
      <w:tr>
        <w:trPr>
          <w:trHeight w:val="0"/>
        </w:trPr>
        <w:tc>
          <w:tcPr>
            <w:tcW w:w="6640" w:type="dxa"/>
            <w:vAlign w:val="bottom"/>
            <w:gridSpan w:val="4"/>
          </w:tcPr>
          <w:p>
            <w:pPr>
              <w:spacing w:after="0" w:line="80" w:lineRule="exact"/>
              <w:rPr>
                <w:sz w:val="20"/>
                <w:szCs w:val="20"/>
                <w:color w:val="auto"/>
              </w:rPr>
            </w:pPr>
            <w:r>
              <w:rPr>
                <w:rFonts w:ascii="Arial" w:cs="Arial" w:eastAsia="Arial" w:hAnsi="Arial"/>
                <w:sz w:val="9"/>
                <w:szCs w:val="9"/>
                <w:color w:val="FFFFFF"/>
              </w:rPr>
              <w:t>control Ms. Elaine P. Wynn’s shares and a change in control may result under Wynn Resorts’ debt documents. Under the</w:t>
            </w:r>
          </w:p>
        </w:tc>
        <w:tc>
          <w:tcPr>
            <w:tcW w:w="4720" w:type="dxa"/>
            <w:vAlign w:val="bottom"/>
            <w:gridSpan w:val="3"/>
          </w:tcPr>
          <w:p>
            <w:pPr>
              <w:jc w:val="right"/>
              <w:ind w:right="163"/>
              <w:spacing w:after="0" w:line="80" w:lineRule="exact"/>
              <w:rPr>
                <w:sz w:val="20"/>
                <w:szCs w:val="20"/>
                <w:color w:val="auto"/>
              </w:rPr>
            </w:pPr>
            <w:r>
              <w:rPr>
                <w:rFonts w:ascii="Arial" w:cs="Arial" w:eastAsia="Arial" w:hAnsi="Arial"/>
                <w:sz w:val="9"/>
                <w:szCs w:val="9"/>
                <w:color w:val="FFFFFF"/>
              </w:rPr>
              <w:t>the occurrenceclaim,ofchange of control requires that Wynn Resorts make an</w:t>
            </w:r>
          </w:p>
        </w:tc>
      </w:tr>
    </w:tbl>
    <w:p>
      <w:pPr>
        <w:ind w:right="40"/>
        <w:spacing w:after="0" w:line="187" w:lineRule="auto"/>
        <w:rPr>
          <w:sz w:val="20"/>
          <w:szCs w:val="20"/>
          <w:color w:val="auto"/>
        </w:rPr>
      </w:pPr>
      <w:r>
        <w:rPr>
          <w:rFonts w:ascii="Arial" w:cs="Arial" w:eastAsia="Arial" w:hAnsi="Arial"/>
          <w:sz w:val="9"/>
          <w:szCs w:val="9"/>
          <w:color w:val="FFFFFF"/>
        </w:rPr>
        <w:t>offer (unless the notes have been previously called for redemption) to each holder to repurchase all or any part of such holder’Indentures,notes at a purchase price equal to 101% of the aggregate principal amount thereof plus accrued and unpaid interest on the notes purchased, if any, to the date of repurchase.</w:t>
      </w:r>
    </w:p>
    <w:p>
      <w:pPr>
        <w:sectPr>
          <w:pgSz w:w="11900" w:h="16838" w:orient="portrait"/>
          <w:cols w:equalWidth="0" w:num="1">
            <w:col w:w="11360"/>
          </w:cols>
          <w:pgMar w:left="240" w:top="1440" w:right="299" w:bottom="1440" w:gutter="0" w:footer="0" w:header="0"/>
        </w:sectPr>
      </w:pPr>
    </w:p>
    <w:bookmarkStart w:id="158" w:name="page159"/>
    <w:bookmarkEnd w:id="15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153</w:t>
      </w:r>
    </w:p>
    <w:p>
      <w:pPr>
        <w:spacing w:after="0" w:line="187" w:lineRule="auto"/>
        <w:rPr>
          <w:sz w:val="20"/>
          <w:szCs w:val="20"/>
          <w:color w:val="auto"/>
        </w:rPr>
      </w:pPr>
      <w:r>
        <w:rPr>
          <w:rFonts w:ascii="Arial" w:cs="Arial" w:eastAsia="Arial" w:hAnsi="Arial"/>
          <w:sz w:val="12"/>
          <w:szCs w:val="12"/>
          <w:color w:val="FFFFFF"/>
        </w:rPr>
        <w:t>NotesFinancialtoFinancialStatementsStatements</w:t>
      </w:r>
    </w:p>
    <w:p>
      <w:pPr>
        <w:spacing w:after="0" w:line="202" w:lineRule="auto"/>
        <w:rPr>
          <w:sz w:val="20"/>
          <w:szCs w:val="20"/>
          <w:color w:val="auto"/>
        </w:rPr>
      </w:pPr>
      <w:r>
        <w:rPr>
          <w:rFonts w:ascii="Arial" w:cs="Arial" w:eastAsia="Arial" w:hAnsi="Arial"/>
          <w:sz w:val="14"/>
          <w:szCs w:val="14"/>
          <w:color w:val="FFFFFF"/>
        </w:rPr>
        <w:t>For27. the yearCOMMITMENTSended31DecemberAND 2012CONTINGENCIES (CONTINUED)</w:t>
      </w:r>
    </w:p>
    <w:p>
      <w:pPr>
        <w:ind w:left="580"/>
        <w:spacing w:after="0"/>
        <w:rPr>
          <w:sz w:val="20"/>
          <w:szCs w:val="20"/>
          <w:color w:val="auto"/>
        </w:rPr>
      </w:pPr>
      <w:r>
        <w:rPr>
          <w:rFonts w:ascii="Arial" w:cs="Arial" w:eastAsia="Arial" w:hAnsi="Arial"/>
          <w:sz w:val="3"/>
          <w:szCs w:val="3"/>
          <w:color w:val="FFFFFF"/>
        </w:rPr>
        <w:t>(continued)</w:t>
      </w:r>
    </w:p>
    <w:p>
      <w:pPr>
        <w:spacing w:after="0" w:line="181" w:lineRule="auto"/>
        <w:rPr>
          <w:sz w:val="20"/>
          <w:szCs w:val="20"/>
          <w:color w:val="auto"/>
        </w:rPr>
      </w:pPr>
      <w:r>
        <w:rPr>
          <w:rFonts w:ascii="Arial" w:cs="Arial" w:eastAsia="Arial" w:hAnsi="Arial"/>
          <w:sz w:val="10"/>
          <w:szCs w:val="10"/>
          <w:color w:val="FFFFFF"/>
        </w:rPr>
        <w:t>BooksLitigationandcommencedrecordsactionby Kazuo Okada and related matters</w:t>
      </w:r>
    </w:p>
    <w:p>
      <w:pPr>
        <w:ind w:right="120"/>
        <w:spacing w:after="0" w:line="181" w:lineRule="auto"/>
        <w:rPr>
          <w:sz w:val="20"/>
          <w:szCs w:val="20"/>
          <w:color w:val="auto"/>
        </w:rPr>
      </w:pPr>
      <w:r>
        <w:rPr>
          <w:rFonts w:ascii="Arial" w:cs="Arial" w:eastAsia="Arial" w:hAnsi="Arial"/>
          <w:sz w:val="7"/>
          <w:szCs w:val="7"/>
          <w:color w:val="FFFFFF"/>
        </w:rPr>
        <w:t>certainOn11Januarybooksand2012,recordsMr.Okada,relatingintohisa donationroleasa toWynnthe UniversityResorts’directorofMacau,commencedamongotherawritthings.proceeding in the Eighth Judicial District Court, Clark County, Nevada, seeking to compel Wynn Resorts to produce In May 2011, WRM made commitment to the University of Macau Development Foundacommitmentionin support of the new Asia-Paci? c Academy of Economics and Management. This contribution consistsyearsof</w:t>
      </w:r>
    </w:p>
    <w:p>
      <w:pPr>
        <w:spacing w:after="0"/>
        <w:tabs>
          <w:tab w:leader="none" w:pos="4440" w:val="left"/>
          <w:tab w:leader="none" w:pos="4640" w:val="left"/>
        </w:tabs>
        <w:rPr>
          <w:sz w:val="20"/>
          <w:szCs w:val="20"/>
          <w:color w:val="auto"/>
        </w:rPr>
      </w:pPr>
      <w:r>
        <w:rPr>
          <w:rFonts w:ascii="Arial" w:cs="Arial" w:eastAsia="Arial" w:hAnsi="Arial"/>
          <w:sz w:val="3"/>
          <w:szCs w:val="3"/>
          <w:color w:val="FFFFFF"/>
        </w:rPr>
        <w:t>throughUS$25million2022inclusive.(equivalentThetopledgeHK$194.2was million) paymentwithWynnmadeResorts’inMaylong2011-</w:t>
      </w:r>
      <w:r>
        <w:rPr>
          <w:sz w:val="20"/>
          <w:szCs w:val="20"/>
          <w:color w:val="auto"/>
        </w:rPr>
        <w:tab/>
      </w:r>
      <w:r>
        <w:rPr>
          <w:rFonts w:ascii="Arial" w:cs="Arial" w:eastAsia="Arial" w:hAnsi="Arial"/>
          <w:sz w:val="3"/>
          <w:szCs w:val="3"/>
          <w:color w:val="FFFFFF"/>
        </w:rPr>
        <w:t>a</w:t>
      </w:r>
      <w:r>
        <w:rPr>
          <w:sz w:val="20"/>
          <w:szCs w:val="20"/>
          <w:color w:val="auto"/>
        </w:rPr>
        <w:tab/>
      </w:r>
      <w:r>
        <w:rPr>
          <w:rFonts w:ascii="Arial" w:cs="Arial" w:eastAsia="Arial" w:hAnsi="Arial"/>
          <w:sz w:val="3"/>
          <w:szCs w:val="3"/>
          <w:color w:val="FFFFFF"/>
        </w:rPr>
        <w:t>practice of forprovidingadditionalphilanthropicdonations supportofUS$10formilliondeserving(equivalentinstitutionstoHKinthe$77.7marketsmillion)in whicheachyearitoperates.forthecalendarThepledge was2012</w:t>
      </w:r>
    </w:p>
    <w:p>
      <w:pPr>
        <w:ind w:left="2200"/>
        <w:spacing w:after="0" w:line="187" w:lineRule="auto"/>
        <w:tabs>
          <w:tab w:leader="none" w:pos="4160" w:val="left"/>
        </w:tabs>
        <w:rPr>
          <w:sz w:val="20"/>
          <w:szCs w:val="20"/>
          <w:color w:val="auto"/>
        </w:rPr>
      </w:pPr>
      <w:r>
        <w:rPr>
          <w:rFonts w:ascii="Arial" w:cs="Arial" w:eastAsia="Arial" w:hAnsi="Arial"/>
          <w:sz w:val="9"/>
          <w:szCs w:val="9"/>
          <w:color w:val="FFFFFF"/>
        </w:rPr>
        <w:t>consistent</w:t>
      </w:r>
      <w:r>
        <w:rPr>
          <w:sz w:val="20"/>
          <w:szCs w:val="20"/>
          <w:color w:val="auto"/>
        </w:rPr>
        <w:tab/>
      </w:r>
      <w:r>
        <w:rPr>
          <w:rFonts w:ascii="Arial" w:cs="Arial" w:eastAsia="Arial" w:hAnsi="Arial"/>
          <w:sz w:val="9"/>
          <w:szCs w:val="9"/>
          <w:color w:val="FFFFFF"/>
        </w:rPr>
        <w:t>standing</w:t>
      </w:r>
    </w:p>
    <w:p>
      <w:pPr>
        <w:spacing w:after="0"/>
        <w:tabs>
          <w:tab w:leader="none" w:pos="4360" w:val="left"/>
        </w:tabs>
        <w:rPr>
          <w:sz w:val="20"/>
          <w:szCs w:val="20"/>
          <w:color w:val="auto"/>
        </w:rPr>
      </w:pPr>
      <w:r>
        <w:rPr>
          <w:rFonts w:ascii="Arial" w:cs="Arial" w:eastAsia="Arial" w:hAnsi="Arial"/>
          <w:sz w:val="2"/>
          <w:szCs w:val="2"/>
          <w:color w:val="FFFFFF"/>
        </w:rPr>
        <w:t>made following an extensive analysis which</w:t>
      </w:r>
      <w:r>
        <w:rPr>
          <w:rFonts w:ascii="Arial" w:cs="Arial" w:eastAsia="Arial" w:hAnsi="Arial"/>
          <w:sz w:val="4"/>
          <w:szCs w:val="4"/>
          <w:color w:val="FFFFFF"/>
          <w:vertAlign w:val="subscript"/>
        </w:rPr>
        <w:t>directors</w:t>
      </w:r>
      <w:r>
        <w:rPr>
          <w:rFonts w:ascii="Arial" w:cs="Arial" w:eastAsia="Arial" w:hAnsi="Arial"/>
          <w:sz w:val="2"/>
          <w:szCs w:val="2"/>
          <w:color w:val="FFFFFF"/>
        </w:rPr>
        <w:t>ncluded that the gift was made</w:t>
      </w:r>
      <w:r>
        <w:rPr>
          <w:sz w:val="20"/>
          <w:szCs w:val="20"/>
          <w:color w:val="auto"/>
        </w:rPr>
        <w:tab/>
      </w:r>
      <w:r>
        <w:rPr>
          <w:rFonts w:ascii="Arial" w:cs="Arial" w:eastAsia="Arial" w:hAnsi="Arial"/>
          <w:sz w:val="3"/>
          <w:szCs w:val="3"/>
          <w:color w:val="FFFFFF"/>
        </w:rPr>
        <w:t>accordance with all applicable laws. The pledge was considered by the boards of directors of both Wynn Resorts and the</w:t>
      </w:r>
    </w:p>
    <w:p>
      <w:pPr>
        <w:ind w:right="200"/>
        <w:spacing w:after="0" w:line="187" w:lineRule="auto"/>
        <w:rPr>
          <w:sz w:val="20"/>
          <w:szCs w:val="20"/>
          <w:color w:val="auto"/>
        </w:rPr>
      </w:pPr>
      <w:r>
        <w:rPr>
          <w:rFonts w:ascii="Arial" w:cs="Arial" w:eastAsia="Arial" w:hAnsi="Arial"/>
          <w:sz w:val="9"/>
          <w:szCs w:val="9"/>
          <w:color w:val="FFFFFF"/>
        </w:rPr>
        <w:t>Company and approved by 15 of the 16 who served on those boards. The sole dissenting vote was cast by Mr. Okada whose stated objection was to the length of time over which the donation would occur, not its propriety.</w:t>
      </w:r>
    </w:p>
    <w:p>
      <w:pPr>
        <w:spacing w:after="0" w:line="213" w:lineRule="auto"/>
        <w:rPr>
          <w:sz w:val="20"/>
          <w:szCs w:val="20"/>
          <w:color w:val="auto"/>
        </w:rPr>
      </w:pPr>
      <w:r>
        <w:rPr>
          <w:rFonts w:ascii="Arial" w:cs="Arial" w:eastAsia="Arial" w:hAnsi="Arial"/>
          <w:sz w:val="2"/>
          <w:szCs w:val="2"/>
          <w:color w:val="FFFFFF"/>
        </w:rPr>
        <w:t>At a hearing on 9 February 2012, the Nevada state court held that, as a director of Wynn Resorts, Mr. Okada had the right to make</w:t>
      </w:r>
      <w:r>
        <w:rPr>
          <w:rFonts w:ascii="Arial" w:cs="Arial" w:eastAsia="Arial" w:hAnsi="Arial"/>
          <w:sz w:val="4"/>
          <w:szCs w:val="4"/>
          <w:color w:val="FFFFFF"/>
          <w:vertAlign w:val="superscript"/>
        </w:rPr>
        <w:t>March</w:t>
      </w:r>
      <w:r>
        <w:rPr>
          <w:rFonts w:ascii="Arial" w:cs="Arial" w:eastAsia="Arial" w:hAnsi="Arial"/>
          <w:sz w:val="2"/>
          <w:szCs w:val="2"/>
          <w:color w:val="FFFFFF"/>
        </w:rPr>
        <w:t>reasonable inspection of Wynn Resorts’ corporate books and records.</w:t>
      </w:r>
    </w:p>
    <w:p>
      <w:pPr>
        <w:ind w:right="100"/>
        <w:spacing w:after="0"/>
        <w:rPr>
          <w:sz w:val="20"/>
          <w:szCs w:val="20"/>
          <w:color w:val="auto"/>
        </w:rPr>
      </w:pPr>
      <w:r>
        <w:rPr>
          <w:rFonts w:ascii="Arial" w:cs="Arial" w:eastAsia="Arial" w:hAnsi="Arial"/>
          <w:sz w:val="6"/>
          <w:szCs w:val="6"/>
          <w:color w:val="FFFFFF"/>
        </w:rPr>
        <w:t>Following the hearing, Wynn Resorts released certain documents to Mr. Okada for his inspection. At a subsequent hearing on 8 2012, the court considered Mr. Okada’s request that Wynn Resorts’ board of directors make additional documents available to him, and ruled that Mr. Okada was entitled to inspect two additional pages of documents. Wynn Resorts promptly complied with the court’s ruling.</w:t>
      </w:r>
    </w:p>
    <w:p>
      <w:pPr>
        <w:spacing w:after="0" w:line="12" w:lineRule="exact"/>
        <w:rPr>
          <w:sz w:val="20"/>
          <w:szCs w:val="20"/>
          <w:color w:val="auto"/>
        </w:rPr>
      </w:pPr>
    </w:p>
    <w:p>
      <w:pPr>
        <w:ind w:right="100"/>
        <w:spacing w:after="0" w:line="196" w:lineRule="auto"/>
        <w:rPr>
          <w:sz w:val="20"/>
          <w:szCs w:val="20"/>
          <w:color w:val="auto"/>
        </w:rPr>
      </w:pPr>
      <w:r>
        <w:rPr>
          <w:rFonts w:ascii="Arial" w:cs="Arial" w:eastAsia="Arial" w:hAnsi="Arial"/>
          <w:sz w:val="10"/>
          <w:szCs w:val="10"/>
          <w:color w:val="FFFFFF"/>
        </w:rPr>
        <w:t>On 25 May 2012, Mr. Okada amended his petition to request inspection of additional records. Following a hearing held on 2 October 2012, the court ruled that Mr. Okada is entitled to review certain additional Wynn Resorts documents from the 2000 to 2002 time period. Wynn Resorts promptly complied with the court’s ruling. On 2 November 2012, Mr. Okada fi led a motion to compel the production of additional documents and to depose a witness designated by Wynn Resorts. At the conclusion of a hearing held on 8 November 2012, the court denied Mr. Okada’s motion. Wynn Resorts has not received any further requests for information by Mr. Okada in relation to this matter as of the date of this report.</w:t>
      </w:r>
    </w:p>
    <w:p>
      <w:pPr>
        <w:sectPr>
          <w:pgSz w:w="11900" w:h="16838" w:orient="portrait"/>
          <w:cols w:equalWidth="0" w:num="1">
            <w:col w:w="11380"/>
          </w:cols>
          <w:pgMar w:left="240" w:top="1440" w:right="279" w:bottom="1440" w:gutter="0" w:footer="0" w:header="0"/>
        </w:sectPr>
      </w:pPr>
    </w:p>
    <w:bookmarkStart w:id="159" w:name="page160"/>
    <w:bookmarkEnd w:id="1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spacing w:after="0"/>
              <w:rPr>
                <w:sz w:val="20"/>
                <w:szCs w:val="20"/>
                <w:color w:val="auto"/>
              </w:rPr>
            </w:pPr>
            <w:r>
              <w:rPr>
                <w:rFonts w:ascii="Arial" w:cs="Arial" w:eastAsia="Arial" w:hAnsi="Arial"/>
                <w:sz w:val="14"/>
                <w:szCs w:val="14"/>
                <w:color w:val="FFFFFF"/>
              </w:rPr>
              <w:t>154 Wynn Macau, Limited</w:t>
            </w: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80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1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1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3600" w:type="dxa"/>
            <w:vAlign w:val="bottom"/>
            <w:gridSpan w:val="3"/>
          </w:tcPr>
          <w:p>
            <w:pPr>
              <w:spacing w:after="0" w:line="108" w:lineRule="exact"/>
              <w:rPr>
                <w:sz w:val="20"/>
                <w:szCs w:val="20"/>
                <w:color w:val="auto"/>
              </w:rPr>
            </w:pPr>
            <w:r>
              <w:rPr>
                <w:rFonts w:ascii="Arial" w:cs="Arial" w:eastAsia="Arial" w:hAnsi="Arial"/>
                <w:sz w:val="12"/>
                <w:szCs w:val="12"/>
                <w:color w:val="FFFFFF"/>
              </w:rPr>
              <w:t>For the year ended 31 December 2012</w:t>
            </w:r>
          </w:p>
        </w:tc>
        <w:tc>
          <w:tcPr>
            <w:tcW w:w="560" w:type="dxa"/>
            <w:vAlign w:val="bottom"/>
          </w:tcPr>
          <w:p>
            <w:pPr>
              <w:spacing w:after="0"/>
              <w:rPr>
                <w:sz w:val="9"/>
                <w:szCs w:val="9"/>
                <w:color w:val="auto"/>
              </w:rPr>
            </w:pPr>
          </w:p>
        </w:tc>
        <w:tc>
          <w:tcPr>
            <w:tcW w:w="7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27.</w:t>
            </w:r>
          </w:p>
        </w:tc>
        <w:tc>
          <w:tcPr>
            <w:tcW w:w="3920" w:type="dxa"/>
            <w:vAlign w:val="bottom"/>
            <w:gridSpan w:val="3"/>
          </w:tcPr>
          <w:p>
            <w:pPr>
              <w:ind w:left="220"/>
              <w:spacing w:after="0"/>
              <w:rPr>
                <w:sz w:val="20"/>
                <w:szCs w:val="20"/>
                <w:color w:val="auto"/>
              </w:rPr>
            </w:pPr>
            <w:r>
              <w:rPr>
                <w:rFonts w:ascii="Arial" w:cs="Arial" w:eastAsia="Arial" w:hAnsi="Arial"/>
                <w:sz w:val="3"/>
                <w:szCs w:val="3"/>
                <w:color w:val="FFFFFF"/>
              </w:rPr>
              <w:t>COMMITMENTS AND CONTINGENCIES (CONTINUED)</w:t>
            </w: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560" w:type="dxa"/>
            <w:vAlign w:val="bottom"/>
          </w:tcPr>
          <w:p>
            <w:pPr>
              <w:ind w:left="340"/>
              <w:spacing w:after="0" w:line="54" w:lineRule="exact"/>
              <w:rPr>
                <w:sz w:val="20"/>
                <w:szCs w:val="20"/>
                <w:color w:val="auto"/>
              </w:rPr>
            </w:pPr>
            <w:r>
              <w:rPr>
                <w:rFonts w:ascii="Arial" w:cs="Arial" w:eastAsia="Arial" w:hAnsi="Arial"/>
                <w:sz w:val="6"/>
                <w:szCs w:val="6"/>
                <w:color w:val="FFFFFF"/>
              </w:rPr>
              <w:t>(continued)</w:t>
            </w:r>
          </w:p>
        </w:tc>
        <w:tc>
          <w:tcPr>
            <w:tcW w:w="1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160" w:type="dxa"/>
            <w:vAlign w:val="bottom"/>
            <w:gridSpan w:val="4"/>
          </w:tcPr>
          <w:p>
            <w:pPr>
              <w:spacing w:after="0"/>
              <w:rPr>
                <w:sz w:val="20"/>
                <w:szCs w:val="20"/>
                <w:color w:val="auto"/>
              </w:rPr>
            </w:pPr>
            <w:r>
              <w:rPr>
                <w:rFonts w:ascii="Arial" w:cs="Arial" w:eastAsia="Arial" w:hAnsi="Arial"/>
                <w:sz w:val="3"/>
                <w:szCs w:val="3"/>
                <w:color w:val="FFFFFF"/>
              </w:rPr>
              <w:t>Litigation commenced by Kazuo Okada and related matters (continued)</w:t>
            </w: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0" w:type="dxa"/>
            <w:vAlign w:val="bottom"/>
            <w:gridSpan w:val="2"/>
          </w:tcPr>
          <w:p>
            <w:pPr>
              <w:spacing w:after="0"/>
              <w:rPr>
                <w:sz w:val="20"/>
                <w:szCs w:val="20"/>
                <w:color w:val="auto"/>
              </w:rPr>
            </w:pPr>
            <w:r>
              <w:rPr>
                <w:rFonts w:ascii="Arial" w:cs="Arial" w:eastAsia="Arial" w:hAnsi="Arial"/>
                <w:sz w:val="3"/>
                <w:szCs w:val="3"/>
                <w:color w:val="FFFFFF"/>
              </w:rPr>
              <w:t>SEC inquiry</w:t>
            </w:r>
          </w:p>
        </w:tc>
        <w:tc>
          <w:tcPr>
            <w:tcW w:w="1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40" w:type="dxa"/>
            <w:vAlign w:val="bottom"/>
            <w:vMerge w:val="restart"/>
          </w:tcPr>
          <w:p>
            <w:pPr>
              <w:ind w:left="100"/>
              <w:spacing w:after="0" w:line="81" w:lineRule="exact"/>
              <w:rPr>
                <w:sz w:val="20"/>
                <w:szCs w:val="20"/>
                <w:color w:val="auto"/>
              </w:rPr>
            </w:pPr>
            <w:r>
              <w:rPr>
                <w:rFonts w:ascii="Arial" w:cs="Arial" w:eastAsia="Arial" w:hAnsi="Arial"/>
                <w:sz w:val="9"/>
                <w:szCs w:val="9"/>
                <w:color w:val="FFFFFF"/>
              </w:rPr>
              <w:t>letter from the Salt Lake Regional Offi ce of the SEC requesting that, in connection with an informal inquiry by the SEC, Wynn</w:t>
            </w:r>
          </w:p>
        </w:tc>
        <w:tc>
          <w:tcPr>
            <w:tcW w:w="0" w:type="dxa"/>
            <w:vAlign w:val="bottom"/>
          </w:tcPr>
          <w:p>
            <w:pPr>
              <w:spacing w:after="0"/>
              <w:rPr>
                <w:sz w:val="1"/>
                <w:szCs w:val="1"/>
                <w:color w:val="auto"/>
              </w:rPr>
            </w:pPr>
          </w:p>
        </w:tc>
      </w:tr>
      <w:tr>
        <w:trPr>
          <w:trHeight w:val="41"/>
        </w:trPr>
        <w:tc>
          <w:tcPr>
            <w:tcW w:w="4160" w:type="dxa"/>
            <w:vAlign w:val="bottom"/>
            <w:gridSpan w:val="4"/>
          </w:tcPr>
          <w:p>
            <w:pPr>
              <w:spacing w:after="0"/>
              <w:rPr>
                <w:sz w:val="20"/>
                <w:szCs w:val="20"/>
                <w:color w:val="auto"/>
              </w:rPr>
            </w:pPr>
            <w:r>
              <w:rPr>
                <w:rFonts w:ascii="Arial" w:cs="Arial" w:eastAsia="Arial" w:hAnsi="Arial"/>
                <w:sz w:val="3"/>
                <w:szCs w:val="3"/>
                <w:color w:val="FFFFFF"/>
              </w:rPr>
              <w:t>On 8 February 2012, following Mr. Okada’s lawsuit, Wynn Resorts received</w:t>
            </w:r>
          </w:p>
        </w:tc>
        <w:tc>
          <w:tcPr>
            <w:tcW w:w="7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Resorts preserve information relating to the donation to the University of Macau, any donations by Wynn Resorts to any other educational charitable institutions, including the University of Macau Development</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Foundation, and Wynn Resorts’ casino or concession gaming licenses or renewals in Macau. Wynn Resorts is fully cooperating with the Salt Lake Regional Offi ce staff.</w:t>
            </w:r>
          </w:p>
        </w:tc>
        <w:tc>
          <w:tcPr>
            <w:tcW w:w="0" w:type="dxa"/>
            <w:vAlign w:val="bottom"/>
          </w:tcPr>
          <w:p>
            <w:pPr>
              <w:spacing w:after="0"/>
              <w:rPr>
                <w:sz w:val="1"/>
                <w:szCs w:val="1"/>
                <w:color w:val="auto"/>
              </w:rPr>
            </w:pPr>
          </w:p>
        </w:tc>
      </w:tr>
      <w:tr>
        <w:trPr>
          <w:trHeight w:val="41"/>
        </w:trPr>
        <w:tc>
          <w:tcPr>
            <w:tcW w:w="1800" w:type="dxa"/>
            <w:vAlign w:val="bottom"/>
            <w:gridSpan w:val="2"/>
          </w:tcPr>
          <w:p>
            <w:pPr>
              <w:spacing w:after="0"/>
              <w:rPr>
                <w:sz w:val="20"/>
                <w:szCs w:val="20"/>
                <w:color w:val="auto"/>
              </w:rPr>
            </w:pPr>
            <w:r>
              <w:rPr>
                <w:rFonts w:ascii="Arial" w:cs="Arial" w:eastAsia="Arial" w:hAnsi="Arial"/>
                <w:sz w:val="3"/>
                <w:szCs w:val="3"/>
                <w:color w:val="FFFFFF"/>
              </w:rPr>
              <w:t>Japan Action</w:t>
            </w:r>
          </w:p>
        </w:tc>
        <w:tc>
          <w:tcPr>
            <w:tcW w:w="1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On 28 August 2012, Mr. Okada, Universal Entertainment Corporation and Okada Holdings ? led a complaint in Tokyo District Court against Wynn Resorts, all members of the board of directors of Wynn Resorts</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(other than Mr. Okada) and Wynn Resorts’ General Counsel, alleging that the press release issued by Wynn Resorts with respect to the redemption has damaged plaintiffs’ social evaluation and credibility. The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plaintiffs seek damages and legal fees from the defendants. Wynn Resorts and the other counter-defendants are vigorously defending against the claims asserted against them in this matter.</w:t>
            </w:r>
          </w:p>
        </w:tc>
        <w:tc>
          <w:tcPr>
            <w:tcW w:w="0" w:type="dxa"/>
            <w:vAlign w:val="bottom"/>
          </w:tcPr>
          <w:p>
            <w:pPr>
              <w:spacing w:after="0"/>
              <w:rPr>
                <w:sz w:val="1"/>
                <w:szCs w:val="1"/>
                <w:color w:val="auto"/>
              </w:rPr>
            </w:pPr>
          </w:p>
        </w:tc>
      </w:tr>
      <w:tr>
        <w:trPr>
          <w:trHeight w:val="41"/>
        </w:trPr>
        <w:tc>
          <w:tcPr>
            <w:tcW w:w="1800" w:type="dxa"/>
            <w:vAlign w:val="bottom"/>
            <w:gridSpan w:val="2"/>
          </w:tcPr>
          <w:p>
            <w:pPr>
              <w:spacing w:after="0"/>
              <w:rPr>
                <w:sz w:val="20"/>
                <w:szCs w:val="20"/>
                <w:color w:val="auto"/>
              </w:rPr>
            </w:pPr>
            <w:r>
              <w:rPr>
                <w:rFonts w:ascii="Arial" w:cs="Arial" w:eastAsia="Arial" w:hAnsi="Arial"/>
                <w:sz w:val="3"/>
                <w:szCs w:val="3"/>
                <w:color w:val="FFFFFF"/>
              </w:rPr>
              <w:t>Federal Securities Action</w:t>
            </w:r>
          </w:p>
        </w:tc>
        <w:tc>
          <w:tcPr>
            <w:tcW w:w="1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On 3 January 2013, Wynn Resorts ? led  de? nitive proxy statement on Schedule 14A (“Proxy Statement”) for a special meeting of the stockholders to consider and vote upon a proposal to remove Mr. Okada as</w:t>
            </w:r>
          </w:p>
        </w:tc>
        <w:tc>
          <w:tcPr>
            <w:tcW w:w="0" w:type="dxa"/>
            <w:vAlign w:val="bottom"/>
          </w:tcPr>
          <w:p>
            <w:pPr>
              <w:spacing w:after="0"/>
              <w:rPr>
                <w:sz w:val="1"/>
                <w:szCs w:val="1"/>
                <w:color w:val="auto"/>
              </w:rPr>
            </w:pPr>
          </w:p>
        </w:tc>
      </w:tr>
      <w:tr>
        <w:trPr>
          <w:trHeight w:val="41"/>
        </w:trPr>
        <w:tc>
          <w:tcPr>
            <w:tcW w:w="11400" w:type="dxa"/>
            <w:vAlign w:val="bottom"/>
            <w:gridSpan w:val="5"/>
          </w:tcPr>
          <w:p>
            <w:pPr>
              <w:ind w:left="100"/>
              <w:spacing w:after="0"/>
              <w:rPr>
                <w:sz w:val="20"/>
                <w:szCs w:val="20"/>
                <w:color w:val="auto"/>
              </w:rPr>
            </w:pPr>
            <w:r>
              <w:rPr>
                <w:rFonts w:ascii="Arial" w:cs="Arial" w:eastAsia="Arial" w:hAnsi="Arial"/>
                <w:sz w:val="3"/>
                <w:szCs w:val="3"/>
                <w:color w:val="FFFFFF"/>
              </w:rPr>
              <w:t>director of Wynn Resorts (“Removal Proposal”). On 24 January 2013, Mr. Okada fi led a complaint in the United States District Court, District of Nevada against Wynn Resorts, alleging that the Proxy</w:t>
            </w:r>
          </w:p>
        </w:tc>
        <w:tc>
          <w:tcPr>
            <w:tcW w:w="0" w:type="dxa"/>
            <w:vAlign w:val="bottom"/>
          </w:tcPr>
          <w:p>
            <w:pPr>
              <w:spacing w:after="0"/>
              <w:rPr>
                <w:sz w:val="1"/>
                <w:szCs w:val="1"/>
                <w:color w:val="auto"/>
              </w:rPr>
            </w:pPr>
          </w:p>
        </w:tc>
      </w:tr>
      <w:tr>
        <w:trPr>
          <w:trHeight w:val="41"/>
        </w:trPr>
        <w:tc>
          <w:tcPr>
            <w:tcW w:w="240" w:type="dxa"/>
            <w:vAlign w:val="bottom"/>
          </w:tcPr>
          <w:p>
            <w:pPr>
              <w:spacing w:after="0"/>
              <w:rPr>
                <w:sz w:val="20"/>
                <w:szCs w:val="20"/>
                <w:color w:val="auto"/>
              </w:rPr>
            </w:pPr>
            <w:r>
              <w:rPr>
                <w:rFonts w:ascii="Arial" w:cs="Arial" w:eastAsia="Arial" w:hAnsi="Arial"/>
                <w:sz w:val="3"/>
                <w:szCs w:val="3"/>
                <w:color w:val="FFFFFF"/>
              </w:rPr>
              <w:t>Stat</w:t>
            </w:r>
          </w:p>
        </w:tc>
        <w:tc>
          <w:tcPr>
            <w:tcW w:w="1560" w:type="dxa"/>
            <w:vAlign w:val="bottom"/>
          </w:tcPr>
          <w:p>
            <w:pPr>
              <w:ind w:left="40"/>
              <w:spacing w:after="0"/>
              <w:rPr>
                <w:sz w:val="20"/>
                <w:szCs w:val="20"/>
                <w:color w:val="auto"/>
              </w:rPr>
            </w:pPr>
            <w:r>
              <w:rPr>
                <w:rFonts w:ascii="Arial" w:cs="Arial" w:eastAsia="Arial" w:hAnsi="Arial"/>
                <w:sz w:val="3"/>
                <w:szCs w:val="3"/>
                <w:color w:val="FFFFFF"/>
              </w:rPr>
              <w:t>ment was materially false</w:t>
            </w:r>
          </w:p>
        </w:tc>
        <w:tc>
          <w:tcPr>
            <w:tcW w:w="1800" w:type="dxa"/>
            <w:vAlign w:val="bottom"/>
          </w:tcPr>
          <w:p>
            <w:pPr>
              <w:ind w:left="120"/>
              <w:spacing w:after="0"/>
              <w:rPr>
                <w:sz w:val="20"/>
                <w:szCs w:val="20"/>
                <w:color w:val="auto"/>
              </w:rPr>
            </w:pPr>
            <w:r>
              <w:rPr>
                <w:rFonts w:ascii="Arial" w:cs="Arial" w:eastAsia="Arial" w:hAnsi="Arial"/>
                <w:sz w:val="3"/>
                <w:szCs w:val="3"/>
                <w:color w:val="FFFFFF"/>
              </w:rPr>
              <w:t>misleading in contravention of</w:t>
            </w:r>
          </w:p>
        </w:tc>
        <w:tc>
          <w:tcPr>
            <w:tcW w:w="7800" w:type="dxa"/>
            <w:vAlign w:val="bottom"/>
            <w:gridSpan w:val="2"/>
          </w:tcPr>
          <w:p>
            <w:pPr>
              <w:ind w:left="460"/>
              <w:spacing w:after="0"/>
              <w:rPr>
                <w:sz w:val="20"/>
                <w:szCs w:val="20"/>
                <w:color w:val="auto"/>
              </w:rPr>
            </w:pPr>
            <w:r>
              <w:rPr>
                <w:rFonts w:ascii="Arial" w:cs="Arial" w:eastAsia="Arial" w:hAnsi="Arial"/>
                <w:sz w:val="3"/>
                <w:szCs w:val="3"/>
                <w:color w:val="FFFFFF"/>
              </w:rPr>
              <w:t>14( ) of the Securities Exchange Act of 1934, as amended, and Securities and Exchange Commission Rule 14a-9 promulgated</w:t>
            </w:r>
          </w:p>
        </w:tc>
        <w:tc>
          <w:tcPr>
            <w:tcW w:w="0" w:type="dxa"/>
            <w:vAlign w:val="bottom"/>
          </w:tcPr>
          <w:p>
            <w:pPr>
              <w:spacing w:after="0"/>
              <w:rPr>
                <w:sz w:val="1"/>
                <w:szCs w:val="1"/>
                <w:color w:val="auto"/>
              </w:rPr>
            </w:pPr>
          </w:p>
        </w:tc>
      </w:tr>
      <w:tr>
        <w:trPr>
          <w:trHeight w:val="0"/>
        </w:trPr>
        <w:tc>
          <w:tcPr>
            <w:tcW w:w="3600" w:type="dxa"/>
            <w:vAlign w:val="bottom"/>
            <w:gridSpan w:val="3"/>
          </w:tcPr>
          <w:p>
            <w:pPr>
              <w:spacing w:after="0" w:line="80" w:lineRule="exact"/>
              <w:rPr>
                <w:sz w:val="20"/>
                <w:szCs w:val="20"/>
                <w:color w:val="auto"/>
              </w:rPr>
            </w:pPr>
            <w:r>
              <w:rPr>
                <w:rFonts w:ascii="Arial" w:cs="Arial" w:eastAsia="Arial" w:hAnsi="Arial"/>
                <w:sz w:val="9"/>
                <w:szCs w:val="9"/>
                <w:color w:val="FFFFFF"/>
              </w:rPr>
              <w:t>thereunder. Mr. Okada also ? ledandmotion for  preliminary</w:t>
            </w:r>
          </w:p>
        </w:tc>
        <w:tc>
          <w:tcPr>
            <w:tcW w:w="560" w:type="dxa"/>
            <w:vAlign w:val="bottom"/>
          </w:tcPr>
          <w:p>
            <w:pPr>
              <w:ind w:left="20"/>
              <w:spacing w:after="0" w:line="80" w:lineRule="exact"/>
              <w:rPr>
                <w:sz w:val="20"/>
                <w:szCs w:val="20"/>
                <w:color w:val="auto"/>
              </w:rPr>
            </w:pPr>
            <w:r>
              <w:rPr>
                <w:rFonts w:ascii="Arial" w:cs="Arial" w:eastAsia="Arial" w:hAnsi="Arial"/>
                <w:sz w:val="9"/>
                <w:szCs w:val="9"/>
                <w:color w:val="FFFFFF"/>
              </w:rPr>
              <w:t>Section28</w:t>
            </w:r>
          </w:p>
        </w:tc>
        <w:tc>
          <w:tcPr>
            <w:tcW w:w="7240" w:type="dxa"/>
            <w:vAlign w:val="bottom"/>
          </w:tcPr>
          <w:p>
            <w:pPr>
              <w:ind w:left="20"/>
              <w:spacing w:after="0" w:line="80" w:lineRule="exact"/>
              <w:rPr>
                <w:sz w:val="20"/>
                <w:szCs w:val="20"/>
                <w:color w:val="auto"/>
              </w:rPr>
            </w:pPr>
            <w:r>
              <w:rPr>
                <w:rFonts w:ascii="Arial" w:cs="Arial" w:eastAsia="Arial" w:hAnsi="Arial"/>
                <w:sz w:val="9"/>
                <w:szCs w:val="9"/>
                <w:color w:val="FFFFFF"/>
              </w:rPr>
              <w:t>January 2013, in which he sought   order preliminarily enjoining the special meeting of stockholders until such time as Wynn</w:t>
            </w:r>
          </w:p>
        </w:tc>
        <w:tc>
          <w:tcPr>
            <w:tcW w:w="0" w:type="dxa"/>
            <w:vAlign w:val="bottom"/>
          </w:tcPr>
          <w:p>
            <w:pPr>
              <w:spacing w:after="0" w:line="20" w:lineRule="exact"/>
              <w:rPr>
                <w:sz w:val="1"/>
                <w:szCs w:val="1"/>
                <w:color w:val="auto"/>
              </w:rPr>
            </w:pPr>
          </w:p>
        </w:tc>
      </w:tr>
    </w:tbl>
    <w:p>
      <w:pPr>
        <w:ind w:right="1160"/>
        <w:spacing w:after="0"/>
        <w:rPr>
          <w:sz w:val="20"/>
          <w:szCs w:val="20"/>
          <w:color w:val="auto"/>
        </w:rPr>
      </w:pPr>
      <w:r>
        <w:rPr>
          <w:rFonts w:ascii="Arial" w:cs="Arial" w:eastAsia="Arial" w:hAnsi="Arial"/>
          <w:sz w:val="7"/>
          <w:szCs w:val="7"/>
          <w:color w:val="FFFFFF"/>
        </w:rPr>
        <w:t>Resorts corrected certain alleged misstatements and omissionsinjunctionitsProxy Statement. At the conclusion of a hearing held on 15 February 2013, the federal court denied Mr. Okada’s motion. On the afternoon of 21 February 2013, Mr. Okada resigned as a director of Wynn Resorts. On</w:t>
      </w:r>
    </w:p>
    <w:p>
      <w:pPr>
        <w:spacing w:after="0" w:line="2" w:lineRule="exact"/>
        <w:rPr>
          <w:sz w:val="20"/>
          <w:szCs w:val="20"/>
          <w:color w:val="auto"/>
        </w:rPr>
      </w:pPr>
    </w:p>
    <w:p>
      <w:pPr>
        <w:spacing w:after="0"/>
        <w:rPr>
          <w:sz w:val="20"/>
          <w:szCs w:val="20"/>
          <w:color w:val="auto"/>
        </w:rPr>
      </w:pPr>
      <w:r>
        <w:rPr>
          <w:rFonts w:ascii="Arial" w:cs="Arial" w:eastAsia="Arial" w:hAnsi="Arial"/>
          <w:sz w:val="8"/>
          <w:szCs w:val="8"/>
          <w:color w:val="FFFFFF"/>
        </w:rPr>
        <w:t>(99.22February6%ofthe2013,sharesthethatspecialweremeetingvotedatofthestockholdersspecialmeetingwas heldofstockholdersandthestockholderswerevotedapprovedinfavor theoftheRemovalRemovalProposalProposal)with. an af? rmative vote of 85.7% of the shares entitled to vote at the special meeting</w:t>
      </w:r>
    </w:p>
    <w:p>
      <w:pPr>
        <w:sectPr>
          <w:pgSz w:w="11900" w:h="16838" w:orient="portrait"/>
          <w:cols w:equalWidth="0" w:num="1">
            <w:col w:w="11400"/>
          </w:cols>
          <w:pgMar w:left="240" w:top="1440" w:right="259"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gridSpan w:val="2"/>
          </w:tcPr>
          <w:p>
            <w:pPr>
              <w:spacing w:after="0"/>
              <w:rPr>
                <w:sz w:val="20"/>
                <w:szCs w:val="20"/>
                <w:color w:val="auto"/>
              </w:rPr>
            </w:pPr>
            <w:r>
              <w:rPr>
                <w:rFonts w:ascii="Arial" w:cs="Arial" w:eastAsia="Arial" w:hAnsi="Arial"/>
                <w:sz w:val="14"/>
                <w:szCs w:val="14"/>
                <w:color w:val="FFFFFF"/>
              </w:rPr>
              <w:t>Annual Report 2012 155</w:t>
            </w:r>
          </w:p>
        </w:tc>
        <w:tc>
          <w:tcPr>
            <w:tcW w:w="36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80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36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80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36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5400" w:type="dxa"/>
            <w:vAlign w:val="bottom"/>
            <w:gridSpan w:val="3"/>
          </w:tcPr>
          <w:p>
            <w:pPr>
              <w:spacing w:after="0" w:line="108" w:lineRule="exact"/>
              <w:rPr>
                <w:sz w:val="20"/>
                <w:szCs w:val="20"/>
                <w:color w:val="auto"/>
              </w:rPr>
            </w:pPr>
            <w:r>
              <w:rPr>
                <w:rFonts w:ascii="Arial" w:cs="Arial" w:eastAsia="Arial" w:hAnsi="Arial"/>
                <w:sz w:val="12"/>
                <w:szCs w:val="12"/>
                <w:color w:val="FFFFFF"/>
              </w:rPr>
              <w:t>For the year ended 31 December 2012</w:t>
            </w:r>
          </w:p>
        </w:tc>
        <w:tc>
          <w:tcPr>
            <w:tcW w:w="2160" w:type="dxa"/>
            <w:vAlign w:val="bottom"/>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27.</w:t>
            </w:r>
          </w:p>
        </w:tc>
        <w:tc>
          <w:tcPr>
            <w:tcW w:w="5080" w:type="dxa"/>
            <w:vAlign w:val="bottom"/>
            <w:gridSpan w:val="2"/>
          </w:tcPr>
          <w:p>
            <w:pPr>
              <w:ind w:left="140"/>
              <w:spacing w:after="0"/>
              <w:rPr>
                <w:sz w:val="20"/>
                <w:szCs w:val="20"/>
                <w:color w:val="auto"/>
              </w:rPr>
            </w:pPr>
            <w:r>
              <w:rPr>
                <w:rFonts w:ascii="Arial" w:cs="Arial" w:eastAsia="Arial" w:hAnsi="Arial"/>
                <w:sz w:val="3"/>
                <w:szCs w:val="3"/>
                <w:color w:val="FFFFFF"/>
              </w:rPr>
              <w:t>COMMITMENTS AND CONTINGENCIES (CONTINUED)</w:t>
            </w:r>
          </w:p>
        </w:tc>
        <w:tc>
          <w:tcPr>
            <w:tcW w:w="21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800" w:type="dxa"/>
            <w:vAlign w:val="bottom"/>
            <w:gridSpan w:val="2"/>
          </w:tcPr>
          <w:p>
            <w:pPr>
              <w:spacing w:after="0" w:line="54" w:lineRule="exact"/>
              <w:rPr>
                <w:sz w:val="20"/>
                <w:szCs w:val="20"/>
                <w:color w:val="auto"/>
              </w:rPr>
            </w:pPr>
            <w:r>
              <w:rPr>
                <w:rFonts w:ascii="Arial" w:cs="Arial" w:eastAsia="Arial" w:hAnsi="Arial"/>
                <w:sz w:val="6"/>
                <w:szCs w:val="6"/>
                <w:color w:val="FFFFFF"/>
              </w:rPr>
              <w:t>Litigation (continued)</w:t>
            </w:r>
          </w:p>
        </w:tc>
        <w:tc>
          <w:tcPr>
            <w:tcW w:w="36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800" w:type="dxa"/>
            <w:vAlign w:val="bottom"/>
            <w:gridSpan w:val="2"/>
          </w:tcPr>
          <w:p>
            <w:pPr>
              <w:spacing w:after="0"/>
              <w:rPr>
                <w:sz w:val="20"/>
                <w:szCs w:val="20"/>
                <w:color w:val="auto"/>
              </w:rPr>
            </w:pPr>
            <w:r>
              <w:rPr>
                <w:rFonts w:ascii="Arial" w:cs="Arial" w:eastAsia="Arial" w:hAnsi="Arial"/>
                <w:sz w:val="3"/>
                <w:szCs w:val="3"/>
                <w:color w:val="FFFFFF"/>
              </w:rPr>
              <w:t>Related derivative litigation</w:t>
            </w:r>
          </w:p>
        </w:tc>
        <w:tc>
          <w:tcPr>
            <w:tcW w:w="36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Six derivative actions were commenced against Wynn Resorts and all members of its board of directors: four in the United States District Court, District of Nevada, and two in the Eighth Judicial District Court</w:t>
            </w:r>
          </w:p>
        </w:tc>
        <w:tc>
          <w:tcPr>
            <w:tcW w:w="0" w:type="dxa"/>
            <w:vAlign w:val="bottom"/>
          </w:tcPr>
          <w:p>
            <w:pPr>
              <w:spacing w:after="0"/>
              <w:rPr>
                <w:sz w:val="1"/>
                <w:szCs w:val="1"/>
                <w:color w:val="auto"/>
              </w:rPr>
            </w:pPr>
          </w:p>
        </w:tc>
      </w:tr>
      <w:tr>
        <w:trPr>
          <w:trHeight w:val="41"/>
        </w:trPr>
        <w:tc>
          <w:tcPr>
            <w:tcW w:w="1800" w:type="dxa"/>
            <w:vAlign w:val="bottom"/>
            <w:gridSpan w:val="2"/>
          </w:tcPr>
          <w:p>
            <w:pPr>
              <w:spacing w:after="0"/>
              <w:rPr>
                <w:sz w:val="20"/>
                <w:szCs w:val="20"/>
                <w:color w:val="auto"/>
              </w:rPr>
            </w:pPr>
            <w:r>
              <w:rPr>
                <w:rFonts w:ascii="Arial" w:cs="Arial" w:eastAsia="Arial" w:hAnsi="Arial"/>
                <w:sz w:val="3"/>
                <w:szCs w:val="3"/>
                <w:color w:val="FFFFFF"/>
              </w:rPr>
              <w:t>of Clark County, Nevada.</w:t>
            </w:r>
          </w:p>
        </w:tc>
        <w:tc>
          <w:tcPr>
            <w:tcW w:w="36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3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The four federal actions brought by the following plaintiffs have been consolidated: (1) The Louisiana Municipal Police Employees’ Retirement System, (2) Maryanne Solak, (3) Excavators Union Local 731</w:t>
            </w:r>
          </w:p>
        </w:tc>
        <w:tc>
          <w:tcPr>
            <w:tcW w:w="0" w:type="dxa"/>
            <w:vAlign w:val="bottom"/>
          </w:tcPr>
          <w:p>
            <w:pPr>
              <w:spacing w:after="0"/>
              <w:rPr>
                <w:sz w:val="1"/>
                <w:szCs w:val="1"/>
                <w:color w:val="auto"/>
              </w:rPr>
            </w:pPr>
          </w:p>
        </w:tc>
      </w:tr>
      <w:tr>
        <w:trPr>
          <w:trHeight w:val="41"/>
        </w:trPr>
        <w:tc>
          <w:tcPr>
            <w:tcW w:w="1800" w:type="dxa"/>
            <w:vAlign w:val="bottom"/>
            <w:gridSpan w:val="2"/>
          </w:tcPr>
          <w:p>
            <w:pPr>
              <w:spacing w:after="0"/>
              <w:rPr>
                <w:sz w:val="20"/>
                <w:szCs w:val="20"/>
                <w:color w:val="auto"/>
              </w:rPr>
            </w:pPr>
            <w:r>
              <w:rPr>
                <w:rFonts w:ascii="Arial" w:cs="Arial" w:eastAsia="Arial" w:hAnsi="Arial"/>
                <w:sz w:val="3"/>
                <w:szCs w:val="3"/>
                <w:color w:val="FFFFFF"/>
              </w:rPr>
              <w:t>Welfare Fund, and (4)</w:t>
            </w:r>
          </w:p>
        </w:tc>
        <w:tc>
          <w:tcPr>
            <w:tcW w:w="5760" w:type="dxa"/>
            <w:vAlign w:val="bottom"/>
            <w:gridSpan w:val="2"/>
          </w:tcPr>
          <w:p>
            <w:pPr>
              <w:ind w:left="200"/>
              <w:spacing w:after="0"/>
              <w:rPr>
                <w:sz w:val="20"/>
                <w:szCs w:val="20"/>
                <w:color w:val="auto"/>
              </w:rPr>
            </w:pPr>
            <w:r>
              <w:rPr>
                <w:rFonts w:ascii="Arial" w:cs="Arial" w:eastAsia="Arial" w:hAnsi="Arial"/>
                <w:sz w:val="3"/>
                <w:szCs w:val="3"/>
                <w:color w:val="FFFFFF"/>
              </w:rPr>
              <w:t>Lodge No. 154 Retirement Fund (collectively, the “Federal Plaintiffs”).</w:t>
            </w:r>
          </w:p>
        </w:tc>
        <w:tc>
          <w:tcPr>
            <w:tcW w:w="3840" w:type="dxa"/>
            <w:vAlign w:val="bottom"/>
            <w:vMerge w:val="restart"/>
          </w:tcPr>
          <w:p>
            <w:pPr>
              <w:ind w:left="280"/>
              <w:spacing w:after="0" w:line="81" w:lineRule="exact"/>
              <w:rPr>
                <w:sz w:val="20"/>
                <w:szCs w:val="20"/>
                <w:color w:val="auto"/>
              </w:rPr>
            </w:pPr>
            <w:r>
              <w:rPr>
                <w:rFonts w:ascii="Arial" w:cs="Arial" w:eastAsia="Arial" w:hAnsi="Arial"/>
                <w:sz w:val="9"/>
                <w:szCs w:val="9"/>
                <w:color w:val="FFFFFF"/>
              </w:rPr>
              <w:t>assets; (3) injunctive relief; and (4) unjust enrichment. The claims</w:t>
            </w:r>
          </w:p>
        </w:tc>
        <w:tc>
          <w:tcPr>
            <w:tcW w:w="0" w:type="dxa"/>
            <w:vAlign w:val="bottom"/>
          </w:tcPr>
          <w:p>
            <w:pPr>
              <w:spacing w:after="0"/>
              <w:rPr>
                <w:sz w:val="1"/>
                <w:szCs w:val="1"/>
                <w:color w:val="auto"/>
              </w:rPr>
            </w:pPr>
          </w:p>
        </w:tc>
      </w:tr>
      <w:tr>
        <w:trPr>
          <w:trHeight w:val="41"/>
        </w:trPr>
        <w:tc>
          <w:tcPr>
            <w:tcW w:w="7560" w:type="dxa"/>
            <w:vAlign w:val="bottom"/>
            <w:gridSpan w:val="4"/>
          </w:tcPr>
          <w:p>
            <w:pPr>
              <w:spacing w:after="0"/>
              <w:rPr>
                <w:sz w:val="20"/>
                <w:szCs w:val="20"/>
                <w:color w:val="auto"/>
              </w:rPr>
            </w:pPr>
            <w:r>
              <w:rPr>
                <w:rFonts w:ascii="Arial" w:cs="Arial" w:eastAsia="Arial" w:hAnsi="Arial"/>
                <w:sz w:val="3"/>
                <w:szCs w:val="3"/>
                <w:color w:val="FFFFFF"/>
              </w:rPr>
              <w:t>The Federal Plaintiffs ?Boilermakersledconsolidated complaint on 6 August 2012, asserting claims for: (1) breach of ? duciary duty; (2) waste of</w:t>
            </w:r>
          </w:p>
        </w:tc>
        <w:tc>
          <w:tcPr>
            <w:tcW w:w="38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are against Wynn Resorts and all Wynn Resorts directors, including Mr. Okada, however, the plaintiffs voluntarily dismissed Mr. Okadacorporateasdefendant in this consolidated action on 27 September 2012. The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Federal Plaintiffs claim that the individual defendants breached their ? duciary duties and wasted assets by: (a) failing to ensure Wynn Resorts’ offi cers and directors complied with federal and state laws and</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Wynn Resorts’ Code of Conduct; (b) voting to allow Wynn Resorts’ subsidiary   make the donation to the University of Macau; and (c) redeeming Aruze USA, Inc.’s stock such that Wynn Resorts incurs the</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debt associated with the redemption. The Federal Plaintiffs seek unspecifi ed compensatory damages, restitution in the form of disgorgement, reformation of corporate governance procedures, an injunction</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against all future payments related to the donation/pledge, and all fees (attorneys, accountants, and experts) and costs. The directors responded to the consolidated complaint by ? ling a motion to dismiss on</w:t>
            </w:r>
          </w:p>
        </w:tc>
        <w:tc>
          <w:tcPr>
            <w:tcW w:w="0" w:type="dxa"/>
            <w:vAlign w:val="bottom"/>
          </w:tcPr>
          <w:p>
            <w:pPr>
              <w:spacing w:after="0"/>
              <w:rPr>
                <w:sz w:val="1"/>
                <w:szCs w:val="1"/>
                <w:color w:val="auto"/>
              </w:rPr>
            </w:pPr>
          </w:p>
        </w:tc>
      </w:tr>
      <w:tr>
        <w:trPr>
          <w:trHeight w:val="41"/>
        </w:trPr>
        <w:tc>
          <w:tcPr>
            <w:tcW w:w="5400" w:type="dxa"/>
            <w:vAlign w:val="bottom"/>
            <w:gridSpan w:val="3"/>
          </w:tcPr>
          <w:p>
            <w:pPr>
              <w:spacing w:after="0"/>
              <w:rPr>
                <w:sz w:val="20"/>
                <w:szCs w:val="20"/>
                <w:color w:val="auto"/>
              </w:rPr>
            </w:pPr>
            <w:r>
              <w:rPr>
                <w:rFonts w:ascii="Arial" w:cs="Arial" w:eastAsia="Arial" w:hAnsi="Arial"/>
                <w:sz w:val="3"/>
                <w:szCs w:val="3"/>
                <w:color w:val="FFFFFF"/>
              </w:rPr>
              <w:t>14 September 2012. On 1 February 2013, the federal court dismissed the complaint for failure to</w:t>
            </w:r>
          </w:p>
        </w:tc>
        <w:tc>
          <w:tcPr>
            <w:tcW w:w="6000" w:type="dxa"/>
            <w:vAlign w:val="bottom"/>
            <w:gridSpan w:val="2"/>
          </w:tcPr>
          <w:p>
            <w:pPr>
              <w:ind w:left="180"/>
              <w:spacing w:after="0"/>
              <w:rPr>
                <w:sz w:val="20"/>
                <w:szCs w:val="20"/>
                <w:color w:val="auto"/>
              </w:rPr>
            </w:pPr>
            <w:r>
              <w:rPr>
                <w:rFonts w:ascii="Arial" w:cs="Arial" w:eastAsia="Arial" w:hAnsi="Arial"/>
                <w:sz w:val="3"/>
                <w:szCs w:val="3"/>
                <w:color w:val="FFFFFF"/>
              </w:rPr>
              <w:t>adequately the futility of a pre-suit demand on the board of directors of Wynn Resorts. The dismissal was</w:t>
            </w:r>
          </w:p>
        </w:tc>
        <w:tc>
          <w:tcPr>
            <w:tcW w:w="0" w:type="dxa"/>
            <w:vAlign w:val="bottom"/>
          </w:tcPr>
          <w:p>
            <w:pPr>
              <w:spacing w:after="0"/>
              <w:rPr>
                <w:sz w:val="1"/>
                <w:szCs w:val="1"/>
                <w:color w:val="auto"/>
              </w:rPr>
            </w:pPr>
          </w:p>
        </w:tc>
      </w:tr>
      <w:tr>
        <w:trPr>
          <w:trHeight w:val="213"/>
        </w:trPr>
        <w:tc>
          <w:tcPr>
            <w:tcW w:w="7560" w:type="dxa"/>
            <w:vAlign w:val="bottom"/>
            <w:gridSpan w:val="4"/>
          </w:tcPr>
          <w:p>
            <w:pPr>
              <w:spacing w:after="0"/>
              <w:rPr>
                <w:sz w:val="20"/>
                <w:szCs w:val="20"/>
                <w:color w:val="auto"/>
              </w:rPr>
            </w:pPr>
            <w:r>
              <w:rPr>
                <w:rFonts w:ascii="Arial" w:cs="Arial" w:eastAsia="Arial" w:hAnsi="Arial"/>
                <w:sz w:val="14"/>
                <w:szCs w:val="14"/>
                <w:color w:val="FFFFFF"/>
                <w:w w:val="96"/>
              </w:rPr>
              <w:t>without prejudice to the Federal Plaintiffs’ ability to fi le a motion within 30 days seeking leave toplead? an amended complaint.</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40" w:right="259"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156 Wynn Macau, Limited</w:t>
      </w:r>
    </w:p>
    <w:p>
      <w:pPr>
        <w:spacing w:after="0"/>
        <w:rPr>
          <w:sz w:val="20"/>
          <w:szCs w:val="20"/>
          <w:color w:val="auto"/>
        </w:rPr>
      </w:pPr>
      <w:r>
        <w:rPr>
          <w:rFonts w:ascii="Arial" w:cs="Arial" w:eastAsia="Arial" w:hAnsi="Arial"/>
          <w:sz w:val="3"/>
          <w:szCs w:val="3"/>
          <w:color w:val="FFFFFF"/>
        </w:rPr>
        <w:t>Financial Statements</w:t>
      </w:r>
    </w:p>
    <w:p>
      <w:pPr>
        <w:spacing w:after="0" w:line="198" w:lineRule="auto"/>
        <w:rPr>
          <w:sz w:val="20"/>
          <w:szCs w:val="20"/>
          <w:color w:val="auto"/>
        </w:rPr>
      </w:pPr>
      <w:r>
        <w:rPr>
          <w:rFonts w:ascii="Arial" w:cs="Arial" w:eastAsia="Arial" w:hAnsi="Arial"/>
          <w:sz w:val="12"/>
          <w:szCs w:val="12"/>
          <w:color w:val="FFFFFF"/>
        </w:rPr>
        <w:t>Notes to Financial Statements</w:t>
      </w:r>
    </w:p>
    <w:p>
      <w:pPr>
        <w:spacing w:after="0"/>
        <w:rPr>
          <w:sz w:val="20"/>
          <w:szCs w:val="20"/>
          <w:color w:val="auto"/>
        </w:rPr>
      </w:pPr>
      <w:r>
        <w:rPr>
          <w:rFonts w:ascii="Arial" w:cs="Arial" w:eastAsia="Arial" w:hAnsi="Arial"/>
          <w:sz w:val="3"/>
          <w:szCs w:val="3"/>
          <w:color w:val="FFFFFF"/>
        </w:rPr>
        <w:t>For the year ended 31 December 2012</w:t>
      </w:r>
    </w:p>
    <w:p>
      <w:pPr>
        <w:spacing w:after="0" w:line="208" w:lineRule="auto"/>
        <w:tabs>
          <w:tab w:leader="none" w:pos="440" w:val="left"/>
        </w:tabs>
        <w:rPr>
          <w:sz w:val="20"/>
          <w:szCs w:val="20"/>
          <w:color w:val="auto"/>
        </w:rPr>
      </w:pPr>
      <w:r>
        <w:rPr>
          <w:rFonts w:ascii="Arial" w:cs="Arial" w:eastAsia="Arial" w:hAnsi="Arial"/>
          <w:sz w:val="6"/>
          <w:szCs w:val="6"/>
          <w:color w:val="FFFFFF"/>
        </w:rPr>
        <w:t>27.</w:t>
      </w:r>
      <w:r>
        <w:rPr>
          <w:sz w:val="20"/>
          <w:szCs w:val="20"/>
          <w:color w:val="auto"/>
        </w:rPr>
        <w:tab/>
      </w:r>
      <w:r>
        <w:rPr>
          <w:rFonts w:ascii="Arial" w:cs="Arial" w:eastAsia="Arial" w:hAnsi="Arial"/>
          <w:sz w:val="6"/>
          <w:szCs w:val="6"/>
          <w:color w:val="FFFFFF"/>
        </w:rPr>
        <w:t>COMMITMENTS AND CONTINGENCIES (CONTINUED)</w:t>
      </w:r>
    </w:p>
    <w:p>
      <w:pPr>
        <w:spacing w:after="0"/>
        <w:rPr>
          <w:sz w:val="20"/>
          <w:szCs w:val="20"/>
          <w:color w:val="auto"/>
        </w:rPr>
      </w:pPr>
      <w:r>
        <w:rPr>
          <w:rFonts w:ascii="Arial" w:cs="Arial" w:eastAsia="Arial" w:hAnsi="Arial"/>
          <w:sz w:val="3"/>
          <w:szCs w:val="3"/>
          <w:color w:val="FFFFFF"/>
        </w:rPr>
        <w:t>Litigation (continued)</w:t>
      </w:r>
    </w:p>
    <w:p>
      <w:pPr>
        <w:spacing w:after="0" w:line="194" w:lineRule="auto"/>
        <w:rPr>
          <w:sz w:val="20"/>
          <w:szCs w:val="20"/>
          <w:color w:val="auto"/>
        </w:rPr>
      </w:pPr>
      <w:r>
        <w:rPr>
          <w:rFonts w:ascii="Arial" w:cs="Arial" w:eastAsia="Arial" w:hAnsi="Arial"/>
          <w:sz w:val="5"/>
          <w:szCs w:val="5"/>
          <w:color w:val="FFFFFF"/>
        </w:rPr>
        <w:t>Related derivative litigation (continued)</w:t>
      </w:r>
    </w:p>
    <w:p>
      <w:pPr>
        <w:ind w:right="80"/>
        <w:spacing w:after="0"/>
        <w:rPr>
          <w:sz w:val="20"/>
          <w:szCs w:val="20"/>
          <w:color w:val="auto"/>
        </w:rPr>
      </w:pPr>
      <w:r>
        <w:rPr>
          <w:rFonts w:ascii="Arial" w:cs="Arial" w:eastAsia="Arial" w:hAnsi="Arial"/>
          <w:sz w:val="7"/>
          <w:szCs w:val="7"/>
          <w:color w:val="FFFFFF"/>
        </w:rPr>
        <w:t>The two state court actions brought by the following plaintiffs have also been consolidated: (1) IBEW Local 98 Pension Fund and (2) Danny Hinson (collectively, the “State Plaintiffs”). Through a coordination of efforts by all parties, the directors and Wynn Resorts (a nominal defendant) have been served in all of the actions.</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6"/>
          <w:szCs w:val="6"/>
          <w:color w:val="FFFFFF"/>
        </w:rPr>
        <w:t xml:space="preserve">The State Plaintiffs ? led a consolidated complaint on 20 July 2012 asserting claims for (1) breach of ? duciary duty; (2) abuse of control; (3) gross mismanagement; and (4) unjust enrichment. The claims are against Wynn Resorts and all Wynn Resorts directors, including Mr. Okada, as well as Wynn Resorts’ Chief Financial Offi cer, who signs ? nancial disclosures ? led with the SEC. The State Plaintiffs claim that the individual defendants failed to disclose to Wynn Resorts’ stockholders the investigation into, and the dispute with director Okada as well as the alleged potential violations of the Foreign Corrupt Practices Act related to, the University of Macau Development Foundation donation. The State Plaintiffs seek unspecifi ed monetary damages (compensatory and punitive), disgorgement, reformation of corporate governance procedures, an order directing Wynn Resorts to internally investigate the donation, as well as attorneys’ fees and costs. On 13 October 2012, the court entered the parties’ stipulation providing for a stay of the state </w:t>
      </w:r>
      <w:r>
        <w:rPr>
          <w:rFonts w:ascii="Arial" w:cs="Arial" w:eastAsia="Arial" w:hAnsi="Arial"/>
          <w:sz w:val="7"/>
          <w:szCs w:val="7"/>
          <w:color w:val="FFFFFF"/>
          <w:vertAlign w:val="subscript"/>
        </w:rPr>
        <w:t>stipulation,</w:t>
      </w:r>
      <w:r>
        <w:rPr>
          <w:rFonts w:ascii="Arial" w:cs="Arial" w:eastAsia="Arial" w:hAnsi="Arial"/>
          <w:sz w:val="6"/>
          <w:szCs w:val="6"/>
          <w:color w:val="FFFFFF"/>
        </w:rPr>
        <w:t>derivveaction for 90 days, subject to the parties’ obligation to monitor the progress of the pending litigation, discussed above, between Wynn Resorts (among others) and Mr. Okada (among</w:t>
      </w:r>
    </w:p>
    <w:p>
      <w:pPr>
        <w:spacing w:after="0" w:line="25" w:lineRule="exact"/>
        <w:rPr>
          <w:sz w:val="20"/>
          <w:szCs w:val="20"/>
          <w:color w:val="auto"/>
        </w:rPr>
      </w:pPr>
    </w:p>
    <w:p>
      <w:pPr>
        <w:spacing w:after="0" w:line="181" w:lineRule="auto"/>
        <w:rPr>
          <w:sz w:val="20"/>
          <w:szCs w:val="20"/>
          <w:color w:val="auto"/>
        </w:rPr>
      </w:pPr>
      <w:r>
        <w:rPr>
          <w:rFonts w:ascii="Arial" w:cs="Arial" w:eastAsia="Arial" w:hAnsi="Arial"/>
          <w:sz w:val="6"/>
          <w:szCs w:val="6"/>
          <w:color w:val="FFFFFF"/>
        </w:rPr>
        <w:t xml:space="preserve">others). Per the Wynn Resorts and the individual defendants were not required to respond to the consolidated complaint while the stay remained in effect. Although the stay has now expired, the </w:t>
      </w:r>
      <w:r>
        <w:rPr>
          <w:rFonts w:ascii="Arial" w:cs="Arial" w:eastAsia="Arial" w:hAnsi="Arial"/>
          <w:sz w:val="7"/>
          <w:szCs w:val="7"/>
          <w:color w:val="FFFFFF"/>
          <w:vertAlign w:val="superscript"/>
        </w:rPr>
        <w:t>State</w:t>
      </w:r>
      <w:r>
        <w:rPr>
          <w:rFonts w:ascii="Arial" w:cs="Arial" w:eastAsia="Arial" w:hAnsi="Arial"/>
          <w:sz w:val="6"/>
          <w:szCs w:val="6"/>
          <w:color w:val="FFFFFF"/>
        </w:rPr>
        <w:t xml:space="preserve"> Plaintiffs have agreed to further extend the defendants’ time to respond to the consolidated complaint to allow the State Plaintiffs additional time to consider their plans for the action going forward, including possible extension by agreement of the stay</w:t>
      </w:r>
      <w:r>
        <w:rPr>
          <w:rFonts w:ascii="Arial" w:cs="Arial" w:eastAsia="Arial" w:hAnsi="Arial"/>
          <w:sz w:val="7"/>
          <w:szCs w:val="7"/>
          <w:color w:val="FFFFFF"/>
          <w:vertAlign w:val="subscript"/>
        </w:rPr>
        <w:t>defending</w:t>
      </w:r>
      <w:r>
        <w:rPr>
          <w:rFonts w:ascii="Arial" w:cs="Arial" w:eastAsia="Arial" w:hAnsi="Arial"/>
          <w:sz w:val="6"/>
          <w:szCs w:val="6"/>
          <w:color w:val="FFFFFF"/>
        </w:rPr>
        <w:t>thestate derivative action.</w:t>
      </w:r>
    </w:p>
    <w:p>
      <w:pPr>
        <w:spacing w:after="0"/>
        <w:tabs>
          <w:tab w:leader="none" w:pos="2820" w:val="left"/>
        </w:tabs>
        <w:rPr>
          <w:sz w:val="20"/>
          <w:szCs w:val="20"/>
          <w:color w:val="auto"/>
        </w:rPr>
      </w:pPr>
      <w:r>
        <w:rPr>
          <w:rFonts w:ascii="Arial" w:cs="Arial" w:eastAsia="Arial" w:hAnsi="Arial"/>
          <w:sz w:val="14"/>
          <w:szCs w:val="14"/>
          <w:color w:val="FFFFFF"/>
        </w:rPr>
        <w:t>The individual defendants are vigorously</w:t>
      </w:r>
      <w:r>
        <w:rPr>
          <w:sz w:val="20"/>
          <w:szCs w:val="20"/>
          <w:color w:val="auto"/>
        </w:rPr>
        <w:tab/>
      </w:r>
      <w:r>
        <w:rPr>
          <w:rFonts w:ascii="Arial" w:cs="Arial" w:eastAsia="Arial" w:hAnsi="Arial"/>
          <w:sz w:val="12"/>
          <w:szCs w:val="12"/>
          <w:color w:val="FFFFFF"/>
        </w:rPr>
        <w:t>against the claims pleaded against them in these derivative actions. Wynn Resorts is unable to predict the outcome of these litigations at this time.</w:t>
      </w:r>
    </w:p>
    <w:p>
      <w:pPr>
        <w:sectPr>
          <w:pgSz w:w="11900" w:h="16838" w:orient="portrait"/>
          <w:cols w:equalWidth="0" w:num="1">
            <w:col w:w="11380"/>
          </w:cols>
          <w:pgMar w:left="240" w:top="1440" w:right="279"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FinancialAnnualReportStatements2012 157</w:t>
      </w:r>
    </w:p>
    <w:p>
      <w:pPr>
        <w:spacing w:after="0" w:line="187" w:lineRule="auto"/>
        <w:rPr>
          <w:sz w:val="20"/>
          <w:szCs w:val="20"/>
          <w:color w:val="auto"/>
        </w:rPr>
      </w:pPr>
      <w:r>
        <w:rPr>
          <w:rFonts w:ascii="Arial" w:cs="Arial" w:eastAsia="Arial" w:hAnsi="Arial"/>
          <w:sz w:val="12"/>
          <w:szCs w:val="12"/>
          <w:color w:val="FFFFFF"/>
        </w:rPr>
        <w:t>Notes to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3"/>
          <w:szCs w:val="3"/>
          <w:color w:val="FFFFFF"/>
        </w:rPr>
        <w:t>For the year ended 31 December 2012</w:t>
      </w:r>
    </w:p>
    <w:p>
      <w:pPr>
        <w:spacing w:after="0" w:line="208" w:lineRule="auto"/>
        <w:tabs>
          <w:tab w:leader="none" w:pos="440" w:val="left"/>
        </w:tabs>
        <w:rPr>
          <w:sz w:val="20"/>
          <w:szCs w:val="20"/>
          <w:color w:val="auto"/>
        </w:rPr>
      </w:pPr>
      <w:r>
        <w:rPr>
          <w:rFonts w:ascii="Arial" w:cs="Arial" w:eastAsia="Arial" w:hAnsi="Arial"/>
          <w:sz w:val="6"/>
          <w:szCs w:val="6"/>
          <w:color w:val="FFFFFF"/>
        </w:rPr>
        <w:t>28.</w:t>
      </w:r>
      <w:r>
        <w:rPr>
          <w:sz w:val="20"/>
          <w:szCs w:val="20"/>
          <w:color w:val="auto"/>
        </w:rPr>
        <w:tab/>
      </w:r>
      <w:r>
        <w:rPr>
          <w:rFonts w:ascii="Arial" w:cs="Arial" w:eastAsia="Arial" w:hAnsi="Arial"/>
          <w:sz w:val="6"/>
          <w:szCs w:val="6"/>
          <w:color w:val="FFFFFF"/>
        </w:rPr>
        <w:t>RELATED PARTY DISCLOSURES</w:t>
      </w:r>
    </w:p>
    <w:p>
      <w:pPr>
        <w:spacing w:after="0"/>
        <w:rPr>
          <w:sz w:val="20"/>
          <w:szCs w:val="20"/>
          <w:color w:val="auto"/>
        </w:rPr>
      </w:pPr>
      <w:r>
        <w:rPr>
          <w:rFonts w:ascii="Arial" w:cs="Arial" w:eastAsia="Arial" w:hAnsi="Arial"/>
          <w:sz w:val="3"/>
          <w:szCs w:val="3"/>
          <w:color w:val="FFFFFF"/>
        </w:rPr>
        <w:t>As at 31 December 2012 and 2011, the outstanding balances between the Group and the related companies were as follows:</w:t>
      </w:r>
    </w:p>
    <w:p>
      <w:pPr>
        <w:spacing w:after="0" w:line="6" w:lineRule="exact"/>
        <w:rPr>
          <w:sz w:val="20"/>
          <w:szCs w:val="20"/>
          <w:color w:val="auto"/>
        </w:rPr>
      </w:pPr>
    </w:p>
    <w:p>
      <w:pPr>
        <w:ind w:right="1400" w:firstLine="1456"/>
        <w:spacing w:after="0"/>
        <w:rPr>
          <w:sz w:val="20"/>
          <w:szCs w:val="20"/>
          <w:color w:val="auto"/>
        </w:rPr>
      </w:pPr>
      <w:r>
        <w:rPr>
          <w:rFonts w:ascii="Arial" w:cs="Arial" w:eastAsia="Arial" w:hAnsi="Arial"/>
          <w:sz w:val="10"/>
          <w:szCs w:val="10"/>
          <w:color w:val="FFFFFF"/>
        </w:rPr>
        <w:t>Group Company As at 31 December As at 31 December Name of Related Relation to the 2012 2011 2012 2011 Companies Companies HK$ HK$ HK$ HK$ (in thousands) (in thousands)</w:t>
      </w:r>
    </w:p>
    <w:p>
      <w:pPr>
        <w:spacing w:after="0" w:line="196" w:lineRule="auto"/>
        <w:rPr>
          <w:sz w:val="20"/>
          <w:szCs w:val="20"/>
          <w:color w:val="auto"/>
        </w:rPr>
      </w:pPr>
      <w:r>
        <w:rPr>
          <w:rFonts w:ascii="Arial" w:cs="Arial" w:eastAsia="Arial" w:hAnsi="Arial"/>
          <w:sz w:val="5"/>
          <w:szCs w:val="5"/>
          <w:color w:val="FFFFFF"/>
        </w:rPr>
        <w:t>WIMLDuefromSubsidiaryrelatedcompaniesofWynn — current</w:t>
      </w:r>
    </w:p>
    <w:p>
      <w:pPr>
        <w:jc w:val="center"/>
        <w:ind w:left="300"/>
        <w:spacing w:after="0"/>
        <w:rPr>
          <w:sz w:val="20"/>
          <w:szCs w:val="20"/>
          <w:color w:val="auto"/>
        </w:rPr>
      </w:pPr>
      <w:r>
        <w:rPr>
          <w:rFonts w:ascii="Arial" w:cs="Arial" w:eastAsia="Arial" w:hAnsi="Arial"/>
          <w:sz w:val="6"/>
          <w:szCs w:val="6"/>
          <w:color w:val="FFFFFF"/>
        </w:rPr>
        <w:t>Resorts, Limited 292,754 56,754 — —Wynn Hotel Sales &amp; Subsidiary of Wynn Marketing, LLC Resorts, Limited 3 3 — —Wynn Manpower Limited Subsidiary of Wynn Resorts, Limited 292 292 — —Cotai Land Development Subsidiary of Wynn Company</w:t>
      </w:r>
      <w:r>
        <w:rPr>
          <w:rFonts w:ascii="Arial" w:cs="Arial" w:eastAsia="Arial" w:hAnsi="Arial"/>
          <w:sz w:val="7"/>
          <w:szCs w:val="7"/>
          <w:color w:val="FFFFFF"/>
          <w:vertAlign w:val="subscript"/>
        </w:rPr>
        <w:t>Resorts,</w:t>
      </w:r>
      <w:r>
        <w:rPr>
          <w:rFonts w:ascii="Arial" w:cs="Arial" w:eastAsia="Arial" w:hAnsi="Arial"/>
          <w:sz w:val="6"/>
          <w:szCs w:val="6"/>
          <w:color w:val="FFFFFF"/>
        </w:rPr>
        <w:t>Limited Resorts, Limited 151 137 — —Las Vegas Jet, LLC Subsidiary of Wynn Resorts, Limited — 468 — —Wynn Resorts Subsidiary of Wynn</w:t>
      </w:r>
    </w:p>
    <w:p>
      <w:pPr>
        <w:spacing w:after="0" w:line="1" w:lineRule="exact"/>
        <w:rPr>
          <w:sz w:val="20"/>
          <w:szCs w:val="20"/>
          <w:color w:val="auto"/>
        </w:rPr>
      </w:pPr>
    </w:p>
    <w:p>
      <w:pPr>
        <w:ind w:right="1940"/>
        <w:spacing w:after="0" w:line="181" w:lineRule="auto"/>
        <w:rPr>
          <w:sz w:val="20"/>
          <w:szCs w:val="20"/>
          <w:color w:val="auto"/>
        </w:rPr>
      </w:pPr>
      <w:r>
        <w:rPr>
          <w:rFonts w:ascii="Arial" w:cs="Arial" w:eastAsia="Arial" w:hAnsi="Arial"/>
          <w:sz w:val="14"/>
          <w:szCs w:val="14"/>
          <w:color w:val="FFFFFF"/>
          <w:vertAlign w:val="subscript"/>
        </w:rPr>
        <w:t>293,200 57,654 13,784 —</w:t>
      </w:r>
      <w:r>
        <w:rPr>
          <w:rFonts w:ascii="Arial" w:cs="Arial" w:eastAsia="Arial" w:hAnsi="Arial"/>
          <w:sz w:val="9"/>
          <w:szCs w:val="9"/>
          <w:color w:val="FFFFFF"/>
        </w:rPr>
        <w:t xml:space="preserve"> International, Ltd. Limited — — 6,754 —Wynn Resorts (Macau), Subsidiary of Wynn Limited Resorts, Limited — — 7,030 — Due to related companies — current</w:t>
      </w:r>
    </w:p>
    <w:p>
      <w:pPr>
        <w:spacing w:after="0"/>
        <w:rPr>
          <w:sz w:val="20"/>
          <w:szCs w:val="20"/>
          <w:color w:val="auto"/>
        </w:rPr>
      </w:pPr>
      <w:r>
        <w:rPr>
          <w:rFonts w:ascii="Arial" w:cs="Arial" w:eastAsia="Arial" w:hAnsi="Arial"/>
          <w:sz w:val="3"/>
          <w:szCs w:val="3"/>
          <w:color w:val="FFFFFF"/>
        </w:rPr>
        <w:t>Wynn Las Vegas, LLC Subsidiary of Wynn</w:t>
      </w:r>
    </w:p>
    <w:p>
      <w:pPr>
        <w:spacing w:after="0" w:line="6" w:lineRule="exact"/>
        <w:rPr>
          <w:sz w:val="20"/>
          <w:szCs w:val="20"/>
          <w:color w:val="auto"/>
        </w:rPr>
      </w:pPr>
    </w:p>
    <w:p>
      <w:pPr>
        <w:jc w:val="center"/>
        <w:ind w:left="300" w:right="160"/>
        <w:spacing w:after="0" w:line="181" w:lineRule="auto"/>
        <w:rPr>
          <w:sz w:val="20"/>
          <w:szCs w:val="20"/>
          <w:color w:val="auto"/>
        </w:rPr>
      </w:pPr>
      <w:r>
        <w:rPr>
          <w:rFonts w:ascii="Arial" w:cs="Arial" w:eastAsia="Arial" w:hAnsi="Arial"/>
          <w:sz w:val="7"/>
          <w:szCs w:val="7"/>
          <w:color w:val="FFFFFF"/>
        </w:rPr>
        <w:t>Resorts, Limited 69,143 17,236 — —Wynn Design &amp; Subsidiary of Wynn Development Resorts, Limited 7,007 6,817 — —Wynn Resorts, Limited Ultimate parent company 110,739 133,080 — 16,179 Worldwide Wynn Subsidiary of Wynn Resorts, Limited 44,041 1,055 — —Las Vegas Jet, LLC Subsidiary of Wynn Resorts, Limited — — — —Wynn Resorts (Macau) Subsidiary of Wynn S.A. Resorts, Limited — — 1,448 1,822 Wynn Resorts Subsidiary of Wynn International, Ltd. Resorts, Limited — — — 556 Wynn Resorts (Macau), Subsidiary of Wynn Limited Resorts, Limited — — — 643</w:t>
      </w:r>
    </w:p>
    <w:p>
      <w:pPr>
        <w:spacing w:after="0"/>
        <w:rPr>
          <w:sz w:val="20"/>
          <w:szCs w:val="20"/>
          <w:color w:val="auto"/>
        </w:rPr>
      </w:pPr>
      <w:r>
        <w:rPr>
          <w:rFonts w:ascii="Arial" w:cs="Arial" w:eastAsia="Arial" w:hAnsi="Arial"/>
          <w:sz w:val="14"/>
          <w:szCs w:val="14"/>
          <w:color w:val="FFFFFF"/>
        </w:rPr>
        <w:t>230,930 158,188 1,448 19,200</w:t>
      </w:r>
    </w:p>
    <w:p>
      <w:pPr>
        <w:sectPr>
          <w:pgSz w:w="11900" w:h="16838" w:orient="portrait"/>
          <w:cols w:equalWidth="0" w:num="1">
            <w:col w:w="11360"/>
          </w:cols>
          <w:pgMar w:left="240" w:top="1440" w:right="299"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gridSpan w:val="2"/>
          </w:tcPr>
          <w:p>
            <w:pPr>
              <w:spacing w:after="0"/>
              <w:rPr>
                <w:sz w:val="20"/>
                <w:szCs w:val="20"/>
                <w:color w:val="auto"/>
              </w:rPr>
            </w:pPr>
            <w:r>
              <w:rPr>
                <w:rFonts w:ascii="Arial" w:cs="Arial" w:eastAsia="Arial" w:hAnsi="Arial"/>
                <w:sz w:val="14"/>
                <w:szCs w:val="14"/>
                <w:color w:val="FFFFFF"/>
              </w:rPr>
              <w:t>158 Wynn Macau, Limited</w:t>
            </w:r>
          </w:p>
        </w:tc>
        <w:tc>
          <w:tcPr>
            <w:tcW w:w="800" w:type="dxa"/>
            <w:vAlign w:val="bottom"/>
          </w:tcPr>
          <w:p>
            <w:pPr>
              <w:spacing w:after="0"/>
              <w:rPr>
                <w:sz w:val="14"/>
                <w:szCs w:val="14"/>
                <w:color w:val="auto"/>
              </w:rPr>
            </w:pPr>
          </w:p>
        </w:tc>
        <w:tc>
          <w:tcPr>
            <w:tcW w:w="5200" w:type="dxa"/>
            <w:vAlign w:val="bottom"/>
          </w:tcPr>
          <w:p>
            <w:pPr>
              <w:spacing w:after="0"/>
              <w:rPr>
                <w:sz w:val="14"/>
                <w:szCs w:val="14"/>
                <w:color w:val="auto"/>
              </w:rPr>
            </w:pPr>
          </w:p>
        </w:tc>
      </w:tr>
      <w:tr>
        <w:trPr>
          <w:trHeight w:val="41"/>
        </w:trPr>
        <w:tc>
          <w:tcPr>
            <w:tcW w:w="536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80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41"/>
        </w:trPr>
        <w:tc>
          <w:tcPr>
            <w:tcW w:w="536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80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108"/>
        </w:trPr>
        <w:tc>
          <w:tcPr>
            <w:tcW w:w="5360" w:type="dxa"/>
            <w:vAlign w:val="bottom"/>
            <w:gridSpan w:val="2"/>
          </w:tcPr>
          <w:p>
            <w:pPr>
              <w:spacing w:after="0" w:line="108" w:lineRule="exact"/>
              <w:rPr>
                <w:sz w:val="20"/>
                <w:szCs w:val="20"/>
                <w:color w:val="auto"/>
              </w:rPr>
            </w:pPr>
            <w:r>
              <w:rPr>
                <w:rFonts w:ascii="Arial" w:cs="Arial" w:eastAsia="Arial" w:hAnsi="Arial"/>
                <w:sz w:val="12"/>
                <w:szCs w:val="12"/>
                <w:color w:val="FFFFFF"/>
              </w:rPr>
              <w:t>For the year ended 31 December 2012</w:t>
            </w:r>
          </w:p>
        </w:tc>
        <w:tc>
          <w:tcPr>
            <w:tcW w:w="800" w:type="dxa"/>
            <w:vAlign w:val="bottom"/>
          </w:tcPr>
          <w:p>
            <w:pPr>
              <w:spacing w:after="0"/>
              <w:rPr>
                <w:sz w:val="9"/>
                <w:szCs w:val="9"/>
                <w:color w:val="auto"/>
              </w:rPr>
            </w:pPr>
          </w:p>
        </w:tc>
        <w:tc>
          <w:tcPr>
            <w:tcW w:w="5200" w:type="dxa"/>
            <w:vAlign w:val="bottom"/>
          </w:tcPr>
          <w:p>
            <w:pPr>
              <w:spacing w:after="0"/>
              <w:rPr>
                <w:sz w:val="9"/>
                <w:szCs w:val="9"/>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28.</w:t>
            </w:r>
          </w:p>
        </w:tc>
        <w:tc>
          <w:tcPr>
            <w:tcW w:w="5140" w:type="dxa"/>
            <w:vAlign w:val="bottom"/>
          </w:tcPr>
          <w:p>
            <w:pPr>
              <w:ind w:left="240"/>
              <w:spacing w:after="0"/>
              <w:rPr>
                <w:sz w:val="20"/>
                <w:szCs w:val="20"/>
                <w:color w:val="auto"/>
              </w:rPr>
            </w:pPr>
            <w:r>
              <w:rPr>
                <w:rFonts w:ascii="Arial" w:cs="Arial" w:eastAsia="Arial" w:hAnsi="Arial"/>
                <w:sz w:val="3"/>
                <w:szCs w:val="3"/>
                <w:color w:val="FFFFFF"/>
              </w:rPr>
              <w:t>RELATED PARTY DISCLOSURES (CONTINUED)</w:t>
            </w:r>
          </w:p>
        </w:tc>
        <w:tc>
          <w:tcPr>
            <w:tcW w:w="80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54"/>
        </w:trPr>
        <w:tc>
          <w:tcPr>
            <w:tcW w:w="220" w:type="dxa"/>
            <w:vAlign w:val="bottom"/>
          </w:tcPr>
          <w:p>
            <w:pPr>
              <w:spacing w:after="0"/>
              <w:rPr>
                <w:sz w:val="4"/>
                <w:szCs w:val="4"/>
                <w:color w:val="auto"/>
              </w:rPr>
            </w:pPr>
          </w:p>
        </w:tc>
        <w:tc>
          <w:tcPr>
            <w:tcW w:w="5140" w:type="dxa"/>
            <w:vAlign w:val="bottom"/>
          </w:tcPr>
          <w:p>
            <w:pPr>
              <w:ind w:left="40"/>
              <w:spacing w:after="0" w:line="54" w:lineRule="exact"/>
              <w:rPr>
                <w:sz w:val="20"/>
                <w:szCs w:val="20"/>
                <w:color w:val="auto"/>
              </w:rPr>
            </w:pPr>
            <w:r>
              <w:rPr>
                <w:rFonts w:ascii="Arial" w:cs="Arial" w:eastAsia="Arial" w:hAnsi="Arial"/>
                <w:sz w:val="6"/>
                <w:szCs w:val="6"/>
                <w:color w:val="FFFFFF"/>
              </w:rPr>
              <w:t>amounts disclosed   the above table are unsecured, interest-free and repayable on demand.</w:t>
            </w:r>
          </w:p>
        </w:tc>
        <w:tc>
          <w:tcPr>
            <w:tcW w:w="800" w:type="dxa"/>
            <w:vAlign w:val="bottom"/>
          </w:tcPr>
          <w:p>
            <w:pPr>
              <w:spacing w:after="0"/>
              <w:rPr>
                <w:sz w:val="4"/>
                <w:szCs w:val="4"/>
                <w:color w:val="auto"/>
              </w:rPr>
            </w:pPr>
          </w:p>
        </w:tc>
        <w:tc>
          <w:tcPr>
            <w:tcW w:w="5200" w:type="dxa"/>
            <w:vAlign w:val="bottom"/>
          </w:tcPr>
          <w:p>
            <w:pPr>
              <w:spacing w:after="0"/>
              <w:rPr>
                <w:sz w:val="4"/>
                <w:szCs w:val="4"/>
                <w:color w:val="auto"/>
              </w:rPr>
            </w:pPr>
          </w:p>
        </w:tc>
      </w:tr>
      <w:tr>
        <w:trPr>
          <w:trHeight w:val="41"/>
        </w:trPr>
        <w:tc>
          <w:tcPr>
            <w:tcW w:w="5360" w:type="dxa"/>
            <w:vAlign w:val="bottom"/>
            <w:gridSpan w:val="2"/>
          </w:tcPr>
          <w:p>
            <w:pPr>
              <w:spacing w:after="0"/>
              <w:rPr>
                <w:sz w:val="20"/>
                <w:szCs w:val="20"/>
                <w:color w:val="auto"/>
              </w:rPr>
            </w:pPr>
            <w:r>
              <w:rPr>
                <w:rFonts w:ascii="Arial" w:cs="Arial" w:eastAsia="Arial" w:hAnsi="Arial"/>
                <w:sz w:val="3"/>
                <w:szCs w:val="3"/>
                <w:color w:val="FFFFFF"/>
              </w:rPr>
              <w:t>The Group had the following material transactions with related companies during the year:</w:t>
            </w:r>
          </w:p>
        </w:tc>
        <w:tc>
          <w:tcPr>
            <w:tcW w:w="80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41"/>
        </w:trPr>
        <w:tc>
          <w:tcPr>
            <w:tcW w:w="5360" w:type="dxa"/>
            <w:vAlign w:val="bottom"/>
            <w:gridSpan w:val="2"/>
          </w:tcPr>
          <w:p>
            <w:pPr>
              <w:spacing w:after="0"/>
              <w:rPr>
                <w:sz w:val="20"/>
                <w:szCs w:val="20"/>
                <w:color w:val="auto"/>
              </w:rPr>
            </w:pPr>
            <w:r>
              <w:rPr>
                <w:rFonts w:ascii="Arial" w:cs="Arial" w:eastAsia="Arial" w:hAnsi="Arial"/>
                <w:sz w:val="3"/>
                <w:szCs w:val="3"/>
                <w:color w:val="FFFFFF"/>
              </w:rPr>
              <w:t>Group For the year ended</w:t>
            </w:r>
          </w:p>
        </w:tc>
        <w:tc>
          <w:tcPr>
            <w:tcW w:w="80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41"/>
        </w:trPr>
        <w:tc>
          <w:tcPr>
            <w:tcW w:w="5360" w:type="dxa"/>
            <w:vAlign w:val="bottom"/>
            <w:gridSpan w:val="2"/>
          </w:tcPr>
          <w:p>
            <w:pPr>
              <w:spacing w:after="0"/>
              <w:rPr>
                <w:sz w:val="20"/>
                <w:szCs w:val="20"/>
                <w:color w:val="auto"/>
              </w:rPr>
            </w:pPr>
            <w:r>
              <w:rPr>
                <w:rFonts w:ascii="Arial" w:cs="Arial" w:eastAsia="Arial" w:hAnsi="Arial"/>
                <w:sz w:val="3"/>
                <w:szCs w:val="3"/>
                <w:color w:val="FFFFFF"/>
              </w:rPr>
              <w:t>31 December</w:t>
            </w:r>
          </w:p>
        </w:tc>
        <w:tc>
          <w:tcPr>
            <w:tcW w:w="800" w:type="dxa"/>
            <w:vAlign w:val="bottom"/>
          </w:tcPr>
          <w:p>
            <w:pPr>
              <w:spacing w:after="0"/>
              <w:rPr>
                <w:sz w:val="3"/>
                <w:szCs w:val="3"/>
                <w:color w:val="auto"/>
              </w:rPr>
            </w:pPr>
          </w:p>
        </w:tc>
        <w:tc>
          <w:tcPr>
            <w:tcW w:w="5200" w:type="dxa"/>
            <w:vAlign w:val="bottom"/>
          </w:tcPr>
          <w:p>
            <w:pPr>
              <w:spacing w:after="0"/>
              <w:rPr>
                <w:sz w:val="3"/>
                <w:szCs w:val="3"/>
                <w:color w:val="auto"/>
              </w:rPr>
            </w:pPr>
          </w:p>
        </w:tc>
      </w:tr>
      <w:tr>
        <w:trPr>
          <w:trHeight w:val="41"/>
        </w:trPr>
        <w:tc>
          <w:tcPr>
            <w:tcW w:w="220" w:type="dxa"/>
            <w:vAlign w:val="bottom"/>
          </w:tcPr>
          <w:p>
            <w:pPr>
              <w:spacing w:after="0"/>
              <w:rPr>
                <w:sz w:val="3"/>
                <w:szCs w:val="3"/>
                <w:color w:val="auto"/>
              </w:rPr>
            </w:pPr>
          </w:p>
        </w:tc>
        <w:tc>
          <w:tcPr>
            <w:tcW w:w="11140" w:type="dxa"/>
            <w:vAlign w:val="bottom"/>
            <w:gridSpan w:val="3"/>
          </w:tcPr>
          <w:p>
            <w:pPr>
              <w:jc w:val="center"/>
              <w:ind w:right="143"/>
              <w:spacing w:after="0"/>
              <w:rPr>
                <w:sz w:val="20"/>
                <w:szCs w:val="20"/>
                <w:color w:val="auto"/>
              </w:rPr>
            </w:pPr>
            <w:r>
              <w:rPr>
                <w:rFonts w:ascii="Arial" w:cs="Arial" w:eastAsia="Arial" w:hAnsi="Arial"/>
                <w:sz w:val="3"/>
                <w:szCs w:val="3"/>
                <w:color w:val="FFFFFF"/>
              </w:rPr>
              <w:t>Name of Relation to the Primary Nature 2012 2011 Related Companies Companies of Transactions HK$ HK$ (in thousands) Wynn Resorts, Limited Ultimate parent Royalty fees (i) company 1,141,170</w:t>
            </w:r>
          </w:p>
        </w:tc>
      </w:tr>
      <w:tr>
        <w:trPr>
          <w:trHeight w:val="41"/>
        </w:trPr>
        <w:tc>
          <w:tcPr>
            <w:tcW w:w="6160" w:type="dxa"/>
            <w:vAlign w:val="bottom"/>
            <w:gridSpan w:val="3"/>
          </w:tcPr>
          <w:p>
            <w:pPr>
              <w:ind w:left="80"/>
              <w:spacing w:after="0"/>
              <w:rPr>
                <w:sz w:val="20"/>
                <w:szCs w:val="20"/>
                <w:color w:val="auto"/>
              </w:rPr>
            </w:pPr>
            <w:r>
              <w:rPr>
                <w:rFonts w:ascii="Arial" w:cs="Arial" w:eastAsia="Arial" w:hAnsi="Arial"/>
                <w:sz w:val="3"/>
                <w:szCs w:val="3"/>
                <w:color w:val="FFFFFF"/>
              </w:rPr>
              <w:t>1,186,900 Wynn Resorts, Limited Ultimate parent Corporate company support services (ii) 165,076 165,355</w:t>
            </w:r>
          </w:p>
        </w:tc>
        <w:tc>
          <w:tcPr>
            <w:tcW w:w="5200" w:type="dxa"/>
            <w:vAlign w:val="bottom"/>
          </w:tcPr>
          <w:p>
            <w:pPr>
              <w:ind w:left="220"/>
              <w:spacing w:after="0"/>
              <w:rPr>
                <w:sz w:val="20"/>
                <w:szCs w:val="20"/>
                <w:color w:val="auto"/>
              </w:rPr>
            </w:pPr>
            <w:r>
              <w:rPr>
                <w:rFonts w:ascii="Arial" w:cs="Arial" w:eastAsia="Arial" w:hAnsi="Arial"/>
                <w:sz w:val="3"/>
                <w:szCs w:val="3"/>
                <w:color w:val="FFFFFF"/>
              </w:rPr>
              <w:t>Subsidiary of International Wynn Resorts, marketing Limited expenses (iii) 31,320 106,202</w:t>
            </w:r>
          </w:p>
        </w:tc>
      </w:tr>
      <w:tr>
        <w:trPr>
          <w:trHeight w:val="41"/>
        </w:trPr>
        <w:tc>
          <w:tcPr>
            <w:tcW w:w="11360" w:type="dxa"/>
            <w:vAlign w:val="bottom"/>
            <w:gridSpan w:val="4"/>
          </w:tcPr>
          <w:p>
            <w:pPr>
              <w:jc w:val="center"/>
              <w:ind w:left="51"/>
              <w:spacing w:after="0"/>
              <w:rPr>
                <w:sz w:val="20"/>
                <w:szCs w:val="20"/>
                <w:color w:val="auto"/>
              </w:rPr>
            </w:pPr>
            <w:r>
              <w:rPr>
                <w:rFonts w:ascii="Arial" w:cs="Arial" w:eastAsia="Arial" w:hAnsi="Arial"/>
                <w:sz w:val="3"/>
                <w:szCs w:val="3"/>
                <w:color w:val="FFFFFF"/>
              </w:rPr>
              <w:t>Wynn Resorts, Limited Ultimate parent Share-based company payment expenses 17,723 47,098 Worldwide WIMLynnSubsidiary of Staff Wynn Resorts, secondment Limited payroll charges (iv) 137,014 41,437</w:t>
            </w:r>
          </w:p>
        </w:tc>
      </w:tr>
      <w:tr>
        <w:trPr>
          <w:trHeight w:val="41"/>
        </w:trPr>
        <w:tc>
          <w:tcPr>
            <w:tcW w:w="11360" w:type="dxa"/>
            <w:vAlign w:val="bottom"/>
            <w:gridSpan w:val="4"/>
          </w:tcPr>
          <w:p>
            <w:pPr>
              <w:jc w:val="center"/>
              <w:ind w:left="31"/>
              <w:spacing w:after="0"/>
              <w:rPr>
                <w:sz w:val="20"/>
                <w:szCs w:val="20"/>
                <w:color w:val="auto"/>
              </w:rPr>
            </w:pPr>
            <w:r>
              <w:rPr>
                <w:rFonts w:ascii="Arial" w:cs="Arial" w:eastAsia="Arial" w:hAnsi="Arial"/>
                <w:sz w:val="3"/>
                <w:szCs w:val="3"/>
                <w:color w:val="FFFFFF"/>
              </w:rPr>
              <w:t>Wynn Design &amp; Subsidiary of Design/ Development Wynn Resorts, development Limited payroll (v) 70,637 31,579 Las Vegas Jet, LLC Subsidiary of Airplane usage Wynn Resorts, charges (ii) Limited 19,211</w:t>
            </w:r>
          </w:p>
        </w:tc>
      </w:tr>
      <w:tr>
        <w:trPr>
          <w:trHeight w:val="172"/>
        </w:trPr>
        <w:tc>
          <w:tcPr>
            <w:tcW w:w="5360" w:type="dxa"/>
            <w:vAlign w:val="bottom"/>
            <w:gridSpan w:val="2"/>
          </w:tcPr>
          <w:p>
            <w:pPr>
              <w:spacing w:after="0"/>
              <w:rPr>
                <w:sz w:val="20"/>
                <w:szCs w:val="20"/>
                <w:color w:val="auto"/>
              </w:rPr>
            </w:pPr>
            <w:r>
              <w:rPr>
                <w:rFonts w:ascii="Arial" w:cs="Arial" w:eastAsia="Arial" w:hAnsi="Arial"/>
                <w:sz w:val="14"/>
                <w:szCs w:val="14"/>
                <w:color w:val="FFFFFF"/>
              </w:rPr>
              <w:t>All of the above transactions are noted as continuing related party transactions.</w:t>
            </w:r>
          </w:p>
        </w:tc>
        <w:tc>
          <w:tcPr>
            <w:tcW w:w="800" w:type="dxa"/>
            <w:vAlign w:val="bottom"/>
          </w:tcPr>
          <w:p>
            <w:pPr>
              <w:jc w:val="center"/>
              <w:ind w:right="32"/>
              <w:spacing w:after="0"/>
              <w:rPr>
                <w:sz w:val="20"/>
                <w:szCs w:val="20"/>
                <w:color w:val="auto"/>
              </w:rPr>
            </w:pPr>
            <w:r>
              <w:rPr>
                <w:rFonts w:ascii="Arial" w:cs="Arial" w:eastAsia="Arial" w:hAnsi="Arial"/>
                <w:sz w:val="14"/>
                <w:szCs w:val="14"/>
                <w:color w:val="FFFFFF"/>
                <w:w w:val="88"/>
              </w:rPr>
              <w:t>16,204</w:t>
            </w:r>
          </w:p>
        </w:tc>
        <w:tc>
          <w:tcPr>
            <w:tcW w:w="5200" w:type="dxa"/>
            <w:vAlign w:val="bottom"/>
          </w:tcPr>
          <w:p>
            <w:pPr>
              <w:spacing w:after="0"/>
              <w:rPr>
                <w:sz w:val="14"/>
                <w:szCs w:val="14"/>
                <w:color w:val="auto"/>
              </w:rPr>
            </w:pPr>
          </w:p>
        </w:tc>
      </w:tr>
    </w:tbl>
    <w:p>
      <w:pPr>
        <w:sectPr>
          <w:pgSz w:w="11900" w:h="16838" w:orient="portrait"/>
          <w:cols w:equalWidth="0" w:num="1">
            <w:col w:w="11360"/>
          </w:cols>
          <w:pgMar w:left="240" w:top="1440" w:right="29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3"/>
          </w:tcPr>
          <w:p>
            <w:pPr>
              <w:spacing w:after="0"/>
              <w:rPr>
                <w:sz w:val="20"/>
                <w:szCs w:val="20"/>
                <w:color w:val="auto"/>
              </w:rPr>
            </w:pPr>
            <w:r>
              <w:rPr>
                <w:rFonts w:ascii="Arial" w:cs="Arial" w:eastAsia="Arial" w:hAnsi="Arial"/>
                <w:sz w:val="14"/>
                <w:szCs w:val="14"/>
                <w:color w:val="FFFFFF"/>
              </w:rPr>
              <w:t>Annual Report 2012 159</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2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3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22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5220" w:type="dxa"/>
            <w:vAlign w:val="bottom"/>
            <w:gridSpan w:val="3"/>
          </w:tcPr>
          <w:p>
            <w:pPr>
              <w:spacing w:after="0" w:line="108" w:lineRule="exact"/>
              <w:rPr>
                <w:sz w:val="20"/>
                <w:szCs w:val="20"/>
                <w:color w:val="auto"/>
              </w:rPr>
            </w:pPr>
            <w:r>
              <w:rPr>
                <w:rFonts w:ascii="Arial" w:cs="Arial" w:eastAsia="Arial" w:hAnsi="Arial"/>
                <w:sz w:val="12"/>
                <w:szCs w:val="12"/>
                <w:color w:val="FFFFFF"/>
              </w:rPr>
              <w:t>For the year ended 31 December 2012</w:t>
            </w: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28.</w:t>
            </w:r>
          </w:p>
        </w:tc>
        <w:tc>
          <w:tcPr>
            <w:tcW w:w="4820" w:type="dxa"/>
            <w:vAlign w:val="bottom"/>
            <w:gridSpan w:val="2"/>
          </w:tcPr>
          <w:p>
            <w:pPr>
              <w:ind w:left="60"/>
              <w:spacing w:after="0"/>
              <w:rPr>
                <w:sz w:val="20"/>
                <w:szCs w:val="20"/>
                <w:color w:val="auto"/>
              </w:rPr>
            </w:pPr>
            <w:r>
              <w:rPr>
                <w:rFonts w:ascii="Arial" w:cs="Arial" w:eastAsia="Arial" w:hAnsi="Arial"/>
                <w:sz w:val="3"/>
                <w:szCs w:val="3"/>
                <w:color w:val="FFFFFF"/>
              </w:rPr>
              <w:t>RELATED PARTY DISCLOSURES (CONTINUED)</w:t>
            </w: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400" w:type="dxa"/>
            <w:vAlign w:val="bottom"/>
          </w:tcPr>
          <w:p>
            <w:pPr>
              <w:spacing w:after="0" w:line="54" w:lineRule="exact"/>
              <w:rPr>
                <w:sz w:val="20"/>
                <w:szCs w:val="20"/>
                <w:color w:val="auto"/>
              </w:rPr>
            </w:pPr>
            <w:r>
              <w:rPr>
                <w:rFonts w:ascii="Arial" w:cs="Arial" w:eastAsia="Arial" w:hAnsi="Arial"/>
                <w:sz w:val="6"/>
                <w:szCs w:val="6"/>
                <w:color w:val="FFFFFF"/>
              </w:rPr>
              <w:t>Notes:</w:t>
            </w:r>
          </w:p>
        </w:tc>
        <w:tc>
          <w:tcPr>
            <w:tcW w:w="840" w:type="dxa"/>
            <w:vAlign w:val="bottom"/>
            <w:vMerge w:val="restart"/>
          </w:tcPr>
          <w:p>
            <w:pPr>
              <w:ind w:left="60"/>
              <w:spacing w:after="0" w:line="95" w:lineRule="exact"/>
              <w:rPr>
                <w:sz w:val="20"/>
                <w:szCs w:val="20"/>
                <w:color w:val="auto"/>
              </w:rPr>
            </w:pPr>
            <w:r>
              <w:rPr>
                <w:rFonts w:ascii="Arial" w:cs="Arial" w:eastAsia="Arial" w:hAnsi="Arial"/>
                <w:sz w:val="10"/>
                <w:szCs w:val="10"/>
                <w:color w:val="FFFFFF"/>
              </w:rPr>
              <w:t>Royalty fees</w:t>
            </w:r>
          </w:p>
        </w:tc>
        <w:tc>
          <w:tcPr>
            <w:tcW w:w="3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400" w:type="dxa"/>
            <w:vAlign w:val="bottom"/>
          </w:tcPr>
          <w:p>
            <w:pPr>
              <w:spacing w:after="0"/>
              <w:rPr>
                <w:sz w:val="20"/>
                <w:szCs w:val="20"/>
                <w:color w:val="auto"/>
              </w:rPr>
            </w:pPr>
            <w:r>
              <w:rPr>
                <w:rFonts w:ascii="Arial" w:cs="Arial" w:eastAsia="Arial" w:hAnsi="Arial"/>
                <w:sz w:val="3"/>
                <w:szCs w:val="3"/>
                <w:color w:val="FFFFFF"/>
              </w:rPr>
              <w:t>(i)</w:t>
            </w:r>
          </w:p>
        </w:tc>
        <w:tc>
          <w:tcPr>
            <w:tcW w:w="840" w:type="dxa"/>
            <w:vAlign w:val="bottom"/>
            <w:vMerge w:val="continue"/>
          </w:tcPr>
          <w:p>
            <w:pPr>
              <w:spacing w:after="0"/>
              <w:rPr>
                <w:sz w:val="3"/>
                <w:szCs w:val="3"/>
                <w:color w:val="auto"/>
              </w:rPr>
            </w:pPr>
          </w:p>
        </w:tc>
        <w:tc>
          <w:tcPr>
            <w:tcW w:w="3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1380" w:type="dxa"/>
            <w:vAlign w:val="bottom"/>
            <w:gridSpan w:val="6"/>
          </w:tcPr>
          <w:p>
            <w:pPr>
              <w:spacing w:after="0" w:line="54" w:lineRule="exact"/>
              <w:rPr>
                <w:sz w:val="20"/>
                <w:szCs w:val="20"/>
                <w:color w:val="auto"/>
              </w:rPr>
            </w:pPr>
            <w:r>
              <w:rPr>
                <w:rFonts w:ascii="Arial" w:cs="Arial" w:eastAsia="Arial" w:hAnsi="Arial"/>
                <w:sz w:val="6"/>
                <w:szCs w:val="6"/>
                <w:color w:val="FFFFFF"/>
              </w:rPr>
              <w:t>Prior to Listing, WRM had an arrangement with Wynn Resorts, Limited and Wynn Resorts Holdings, LLC (together, the “Licensors”) under which the Licensors licensed to WRM certain trademarks and service</w:t>
            </w:r>
          </w:p>
        </w:tc>
        <w:tc>
          <w:tcPr>
            <w:tcW w:w="0" w:type="dxa"/>
            <w:vAlign w:val="bottom"/>
          </w:tcPr>
          <w:p>
            <w:pPr>
              <w:spacing w:after="0"/>
              <w:rPr>
                <w:sz w:val="1"/>
                <w:szCs w:val="1"/>
                <w:color w:val="auto"/>
              </w:rPr>
            </w:pPr>
          </w:p>
        </w:tc>
      </w:tr>
      <w:tr>
        <w:trPr>
          <w:trHeight w:val="41"/>
        </w:trPr>
        <w:tc>
          <w:tcPr>
            <w:tcW w:w="7460" w:type="dxa"/>
            <w:vAlign w:val="bottom"/>
            <w:gridSpan w:val="5"/>
          </w:tcPr>
          <w:p>
            <w:pPr>
              <w:spacing w:after="0"/>
              <w:rPr>
                <w:sz w:val="20"/>
                <w:szCs w:val="20"/>
                <w:color w:val="auto"/>
              </w:rPr>
            </w:pPr>
            <w:r>
              <w:rPr>
                <w:rFonts w:ascii="Arial" w:cs="Arial" w:eastAsia="Arial" w:hAnsi="Arial"/>
                <w:sz w:val="3"/>
                <w:szCs w:val="3"/>
                <w:color w:val="FFFFFF"/>
              </w:rPr>
              <w:t>marks, other marks and works, dom in names, and hotel casino design, development and management know-how (collectively, the</w:t>
            </w:r>
          </w:p>
        </w:tc>
        <w:tc>
          <w:tcPr>
            <w:tcW w:w="3920" w:type="dxa"/>
            <w:vAlign w:val="bottom"/>
          </w:tcPr>
          <w:p>
            <w:pPr>
              <w:ind w:left="360"/>
              <w:spacing w:after="0"/>
              <w:rPr>
                <w:sz w:val="20"/>
                <w:szCs w:val="20"/>
                <w:color w:val="auto"/>
              </w:rPr>
            </w:pPr>
            <w:r>
              <w:rPr>
                <w:rFonts w:ascii="Arial" w:cs="Arial" w:eastAsia="Arial" w:hAnsi="Arial"/>
                <w:sz w:val="3"/>
                <w:szCs w:val="3"/>
                <w:color w:val="FFFFFF"/>
              </w:rPr>
              <w:t>Property Rights”). On 19 September 2009, each of the Company</w:t>
            </w:r>
          </w:p>
        </w:tc>
        <w:tc>
          <w:tcPr>
            <w:tcW w:w="0" w:type="dxa"/>
            <w:vAlign w:val="bottom"/>
          </w:tcPr>
          <w:p>
            <w:pPr>
              <w:spacing w:after="0"/>
              <w:rPr>
                <w:sz w:val="1"/>
                <w:szCs w:val="1"/>
                <w:color w:val="auto"/>
              </w:rPr>
            </w:pPr>
          </w:p>
        </w:tc>
      </w:tr>
      <w:tr>
        <w:trPr>
          <w:trHeight w:val="41"/>
        </w:trPr>
        <w:tc>
          <w:tcPr>
            <w:tcW w:w="1240" w:type="dxa"/>
            <w:vAlign w:val="bottom"/>
            <w:gridSpan w:val="2"/>
          </w:tcPr>
          <w:p>
            <w:pPr>
              <w:spacing w:after="0"/>
              <w:rPr>
                <w:sz w:val="20"/>
                <w:szCs w:val="20"/>
                <w:color w:val="auto"/>
              </w:rPr>
            </w:pPr>
            <w:r>
              <w:rPr>
                <w:rFonts w:ascii="Arial" w:cs="Arial" w:eastAsia="Arial" w:hAnsi="Arial"/>
                <w:sz w:val="3"/>
                <w:szCs w:val="3"/>
                <w:color w:val="FFFFFF"/>
              </w:rPr>
              <w:t>and WRM entered into</w:t>
            </w:r>
          </w:p>
        </w:tc>
        <w:tc>
          <w:tcPr>
            <w:tcW w:w="10140" w:type="dxa"/>
            <w:vAlign w:val="bottom"/>
            <w:gridSpan w:val="4"/>
          </w:tcPr>
          <w:p>
            <w:pPr>
              <w:ind w:left="200"/>
              <w:spacing w:after="0"/>
              <w:rPr>
                <w:sz w:val="20"/>
                <w:szCs w:val="20"/>
                <w:color w:val="auto"/>
              </w:rPr>
            </w:pPr>
            <w:r>
              <w:rPr>
                <w:rFonts w:ascii="Arial" w:cs="Arial" w:eastAsia="Arial" w:hAnsi="Arial"/>
                <w:sz w:val="3"/>
                <w:szCs w:val="3"/>
                <w:color w:val="FFFFFF"/>
              </w:rPr>
              <w:t>intellectual property license agreement with the Licensors (together, the “IP License Arrangement”), which“Intellectualhasperpetual term. Pursuant to the IP License Arrangement, the Licensors</w:t>
            </w:r>
          </w:p>
        </w:tc>
        <w:tc>
          <w:tcPr>
            <w:tcW w:w="0" w:type="dxa"/>
            <w:vAlign w:val="bottom"/>
          </w:tcPr>
          <w:p>
            <w:pPr>
              <w:spacing w:after="0"/>
              <w:rPr>
                <w:sz w:val="1"/>
                <w:szCs w:val="1"/>
                <w:color w:val="auto"/>
              </w:rPr>
            </w:pPr>
          </w:p>
        </w:tc>
      </w:tr>
      <w:tr>
        <w:trPr>
          <w:trHeight w:val="41"/>
        </w:trPr>
        <w:tc>
          <w:tcPr>
            <w:tcW w:w="1240" w:type="dxa"/>
            <w:vAlign w:val="bottom"/>
            <w:gridSpan w:val="2"/>
          </w:tcPr>
          <w:p>
            <w:pPr>
              <w:spacing w:after="0"/>
              <w:rPr>
                <w:sz w:val="20"/>
                <w:szCs w:val="20"/>
                <w:color w:val="auto"/>
              </w:rPr>
            </w:pPr>
            <w:r>
              <w:rPr>
                <w:rFonts w:ascii="Arial" w:cs="Arial" w:eastAsia="Arial" w:hAnsi="Arial"/>
                <w:sz w:val="3"/>
                <w:szCs w:val="3"/>
                <w:color w:val="FFFFFF"/>
              </w:rPr>
              <w:t>licensed to each of the</w:t>
            </w:r>
          </w:p>
        </w:tc>
        <w:tc>
          <w:tcPr>
            <w:tcW w:w="10140" w:type="dxa"/>
            <w:vAlign w:val="bottom"/>
            <w:gridSpan w:val="4"/>
          </w:tcPr>
          <w:p>
            <w:pPr>
              <w:spacing w:after="0"/>
              <w:rPr>
                <w:sz w:val="20"/>
                <w:szCs w:val="20"/>
                <w:color w:val="auto"/>
              </w:rPr>
            </w:pPr>
            <w:r>
              <w:rPr>
                <w:rFonts w:ascii="Arial" w:cs="Arial" w:eastAsia="Arial" w:hAnsi="Arial"/>
                <w:sz w:val="3"/>
                <w:szCs w:val="3"/>
                <w:color w:val="FFFFFF"/>
              </w:rPr>
              <w:t>Company and WRM the right to use the Intellectual Property Rights using the same pricing basis as described below. The IP License Arrangement is also subject to restrictions in the</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agreements between Wynn Resorts Holdings, LLC or Wynn Resorts, Limited and any third parties, including Mr. Stephen A. Wynn, in respect of a third party’ intellectual property, including any applicable</w:t>
            </w:r>
          </w:p>
        </w:tc>
        <w:tc>
          <w:tcPr>
            <w:tcW w:w="0" w:type="dxa"/>
            <w:vAlign w:val="bottom"/>
          </w:tcPr>
          <w:p>
            <w:pPr>
              <w:spacing w:after="0"/>
              <w:rPr>
                <w:sz w:val="1"/>
                <w:szCs w:val="1"/>
                <w:color w:val="auto"/>
              </w:rPr>
            </w:pPr>
          </w:p>
        </w:tc>
      </w:tr>
      <w:tr>
        <w:trPr>
          <w:trHeight w:val="41"/>
        </w:trPr>
        <w:tc>
          <w:tcPr>
            <w:tcW w:w="400" w:type="dxa"/>
            <w:vAlign w:val="bottom"/>
          </w:tcPr>
          <w:p>
            <w:pPr>
              <w:spacing w:after="0"/>
              <w:rPr>
                <w:sz w:val="3"/>
                <w:szCs w:val="3"/>
                <w:color w:val="auto"/>
              </w:rPr>
            </w:pPr>
          </w:p>
        </w:tc>
        <w:tc>
          <w:tcPr>
            <w:tcW w:w="10980" w:type="dxa"/>
            <w:vAlign w:val="bottom"/>
            <w:gridSpan w:val="5"/>
          </w:tcPr>
          <w:p>
            <w:pPr>
              <w:ind w:left="220"/>
              <w:spacing w:after="0"/>
              <w:rPr>
                <w:sz w:val="20"/>
                <w:szCs w:val="20"/>
                <w:color w:val="auto"/>
              </w:rPr>
            </w:pPr>
            <w:r>
              <w:rPr>
                <w:rFonts w:ascii="Arial" w:cs="Arial" w:eastAsia="Arial" w:hAnsi="Arial"/>
                <w:sz w:val="3"/>
                <w:szCs w:val="3"/>
                <w:color w:val="FFFFFF"/>
              </w:rPr>
              <w:t>on the scope of the license, limitations on sub-licensing, termination (including change of control) under certain circumstances and other standard provisions.</w:t>
            </w:r>
          </w:p>
        </w:tc>
        <w:tc>
          <w:tcPr>
            <w:tcW w:w="0" w:type="dxa"/>
            <w:vAlign w:val="bottom"/>
          </w:tcPr>
          <w:p>
            <w:pPr>
              <w:spacing w:after="0"/>
              <w:rPr>
                <w:sz w:val="1"/>
                <w:szCs w:val="1"/>
                <w:color w:val="auto"/>
              </w:rPr>
            </w:pPr>
          </w:p>
        </w:tc>
      </w:tr>
      <w:tr>
        <w:trPr>
          <w:trHeight w:val="41"/>
        </w:trPr>
        <w:tc>
          <w:tcPr>
            <w:tcW w:w="5220" w:type="dxa"/>
            <w:vAlign w:val="bottom"/>
            <w:gridSpan w:val="3"/>
          </w:tcPr>
          <w:p>
            <w:pPr>
              <w:spacing w:after="0"/>
              <w:rPr>
                <w:sz w:val="20"/>
                <w:szCs w:val="20"/>
                <w:color w:val="auto"/>
              </w:rPr>
            </w:pPr>
            <w:r>
              <w:rPr>
                <w:rFonts w:ascii="Arial" w:cs="Arial" w:eastAsia="Arial" w:hAnsi="Arial"/>
                <w:sz w:val="3"/>
                <w:szCs w:val="3"/>
                <w:color w:val="FFFFFF"/>
              </w:rPr>
              <w:t>limitationsThecense fee payable to Wynn Resorts Holdings, LLC equal the greater of (1) 3% of the IP</w:t>
            </w:r>
          </w:p>
        </w:tc>
        <w:tc>
          <w:tcPr>
            <w:tcW w:w="6160" w:type="dxa"/>
            <w:vAlign w:val="bottom"/>
            <w:gridSpan w:val="3"/>
          </w:tcPr>
          <w:p>
            <w:pPr>
              <w:ind w:left="180"/>
              <w:spacing w:after="0"/>
              <w:rPr>
                <w:sz w:val="20"/>
                <w:szCs w:val="20"/>
                <w:color w:val="auto"/>
              </w:rPr>
            </w:pPr>
            <w:r>
              <w:rPr>
                <w:rFonts w:ascii="Arial" w:cs="Arial" w:eastAsia="Arial" w:hAnsi="Arial"/>
                <w:sz w:val="3"/>
                <w:szCs w:val="3"/>
                <w:color w:val="FFFFFF"/>
              </w:rPr>
              <w:t>monthly revenues, or (2) US$1.5 million (approximately HK$11.6 million) per month. For the purposes of</w:t>
            </w:r>
          </w:p>
        </w:tc>
        <w:tc>
          <w:tcPr>
            <w:tcW w:w="0" w:type="dxa"/>
            <w:vAlign w:val="bottom"/>
          </w:tcPr>
          <w:p>
            <w:pPr>
              <w:spacing w:after="0"/>
              <w:rPr>
                <w:sz w:val="1"/>
                <w:szCs w:val="1"/>
                <w:color w:val="auto"/>
              </w:rPr>
            </w:pPr>
          </w:p>
        </w:tc>
      </w:tr>
      <w:tr>
        <w:trPr>
          <w:trHeight w:val="0"/>
        </w:trPr>
        <w:tc>
          <w:tcPr>
            <w:tcW w:w="6340" w:type="dxa"/>
            <w:vAlign w:val="bottom"/>
            <w:gridSpan w:val="4"/>
          </w:tcPr>
          <w:p>
            <w:pPr>
              <w:spacing w:after="0" w:line="80" w:lineRule="exact"/>
              <w:rPr>
                <w:sz w:val="20"/>
                <w:szCs w:val="20"/>
                <w:color w:val="auto"/>
              </w:rPr>
            </w:pPr>
            <w:r>
              <w:rPr>
                <w:rFonts w:ascii="Arial" w:cs="Arial" w:eastAsia="Arial" w:hAnsi="Arial"/>
                <w:sz w:val="9"/>
                <w:szCs w:val="9"/>
                <w:color w:val="FFFFFF"/>
              </w:rPr>
              <w:t>each intellectual property license agreement, the term “IP gross revenues” refers to the licensee’grosstotal operating</w:t>
            </w:r>
          </w:p>
        </w:tc>
        <w:tc>
          <w:tcPr>
            <w:tcW w:w="5040" w:type="dxa"/>
            <w:vAlign w:val="bottom"/>
            <w:gridSpan w:val="2"/>
          </w:tcPr>
          <w:p>
            <w:pPr>
              <w:ind w:left="260"/>
              <w:spacing w:after="0" w:line="80" w:lineRule="exact"/>
              <w:rPr>
                <w:sz w:val="20"/>
                <w:szCs w:val="20"/>
                <w:color w:val="auto"/>
              </w:rPr>
            </w:pPr>
            <w:r>
              <w:rPr>
                <w:rFonts w:ascii="Arial" w:cs="Arial" w:eastAsia="Arial" w:hAnsi="Arial"/>
                <w:sz w:val="9"/>
                <w:szCs w:val="9"/>
                <w:color w:val="FFFFFF"/>
              </w:rPr>
              <w:t>as adjusted by adding back (1) commissions and discounts which were netted  gainst</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vertAlign w:val="subscript"/>
        </w:rPr>
        <w:t>licensee’</w:t>
      </w:r>
      <w:r>
        <w:rPr>
          <w:rFonts w:ascii="Arial" w:cs="Arial" w:eastAsia="Arial" w:hAnsi="Arial"/>
          <w:sz w:val="1"/>
          <w:szCs w:val="1"/>
          <w:color w:val="FFFFFF"/>
        </w:rPr>
        <w:t>oprating revenues, and (2) promotional allowances, and the term “IP gross monthly revenues” refers to the licensee’revenuesIPgross revenues accrued at the end of each calendar month. The calculation of each</w:t>
      </w:r>
    </w:p>
    <w:p>
      <w:pPr>
        <w:ind w:right="100" w:firstLine="472"/>
        <w:spacing w:after="0"/>
        <w:rPr>
          <w:sz w:val="20"/>
          <w:szCs w:val="20"/>
          <w:color w:val="auto"/>
        </w:rPr>
      </w:pPr>
      <w:r>
        <w:rPr>
          <w:rFonts w:ascii="Arial" w:cs="Arial" w:eastAsia="Arial" w:hAnsi="Arial"/>
          <w:sz w:val="7"/>
          <w:szCs w:val="7"/>
          <w:color w:val="FFFFFF"/>
        </w:rPr>
        <w:t>s operating revenues, promotional allowances, and commissions and discounts in connection with the IP gross revenues stated in the intellectual property license agreements shall always be consistent with the Group’s accounting policies and prepared in accordance with IFRSs as in effect from 31 December 2008. If any other subsidiary of the Company (other than WRM) acquires the Intellectual Property Rights under the intellectual property license agreement between the Company and the Licensors, “IP gross revenues” and “IP monthly gross revenues” will be interpreted to include the gross revenues of such relevant subsidiary.</w:t>
      </w:r>
    </w:p>
    <w:p>
      <w:pPr>
        <w:spacing w:after="0" w:line="216" w:lineRule="auto"/>
        <w:rPr>
          <w:sz w:val="20"/>
          <w:szCs w:val="20"/>
          <w:color w:val="auto"/>
        </w:rPr>
      </w:pPr>
      <w:r>
        <w:rPr>
          <w:rFonts w:ascii="Arial" w:cs="Arial" w:eastAsia="Arial" w:hAnsi="Arial"/>
          <w:sz w:val="2"/>
          <w:szCs w:val="2"/>
          <w:color w:val="FFFFFF"/>
        </w:rPr>
        <w:t xml:space="preserve">The following </w:t>
      </w:r>
      <w:r>
        <w:rPr>
          <w:rFonts w:ascii="Arial" w:cs="Arial" w:eastAsia="Arial" w:hAnsi="Arial"/>
          <w:sz w:val="4"/>
          <w:szCs w:val="4"/>
          <w:color w:val="FFFFFF"/>
          <w:vertAlign w:val="subscript"/>
        </w:rPr>
        <w:t>Licensors</w:t>
      </w:r>
      <w:r>
        <w:rPr>
          <w:rFonts w:ascii="Arial" w:cs="Arial" w:eastAsia="Arial" w:hAnsi="Arial"/>
          <w:sz w:val="2"/>
          <w:szCs w:val="2"/>
          <w:color w:val="FFFFFF"/>
        </w:rPr>
        <w:t>tablepreents a reconciliation of total operating revenues (as reported in these fi nancial statements) to WRM’s IP gross revenues as used for the purposes of the IP License Arrangement between</w:t>
      </w:r>
    </w:p>
    <w:p>
      <w:pPr>
        <w:spacing w:after="0"/>
        <w:tabs>
          <w:tab w:leader="none" w:pos="1320" w:val="left"/>
        </w:tabs>
        <w:rPr>
          <w:sz w:val="20"/>
          <w:szCs w:val="20"/>
          <w:color w:val="auto"/>
        </w:rPr>
      </w:pPr>
      <w:r>
        <w:rPr>
          <w:rFonts w:ascii="Arial" w:cs="Arial" w:eastAsia="Arial" w:hAnsi="Arial"/>
          <w:sz w:val="14"/>
          <w:szCs w:val="14"/>
          <w:color w:val="FFFFFF"/>
        </w:rPr>
        <w:t>WRM and the</w:t>
      </w:r>
      <w:r>
        <w:rPr>
          <w:sz w:val="20"/>
          <w:szCs w:val="20"/>
          <w:color w:val="auto"/>
        </w:rPr>
        <w:tab/>
      </w:r>
      <w:r>
        <w:rPr>
          <w:rFonts w:ascii="Arial" w:cs="Arial" w:eastAsia="Arial" w:hAnsi="Arial"/>
          <w:sz w:val="7"/>
          <w:szCs w:val="7"/>
          <w:color w:val="FFFFFF"/>
        </w:rPr>
        <w:t>.</w:t>
      </w:r>
    </w:p>
    <w:p>
      <w:pPr>
        <w:sectPr>
          <w:pgSz w:w="11900" w:h="16838" w:orient="portrait"/>
          <w:cols w:equalWidth="0" w:num="1">
            <w:col w:w="11380"/>
          </w:cols>
          <w:pgMar w:left="240" w:top="1440" w:right="27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gridSpan w:val="2"/>
          </w:tcPr>
          <w:p>
            <w:pPr>
              <w:spacing w:after="0"/>
              <w:rPr>
                <w:sz w:val="20"/>
                <w:szCs w:val="20"/>
                <w:color w:val="auto"/>
              </w:rPr>
            </w:pPr>
            <w:r>
              <w:rPr>
                <w:rFonts w:ascii="Arial" w:cs="Arial" w:eastAsia="Arial" w:hAnsi="Arial"/>
                <w:sz w:val="14"/>
                <w:szCs w:val="14"/>
                <w:color w:val="FFFFFF"/>
              </w:rPr>
              <w:t>160 Wynn Macau, Limited</w:t>
            </w:r>
          </w:p>
        </w:tc>
        <w:tc>
          <w:tcPr>
            <w:tcW w:w="4160" w:type="dxa"/>
            <w:vAlign w:val="bottom"/>
          </w:tcPr>
          <w:p>
            <w:pPr>
              <w:spacing w:after="0"/>
              <w:rPr>
                <w:sz w:val="14"/>
                <w:szCs w:val="14"/>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4160" w:type="dxa"/>
            <w:vAlign w:val="bottom"/>
          </w:tcPr>
          <w:p>
            <w:pPr>
              <w:spacing w:after="0"/>
              <w:rPr>
                <w:sz w:val="3"/>
                <w:szCs w:val="3"/>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4160" w:type="dxa"/>
            <w:vAlign w:val="bottom"/>
          </w:tcPr>
          <w:p>
            <w:pPr>
              <w:spacing w:after="0"/>
              <w:rPr>
                <w:sz w:val="3"/>
                <w:szCs w:val="3"/>
                <w:color w:val="auto"/>
              </w:rPr>
            </w:pPr>
          </w:p>
        </w:tc>
      </w:tr>
      <w:tr>
        <w:trPr>
          <w:trHeight w:val="108"/>
        </w:trPr>
        <w:tc>
          <w:tcPr>
            <w:tcW w:w="7260" w:type="dxa"/>
            <w:vAlign w:val="bottom"/>
            <w:gridSpan w:val="2"/>
          </w:tcPr>
          <w:p>
            <w:pPr>
              <w:spacing w:after="0" w:line="108" w:lineRule="exact"/>
              <w:rPr>
                <w:sz w:val="20"/>
                <w:szCs w:val="20"/>
                <w:color w:val="auto"/>
              </w:rPr>
            </w:pPr>
            <w:r>
              <w:rPr>
                <w:rFonts w:ascii="Arial" w:cs="Arial" w:eastAsia="Arial" w:hAnsi="Arial"/>
                <w:sz w:val="12"/>
                <w:szCs w:val="12"/>
                <w:color w:val="FFFFFF"/>
              </w:rPr>
              <w:t>For the year ended 31 December 2012</w:t>
            </w:r>
          </w:p>
        </w:tc>
        <w:tc>
          <w:tcPr>
            <w:tcW w:w="4160" w:type="dxa"/>
            <w:vAlign w:val="bottom"/>
          </w:tcPr>
          <w:p>
            <w:pPr>
              <w:spacing w:after="0"/>
              <w:rPr>
                <w:sz w:val="9"/>
                <w:szCs w:val="9"/>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28.</w:t>
            </w:r>
          </w:p>
        </w:tc>
        <w:tc>
          <w:tcPr>
            <w:tcW w:w="6940" w:type="dxa"/>
            <w:vAlign w:val="bottom"/>
          </w:tcPr>
          <w:p>
            <w:pPr>
              <w:ind w:left="140"/>
              <w:spacing w:after="0"/>
              <w:rPr>
                <w:sz w:val="20"/>
                <w:szCs w:val="20"/>
                <w:color w:val="auto"/>
              </w:rPr>
            </w:pPr>
            <w:r>
              <w:rPr>
                <w:rFonts w:ascii="Arial" w:cs="Arial" w:eastAsia="Arial" w:hAnsi="Arial"/>
                <w:sz w:val="3"/>
                <w:szCs w:val="3"/>
                <w:color w:val="FFFFFF"/>
              </w:rPr>
              <w:t>RELATED PARTY DISCLOSURES (CONTINUED)</w:t>
            </w:r>
          </w:p>
        </w:tc>
        <w:tc>
          <w:tcPr>
            <w:tcW w:w="4160" w:type="dxa"/>
            <w:vAlign w:val="bottom"/>
          </w:tcPr>
          <w:p>
            <w:pPr>
              <w:spacing w:after="0"/>
              <w:rPr>
                <w:sz w:val="3"/>
                <w:szCs w:val="3"/>
                <w:color w:val="auto"/>
              </w:rPr>
            </w:pPr>
          </w:p>
        </w:tc>
      </w:tr>
      <w:tr>
        <w:trPr>
          <w:trHeight w:val="54"/>
        </w:trPr>
        <w:tc>
          <w:tcPr>
            <w:tcW w:w="7260" w:type="dxa"/>
            <w:vAlign w:val="bottom"/>
            <w:gridSpan w:val="2"/>
          </w:tcPr>
          <w:p>
            <w:pPr>
              <w:spacing w:after="0" w:line="54" w:lineRule="exact"/>
              <w:rPr>
                <w:sz w:val="20"/>
                <w:szCs w:val="20"/>
                <w:color w:val="auto"/>
              </w:rPr>
            </w:pPr>
            <w:r>
              <w:rPr>
                <w:rFonts w:ascii="Arial" w:cs="Arial" w:eastAsia="Arial" w:hAnsi="Arial"/>
                <w:sz w:val="6"/>
                <w:szCs w:val="6"/>
                <w:color w:val="FFFFFF"/>
              </w:rPr>
              <w:t>Notes: (continued)</w:t>
            </w:r>
          </w:p>
        </w:tc>
        <w:tc>
          <w:tcPr>
            <w:tcW w:w="4160" w:type="dxa"/>
            <w:vAlign w:val="bottom"/>
          </w:tcPr>
          <w:p>
            <w:pPr>
              <w:spacing w:after="0"/>
              <w:rPr>
                <w:sz w:val="4"/>
                <w:szCs w:val="4"/>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(i)</w:t>
            </w:r>
          </w:p>
        </w:tc>
        <w:tc>
          <w:tcPr>
            <w:tcW w:w="6940" w:type="dxa"/>
            <w:vAlign w:val="bottom"/>
          </w:tcPr>
          <w:p>
            <w:pPr>
              <w:ind w:left="140"/>
              <w:spacing w:after="0"/>
              <w:rPr>
                <w:sz w:val="20"/>
                <w:szCs w:val="20"/>
                <w:color w:val="auto"/>
              </w:rPr>
            </w:pPr>
            <w:r>
              <w:rPr>
                <w:rFonts w:ascii="Arial" w:cs="Arial" w:eastAsia="Arial" w:hAnsi="Arial"/>
                <w:sz w:val="3"/>
                <w:szCs w:val="3"/>
                <w:color w:val="FFFFFF"/>
              </w:rPr>
              <w:t>Royalty fees (continued)</w:t>
            </w:r>
          </w:p>
        </w:tc>
        <w:tc>
          <w:tcPr>
            <w:tcW w:w="4160" w:type="dxa"/>
            <w:vAlign w:val="bottom"/>
          </w:tcPr>
          <w:p>
            <w:pPr>
              <w:spacing w:after="0"/>
              <w:rPr>
                <w:sz w:val="3"/>
                <w:szCs w:val="3"/>
                <w:color w:val="auto"/>
              </w:rPr>
            </w:pPr>
          </w:p>
        </w:tc>
      </w:tr>
      <w:tr>
        <w:trPr>
          <w:trHeight w:val="54"/>
        </w:trPr>
        <w:tc>
          <w:tcPr>
            <w:tcW w:w="7260" w:type="dxa"/>
            <w:vAlign w:val="bottom"/>
            <w:gridSpan w:val="2"/>
          </w:tcPr>
          <w:p>
            <w:pPr>
              <w:spacing w:after="0" w:line="54" w:lineRule="exact"/>
              <w:rPr>
                <w:sz w:val="20"/>
                <w:szCs w:val="20"/>
                <w:color w:val="auto"/>
              </w:rPr>
            </w:pPr>
            <w:r>
              <w:rPr>
                <w:rFonts w:ascii="Arial" w:cs="Arial" w:eastAsia="Arial" w:hAnsi="Arial"/>
                <w:sz w:val="6"/>
                <w:szCs w:val="6"/>
                <w:color w:val="FFFFFF"/>
              </w:rPr>
              <w:t>Group For the year ended</w:t>
            </w:r>
          </w:p>
        </w:tc>
        <w:tc>
          <w:tcPr>
            <w:tcW w:w="4160" w:type="dxa"/>
            <w:vAlign w:val="bottom"/>
          </w:tcPr>
          <w:p>
            <w:pPr>
              <w:spacing w:after="0"/>
              <w:rPr>
                <w:sz w:val="4"/>
                <w:szCs w:val="4"/>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31 December</w:t>
            </w:r>
          </w:p>
        </w:tc>
        <w:tc>
          <w:tcPr>
            <w:tcW w:w="4160" w:type="dxa"/>
            <w:vAlign w:val="bottom"/>
          </w:tcPr>
          <w:p>
            <w:pPr>
              <w:spacing w:after="0"/>
              <w:rPr>
                <w:sz w:val="3"/>
                <w:szCs w:val="3"/>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2012 2011 HK$ HK$ (in thousands)</w:t>
            </w:r>
          </w:p>
        </w:tc>
        <w:tc>
          <w:tcPr>
            <w:tcW w:w="4160" w:type="dxa"/>
            <w:vAlign w:val="bottom"/>
          </w:tcPr>
          <w:p>
            <w:pPr>
              <w:spacing w:after="0"/>
              <w:rPr>
                <w:sz w:val="3"/>
                <w:szCs w:val="3"/>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Total operating revenues 28,452,224 29,498,092 Commissions and discounts included in operating revenues 8,195,406 8,714,464 Promotional allowances 1,392,688 1,351,977</w:t>
            </w: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IP gross revenues 38,040,318 39,564,533</w:t>
            </w:r>
          </w:p>
        </w:tc>
        <w:tc>
          <w:tcPr>
            <w:tcW w:w="4160" w:type="dxa"/>
            <w:vAlign w:val="bottom"/>
          </w:tcPr>
          <w:p>
            <w:pPr>
              <w:spacing w:after="0"/>
              <w:rPr>
                <w:sz w:val="3"/>
                <w:szCs w:val="3"/>
                <w:color w:val="auto"/>
              </w:rPr>
            </w:pP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(ii) Corporate support services</w:t>
            </w:r>
          </w:p>
        </w:tc>
        <w:tc>
          <w:tcPr>
            <w:tcW w:w="4160" w:type="dxa"/>
            <w:vAlign w:val="bottom"/>
          </w:tcPr>
          <w:p>
            <w:pPr>
              <w:spacing w:after="0"/>
              <w:rPr>
                <w:sz w:val="3"/>
                <w:szCs w:val="3"/>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Wynn Resorts, Limited provi es corporate support services   the Group. These services consist of a limited number of executives in relevant areas assisting the Group on certain matters. The assistance includes</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guidance on certain issues and ensuring that, from a regulatory standpoint, Wynn Resorts, Limited’ standard operating procedures are followed and maintained by the Group. The annual fee for the services</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provided by Wynn Resorts, Limited is based on   allocation of the actual proportion of Wynn Resorts, Limited’s annual corporate departments’ costs (including salaries and benefi ts for such employees during</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 period in which such services are rendered) and overhead expense related to the provision of such services and, in any event, such annual fee shall not exceed 50% of the aggregate annual corporate</w:t>
            </w:r>
          </w:p>
        </w:tc>
      </w:tr>
      <w:tr>
        <w:trPr>
          <w:trHeight w:val="41"/>
        </w:trPr>
        <w:tc>
          <w:tcPr>
            <w:tcW w:w="7260" w:type="dxa"/>
            <w:vAlign w:val="bottom"/>
            <w:gridSpan w:val="2"/>
          </w:tcPr>
          <w:p>
            <w:pPr>
              <w:spacing w:after="0"/>
              <w:rPr>
                <w:sz w:val="20"/>
                <w:szCs w:val="20"/>
                <w:color w:val="auto"/>
              </w:rPr>
            </w:pPr>
            <w:r>
              <w:rPr>
                <w:rFonts w:ascii="Arial" w:cs="Arial" w:eastAsia="Arial" w:hAnsi="Arial"/>
                <w:sz w:val="3"/>
                <w:szCs w:val="3"/>
                <w:color w:val="FFFFFF"/>
              </w:rPr>
              <w:t>departments’ costs and overhead expenses incurred by Wynn Resorts, Limited during any fi nancial year.</w:t>
            </w:r>
          </w:p>
        </w:tc>
        <w:tc>
          <w:tcPr>
            <w:tcW w:w="4160" w:type="dxa"/>
            <w:vAlign w:val="bottom"/>
          </w:tcPr>
          <w:p>
            <w:pPr>
              <w:spacing w:after="0"/>
              <w:rPr>
                <w:sz w:val="3"/>
                <w:szCs w:val="3"/>
                <w:color w:val="auto"/>
              </w:rPr>
            </w:pP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Similarly, WML and WRM had reciprocal arrangements to allow Wynn Resorts, Limited or its subsidiaries (other than the Group) to have access to the services of any of the Group’s employees provided that</w:t>
            </w:r>
          </w:p>
        </w:tc>
      </w:tr>
      <w:tr>
        <w:trPr>
          <w:trHeight w:val="41"/>
        </w:trPr>
        <w:tc>
          <w:tcPr>
            <w:tcW w:w="11420" w:type="dxa"/>
            <w:vAlign w:val="bottom"/>
            <w:gridSpan w:val="3"/>
          </w:tcPr>
          <w:p>
            <w:pPr>
              <w:ind w:left="60"/>
              <w:spacing w:after="0"/>
              <w:rPr>
                <w:sz w:val="20"/>
                <w:szCs w:val="20"/>
                <w:color w:val="auto"/>
              </w:rPr>
            </w:pPr>
            <w:r>
              <w:rPr>
                <w:rFonts w:ascii="Arial" w:cs="Arial" w:eastAsia="Arial" w:hAnsi="Arial"/>
                <w:sz w:val="3"/>
                <w:szCs w:val="3"/>
                <w:color w:val="FFFFFF"/>
              </w:rPr>
              <w:t>uch services do not materially interfere with such employees’ obligations to, and responsibilities with, the Group. For services provided by the Group’ employees, Wynn Resorts, Limited shall pay for the</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services based on an actual cost (including salaries and benefi ts for such employees during the period when such services are being rendered) and expense on a reimbursement basis.</w:t>
            </w:r>
          </w:p>
        </w:tc>
      </w:tr>
      <w:tr>
        <w:trPr>
          <w:trHeight w:val="0"/>
        </w:trPr>
        <w:tc>
          <w:tcPr>
            <w:tcW w:w="320" w:type="dxa"/>
            <w:vAlign w:val="bottom"/>
          </w:tcPr>
          <w:p>
            <w:pPr>
              <w:spacing w:after="0" w:line="20" w:lineRule="exact"/>
              <w:rPr>
                <w:sz w:val="1"/>
                <w:szCs w:val="1"/>
                <w:color w:val="auto"/>
              </w:rPr>
            </w:pPr>
          </w:p>
        </w:tc>
        <w:tc>
          <w:tcPr>
            <w:tcW w:w="6940" w:type="dxa"/>
            <w:vAlign w:val="bottom"/>
          </w:tcPr>
          <w:p>
            <w:pPr>
              <w:ind w:left="980"/>
              <w:spacing w:after="0" w:line="80" w:lineRule="exact"/>
              <w:rPr>
                <w:sz w:val="20"/>
                <w:szCs w:val="20"/>
                <w:color w:val="auto"/>
              </w:rPr>
            </w:pPr>
            <w:r>
              <w:rPr>
                <w:rFonts w:ascii="Arial" w:cs="Arial" w:eastAsia="Arial" w:hAnsi="Arial"/>
                <w:sz w:val="9"/>
                <w:szCs w:val="9"/>
                <w:color w:val="FFFFFF"/>
              </w:rPr>
              <w:t>allows WRM and its employees to use aircraft assets owned by Wynn Resorts, Limited and its subsidiaries</w:t>
            </w:r>
          </w:p>
        </w:tc>
        <w:tc>
          <w:tcPr>
            <w:tcW w:w="4160" w:type="dxa"/>
            <w:vAlign w:val="bottom"/>
          </w:tcPr>
          <w:p>
            <w:pPr>
              <w:ind w:left="200"/>
              <w:spacing w:after="0" w:line="80" w:lineRule="exact"/>
              <w:rPr>
                <w:sz w:val="20"/>
                <w:szCs w:val="20"/>
                <w:color w:val="auto"/>
              </w:rPr>
            </w:pPr>
            <w:r>
              <w:rPr>
                <w:rFonts w:ascii="Arial" w:cs="Arial" w:eastAsia="Arial" w:hAnsi="Arial"/>
                <w:sz w:val="9"/>
                <w:szCs w:val="9"/>
                <w:color w:val="FFFFFF"/>
              </w:rPr>
              <w:t>than the Group) at hourly rates set by Las Vegas Jet, LLC, a subsidiary of</w:t>
            </w:r>
          </w:p>
        </w:tc>
      </w:tr>
    </w:tbl>
    <w:p>
      <w:pPr>
        <w:spacing w:after="0" w:line="210" w:lineRule="auto"/>
        <w:rPr>
          <w:sz w:val="20"/>
          <w:szCs w:val="20"/>
          <w:color w:val="auto"/>
        </w:rPr>
      </w:pPr>
      <w:r>
        <w:rPr>
          <w:rFonts w:ascii="Arial" w:cs="Arial" w:eastAsia="Arial" w:hAnsi="Arial"/>
          <w:sz w:val="12"/>
          <w:szCs w:val="12"/>
          <w:color w:val="FFFFFF"/>
        </w:rPr>
        <w:t>Wynn Resorts, Limited. Similarly, WRM has reciprocal arrangements to allow Wynn Resorts, Limited or its subsidiaries (other than(otherGroup) to use any aircraft assets that the Group could own in the future.</w:t>
      </w:r>
    </w:p>
    <w:p>
      <w:pPr>
        <w:sectPr>
          <w:pgSz w:w="11900" w:h="16838" w:orient="portrait"/>
          <w:cols w:equalWidth="0" w:num="1">
            <w:col w:w="11420"/>
          </w:cols>
          <w:pgMar w:left="240" w:top="1440" w:right="239"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tcPr>
          <w:p>
            <w:pPr>
              <w:spacing w:after="0"/>
              <w:rPr>
                <w:sz w:val="20"/>
                <w:szCs w:val="20"/>
                <w:color w:val="auto"/>
              </w:rPr>
            </w:pPr>
            <w:r>
              <w:rPr>
                <w:rFonts w:ascii="Arial" w:cs="Arial" w:eastAsia="Arial" w:hAnsi="Arial"/>
                <w:sz w:val="14"/>
                <w:szCs w:val="14"/>
                <w:color w:val="FFFFFF"/>
              </w:rPr>
              <w:t>Annual Report 2012 161</w:t>
            </w:r>
          </w:p>
        </w:tc>
        <w:tc>
          <w:tcPr>
            <w:tcW w:w="6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6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6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3740" w:type="dxa"/>
            <w:vAlign w:val="bottom"/>
            <w:gridSpan w:val="2"/>
          </w:tcPr>
          <w:p>
            <w:pPr>
              <w:spacing w:after="0" w:line="108" w:lineRule="exact"/>
              <w:rPr>
                <w:sz w:val="20"/>
                <w:szCs w:val="20"/>
                <w:color w:val="auto"/>
              </w:rPr>
            </w:pPr>
            <w:r>
              <w:rPr>
                <w:rFonts w:ascii="Arial" w:cs="Arial" w:eastAsia="Arial" w:hAnsi="Arial"/>
                <w:sz w:val="12"/>
                <w:szCs w:val="12"/>
                <w:color w:val="FFFFFF"/>
              </w:rPr>
              <w:t>For the year ended 31 December 2012</w:t>
            </w:r>
          </w:p>
        </w:tc>
        <w:tc>
          <w:tcPr>
            <w:tcW w:w="6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28.</w:t>
            </w:r>
          </w:p>
        </w:tc>
        <w:tc>
          <w:tcPr>
            <w:tcW w:w="3400" w:type="dxa"/>
            <w:vAlign w:val="bottom"/>
          </w:tcPr>
          <w:p>
            <w:pPr>
              <w:ind w:left="120"/>
              <w:spacing w:after="0"/>
              <w:rPr>
                <w:sz w:val="20"/>
                <w:szCs w:val="20"/>
                <w:color w:val="auto"/>
              </w:rPr>
            </w:pPr>
            <w:r>
              <w:rPr>
                <w:rFonts w:ascii="Arial" w:cs="Arial" w:eastAsia="Arial" w:hAnsi="Arial"/>
                <w:sz w:val="3"/>
                <w:szCs w:val="3"/>
                <w:color w:val="FFFFFF"/>
              </w:rPr>
              <w:t>RELATED PARTY DISCLOSURES (CONTINUED)</w:t>
            </w:r>
          </w:p>
        </w:tc>
        <w:tc>
          <w:tcPr>
            <w:tcW w:w="6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740" w:type="dxa"/>
            <w:vAlign w:val="bottom"/>
            <w:gridSpan w:val="2"/>
          </w:tcPr>
          <w:p>
            <w:pPr>
              <w:spacing w:after="0" w:line="54" w:lineRule="exact"/>
              <w:rPr>
                <w:sz w:val="20"/>
                <w:szCs w:val="20"/>
                <w:color w:val="auto"/>
              </w:rPr>
            </w:pPr>
            <w:r>
              <w:rPr>
                <w:rFonts w:ascii="Arial" w:cs="Arial" w:eastAsia="Arial" w:hAnsi="Arial"/>
                <w:sz w:val="6"/>
                <w:szCs w:val="6"/>
                <w:color w:val="FFFFFF"/>
              </w:rPr>
              <w:t>Notes: (continued)</w:t>
            </w:r>
          </w:p>
        </w:tc>
        <w:tc>
          <w:tcPr>
            <w:tcW w:w="6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340" w:type="dxa"/>
            <w:vAlign w:val="bottom"/>
          </w:tcPr>
          <w:p>
            <w:pPr>
              <w:spacing w:after="0"/>
              <w:rPr>
                <w:sz w:val="20"/>
                <w:szCs w:val="20"/>
                <w:color w:val="auto"/>
              </w:rPr>
            </w:pPr>
            <w:r>
              <w:rPr>
                <w:rFonts w:ascii="Arial" w:cs="Arial" w:eastAsia="Arial" w:hAnsi="Arial"/>
                <w:sz w:val="3"/>
                <w:szCs w:val="3"/>
                <w:color w:val="FFFFFF"/>
              </w:rPr>
              <w:t>(iii)</w:t>
            </w:r>
          </w:p>
        </w:tc>
        <w:tc>
          <w:tcPr>
            <w:tcW w:w="3400" w:type="dxa"/>
            <w:vAlign w:val="bottom"/>
          </w:tcPr>
          <w:p>
            <w:pPr>
              <w:ind w:left="620"/>
              <w:spacing w:after="0"/>
              <w:rPr>
                <w:sz w:val="20"/>
                <w:szCs w:val="20"/>
                <w:color w:val="auto"/>
              </w:rPr>
            </w:pPr>
            <w:r>
              <w:rPr>
                <w:rFonts w:ascii="Arial" w:cs="Arial" w:eastAsia="Arial" w:hAnsi="Arial"/>
                <w:sz w:val="3"/>
                <w:szCs w:val="3"/>
                <w:color w:val="FFFFFF"/>
              </w:rPr>
              <w:t>marketing expenses</w:t>
            </w:r>
          </w:p>
        </w:tc>
        <w:tc>
          <w:tcPr>
            <w:tcW w:w="7600" w:type="dxa"/>
            <w:vAlign w:val="bottom"/>
            <w:gridSpan w:val="2"/>
            <w:vMerge w:val="restart"/>
          </w:tcPr>
          <w:p>
            <w:pPr>
              <w:ind w:left="360"/>
              <w:spacing w:after="0" w:line="81" w:lineRule="exact"/>
              <w:rPr>
                <w:sz w:val="20"/>
                <w:szCs w:val="20"/>
                <w:color w:val="auto"/>
              </w:rPr>
            </w:pPr>
            <w:r>
              <w:rPr>
                <w:rFonts w:ascii="Arial" w:cs="Arial" w:eastAsia="Arial" w:hAnsi="Arial"/>
                <w:sz w:val="9"/>
                <w:szCs w:val="9"/>
                <w:color w:val="FFFFFF"/>
              </w:rPr>
              <w:t>promotional, and marketing services as well as a limited number of marketing executives to attract and introduce customers to WRM,</w:t>
            </w:r>
          </w:p>
        </w:tc>
        <w:tc>
          <w:tcPr>
            <w:tcW w:w="0" w:type="dxa"/>
            <w:vAlign w:val="bottom"/>
          </w:tcPr>
          <w:p>
            <w:pPr>
              <w:spacing w:after="0"/>
              <w:rPr>
                <w:sz w:val="1"/>
                <w:szCs w:val="1"/>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WIML,Internationalsubsidiary of Wynn Resorts, Limited, (i) provides</w:t>
            </w:r>
          </w:p>
        </w:tc>
        <w:tc>
          <w:tcPr>
            <w:tcW w:w="76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520" w:type="dxa"/>
            <w:vAlign w:val="bottom"/>
            <w:gridSpan w:val="3"/>
          </w:tcPr>
          <w:p>
            <w:pPr>
              <w:spacing w:after="0"/>
              <w:rPr>
                <w:sz w:val="20"/>
                <w:szCs w:val="20"/>
                <w:color w:val="auto"/>
              </w:rPr>
            </w:pPr>
            <w:r>
              <w:rPr>
                <w:rFonts w:ascii="Arial" w:cs="Arial" w:eastAsia="Arial" w:hAnsi="Arial"/>
                <w:sz w:val="3"/>
                <w:szCs w:val="3"/>
                <w:color w:val="FFFFFF"/>
              </w:rPr>
              <w:t>and (ii) employs certain non-Macau residents based in or to beadministrative,basedMacau (“Foreign Resident Staff”) on the Company’s behalf and seconds the Foreign Resident Staff to the Group.</w:t>
            </w: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These administrative, promotional and marketing services are provided through branch of? ces located   various cities around the world under the direction and supervision provided by WIML. For the services</w:t>
            </w:r>
          </w:p>
        </w:tc>
        <w:tc>
          <w:tcPr>
            <w:tcW w:w="0" w:type="dxa"/>
            <w:vAlign w:val="bottom"/>
          </w:tcPr>
          <w:p>
            <w:pPr>
              <w:spacing w:after="0"/>
              <w:rPr>
                <w:sz w:val="1"/>
                <w:szCs w:val="1"/>
                <w:color w:val="auto"/>
              </w:rPr>
            </w:pPr>
          </w:p>
        </w:tc>
      </w:tr>
      <w:tr>
        <w:trPr>
          <w:trHeight w:val="41"/>
        </w:trPr>
        <w:tc>
          <w:tcPr>
            <w:tcW w:w="10520" w:type="dxa"/>
            <w:vAlign w:val="bottom"/>
            <w:gridSpan w:val="3"/>
          </w:tcPr>
          <w:p>
            <w:pPr>
              <w:spacing w:after="0"/>
              <w:rPr>
                <w:sz w:val="20"/>
                <w:szCs w:val="20"/>
                <w:color w:val="auto"/>
              </w:rPr>
            </w:pPr>
            <w:r>
              <w:rPr>
                <w:rFonts w:ascii="Arial" w:cs="Arial" w:eastAsia="Arial" w:hAnsi="Arial"/>
                <w:sz w:val="3"/>
                <w:szCs w:val="3"/>
                <w:color w:val="FFFFFF"/>
              </w:rPr>
              <w:t>provided under this arrangement, WIML charges a service fee equal to the total costs it incurs in rendering the services plus 5%.</w:t>
            </w: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740" w:type="dxa"/>
            <w:vAlign w:val="bottom"/>
            <w:gridSpan w:val="2"/>
          </w:tcPr>
          <w:p>
            <w:pPr>
              <w:spacing w:after="0"/>
              <w:rPr>
                <w:sz w:val="20"/>
                <w:szCs w:val="20"/>
                <w:color w:val="auto"/>
              </w:rPr>
            </w:pPr>
            <w:r>
              <w:rPr>
                <w:rFonts w:ascii="Arial" w:cs="Arial" w:eastAsia="Arial" w:hAnsi="Arial"/>
                <w:sz w:val="3"/>
                <w:szCs w:val="3"/>
                <w:color w:val="FFFFFF"/>
              </w:rPr>
              <w:t>(iv) Staff secondment payroll charges</w:t>
            </w:r>
          </w:p>
        </w:tc>
        <w:tc>
          <w:tcPr>
            <w:tcW w:w="6780" w:type="dxa"/>
            <w:vAlign w:val="bottom"/>
          </w:tcPr>
          <w:p>
            <w:pPr>
              <w:spacing w:after="0"/>
              <w:rPr>
                <w:sz w:val="3"/>
                <w:szCs w:val="3"/>
                <w:color w:val="auto"/>
              </w:rPr>
            </w:pPr>
          </w:p>
        </w:tc>
        <w:tc>
          <w:tcPr>
            <w:tcW w:w="820" w:type="dxa"/>
            <w:vAlign w:val="bottom"/>
            <w:vMerge w:val="restart"/>
          </w:tcPr>
          <w:p>
            <w:pPr>
              <w:ind w:left="220"/>
              <w:spacing w:after="0"/>
              <w:rPr>
                <w:sz w:val="20"/>
                <w:szCs w:val="20"/>
                <w:color w:val="auto"/>
              </w:rPr>
            </w:pPr>
            <w:r>
              <w:rPr>
                <w:rFonts w:ascii="Arial" w:cs="Arial" w:eastAsia="Arial" w:hAnsi="Arial"/>
                <w:sz w:val="3"/>
                <w:szCs w:val="3"/>
                <w:color w:val="FFFFFF"/>
              </w:rPr>
              <w:t>the</w:t>
            </w:r>
          </w:p>
        </w:tc>
        <w:tc>
          <w:tcPr>
            <w:tcW w:w="0" w:type="dxa"/>
            <w:vAlign w:val="bottom"/>
          </w:tcPr>
          <w:p>
            <w:pPr>
              <w:spacing w:after="0"/>
              <w:rPr>
                <w:sz w:val="1"/>
                <w:szCs w:val="1"/>
                <w:color w:val="auto"/>
              </w:rPr>
            </w:pPr>
          </w:p>
        </w:tc>
      </w:tr>
      <w:tr>
        <w:trPr>
          <w:trHeight w:val="0"/>
        </w:trPr>
        <w:tc>
          <w:tcPr>
            <w:tcW w:w="10520" w:type="dxa"/>
            <w:vAlign w:val="bottom"/>
            <w:gridSpan w:val="3"/>
          </w:tcPr>
          <w:p>
            <w:pPr>
              <w:spacing w:after="0" w:line="80" w:lineRule="exact"/>
              <w:rPr>
                <w:sz w:val="20"/>
                <w:szCs w:val="20"/>
                <w:color w:val="auto"/>
              </w:rPr>
            </w:pPr>
            <w:r>
              <w:rPr>
                <w:rFonts w:ascii="Arial" w:cs="Arial" w:eastAsia="Arial" w:hAnsi="Arial"/>
                <w:sz w:val="9"/>
                <w:szCs w:val="9"/>
                <w:color w:val="FFFFFF"/>
              </w:rPr>
              <w:t>Worldwide Wynn, a subsidiary of Wynn Resorts, Limited, is responsible for supplying management personnel to WRM for pre-determined lengths of time through secondment arrangements.</w:t>
            </w: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80"/>
        <w:spacing w:after="0"/>
        <w:rPr>
          <w:sz w:val="20"/>
          <w:szCs w:val="20"/>
          <w:color w:val="auto"/>
        </w:rPr>
      </w:pPr>
      <w:r>
        <w:rPr>
          <w:rFonts w:ascii="Arial" w:cs="Arial" w:eastAsia="Arial" w:hAnsi="Arial"/>
          <w:sz w:val="5"/>
          <w:szCs w:val="5"/>
          <w:color w:val="FFFFFF"/>
        </w:rPr>
        <w:t>secondment period, employees are expected to devote their efforts and all of their business time and attention to the operations and functions of WRM. The seconded employees live and workDuringMacau for the duration of the secondment periods. Worldwide Wynn was compensated for these services with a service fee equal to its aggregate costs plus 5% to Worldwide Wynn of the seconded employees during the periods of secondment to WRM, including:</w:t>
      </w:r>
    </w:p>
    <w:p>
      <w:pPr>
        <w:ind w:left="80"/>
        <w:spacing w:after="0" w:line="183" w:lineRule="auto"/>
        <w:rPr>
          <w:sz w:val="20"/>
          <w:szCs w:val="20"/>
          <w:color w:val="auto"/>
        </w:rPr>
      </w:pPr>
      <w:r>
        <w:rPr>
          <w:rFonts w:ascii="Arial" w:cs="Arial" w:eastAsia="Arial" w:hAnsi="Arial"/>
          <w:sz w:val="12"/>
          <w:szCs w:val="12"/>
          <w:color w:val="FFFFFF"/>
        </w:rPr>
        <w:t>Wages-regular and overtime;</w:t>
      </w:r>
    </w:p>
    <w:p>
      <w:pPr>
        <w:spacing w:after="0" w:line="1" w:lineRule="exact"/>
        <w:rPr>
          <w:sz w:val="20"/>
          <w:szCs w:val="20"/>
          <w:color w:val="auto"/>
        </w:rPr>
      </w:pPr>
    </w:p>
    <w:p>
      <w:pPr>
        <w:ind w:left="80"/>
        <w:spacing w:after="0"/>
        <w:rPr>
          <w:sz w:val="20"/>
          <w:szCs w:val="20"/>
          <w:color w:val="auto"/>
        </w:rPr>
      </w:pPr>
      <w:r>
        <w:rPr>
          <w:rFonts w:ascii="Arial" w:cs="Arial" w:eastAsia="Arial" w:hAnsi="Arial"/>
          <w:sz w:val="3"/>
          <w:szCs w:val="3"/>
          <w:color w:val="FFFFFF"/>
        </w:rPr>
        <w:t>VacationBonuses andpay commissions;andsickleave;</w:t>
      </w:r>
    </w:p>
    <w:p>
      <w:pPr>
        <w:ind w:left="580"/>
        <w:spacing w:after="0" w:line="194" w:lineRule="auto"/>
        <w:rPr>
          <w:sz w:val="20"/>
          <w:szCs w:val="20"/>
          <w:color w:val="auto"/>
        </w:rPr>
      </w:pPr>
      <w:r>
        <w:rPr>
          <w:rFonts w:ascii="Arial" w:cs="Arial" w:eastAsia="Arial" w:hAnsi="Arial"/>
          <w:sz w:val="5"/>
          <w:szCs w:val="5"/>
          <w:color w:val="FFFFFF"/>
        </w:rPr>
        <w:t>e benefi t plans, including health insurance, life insurance, and other insurance or 401k plans;</w:t>
      </w:r>
    </w:p>
    <w:p>
      <w:pPr>
        <w:ind w:left="940" w:right="5560" w:hanging="921"/>
        <w:spacing w:after="0" w:line="182" w:lineRule="auto"/>
        <w:rPr>
          <w:sz w:val="20"/>
          <w:szCs w:val="20"/>
          <w:color w:val="auto"/>
        </w:rPr>
      </w:pPr>
      <w:r>
        <w:rPr>
          <w:rFonts w:ascii="Arial" w:cs="Arial" w:eastAsia="Arial" w:hAnsi="Arial"/>
          <w:sz w:val="14"/>
          <w:szCs w:val="14"/>
          <w:color w:val="FFFFFF"/>
          <w:vertAlign w:val="subscript"/>
        </w:rPr>
        <w:t>• Employer-paid</w:t>
      </w:r>
      <w:r>
        <w:rPr>
          <w:rFonts w:ascii="Arial" w:cs="Arial" w:eastAsia="Arial" w:hAnsi="Arial"/>
          <w:sz w:val="9"/>
          <w:szCs w:val="9"/>
          <w:color w:val="FFFFFF"/>
        </w:rPr>
        <w:t xml:space="preserve"> federal, state or local taxes or workers’ compensation costs and unemployment taxes; and business expenses and employee international allowances.</w:t>
      </w:r>
    </w:p>
    <w:p>
      <w:pPr>
        <w:sectPr>
          <w:pgSz w:w="11900" w:h="16838" w:orient="portrait"/>
          <w:cols w:equalWidth="0" w:num="1">
            <w:col w:w="11340"/>
          </w:cols>
          <w:pgMar w:left="240" w:top="1440" w:right="319"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gridSpan w:val="2"/>
          </w:tcPr>
          <w:p>
            <w:pPr>
              <w:spacing w:after="0"/>
              <w:rPr>
                <w:sz w:val="20"/>
                <w:szCs w:val="20"/>
                <w:color w:val="auto"/>
              </w:rPr>
            </w:pPr>
            <w:r>
              <w:rPr>
                <w:rFonts w:ascii="Arial" w:cs="Arial" w:eastAsia="Arial" w:hAnsi="Arial"/>
                <w:sz w:val="14"/>
                <w:szCs w:val="14"/>
                <w:color w:val="FFFFFF"/>
              </w:rPr>
              <w:t>162 Wynn Macau, Limited</w:t>
            </w:r>
          </w:p>
        </w:tc>
        <w:tc>
          <w:tcPr>
            <w:tcW w:w="388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388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388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108"/>
        </w:trPr>
        <w:tc>
          <w:tcPr>
            <w:tcW w:w="5180" w:type="dxa"/>
            <w:vAlign w:val="bottom"/>
            <w:gridSpan w:val="2"/>
          </w:tcPr>
          <w:p>
            <w:pPr>
              <w:spacing w:after="0" w:line="108" w:lineRule="exact"/>
              <w:rPr>
                <w:sz w:val="20"/>
                <w:szCs w:val="20"/>
                <w:color w:val="auto"/>
              </w:rPr>
            </w:pPr>
            <w:r>
              <w:rPr>
                <w:rFonts w:ascii="Arial" w:cs="Arial" w:eastAsia="Arial" w:hAnsi="Arial"/>
                <w:sz w:val="12"/>
                <w:szCs w:val="12"/>
                <w:color w:val="FFFFFF"/>
              </w:rPr>
              <w:t>For the year ended 31 December 2012</w:t>
            </w:r>
          </w:p>
        </w:tc>
        <w:tc>
          <w:tcPr>
            <w:tcW w:w="3880" w:type="dxa"/>
            <w:vAlign w:val="bottom"/>
          </w:tcPr>
          <w:p>
            <w:pPr>
              <w:spacing w:after="0"/>
              <w:rPr>
                <w:sz w:val="9"/>
                <w:szCs w:val="9"/>
                <w:color w:val="auto"/>
              </w:rPr>
            </w:pPr>
          </w:p>
        </w:tc>
        <w:tc>
          <w:tcPr>
            <w:tcW w:w="2260" w:type="dxa"/>
            <w:vAlign w:val="bottom"/>
          </w:tcPr>
          <w:p>
            <w:pPr>
              <w:spacing w:after="0"/>
              <w:rPr>
                <w:sz w:val="9"/>
                <w:szCs w:val="9"/>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28.</w:t>
            </w:r>
          </w:p>
        </w:tc>
        <w:tc>
          <w:tcPr>
            <w:tcW w:w="4860" w:type="dxa"/>
            <w:vAlign w:val="bottom"/>
          </w:tcPr>
          <w:p>
            <w:pPr>
              <w:ind w:left="140"/>
              <w:spacing w:after="0"/>
              <w:rPr>
                <w:sz w:val="20"/>
                <w:szCs w:val="20"/>
                <w:color w:val="auto"/>
              </w:rPr>
            </w:pPr>
            <w:r>
              <w:rPr>
                <w:rFonts w:ascii="Arial" w:cs="Arial" w:eastAsia="Arial" w:hAnsi="Arial"/>
                <w:sz w:val="3"/>
                <w:szCs w:val="3"/>
                <w:color w:val="FFFFFF"/>
              </w:rPr>
              <w:t>RELATED PARTY DISCLOSURES (CONTINUED)</w:t>
            </w:r>
          </w:p>
        </w:tc>
        <w:tc>
          <w:tcPr>
            <w:tcW w:w="388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54"/>
        </w:trPr>
        <w:tc>
          <w:tcPr>
            <w:tcW w:w="5180" w:type="dxa"/>
            <w:vAlign w:val="bottom"/>
            <w:gridSpan w:val="2"/>
          </w:tcPr>
          <w:p>
            <w:pPr>
              <w:spacing w:after="0" w:line="54" w:lineRule="exact"/>
              <w:rPr>
                <w:sz w:val="20"/>
                <w:szCs w:val="20"/>
                <w:color w:val="auto"/>
              </w:rPr>
            </w:pPr>
            <w:r>
              <w:rPr>
                <w:rFonts w:ascii="Arial" w:cs="Arial" w:eastAsia="Arial" w:hAnsi="Arial"/>
                <w:sz w:val="6"/>
                <w:szCs w:val="6"/>
                <w:color w:val="FFFFFF"/>
              </w:rPr>
              <w:t>Notes: (continued)</w:t>
            </w:r>
          </w:p>
        </w:tc>
        <w:tc>
          <w:tcPr>
            <w:tcW w:w="3880" w:type="dxa"/>
            <w:vAlign w:val="bottom"/>
          </w:tcPr>
          <w:p>
            <w:pPr>
              <w:spacing w:after="0"/>
              <w:rPr>
                <w:sz w:val="4"/>
                <w:szCs w:val="4"/>
                <w:color w:val="auto"/>
              </w:rPr>
            </w:pPr>
          </w:p>
        </w:tc>
        <w:tc>
          <w:tcPr>
            <w:tcW w:w="2260" w:type="dxa"/>
            <w:vAlign w:val="bottom"/>
          </w:tcPr>
          <w:p>
            <w:pPr>
              <w:spacing w:after="0"/>
              <w:rPr>
                <w:sz w:val="4"/>
                <w:szCs w:val="4"/>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(v)</w:t>
            </w:r>
          </w:p>
        </w:tc>
        <w:tc>
          <w:tcPr>
            <w:tcW w:w="4860" w:type="dxa"/>
            <w:vAlign w:val="bottom"/>
          </w:tcPr>
          <w:p>
            <w:pPr>
              <w:ind w:left="140"/>
              <w:spacing w:after="0"/>
              <w:rPr>
                <w:sz w:val="20"/>
                <w:szCs w:val="20"/>
                <w:color w:val="auto"/>
              </w:rPr>
            </w:pPr>
            <w:r>
              <w:rPr>
                <w:rFonts w:ascii="Arial" w:cs="Arial" w:eastAsia="Arial" w:hAnsi="Arial"/>
                <w:sz w:val="3"/>
                <w:szCs w:val="3"/>
                <w:color w:val="FFFFFF"/>
              </w:rPr>
              <w:t>Design/development payroll</w:t>
            </w:r>
          </w:p>
        </w:tc>
        <w:tc>
          <w:tcPr>
            <w:tcW w:w="388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54"/>
        </w:trPr>
        <w:tc>
          <w:tcPr>
            <w:tcW w:w="11320" w:type="dxa"/>
            <w:vAlign w:val="bottom"/>
            <w:gridSpan w:val="4"/>
          </w:tcPr>
          <w:p>
            <w:pPr>
              <w:spacing w:after="0" w:line="54" w:lineRule="exact"/>
              <w:rPr>
                <w:sz w:val="20"/>
                <w:szCs w:val="20"/>
                <w:color w:val="auto"/>
              </w:rPr>
            </w:pPr>
            <w:r>
              <w:rPr>
                <w:rFonts w:ascii="Arial" w:cs="Arial" w:eastAsia="Arial" w:hAnsi="Arial"/>
                <w:sz w:val="6"/>
                <w:szCs w:val="6"/>
                <w:color w:val="FFFFFF"/>
              </w:rPr>
              <w:t>Wynn Design and Development provides design and development services to the Group in connection with the Group’s project in Cotai. Service fees are charged at the cost incurred by Wynn Design and</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Development to the Group for the services provided.</w:t>
            </w:r>
          </w:p>
        </w:tc>
        <w:tc>
          <w:tcPr>
            <w:tcW w:w="388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The above transactions were carried out on terms mutually agreed between the Group and the related companies. There were no signi? cant charges from the Group to the related companies during the twelve</w:t>
            </w: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months ended 31 December 2012 and 2011. In the opinion of the Directors, the related party transactions were conducted in the ordinary and usual course of the Group’s business.</w:t>
            </w:r>
          </w:p>
        </w:tc>
      </w:tr>
      <w:tr>
        <w:trPr>
          <w:trHeight w:val="41"/>
        </w:trPr>
        <w:tc>
          <w:tcPr>
            <w:tcW w:w="9060" w:type="dxa"/>
            <w:vAlign w:val="bottom"/>
            <w:gridSpan w:val="3"/>
          </w:tcPr>
          <w:p>
            <w:pPr>
              <w:spacing w:after="0"/>
              <w:rPr>
                <w:sz w:val="20"/>
                <w:szCs w:val="20"/>
                <w:color w:val="auto"/>
              </w:rPr>
            </w:pPr>
            <w:r>
              <w:rPr>
                <w:rFonts w:ascii="Arial" w:cs="Arial" w:eastAsia="Arial" w:hAnsi="Arial"/>
                <w:sz w:val="3"/>
                <w:szCs w:val="3"/>
                <w:color w:val="FFFFFF"/>
              </w:rPr>
              <w:t>All such outstanding balances between the Group and the related companies are deemed to be trade in nature.</w:t>
            </w:r>
          </w:p>
        </w:tc>
        <w:tc>
          <w:tcPr>
            <w:tcW w:w="2260" w:type="dxa"/>
            <w:vAlign w:val="bottom"/>
          </w:tcPr>
          <w:p>
            <w:pPr>
              <w:spacing w:after="0"/>
              <w:rPr>
                <w:sz w:val="3"/>
                <w:szCs w:val="3"/>
                <w:color w:val="auto"/>
              </w:rPr>
            </w:pP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Home purchase</w:t>
            </w:r>
          </w:p>
        </w:tc>
        <w:tc>
          <w:tcPr>
            <w:tcW w:w="3880" w:type="dxa"/>
            <w:vAlign w:val="bottom"/>
          </w:tcPr>
          <w:p>
            <w:pPr>
              <w:spacing w:after="0"/>
              <w:rPr>
                <w:sz w:val="3"/>
                <w:szCs w:val="3"/>
                <w:color w:val="auto"/>
              </w:rPr>
            </w:pPr>
          </w:p>
        </w:tc>
        <w:tc>
          <w:tcPr>
            <w:tcW w:w="2260" w:type="dxa"/>
            <w:vAlign w:val="bottom"/>
          </w:tcPr>
          <w:p>
            <w:pPr>
              <w:spacing w:after="0"/>
              <w:rPr>
                <w:sz w:val="3"/>
                <w:szCs w:val="3"/>
                <w:color w:val="auto"/>
              </w:rPr>
            </w:pP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In May 2010, Worldwide Wynn entered into a new employment agreement with Ms. Linda Chen, who is also a director of Wynn Macau, Limited. The term of the new employment agreement is through</w:t>
            </w: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24 February 2020. Under the terms of the new employment agreement, Worldwide Wynn caused Wynn Macau to purchase a house in Macau for use by Ms. Chen and will also provide Ms. Chen with the use of</w:t>
            </w: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an automobile in Macau. Ms. Chen shall have the option to purchase the house and it is exercisable for (a) no consideration at the end of the 10-year term, (b) US$1.00 in the event of termination of Ms. Chen’s</w:t>
            </w:r>
          </w:p>
        </w:tc>
      </w:tr>
      <w:tr>
        <w:trPr>
          <w:trHeight w:val="41"/>
        </w:trPr>
        <w:tc>
          <w:tcPr>
            <w:tcW w:w="5180" w:type="dxa"/>
            <w:vAlign w:val="bottom"/>
            <w:gridSpan w:val="2"/>
          </w:tcPr>
          <w:p>
            <w:pPr>
              <w:spacing w:after="0"/>
              <w:rPr>
                <w:sz w:val="20"/>
                <w:szCs w:val="20"/>
                <w:color w:val="auto"/>
              </w:rPr>
            </w:pPr>
            <w:r>
              <w:rPr>
                <w:rFonts w:ascii="Arial" w:cs="Arial" w:eastAsia="Arial" w:hAnsi="Arial"/>
                <w:sz w:val="3"/>
                <w:szCs w:val="3"/>
                <w:color w:val="FFFFFF"/>
              </w:rPr>
              <w:t>employment without “cause” or termination of Ms. Chen’s employment for “good reason”</w:t>
            </w:r>
          </w:p>
        </w:tc>
        <w:tc>
          <w:tcPr>
            <w:tcW w:w="6140" w:type="dxa"/>
            <w:vAlign w:val="bottom"/>
            <w:gridSpan w:val="2"/>
          </w:tcPr>
          <w:p>
            <w:pPr>
              <w:ind w:left="300"/>
              <w:spacing w:after="0"/>
              <w:rPr>
                <w:sz w:val="20"/>
                <w:szCs w:val="20"/>
                <w:color w:val="auto"/>
              </w:rPr>
            </w:pPr>
            <w:r>
              <w:rPr>
                <w:rFonts w:ascii="Arial" w:cs="Arial" w:eastAsia="Arial" w:hAnsi="Arial"/>
                <w:sz w:val="3"/>
                <w:szCs w:val="3"/>
                <w:color w:val="FFFFFF"/>
              </w:rPr>
              <w:t>a “change of control”, and (c) at a price based on  percentage of the fair market value of the house that is</w:t>
            </w:r>
          </w:p>
        </w:tc>
      </w:tr>
      <w:tr>
        <w:trPr>
          <w:trHeight w:val="41"/>
        </w:trPr>
        <w:tc>
          <w:tcPr>
            <w:tcW w:w="11320" w:type="dxa"/>
            <w:vAlign w:val="bottom"/>
            <w:gridSpan w:val="4"/>
          </w:tcPr>
          <w:p>
            <w:pPr>
              <w:spacing w:after="0"/>
              <w:rPr>
                <w:sz w:val="20"/>
                <w:szCs w:val="20"/>
                <w:color w:val="auto"/>
              </w:rPr>
            </w:pPr>
            <w:r>
              <w:rPr>
                <w:rFonts w:ascii="Arial" w:cs="Arial" w:eastAsia="Arial" w:hAnsi="Arial"/>
                <w:sz w:val="3"/>
                <w:szCs w:val="3"/>
                <w:color w:val="FFFFFF"/>
              </w:rPr>
              <w:t>reduced by ten percent per year during the term of the agreement (the “Discount Percentage”)followingtheevent Ms. Chen terminates the employment agreement due to material breach by Worldwide Wynn. Upon</w:t>
            </w:r>
          </w:p>
        </w:tc>
      </w:tr>
      <w:tr>
        <w:trPr>
          <w:trHeight w:val="0"/>
        </w:trPr>
        <w:tc>
          <w:tcPr>
            <w:tcW w:w="320" w:type="dxa"/>
            <w:vAlign w:val="bottom"/>
          </w:tcPr>
          <w:p>
            <w:pPr>
              <w:spacing w:after="0" w:line="20" w:lineRule="exact"/>
              <w:rPr>
                <w:sz w:val="1"/>
                <w:szCs w:val="1"/>
                <w:color w:val="auto"/>
              </w:rPr>
            </w:pPr>
          </w:p>
        </w:tc>
        <w:tc>
          <w:tcPr>
            <w:tcW w:w="8740" w:type="dxa"/>
            <w:vAlign w:val="bottom"/>
            <w:gridSpan w:val="2"/>
          </w:tcPr>
          <w:p>
            <w:pPr>
              <w:ind w:left="220"/>
              <w:spacing w:after="0" w:line="80" w:lineRule="exact"/>
              <w:rPr>
                <w:sz w:val="20"/>
                <w:szCs w:val="20"/>
                <w:color w:val="auto"/>
              </w:rPr>
            </w:pPr>
            <w:r>
              <w:rPr>
                <w:rFonts w:ascii="Arial" w:cs="Arial" w:eastAsia="Arial" w:hAnsi="Arial"/>
                <w:sz w:val="9"/>
                <w:szCs w:val="9"/>
                <w:color w:val="FFFFFF"/>
              </w:rPr>
              <w:t>’s termination for “cause”, Ms. Chen will be de med to have elected to purchase the Macau house based on the applicable Discount Percentage unless W</w:t>
            </w:r>
          </w:p>
        </w:tc>
        <w:tc>
          <w:tcPr>
            <w:tcW w:w="2260" w:type="dxa"/>
            <w:vAlign w:val="bottom"/>
          </w:tcPr>
          <w:p>
            <w:pPr>
              <w:ind w:left="240"/>
              <w:spacing w:after="0" w:line="80" w:lineRule="exact"/>
              <w:rPr>
                <w:sz w:val="20"/>
                <w:szCs w:val="20"/>
                <w:color w:val="auto"/>
              </w:rPr>
            </w:pPr>
            <w:r>
              <w:rPr>
                <w:rFonts w:ascii="Arial" w:cs="Arial" w:eastAsia="Arial" w:hAnsi="Arial"/>
                <w:sz w:val="9"/>
                <w:szCs w:val="9"/>
                <w:color w:val="FFFFFF"/>
              </w:rPr>
              <w:t>Wynn determines not to require</w:t>
            </w:r>
          </w:p>
        </w:tc>
      </w:tr>
    </w:tbl>
    <w:p>
      <w:pPr>
        <w:spacing w:after="0"/>
        <w:tabs>
          <w:tab w:leader="none" w:pos="2560" w:val="left"/>
          <w:tab w:leader="none" w:pos="8760" w:val="left"/>
        </w:tabs>
        <w:rPr>
          <w:sz w:val="20"/>
          <w:szCs w:val="20"/>
          <w:color w:val="auto"/>
        </w:rPr>
      </w:pPr>
      <w:r>
        <w:rPr>
          <w:rFonts w:ascii="Arial" w:cs="Arial" w:eastAsia="Arial" w:hAnsi="Arial"/>
          <w:sz w:val="3"/>
          <w:szCs w:val="3"/>
          <w:color w:val="FFFFFF"/>
        </w:rPr>
        <w:t>Ms. Chen</w:t>
      </w:r>
      <w:r>
        <w:rPr>
          <w:sz w:val="20"/>
          <w:szCs w:val="20"/>
          <w:color w:val="auto"/>
        </w:rPr>
        <w:tab/>
      </w:r>
      <w:r>
        <w:rPr>
          <w:rFonts w:ascii="Arial" w:cs="Arial" w:eastAsia="Arial" w:hAnsi="Arial"/>
          <w:sz w:val="3"/>
          <w:szCs w:val="3"/>
          <w:color w:val="FFFFFF"/>
        </w:rPr>
        <w:t>employm nt</w:t>
      </w:r>
      <w:r>
        <w:rPr>
          <w:sz w:val="20"/>
          <w:szCs w:val="20"/>
          <w:color w:val="auto"/>
        </w:rPr>
        <w:tab/>
      </w:r>
      <w:r>
        <w:rPr>
          <w:rFonts w:ascii="Arial" w:cs="Arial" w:eastAsia="Arial" w:hAnsi="Arial"/>
          <w:sz w:val="3"/>
          <w:szCs w:val="3"/>
          <w:color w:val="FFFFFF"/>
        </w:rPr>
        <w:t>orldwide</w:t>
      </w:r>
    </w:p>
    <w:p>
      <w:pPr>
        <w:ind w:left="560"/>
        <w:spacing w:after="0" w:line="211" w:lineRule="auto"/>
        <w:tabs>
          <w:tab w:leader="none" w:pos="3000" w:val="left"/>
        </w:tabs>
        <w:rPr>
          <w:sz w:val="20"/>
          <w:szCs w:val="20"/>
          <w:color w:val="auto"/>
        </w:rPr>
      </w:pPr>
      <w:r>
        <w:rPr>
          <w:rFonts w:ascii="Arial" w:cs="Arial" w:eastAsia="Arial" w:hAnsi="Arial"/>
          <w:sz w:val="3"/>
          <w:szCs w:val="3"/>
          <w:color w:val="FFFFFF"/>
        </w:rPr>
        <w:t>to purchase the house. If Ms. Chen’s</w:t>
      </w:r>
      <w:r>
        <w:rPr>
          <w:sz w:val="20"/>
          <w:szCs w:val="20"/>
          <w:color w:val="auto"/>
        </w:rPr>
        <w:tab/>
      </w:r>
      <w:r>
        <w:rPr>
          <w:rFonts w:ascii="Arial" w:cs="Arial" w:eastAsia="Arial" w:hAnsi="Arial"/>
          <w:sz w:val="4"/>
          <w:szCs w:val="4"/>
          <w:color w:val="FFFFFF"/>
          <w:vertAlign w:val="subscript"/>
        </w:rPr>
        <w:t>net carrying</w:t>
      </w:r>
      <w:r>
        <w:rPr>
          <w:rFonts w:ascii="Arial" w:cs="Arial" w:eastAsia="Arial" w:hAnsi="Arial"/>
          <w:sz w:val="4"/>
          <w:szCs w:val="4"/>
          <w:color w:val="FFFFFF"/>
        </w:rPr>
        <w:t>teminates for any other reason before the expiration of the term (e.g., because of her death or disability   due to revocation of the gaming license),</w:t>
      </w:r>
    </w:p>
    <w:p>
      <w:pPr>
        <w:spacing w:after="0"/>
        <w:tabs>
          <w:tab w:leader="none" w:pos="3680" w:val="left"/>
        </w:tabs>
        <w:rPr>
          <w:sz w:val="20"/>
          <w:szCs w:val="20"/>
          <w:color w:val="auto"/>
        </w:rPr>
      </w:pPr>
      <w:r>
        <w:rPr>
          <w:rFonts w:ascii="Arial" w:cs="Arial" w:eastAsia="Arial" w:hAnsi="Arial"/>
          <w:sz w:val="14"/>
          <w:szCs w:val="14"/>
          <w:color w:val="FFFFFF"/>
        </w:rPr>
        <w:t>the option will terminate. As at 31 December 2012, the</w:t>
      </w:r>
      <w:r>
        <w:rPr>
          <w:sz w:val="20"/>
          <w:szCs w:val="20"/>
          <w:color w:val="auto"/>
        </w:rPr>
        <w:tab/>
      </w:r>
      <w:r>
        <w:rPr>
          <w:rFonts w:ascii="Arial" w:cs="Arial" w:eastAsia="Arial" w:hAnsi="Arial"/>
          <w:sz w:val="12"/>
          <w:szCs w:val="12"/>
          <w:color w:val="FFFFFF"/>
        </w:rPr>
        <w:t>amount of the house together with improvements and its land lease right was HK$66.9 million (2011: HK$58.6 million).</w:t>
      </w:r>
    </w:p>
    <w:p>
      <w:pPr>
        <w:sectPr>
          <w:pgSz w:w="11900" w:h="16838" w:orient="portrait"/>
          <w:cols w:equalWidth="0" w:num="1">
            <w:col w:w="11320"/>
          </w:cols>
          <w:pgMar w:left="240" w:top="1440" w:right="339" w:bottom="1440" w:gutter="0" w:footer="0" w:header="0"/>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Arial" w:cs="Arial" w:eastAsia="Arial" w:hAnsi="Arial"/>
                <w:sz w:val="14"/>
                <w:szCs w:val="14"/>
                <w:color w:val="FFFFFF"/>
              </w:rPr>
              <w:t>Annual Report 2012 163</w:t>
            </w:r>
          </w:p>
        </w:tc>
        <w:tc>
          <w:tcPr>
            <w:tcW w:w="1900" w:type="dxa"/>
            <w:vAlign w:val="bottom"/>
          </w:tcPr>
          <w:p>
            <w:pPr>
              <w:spacing w:after="0"/>
              <w:rPr>
                <w:sz w:val="14"/>
                <w:szCs w:val="14"/>
                <w:color w:val="auto"/>
              </w:rPr>
            </w:pPr>
          </w:p>
        </w:tc>
        <w:tc>
          <w:tcPr>
            <w:tcW w:w="6840" w:type="dxa"/>
            <w:vAlign w:val="bottom"/>
          </w:tcPr>
          <w:p>
            <w:pPr>
              <w:spacing w:after="0"/>
              <w:rPr>
                <w:sz w:val="14"/>
                <w:szCs w:val="14"/>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1900" w:type="dxa"/>
            <w:vAlign w:val="bottom"/>
          </w:tcPr>
          <w:p>
            <w:pPr>
              <w:spacing w:after="0"/>
              <w:rPr>
                <w:sz w:val="3"/>
                <w:szCs w:val="3"/>
                <w:color w:val="auto"/>
              </w:rPr>
            </w:pPr>
          </w:p>
        </w:tc>
        <w:tc>
          <w:tcPr>
            <w:tcW w:w="6840" w:type="dxa"/>
            <w:vAlign w:val="bottom"/>
          </w:tcPr>
          <w:p>
            <w:pPr>
              <w:spacing w:after="0"/>
              <w:rPr>
                <w:sz w:val="3"/>
                <w:szCs w:val="3"/>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1900" w:type="dxa"/>
            <w:vAlign w:val="bottom"/>
          </w:tcPr>
          <w:p>
            <w:pPr>
              <w:spacing w:after="0"/>
              <w:rPr>
                <w:sz w:val="3"/>
                <w:szCs w:val="3"/>
                <w:color w:val="auto"/>
              </w:rPr>
            </w:pPr>
          </w:p>
        </w:tc>
        <w:tc>
          <w:tcPr>
            <w:tcW w:w="6840" w:type="dxa"/>
            <w:vAlign w:val="bottom"/>
          </w:tcPr>
          <w:p>
            <w:pPr>
              <w:spacing w:after="0"/>
              <w:rPr>
                <w:sz w:val="3"/>
                <w:szCs w:val="3"/>
                <w:color w:val="auto"/>
              </w:rPr>
            </w:pPr>
          </w:p>
        </w:tc>
      </w:tr>
      <w:tr>
        <w:trPr>
          <w:trHeight w:val="108"/>
        </w:trPr>
        <w:tc>
          <w:tcPr>
            <w:tcW w:w="2640" w:type="dxa"/>
            <w:vAlign w:val="bottom"/>
            <w:gridSpan w:val="2"/>
          </w:tcPr>
          <w:p>
            <w:pPr>
              <w:spacing w:after="0" w:line="108" w:lineRule="exact"/>
              <w:rPr>
                <w:sz w:val="20"/>
                <w:szCs w:val="20"/>
                <w:color w:val="auto"/>
              </w:rPr>
            </w:pPr>
            <w:r>
              <w:rPr>
                <w:rFonts w:ascii="Arial" w:cs="Arial" w:eastAsia="Arial" w:hAnsi="Arial"/>
                <w:sz w:val="12"/>
                <w:szCs w:val="12"/>
                <w:color w:val="FFFFFF"/>
              </w:rPr>
              <w:t>For the year ended 31 December 2012</w:t>
            </w:r>
          </w:p>
        </w:tc>
        <w:tc>
          <w:tcPr>
            <w:tcW w:w="1900" w:type="dxa"/>
            <w:vAlign w:val="bottom"/>
          </w:tcPr>
          <w:p>
            <w:pPr>
              <w:spacing w:after="0"/>
              <w:rPr>
                <w:sz w:val="9"/>
                <w:szCs w:val="9"/>
                <w:color w:val="auto"/>
              </w:rPr>
            </w:pPr>
          </w:p>
        </w:tc>
        <w:tc>
          <w:tcPr>
            <w:tcW w:w="6840" w:type="dxa"/>
            <w:vAlign w:val="bottom"/>
          </w:tcPr>
          <w:p>
            <w:pPr>
              <w:spacing w:after="0"/>
              <w:rPr>
                <w:sz w:val="9"/>
                <w:szCs w:val="9"/>
                <w:color w:val="auto"/>
              </w:rPr>
            </w:pP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28.</w:t>
            </w:r>
          </w:p>
        </w:tc>
        <w:tc>
          <w:tcPr>
            <w:tcW w:w="4220" w:type="dxa"/>
            <w:vAlign w:val="bottom"/>
            <w:gridSpan w:val="2"/>
          </w:tcPr>
          <w:p>
            <w:pPr>
              <w:ind w:left="140"/>
              <w:spacing w:after="0"/>
              <w:rPr>
                <w:sz w:val="20"/>
                <w:szCs w:val="20"/>
                <w:color w:val="auto"/>
              </w:rPr>
            </w:pPr>
            <w:r>
              <w:rPr>
                <w:rFonts w:ascii="Arial" w:cs="Arial" w:eastAsia="Arial" w:hAnsi="Arial"/>
                <w:sz w:val="3"/>
                <w:szCs w:val="3"/>
                <w:color w:val="FFFFFF"/>
              </w:rPr>
              <w:t>RELATED PARTY DISCLOSURES (CONTINUED)</w:t>
            </w:r>
          </w:p>
        </w:tc>
        <w:tc>
          <w:tcPr>
            <w:tcW w:w="6840" w:type="dxa"/>
            <w:vAlign w:val="bottom"/>
          </w:tcPr>
          <w:p>
            <w:pPr>
              <w:spacing w:after="0"/>
              <w:rPr>
                <w:sz w:val="3"/>
                <w:szCs w:val="3"/>
                <w:color w:val="auto"/>
              </w:rPr>
            </w:pPr>
          </w:p>
        </w:tc>
      </w:tr>
      <w:tr>
        <w:trPr>
          <w:trHeight w:val="54"/>
        </w:trPr>
        <w:tc>
          <w:tcPr>
            <w:tcW w:w="4540" w:type="dxa"/>
            <w:vAlign w:val="bottom"/>
            <w:gridSpan w:val="3"/>
          </w:tcPr>
          <w:p>
            <w:pPr>
              <w:spacing w:after="0" w:line="54" w:lineRule="exact"/>
              <w:rPr>
                <w:sz w:val="20"/>
                <w:szCs w:val="20"/>
                <w:color w:val="auto"/>
              </w:rPr>
            </w:pPr>
            <w:r>
              <w:rPr>
                <w:rFonts w:ascii="Arial" w:cs="Arial" w:eastAsia="Arial" w:hAnsi="Arial"/>
                <w:sz w:val="6"/>
                <w:szCs w:val="6"/>
                <w:color w:val="FFFFFF"/>
              </w:rPr>
              <w:t>Compensation of senior/key management personnel of the Group</w:t>
            </w:r>
          </w:p>
        </w:tc>
        <w:tc>
          <w:tcPr>
            <w:tcW w:w="6840" w:type="dxa"/>
            <w:vAlign w:val="bottom"/>
          </w:tcPr>
          <w:p>
            <w:pPr>
              <w:spacing w:after="0"/>
              <w:rPr>
                <w:sz w:val="4"/>
                <w:szCs w:val="4"/>
                <w:color w:val="auto"/>
              </w:rPr>
            </w:pP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Group For the year ended</w:t>
            </w:r>
          </w:p>
        </w:tc>
        <w:tc>
          <w:tcPr>
            <w:tcW w:w="1900" w:type="dxa"/>
            <w:vAlign w:val="bottom"/>
          </w:tcPr>
          <w:p>
            <w:pPr>
              <w:spacing w:after="0"/>
              <w:rPr>
                <w:sz w:val="3"/>
                <w:szCs w:val="3"/>
                <w:color w:val="auto"/>
              </w:rPr>
            </w:pPr>
          </w:p>
        </w:tc>
        <w:tc>
          <w:tcPr>
            <w:tcW w:w="6840" w:type="dxa"/>
            <w:vAlign w:val="bottom"/>
          </w:tcPr>
          <w:p>
            <w:pPr>
              <w:spacing w:after="0"/>
              <w:rPr>
                <w:sz w:val="3"/>
                <w:szCs w:val="3"/>
                <w:color w:val="auto"/>
              </w:rPr>
            </w:pPr>
          </w:p>
        </w:tc>
      </w:tr>
      <w:tr>
        <w:trPr>
          <w:trHeight w:val="81"/>
        </w:trPr>
        <w:tc>
          <w:tcPr>
            <w:tcW w:w="2640" w:type="dxa"/>
            <w:vAlign w:val="bottom"/>
            <w:gridSpan w:val="2"/>
          </w:tcPr>
          <w:p>
            <w:pPr>
              <w:spacing w:after="0" w:line="81" w:lineRule="exact"/>
              <w:rPr>
                <w:sz w:val="20"/>
                <w:szCs w:val="20"/>
                <w:color w:val="auto"/>
              </w:rPr>
            </w:pPr>
            <w:r>
              <w:rPr>
                <w:rFonts w:ascii="Arial" w:cs="Arial" w:eastAsia="Arial" w:hAnsi="Arial"/>
                <w:sz w:val="9"/>
                <w:szCs w:val="9"/>
                <w:color w:val="FFFFFF"/>
              </w:rPr>
              <w:t>31 December</w:t>
            </w:r>
          </w:p>
        </w:tc>
        <w:tc>
          <w:tcPr>
            <w:tcW w:w="1900" w:type="dxa"/>
            <w:vAlign w:val="bottom"/>
          </w:tcPr>
          <w:p>
            <w:pPr>
              <w:spacing w:after="0"/>
              <w:rPr>
                <w:sz w:val="7"/>
                <w:szCs w:val="7"/>
                <w:color w:val="auto"/>
              </w:rPr>
            </w:pPr>
          </w:p>
        </w:tc>
        <w:tc>
          <w:tcPr>
            <w:tcW w:w="6840" w:type="dxa"/>
            <w:vAlign w:val="bottom"/>
          </w:tcPr>
          <w:p>
            <w:pPr>
              <w:ind w:left="200"/>
              <w:spacing w:after="0" w:line="81" w:lineRule="exact"/>
              <w:rPr>
                <w:sz w:val="20"/>
                <w:szCs w:val="20"/>
                <w:color w:val="auto"/>
              </w:rPr>
            </w:pPr>
            <w:r>
              <w:rPr>
                <w:rFonts w:ascii="Arial" w:cs="Arial" w:eastAsia="Arial" w:hAnsi="Arial"/>
                <w:sz w:val="9"/>
                <w:szCs w:val="9"/>
                <w:color w:val="FFFFFF"/>
              </w:rPr>
              <w:t>2012 201  HK$ HK$ (in thousands)</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Salaries, bonuses, allowances and bene? ts in kind 134,244 111,241 Share-based payments 17,723 46,078 Retirement bene? ts 1,033 537</w:t>
            </w:r>
          </w:p>
        </w:tc>
      </w:tr>
      <w:tr>
        <w:trPr>
          <w:trHeight w:val="41"/>
        </w:trPr>
        <w:tc>
          <w:tcPr>
            <w:tcW w:w="4540" w:type="dxa"/>
            <w:vAlign w:val="bottom"/>
            <w:gridSpan w:val="3"/>
          </w:tcPr>
          <w:p>
            <w:pPr>
              <w:spacing w:after="0"/>
              <w:rPr>
                <w:sz w:val="20"/>
                <w:szCs w:val="20"/>
                <w:color w:val="auto"/>
              </w:rPr>
            </w:pPr>
            <w:r>
              <w:rPr>
                <w:rFonts w:ascii="Arial" w:cs="Arial" w:eastAsia="Arial" w:hAnsi="Arial"/>
                <w:sz w:val="3"/>
                <w:szCs w:val="3"/>
                <w:color w:val="FFFFFF"/>
              </w:rPr>
              <w:t>Total compensation paid   senior/ key management personnel 153,000 157,856</w:t>
            </w:r>
          </w:p>
        </w:tc>
        <w:tc>
          <w:tcPr>
            <w:tcW w:w="6840" w:type="dxa"/>
            <w:vAlign w:val="bottom"/>
          </w:tcPr>
          <w:p>
            <w:pPr>
              <w:spacing w:after="0"/>
              <w:rPr>
                <w:sz w:val="3"/>
                <w:szCs w:val="3"/>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Further details of Directors’ emoluments are included in note 26 to the fi nancial statements.</w:t>
            </w:r>
          </w:p>
        </w:tc>
      </w:tr>
      <w:tr>
        <w:trPr>
          <w:trHeight w:val="41"/>
        </w:trPr>
        <w:tc>
          <w:tcPr>
            <w:tcW w:w="320" w:type="dxa"/>
            <w:vAlign w:val="bottom"/>
          </w:tcPr>
          <w:p>
            <w:pPr>
              <w:spacing w:after="0"/>
              <w:rPr>
                <w:sz w:val="20"/>
                <w:szCs w:val="20"/>
                <w:color w:val="auto"/>
              </w:rPr>
            </w:pPr>
            <w:r>
              <w:rPr>
                <w:rFonts w:ascii="Arial" w:cs="Arial" w:eastAsia="Arial" w:hAnsi="Arial"/>
                <w:sz w:val="3"/>
                <w:szCs w:val="3"/>
                <w:color w:val="FFFFFF"/>
              </w:rPr>
              <w:t>29.</w:t>
            </w:r>
          </w:p>
        </w:tc>
        <w:tc>
          <w:tcPr>
            <w:tcW w:w="4220" w:type="dxa"/>
            <w:vAlign w:val="bottom"/>
            <w:gridSpan w:val="2"/>
          </w:tcPr>
          <w:p>
            <w:pPr>
              <w:ind w:left="140"/>
              <w:spacing w:after="0"/>
              <w:rPr>
                <w:sz w:val="20"/>
                <w:szCs w:val="20"/>
                <w:color w:val="auto"/>
              </w:rPr>
            </w:pPr>
            <w:r>
              <w:rPr>
                <w:rFonts w:ascii="Arial" w:cs="Arial" w:eastAsia="Arial" w:hAnsi="Arial"/>
                <w:sz w:val="3"/>
                <w:szCs w:val="3"/>
                <w:color w:val="FFFFFF"/>
              </w:rPr>
              <w:t>FINANCIAL RISK MANAGEMENT OBJECTIVES AND POLICIES</w:t>
            </w:r>
          </w:p>
        </w:tc>
        <w:tc>
          <w:tcPr>
            <w:tcW w:w="6840" w:type="dxa"/>
            <w:vAlign w:val="bottom"/>
          </w:tcPr>
          <w:p>
            <w:pPr>
              <w:spacing w:after="0"/>
              <w:rPr>
                <w:sz w:val="3"/>
                <w:szCs w:val="3"/>
                <w:color w:val="auto"/>
              </w:rPr>
            </w:pPr>
          </w:p>
        </w:tc>
      </w:tr>
      <w:tr>
        <w:trPr>
          <w:trHeight w:val="54"/>
        </w:trPr>
        <w:tc>
          <w:tcPr>
            <w:tcW w:w="11380" w:type="dxa"/>
            <w:vAlign w:val="bottom"/>
            <w:gridSpan w:val="4"/>
          </w:tcPr>
          <w:p>
            <w:pPr>
              <w:spacing w:after="0" w:line="54" w:lineRule="exact"/>
              <w:rPr>
                <w:sz w:val="20"/>
                <w:szCs w:val="20"/>
                <w:color w:val="auto"/>
              </w:rPr>
            </w:pPr>
            <w:r>
              <w:rPr>
                <w:rFonts w:ascii="Arial" w:cs="Arial" w:eastAsia="Arial" w:hAnsi="Arial"/>
                <w:sz w:val="6"/>
                <w:szCs w:val="6"/>
                <w:color w:val="FFFFFF"/>
              </w:rPr>
              <w:t>The Group’s principal fi nancial liabilities, other than derivatives, comprise bank loans, accounts payable and other payables. The main purpose of these ? nancial liabilities is to fi nance the Group’s construction</w:t>
            </w: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activities and its operations. The Group has various fi nancial assets such as trade receivables and cash and deposits, which arise directly from its operations.</w:t>
            </w:r>
          </w:p>
        </w:tc>
      </w:tr>
      <w:tr>
        <w:trPr>
          <w:trHeight w:val="41"/>
        </w:trPr>
        <w:tc>
          <w:tcPr>
            <w:tcW w:w="2640" w:type="dxa"/>
            <w:vAlign w:val="bottom"/>
            <w:gridSpan w:val="2"/>
          </w:tcPr>
          <w:p>
            <w:pPr>
              <w:spacing w:after="0"/>
              <w:rPr>
                <w:sz w:val="20"/>
                <w:szCs w:val="20"/>
                <w:color w:val="auto"/>
              </w:rPr>
            </w:pPr>
            <w:r>
              <w:rPr>
                <w:rFonts w:ascii="Arial" w:cs="Arial" w:eastAsia="Arial" w:hAnsi="Arial"/>
                <w:sz w:val="3"/>
                <w:szCs w:val="3"/>
                <w:color w:val="FFFFFF"/>
              </w:rPr>
              <w:t>The Group also enters into derivative</w:t>
            </w:r>
          </w:p>
        </w:tc>
        <w:tc>
          <w:tcPr>
            <w:tcW w:w="8740" w:type="dxa"/>
            <w:vAlign w:val="bottom"/>
            <w:gridSpan w:val="2"/>
          </w:tcPr>
          <w:p>
            <w:pPr>
              <w:ind w:left="120"/>
              <w:spacing w:after="0"/>
              <w:rPr>
                <w:sz w:val="20"/>
                <w:szCs w:val="20"/>
                <w:color w:val="auto"/>
              </w:rPr>
            </w:pPr>
            <w:r>
              <w:rPr>
                <w:rFonts w:ascii="Arial" w:cs="Arial" w:eastAsia="Arial" w:hAnsi="Arial"/>
                <w:sz w:val="3"/>
                <w:szCs w:val="3"/>
                <w:color w:val="FFFFFF"/>
              </w:rPr>
              <w:t>primarily interest rate swaps contracts. The purpose is to manage the interest rate risks arising from the Group’s operations and its sources of fi nance. It is, and</w:t>
            </w:r>
          </w:p>
        </w:tc>
      </w:tr>
      <w:tr>
        <w:trPr>
          <w:trHeight w:val="20"/>
        </w:trPr>
        <w:tc>
          <w:tcPr>
            <w:tcW w:w="11380" w:type="dxa"/>
            <w:vAlign w:val="bottom"/>
            <w:gridSpan w:val="4"/>
          </w:tcPr>
          <w:p>
            <w:pPr>
              <w:spacing w:after="0" w:line="21" w:lineRule="exact"/>
              <w:rPr>
                <w:sz w:val="20"/>
                <w:szCs w:val="20"/>
                <w:color w:val="auto"/>
              </w:rPr>
            </w:pPr>
            <w:r>
              <w:rPr>
                <w:rFonts w:ascii="Arial" w:cs="Arial" w:eastAsia="Arial" w:hAnsi="Arial"/>
                <w:sz w:val="2"/>
                <w:szCs w:val="2"/>
                <w:color w:val="FFFFFF"/>
              </w:rPr>
              <w:t>The main risks arising from the Group’transactions,financial instruments are cash ? ow interest rate risk, foreign currency risk, credit risk and liquidity risks. The Board of Directors reviews and agrees policies for</w:t>
            </w:r>
          </w:p>
        </w:tc>
      </w:tr>
      <w:tr>
        <w:trPr>
          <w:trHeight w:val="20"/>
        </w:trPr>
        <w:tc>
          <w:tcPr>
            <w:tcW w:w="2640" w:type="dxa"/>
            <w:vAlign w:val="bottom"/>
            <w:gridSpan w:val="2"/>
          </w:tcPr>
          <w:p>
            <w:pPr>
              <w:spacing w:after="0" w:line="21" w:lineRule="exact"/>
              <w:rPr>
                <w:sz w:val="20"/>
                <w:szCs w:val="20"/>
                <w:color w:val="auto"/>
              </w:rPr>
            </w:pPr>
            <w:r>
              <w:rPr>
                <w:rFonts w:ascii="Arial" w:cs="Arial" w:eastAsia="Arial" w:hAnsi="Arial"/>
                <w:sz w:val="2"/>
                <w:szCs w:val="2"/>
                <w:color w:val="FFFFFF"/>
              </w:rPr>
              <w:t>has been throughout 2012 and 2011, the Group’</w:t>
            </w:r>
          </w:p>
        </w:tc>
        <w:tc>
          <w:tcPr>
            <w:tcW w:w="8740" w:type="dxa"/>
            <w:vAlign w:val="bottom"/>
            <w:gridSpan w:val="2"/>
          </w:tcPr>
          <w:p>
            <w:pPr>
              <w:ind w:left="20"/>
              <w:spacing w:after="0" w:line="21" w:lineRule="exact"/>
              <w:rPr>
                <w:sz w:val="20"/>
                <w:szCs w:val="20"/>
                <w:color w:val="auto"/>
              </w:rPr>
            </w:pPr>
            <w:r>
              <w:rPr>
                <w:rFonts w:ascii="Arial" w:cs="Arial" w:eastAsia="Arial" w:hAnsi="Arial"/>
                <w:sz w:val="2"/>
                <w:szCs w:val="2"/>
                <w:color w:val="FFFFFF"/>
              </w:rPr>
              <w:t>policy that no trading in derivatives should be undertaken.</w:t>
            </w:r>
          </w:p>
        </w:tc>
      </w:tr>
      <w:tr>
        <w:trPr>
          <w:trHeight w:val="172"/>
        </w:trPr>
        <w:tc>
          <w:tcPr>
            <w:tcW w:w="4540" w:type="dxa"/>
            <w:vAlign w:val="bottom"/>
            <w:gridSpan w:val="3"/>
          </w:tcPr>
          <w:p>
            <w:pPr>
              <w:spacing w:after="0"/>
              <w:rPr>
                <w:sz w:val="20"/>
                <w:szCs w:val="20"/>
                <w:color w:val="auto"/>
              </w:rPr>
            </w:pPr>
            <w:r>
              <w:rPr>
                <w:rFonts w:ascii="Arial" w:cs="Arial" w:eastAsia="Arial" w:hAnsi="Arial"/>
                <w:sz w:val="14"/>
                <w:szCs w:val="14"/>
                <w:color w:val="FFFFFF"/>
              </w:rPr>
              <w:t>managing each of these risks, which are summarized below.</w:t>
            </w:r>
          </w:p>
        </w:tc>
        <w:tc>
          <w:tcPr>
            <w:tcW w:w="6840" w:type="dxa"/>
            <w:vAlign w:val="bottom"/>
          </w:tcPr>
          <w:p>
            <w:pPr>
              <w:spacing w:after="0"/>
              <w:rPr>
                <w:sz w:val="14"/>
                <w:szCs w:val="14"/>
                <w:color w:val="auto"/>
              </w:rPr>
            </w:pPr>
          </w:p>
        </w:tc>
      </w:tr>
    </w:tbl>
    <w:p>
      <w:pPr>
        <w:sectPr>
          <w:pgSz w:w="11900" w:h="16838" w:orient="portrait"/>
          <w:cols w:equalWidth="0" w:num="1">
            <w:col w:w="11380"/>
          </w:cols>
          <w:pgMar w:left="240" w:top="1440" w:right="279" w:bottom="1440" w:gutter="0" w:footer="0" w:header="0"/>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gridSpan w:val="2"/>
          </w:tcPr>
          <w:p>
            <w:pPr>
              <w:spacing w:after="0"/>
              <w:rPr>
                <w:sz w:val="20"/>
                <w:szCs w:val="20"/>
                <w:color w:val="auto"/>
              </w:rPr>
            </w:pPr>
            <w:r>
              <w:rPr>
                <w:rFonts w:ascii="Arial" w:cs="Arial" w:eastAsia="Arial" w:hAnsi="Arial"/>
                <w:sz w:val="14"/>
                <w:szCs w:val="14"/>
                <w:color w:val="FFFFFF"/>
              </w:rPr>
              <w:t>164 Wynn Macau, Limited</w:t>
            </w:r>
          </w:p>
        </w:tc>
        <w:tc>
          <w:tcPr>
            <w:tcW w:w="38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Financial Statements</w:t>
            </w:r>
          </w:p>
        </w:tc>
        <w:tc>
          <w:tcPr>
            <w:tcW w:w="38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Notes to Financial Statements</w:t>
            </w:r>
          </w:p>
        </w:tc>
        <w:tc>
          <w:tcPr>
            <w:tcW w:w="38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5400" w:type="dxa"/>
            <w:vAlign w:val="bottom"/>
            <w:gridSpan w:val="2"/>
          </w:tcPr>
          <w:p>
            <w:pPr>
              <w:spacing w:after="0" w:line="108" w:lineRule="exact"/>
              <w:rPr>
                <w:sz w:val="20"/>
                <w:szCs w:val="20"/>
                <w:color w:val="auto"/>
              </w:rPr>
            </w:pPr>
            <w:r>
              <w:rPr>
                <w:rFonts w:ascii="Arial" w:cs="Arial" w:eastAsia="Arial" w:hAnsi="Arial"/>
                <w:sz w:val="12"/>
                <w:szCs w:val="12"/>
                <w:color w:val="FFFFFF"/>
              </w:rPr>
              <w:t>For the year ended 31 December 2012</w:t>
            </w:r>
          </w:p>
        </w:tc>
        <w:tc>
          <w:tcPr>
            <w:tcW w:w="3860" w:type="dxa"/>
            <w:vAlign w:val="bottom"/>
          </w:tcPr>
          <w:p>
            <w:pPr>
              <w:spacing w:after="0"/>
              <w:rPr>
                <w:sz w:val="9"/>
                <w:szCs w:val="9"/>
                <w:color w:val="auto"/>
              </w:rPr>
            </w:pPr>
          </w:p>
        </w:tc>
        <w:tc>
          <w:tcPr>
            <w:tcW w:w="2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20"/>
                <w:szCs w:val="20"/>
                <w:color w:val="auto"/>
              </w:rPr>
            </w:pPr>
            <w:r>
              <w:rPr>
                <w:rFonts w:ascii="Arial" w:cs="Arial" w:eastAsia="Arial" w:hAnsi="Arial"/>
                <w:sz w:val="3"/>
                <w:szCs w:val="3"/>
                <w:color w:val="FFFFFF"/>
              </w:rPr>
              <w:t>29.</w:t>
            </w:r>
          </w:p>
        </w:tc>
        <w:tc>
          <w:tcPr>
            <w:tcW w:w="5200" w:type="dxa"/>
            <w:vAlign w:val="bottom"/>
          </w:tcPr>
          <w:p>
            <w:pPr>
              <w:ind w:left="260"/>
              <w:spacing w:after="0"/>
              <w:rPr>
                <w:sz w:val="20"/>
                <w:szCs w:val="20"/>
                <w:color w:val="auto"/>
              </w:rPr>
            </w:pPr>
            <w:r>
              <w:rPr>
                <w:rFonts w:ascii="Arial" w:cs="Arial" w:eastAsia="Arial" w:hAnsi="Arial"/>
                <w:sz w:val="3"/>
                <w:szCs w:val="3"/>
                <w:color w:val="FFFFFF"/>
              </w:rPr>
              <w:t>FINANCIAL RISK MANAGEMENT OBJECTIVES AND POLICIES (CONTINUED)</w:t>
            </w:r>
          </w:p>
        </w:tc>
        <w:tc>
          <w:tcPr>
            <w:tcW w:w="3860" w:type="dxa"/>
            <w:vAlign w:val="bottom"/>
          </w:tcPr>
          <w:p>
            <w:pPr>
              <w:spacing w:after="0"/>
              <w:rPr>
                <w:sz w:val="3"/>
                <w:szCs w:val="3"/>
                <w:color w:val="auto"/>
              </w:rPr>
            </w:pP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line="54" w:lineRule="exact"/>
              <w:rPr>
                <w:sz w:val="20"/>
                <w:szCs w:val="20"/>
                <w:color w:val="auto"/>
              </w:rPr>
            </w:pPr>
            <w:r>
              <w:rPr>
                <w:rFonts w:ascii="Arial" w:cs="Arial" w:eastAsia="Arial" w:hAnsi="Arial"/>
                <w:sz w:val="6"/>
                <w:szCs w:val="6"/>
                <w:color w:val="FFFFFF"/>
              </w:rPr>
              <w:t>Int</w:t>
            </w:r>
          </w:p>
        </w:tc>
        <w:tc>
          <w:tcPr>
            <w:tcW w:w="5200" w:type="dxa"/>
            <w:vAlign w:val="bottom"/>
          </w:tcPr>
          <w:p>
            <w:pPr>
              <w:ind w:left="20"/>
              <w:spacing w:after="0" w:line="54" w:lineRule="exact"/>
              <w:rPr>
                <w:sz w:val="20"/>
                <w:szCs w:val="20"/>
                <w:color w:val="auto"/>
              </w:rPr>
            </w:pPr>
            <w:r>
              <w:rPr>
                <w:rFonts w:ascii="Arial" w:cs="Arial" w:eastAsia="Arial" w:hAnsi="Arial"/>
                <w:sz w:val="6"/>
                <w:szCs w:val="6"/>
                <w:color w:val="FFFFFF"/>
              </w:rPr>
              <w:t>rest rate risk</w:t>
            </w:r>
          </w:p>
        </w:tc>
        <w:tc>
          <w:tcPr>
            <w:tcW w:w="38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The Group’ primary exposure is changes in market interest rates associated with its bank loans that bear interest based   variable rates. The Group attempts to manage interest rate risk through interest rate</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swap arrangements. These risk management strategies may not always have the desired effect, and interest rate fl uctuations could have a negative impact on the results of operations.</w:t>
            </w: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Interest rate sensitivity</w:t>
            </w:r>
          </w:p>
        </w:tc>
        <w:tc>
          <w:tcPr>
            <w:tcW w:w="6000" w:type="dxa"/>
            <w:vAlign w:val="bottom"/>
            <w:gridSpan w:val="2"/>
            <w:vMerge w:val="restart"/>
          </w:tcPr>
          <w:p>
            <w:pPr>
              <w:ind w:left="140"/>
              <w:spacing w:after="0" w:line="81" w:lineRule="exact"/>
              <w:rPr>
                <w:sz w:val="20"/>
                <w:szCs w:val="20"/>
                <w:color w:val="auto"/>
              </w:rPr>
            </w:pPr>
            <w:r>
              <w:rPr>
                <w:rFonts w:ascii="Arial" w:cs="Arial" w:eastAsia="Arial" w:hAnsi="Arial"/>
                <w:sz w:val="9"/>
                <w:szCs w:val="9"/>
                <w:color w:val="FFFFFF"/>
              </w:rPr>
              <w:t>borrowings based on LIBOR or HIBOR plus a margin. However, the Group has entered into interest rate</w:t>
            </w: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As at 31 December 2012 and 2011, all of the interest-bearing loans and borrowings were variable</w:t>
            </w:r>
          </w:p>
        </w:tc>
        <w:tc>
          <w:tcPr>
            <w:tcW w:w="60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swaps that effectively ? x the interest rate for approximately 100% of the interest-bearing loans as rate31 December 2012 (2011: 48%). Based on borrowings at 31 December 2012, an assumed 1% change in the</w:t>
            </w:r>
          </w:p>
        </w:tc>
        <w:tc>
          <w:tcPr>
            <w:tcW w:w="0" w:type="dxa"/>
            <w:vAlign w:val="bottom"/>
          </w:tcPr>
          <w:p>
            <w:pPr>
              <w:spacing w:after="0"/>
              <w:rPr>
                <w:sz w:val="1"/>
                <w:szCs w:val="1"/>
                <w:color w:val="auto"/>
              </w:rPr>
            </w:pPr>
          </w:p>
        </w:tc>
      </w:tr>
      <w:tr>
        <w:trPr>
          <w:trHeight w:val="41"/>
        </w:trPr>
        <w:tc>
          <w:tcPr>
            <w:tcW w:w="9260" w:type="dxa"/>
            <w:vAlign w:val="bottom"/>
            <w:gridSpan w:val="3"/>
          </w:tcPr>
          <w:p>
            <w:pPr>
              <w:spacing w:after="0"/>
              <w:rPr>
                <w:sz w:val="20"/>
                <w:szCs w:val="20"/>
                <w:color w:val="auto"/>
              </w:rPr>
            </w:pPr>
            <w:r>
              <w:rPr>
                <w:rFonts w:ascii="Arial" w:cs="Arial" w:eastAsia="Arial" w:hAnsi="Arial"/>
                <w:sz w:val="3"/>
                <w:szCs w:val="3"/>
                <w:color w:val="FFFFFF"/>
              </w:rPr>
              <w:t>variable rates would cause the annual interest expenses, without adjusting for any amounts to be capitalized, to change by nil (2011: HK$25.5 million).</w:t>
            </w:r>
          </w:p>
        </w:tc>
        <w:tc>
          <w:tcPr>
            <w:tcW w:w="2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400" w:type="dxa"/>
            <w:vAlign w:val="bottom"/>
            <w:gridSpan w:val="2"/>
          </w:tcPr>
          <w:p>
            <w:pPr>
              <w:spacing w:after="0"/>
              <w:rPr>
                <w:sz w:val="20"/>
                <w:szCs w:val="20"/>
                <w:color w:val="auto"/>
              </w:rPr>
            </w:pPr>
            <w:r>
              <w:rPr>
                <w:rFonts w:ascii="Arial" w:cs="Arial" w:eastAsia="Arial" w:hAnsi="Arial"/>
                <w:sz w:val="3"/>
                <w:szCs w:val="3"/>
                <w:color w:val="FFFFFF"/>
              </w:rPr>
              <w:t>Foreign currency risk</w:t>
            </w:r>
          </w:p>
        </w:tc>
        <w:tc>
          <w:tcPr>
            <w:tcW w:w="3860" w:type="dxa"/>
            <w:vAlign w:val="bottom"/>
          </w:tcPr>
          <w:p>
            <w:pPr>
              <w:spacing w:after="0"/>
              <w:rPr>
                <w:sz w:val="3"/>
                <w:szCs w:val="3"/>
                <w:color w:val="auto"/>
              </w:rPr>
            </w:pPr>
          </w:p>
        </w:tc>
        <w:tc>
          <w:tcPr>
            <w:tcW w:w="2140" w:type="dxa"/>
            <w:vAlign w:val="bottom"/>
            <w:vMerge w:val="restart"/>
          </w:tcPr>
          <w:p>
            <w:pPr>
              <w:ind w:left="380"/>
              <w:spacing w:after="0"/>
              <w:rPr>
                <w:sz w:val="20"/>
                <w:szCs w:val="20"/>
                <w:color w:val="auto"/>
              </w:rPr>
            </w:pPr>
            <w:r>
              <w:rPr>
                <w:rFonts w:ascii="Arial" w:cs="Arial" w:eastAsia="Arial" w:hAnsi="Arial"/>
                <w:sz w:val="3"/>
                <w:szCs w:val="3"/>
                <w:color w:val="FFFFFF"/>
              </w:rPr>
              <w:t>fi nancial statements. Assets and</w:t>
            </w:r>
          </w:p>
        </w:tc>
        <w:tc>
          <w:tcPr>
            <w:tcW w:w="0" w:type="dxa"/>
            <w:vAlign w:val="bottom"/>
          </w:tcPr>
          <w:p>
            <w:pPr>
              <w:spacing w:after="0"/>
              <w:rPr>
                <w:sz w:val="1"/>
                <w:szCs w:val="1"/>
                <w:color w:val="auto"/>
              </w:rPr>
            </w:pPr>
          </w:p>
        </w:tc>
      </w:tr>
      <w:tr>
        <w:trPr>
          <w:trHeight w:val="0"/>
        </w:trPr>
        <w:tc>
          <w:tcPr>
            <w:tcW w:w="9260" w:type="dxa"/>
            <w:vAlign w:val="bottom"/>
            <w:gridSpan w:val="3"/>
          </w:tcPr>
          <w:p>
            <w:pPr>
              <w:spacing w:after="0" w:line="80" w:lineRule="exact"/>
              <w:rPr>
                <w:sz w:val="20"/>
                <w:szCs w:val="20"/>
                <w:color w:val="auto"/>
              </w:rPr>
            </w:pPr>
            <w:r>
              <w:rPr>
                <w:rFonts w:ascii="Arial" w:cs="Arial" w:eastAsia="Arial" w:hAnsi="Arial"/>
                <w:sz w:val="9"/>
                <w:szCs w:val="9"/>
                <w:color w:val="FFFFFF"/>
              </w:rPr>
              <w:t>The ? nancial statements of foreign operations are translated into Hong Kong dollars, the Company and the Group’s presentation currency, for incorporation into the</w:t>
            </w:r>
          </w:p>
        </w:tc>
        <w:tc>
          <w:tcPr>
            <w:tcW w:w="21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40"/>
        <w:spacing w:after="0"/>
        <w:rPr>
          <w:sz w:val="20"/>
          <w:szCs w:val="20"/>
          <w:color w:val="auto"/>
        </w:rPr>
      </w:pPr>
      <w:r>
        <w:rPr>
          <w:rFonts w:ascii="Arial" w:cs="Arial" w:eastAsia="Arial" w:hAnsi="Arial"/>
          <w:sz w:val="8"/>
          <w:szCs w:val="8"/>
          <w:color w:val="FFFFFF"/>
        </w:rPr>
        <w:t>liabilities are translated at the prevailing foreign exchange rates in effect at the statement of ? nancial position date. Income, expenditure and cash ? ow items are measuredconsolidatedtheactual foreign exchange rates or average foreign exchange rates for the period. The Hong Kong dollar is linked to the U.S. dollar and the exchange rate between these two currencies has remained relatively stable over the past several years. However, the exchange linkages of the Hong Kong dollar and the Macau pataca to the U.S. dollar, are subject to potential changes due to, among other things, changes in governmental policies and international economic and political developments. In particular, the Company and the Group are exposed to foreign exchange risks arising primarily with respect to the Offshore RMB, which does not have pegged exchange linkages to the U.S. dollar, Hong Kong dollar or Macau pataca.</w:t>
      </w:r>
    </w:p>
    <w:p>
      <w:pPr>
        <w:sectPr>
          <w:pgSz w:w="11900" w:h="16838" w:orient="portrait"/>
          <w:cols w:equalWidth="0" w:num="1">
            <w:col w:w="11400"/>
          </w:cols>
          <w:pgMar w:left="240" w:top="1440" w:right="259"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3"/>
          </w:tcPr>
          <w:p>
            <w:pPr>
              <w:spacing w:after="0"/>
              <w:rPr>
                <w:sz w:val="20"/>
                <w:szCs w:val="20"/>
                <w:color w:val="auto"/>
              </w:rPr>
            </w:pPr>
            <w:r>
              <w:rPr>
                <w:rFonts w:ascii="Arial" w:cs="Arial" w:eastAsia="Arial" w:hAnsi="Arial"/>
                <w:sz w:val="14"/>
                <w:szCs w:val="14"/>
                <w:color w:val="FFFFFF"/>
              </w:rPr>
              <w:t>Annual Report 2012 165</w:t>
            </w:r>
          </w:p>
        </w:tc>
        <w:tc>
          <w:tcPr>
            <w:tcW w:w="1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640" w:type="dxa"/>
            <w:vAlign w:val="bottom"/>
            <w:gridSpan w:val="3"/>
          </w:tcPr>
          <w:p>
            <w:pPr>
              <w:spacing w:after="0"/>
              <w:rPr>
                <w:sz w:val="20"/>
                <w:szCs w:val="20"/>
                <w:color w:val="auto"/>
              </w:rPr>
            </w:pPr>
            <w:r>
              <w:rPr>
                <w:rFonts w:ascii="Arial" w:cs="Arial" w:eastAsia="Arial" w:hAnsi="Arial"/>
                <w:sz w:val="3"/>
                <w:szCs w:val="3"/>
                <w:color w:val="FFFFFF"/>
              </w:rPr>
              <w:t>Financial Statements</w:t>
            </w:r>
          </w:p>
        </w:tc>
        <w:tc>
          <w:tcPr>
            <w:tcW w:w="13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3"/>
          </w:tcPr>
          <w:p>
            <w:pPr>
              <w:spacing w:after="0"/>
              <w:rPr>
                <w:sz w:val="20"/>
                <w:szCs w:val="20"/>
                <w:color w:val="auto"/>
              </w:rPr>
            </w:pPr>
            <w:r>
              <w:rPr>
                <w:rFonts w:ascii="Arial" w:cs="Arial" w:eastAsia="Arial" w:hAnsi="Arial"/>
                <w:sz w:val="3"/>
                <w:szCs w:val="3"/>
                <w:color w:val="FFFFFF"/>
              </w:rPr>
              <w:t>Notes to Financial Statements</w:t>
            </w:r>
          </w:p>
        </w:tc>
        <w:tc>
          <w:tcPr>
            <w:tcW w:w="13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940" w:type="dxa"/>
            <w:vAlign w:val="bottom"/>
            <w:gridSpan w:val="4"/>
          </w:tcPr>
          <w:p>
            <w:pPr>
              <w:spacing w:after="0" w:line="108" w:lineRule="exact"/>
              <w:rPr>
                <w:sz w:val="20"/>
                <w:szCs w:val="20"/>
                <w:color w:val="auto"/>
              </w:rPr>
            </w:pPr>
            <w:r>
              <w:rPr>
                <w:rFonts w:ascii="Arial" w:cs="Arial" w:eastAsia="Arial" w:hAnsi="Arial"/>
                <w:sz w:val="12"/>
                <w:szCs w:val="12"/>
                <w:color w:val="FFFFFF"/>
              </w:rPr>
              <w:t>For the year ended 31 December 2012</w:t>
            </w:r>
          </w:p>
        </w:tc>
        <w:tc>
          <w:tcPr>
            <w:tcW w:w="2380" w:type="dxa"/>
            <w:vAlign w:val="bottom"/>
          </w:tcPr>
          <w:p>
            <w:pPr>
              <w:spacing w:after="0"/>
              <w:rPr>
                <w:sz w:val="9"/>
                <w:szCs w:val="9"/>
                <w:color w:val="auto"/>
              </w:rPr>
            </w:pPr>
          </w:p>
        </w:tc>
        <w:tc>
          <w:tcPr>
            <w:tcW w:w="22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300" w:type="dxa"/>
            <w:vAlign w:val="bottom"/>
            <w:gridSpan w:val="2"/>
          </w:tcPr>
          <w:p>
            <w:pPr>
              <w:spacing w:after="0"/>
              <w:rPr>
                <w:sz w:val="20"/>
                <w:szCs w:val="20"/>
                <w:color w:val="auto"/>
              </w:rPr>
            </w:pPr>
            <w:r>
              <w:rPr>
                <w:rFonts w:ascii="Arial" w:cs="Arial" w:eastAsia="Arial" w:hAnsi="Arial"/>
                <w:sz w:val="3"/>
                <w:szCs w:val="3"/>
                <w:color w:val="FFFFFF"/>
              </w:rPr>
              <w:t>29.</w:t>
            </w:r>
          </w:p>
        </w:tc>
        <w:tc>
          <w:tcPr>
            <w:tcW w:w="5020" w:type="dxa"/>
            <w:vAlign w:val="bottom"/>
            <w:gridSpan w:val="3"/>
          </w:tcPr>
          <w:p>
            <w:pPr>
              <w:ind w:left="160"/>
              <w:spacing w:after="0"/>
              <w:rPr>
                <w:sz w:val="20"/>
                <w:szCs w:val="20"/>
                <w:color w:val="auto"/>
              </w:rPr>
            </w:pPr>
            <w:r>
              <w:rPr>
                <w:rFonts w:ascii="Arial" w:cs="Arial" w:eastAsia="Arial" w:hAnsi="Arial"/>
                <w:sz w:val="3"/>
                <w:szCs w:val="3"/>
                <w:color w:val="FFFFFF"/>
              </w:rPr>
              <w:t>FINANCIAL RISK MANAGEMENT OBJECTIVES AND POLICIES (CONTINUED)</w:t>
            </w:r>
          </w:p>
        </w:tc>
        <w:tc>
          <w:tcPr>
            <w:tcW w:w="22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1640" w:type="dxa"/>
            <w:vAlign w:val="bottom"/>
            <w:gridSpan w:val="3"/>
          </w:tcPr>
          <w:p>
            <w:pPr>
              <w:spacing w:after="0" w:line="54" w:lineRule="exact"/>
              <w:rPr>
                <w:sz w:val="20"/>
                <w:szCs w:val="20"/>
                <w:color w:val="auto"/>
              </w:rPr>
            </w:pPr>
            <w:r>
              <w:rPr>
                <w:rFonts w:ascii="Arial" w:cs="Arial" w:eastAsia="Arial" w:hAnsi="Arial"/>
                <w:sz w:val="6"/>
                <w:szCs w:val="6"/>
                <w:color w:val="FFFFFF"/>
              </w:rPr>
              <w:t>Foreign currency sensitivity</w:t>
            </w:r>
          </w:p>
        </w:tc>
        <w:tc>
          <w:tcPr>
            <w:tcW w:w="1300" w:type="dxa"/>
            <w:vAlign w:val="bottom"/>
          </w:tcPr>
          <w:p>
            <w:pPr>
              <w:spacing w:after="0"/>
              <w:rPr>
                <w:sz w:val="4"/>
                <w:szCs w:val="4"/>
                <w:color w:val="auto"/>
              </w:rPr>
            </w:pPr>
          </w:p>
        </w:tc>
        <w:tc>
          <w:tcPr>
            <w:tcW w:w="4600" w:type="dxa"/>
            <w:vAlign w:val="bottom"/>
            <w:gridSpan w:val="2"/>
            <w:vMerge w:val="restart"/>
          </w:tcPr>
          <w:p>
            <w:pPr>
              <w:ind w:left="60"/>
              <w:spacing w:after="0" w:line="95" w:lineRule="exact"/>
              <w:rPr>
                <w:sz w:val="20"/>
                <w:szCs w:val="20"/>
                <w:color w:val="auto"/>
              </w:rPr>
            </w:pPr>
            <w:r>
              <w:rPr>
                <w:rFonts w:ascii="Arial" w:cs="Arial" w:eastAsia="Arial" w:hAnsi="Arial"/>
                <w:sz w:val="10"/>
                <w:szCs w:val="10"/>
                <w:color w:val="FFFFFF"/>
              </w:rPr>
              <w:t>net liability position where the Group had more liabilities than assets that were</w:t>
            </w:r>
          </w:p>
        </w:tc>
        <w:tc>
          <w:tcPr>
            <w:tcW w:w="1800" w:type="dxa"/>
            <w:vAlign w:val="bottom"/>
            <w:vMerge w:val="restart"/>
          </w:tcPr>
          <w:p>
            <w:pPr>
              <w:ind w:left="480"/>
              <w:spacing w:after="0" w:line="95" w:lineRule="exact"/>
              <w:rPr>
                <w:sz w:val="20"/>
                <w:szCs w:val="20"/>
                <w:color w:val="auto"/>
              </w:rPr>
            </w:pPr>
            <w:r>
              <w:rPr>
                <w:rFonts w:ascii="Arial" w:cs="Arial" w:eastAsia="Arial" w:hAnsi="Arial"/>
                <w:sz w:val="10"/>
                <w:szCs w:val="10"/>
                <w:color w:val="FFFFFF"/>
              </w:rPr>
              <w:t>in U.S. dollars. Based</w:t>
            </w:r>
          </w:p>
        </w:tc>
        <w:tc>
          <w:tcPr>
            <w:tcW w:w="2060" w:type="dxa"/>
            <w:vAlign w:val="bottom"/>
            <w:vMerge w:val="restart"/>
          </w:tcPr>
          <w:p>
            <w:pPr>
              <w:jc w:val="right"/>
              <w:spacing w:after="0" w:line="95" w:lineRule="exact"/>
              <w:rPr>
                <w:sz w:val="20"/>
                <w:szCs w:val="20"/>
                <w:color w:val="auto"/>
              </w:rPr>
            </w:pPr>
            <w:r>
              <w:rPr>
                <w:rFonts w:ascii="Arial" w:cs="Arial" w:eastAsia="Arial" w:hAnsi="Arial"/>
                <w:sz w:val="10"/>
                <w:szCs w:val="10"/>
                <w:color w:val="FFFFFF"/>
              </w:rPr>
              <w:t>the liability position at 31 December</w:t>
            </w:r>
          </w:p>
        </w:tc>
        <w:tc>
          <w:tcPr>
            <w:tcW w:w="0" w:type="dxa"/>
            <w:vAlign w:val="bottom"/>
          </w:tcPr>
          <w:p>
            <w:pPr>
              <w:spacing w:after="0"/>
              <w:rPr>
                <w:sz w:val="1"/>
                <w:szCs w:val="1"/>
                <w:color w:val="auto"/>
              </w:rPr>
            </w:pPr>
          </w:p>
        </w:tc>
      </w:tr>
      <w:tr>
        <w:trPr>
          <w:trHeight w:val="41"/>
        </w:trPr>
        <w:tc>
          <w:tcPr>
            <w:tcW w:w="2940" w:type="dxa"/>
            <w:vAlign w:val="bottom"/>
            <w:gridSpan w:val="4"/>
          </w:tcPr>
          <w:p>
            <w:pPr>
              <w:spacing w:after="0"/>
              <w:rPr>
                <w:sz w:val="20"/>
                <w:szCs w:val="20"/>
                <w:color w:val="auto"/>
              </w:rPr>
            </w:pPr>
            <w:r>
              <w:rPr>
                <w:rFonts w:ascii="Arial" w:cs="Arial" w:eastAsia="Arial" w:hAnsi="Arial"/>
                <w:sz w:val="3"/>
                <w:szCs w:val="3"/>
                <w:color w:val="FFFFFF"/>
              </w:rPr>
              <w:t>As at 31 December 2012 and 2011, the Group was in</w:t>
            </w:r>
          </w:p>
        </w:tc>
        <w:tc>
          <w:tcPr>
            <w:tcW w:w="4600" w:type="dxa"/>
            <w:vAlign w:val="bottom"/>
            <w:gridSpan w:val="2"/>
            <w:vMerge w:val="continue"/>
          </w:tcPr>
          <w:p>
            <w:pPr>
              <w:spacing w:after="0"/>
              <w:rPr>
                <w:sz w:val="3"/>
                <w:szCs w:val="3"/>
                <w:color w:val="auto"/>
              </w:rPr>
            </w:pPr>
          </w:p>
        </w:tc>
        <w:tc>
          <w:tcPr>
            <w:tcW w:w="1800" w:type="dxa"/>
            <w:vAlign w:val="bottom"/>
            <w:vMerge w:val="continue"/>
          </w:tcPr>
          <w:p>
            <w:pPr>
              <w:spacing w:after="0"/>
              <w:rPr>
                <w:sz w:val="3"/>
                <w:szCs w:val="3"/>
                <w:color w:val="auto"/>
              </w:rPr>
            </w:pPr>
          </w:p>
        </w:tc>
        <w:tc>
          <w:tcPr>
            <w:tcW w:w="20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940" w:type="dxa"/>
            <w:vAlign w:val="bottom"/>
            <w:gridSpan w:val="4"/>
          </w:tcPr>
          <w:p>
            <w:pPr>
              <w:spacing w:after="0"/>
              <w:rPr>
                <w:sz w:val="20"/>
                <w:szCs w:val="20"/>
                <w:color w:val="auto"/>
              </w:rPr>
            </w:pPr>
            <w:r>
              <w:rPr>
                <w:rFonts w:ascii="Arial" w:cs="Arial" w:eastAsia="Arial" w:hAnsi="Arial"/>
                <w:sz w:val="3"/>
                <w:szCs w:val="3"/>
                <w:color w:val="FFFFFF"/>
              </w:rPr>
              <w:t>2012, an assumed 1% increase or decrease in the</w:t>
            </w:r>
          </w:p>
        </w:tc>
        <w:tc>
          <w:tcPr>
            <w:tcW w:w="8460" w:type="dxa"/>
            <w:vAlign w:val="bottom"/>
            <w:gridSpan w:val="4"/>
          </w:tcPr>
          <w:p>
            <w:pPr>
              <w:jc w:val="right"/>
              <w:ind w:right="166"/>
              <w:spacing w:after="0"/>
              <w:rPr>
                <w:sz w:val="20"/>
                <w:szCs w:val="20"/>
                <w:color w:val="auto"/>
              </w:rPr>
            </w:pPr>
            <w:r>
              <w:rPr>
                <w:rFonts w:ascii="Arial" w:cs="Arial" w:eastAsia="Arial" w:hAnsi="Arial"/>
                <w:sz w:val="3"/>
                <w:szCs w:val="3"/>
                <w:color w:val="FFFFFF"/>
              </w:rPr>
              <w:t>of the Hong Kong dollar against the U.S. dollar would cause the Group to recognizedenominatedgainor loss of HK$10.4 million (2011: HK$13.8 million). As for</w:t>
            </w:r>
          </w:p>
        </w:tc>
        <w:tc>
          <w:tcPr>
            <w:tcW w:w="0" w:type="dxa"/>
            <w:vAlign w:val="bottom"/>
          </w:tcPr>
          <w:p>
            <w:pPr>
              <w:spacing w:after="0"/>
              <w:rPr>
                <w:sz w:val="1"/>
                <w:szCs w:val="1"/>
                <w:color w:val="auto"/>
              </w:rPr>
            </w:pPr>
          </w:p>
        </w:tc>
      </w:tr>
      <w:tr>
        <w:trPr>
          <w:trHeight w:val="41"/>
        </w:trPr>
        <w:tc>
          <w:tcPr>
            <w:tcW w:w="1640" w:type="dxa"/>
            <w:vAlign w:val="bottom"/>
            <w:gridSpan w:val="3"/>
          </w:tcPr>
          <w:p>
            <w:pPr>
              <w:spacing w:after="0"/>
              <w:rPr>
                <w:sz w:val="20"/>
                <w:szCs w:val="20"/>
                <w:color w:val="auto"/>
              </w:rPr>
            </w:pPr>
            <w:r>
              <w:rPr>
                <w:rFonts w:ascii="Arial" w:cs="Arial" w:eastAsia="Arial" w:hAnsi="Arial"/>
                <w:sz w:val="3"/>
                <w:szCs w:val="3"/>
                <w:color w:val="FFFFFF"/>
              </w:rPr>
              <w:t>Offshore RMB, the</w:t>
            </w:r>
          </w:p>
        </w:tc>
        <w:tc>
          <w:tcPr>
            <w:tcW w:w="9760" w:type="dxa"/>
            <w:vAlign w:val="bottom"/>
            <w:gridSpan w:val="5"/>
          </w:tcPr>
          <w:p>
            <w:pPr>
              <w:jc w:val="right"/>
              <w:spacing w:after="0"/>
              <w:rPr>
                <w:sz w:val="20"/>
                <w:szCs w:val="20"/>
                <w:color w:val="auto"/>
              </w:rPr>
            </w:pPr>
            <w:r>
              <w:rPr>
                <w:rFonts w:ascii="Arial" w:cs="Arial" w:eastAsia="Arial" w:hAnsi="Arial"/>
                <w:sz w:val="3"/>
                <w:szCs w:val="3"/>
                <w:color w:val="FFFFFF"/>
              </w:rPr>
              <w:t>and the Group was valueinnet asset position where the Company and the Group had more assets than liabilities that were denominated in Offshore RMB. Based on the asset position at</w:t>
            </w: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31 December 2012, Companyassumed 1% increase or decrease in the value of the Hong Kong dollar against the Offshore RMB would cause the Company and the Group to recognize a loss or gain of HK$15.6 million</w:t>
            </w:r>
          </w:p>
        </w:tc>
        <w:tc>
          <w:tcPr>
            <w:tcW w:w="0" w:type="dxa"/>
            <w:vAlign w:val="bottom"/>
          </w:tcPr>
          <w:p>
            <w:pPr>
              <w:spacing w:after="0"/>
              <w:rPr>
                <w:sz w:val="1"/>
                <w:szCs w:val="1"/>
                <w:color w:val="auto"/>
              </w:rPr>
            </w:pPr>
          </w:p>
        </w:tc>
      </w:tr>
      <w:tr>
        <w:trPr>
          <w:trHeight w:val="41"/>
        </w:trPr>
        <w:tc>
          <w:tcPr>
            <w:tcW w:w="1640" w:type="dxa"/>
            <w:vAlign w:val="bottom"/>
            <w:gridSpan w:val="3"/>
          </w:tcPr>
          <w:p>
            <w:pPr>
              <w:spacing w:after="0"/>
              <w:rPr>
                <w:sz w:val="20"/>
                <w:szCs w:val="20"/>
                <w:color w:val="auto"/>
              </w:rPr>
            </w:pPr>
            <w:r>
              <w:rPr>
                <w:rFonts w:ascii="Arial" w:cs="Arial" w:eastAsia="Arial" w:hAnsi="Arial"/>
                <w:sz w:val="3"/>
                <w:szCs w:val="3"/>
                <w:color w:val="FFFFFF"/>
              </w:rPr>
              <w:t>(2011: HK$15.9 million).</w:t>
            </w:r>
          </w:p>
        </w:tc>
        <w:tc>
          <w:tcPr>
            <w:tcW w:w="13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40" w:type="dxa"/>
            <w:vAlign w:val="bottom"/>
            <w:gridSpan w:val="3"/>
          </w:tcPr>
          <w:p>
            <w:pPr>
              <w:spacing w:after="0"/>
              <w:rPr>
                <w:sz w:val="20"/>
                <w:szCs w:val="20"/>
                <w:color w:val="auto"/>
              </w:rPr>
            </w:pPr>
            <w:r>
              <w:rPr>
                <w:rFonts w:ascii="Arial" w:cs="Arial" w:eastAsia="Arial" w:hAnsi="Arial"/>
                <w:sz w:val="3"/>
                <w:szCs w:val="3"/>
                <w:color w:val="FFFFFF"/>
              </w:rPr>
              <w:t>Credit risk</w:t>
            </w:r>
          </w:p>
        </w:tc>
        <w:tc>
          <w:tcPr>
            <w:tcW w:w="13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340" w:type="dxa"/>
            <w:vAlign w:val="bottom"/>
            <w:gridSpan w:val="7"/>
          </w:tcPr>
          <w:p>
            <w:pPr>
              <w:spacing w:after="0"/>
              <w:rPr>
                <w:sz w:val="20"/>
                <w:szCs w:val="20"/>
                <w:color w:val="auto"/>
              </w:rPr>
            </w:pPr>
            <w:r>
              <w:rPr>
                <w:rFonts w:ascii="Arial" w:cs="Arial" w:eastAsia="Arial" w:hAnsi="Arial"/>
                <w:sz w:val="3"/>
                <w:szCs w:val="3"/>
                <w:color w:val="FFFFFF"/>
              </w:rPr>
              <w:t>Financial instruments that potentially subject the Group to concentrations of credit risk consist principally of casino accounts receivable and available-for-sale investments.</w:t>
            </w:r>
          </w:p>
        </w:tc>
        <w:tc>
          <w:tcPr>
            <w:tcW w:w="2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7540" w:type="dxa"/>
            <w:vAlign w:val="bottom"/>
            <w:gridSpan w:val="6"/>
          </w:tcPr>
          <w:p>
            <w:pPr>
              <w:spacing w:after="0"/>
              <w:rPr>
                <w:sz w:val="20"/>
                <w:szCs w:val="20"/>
                <w:color w:val="auto"/>
              </w:rPr>
            </w:pPr>
            <w:r>
              <w:rPr>
                <w:rFonts w:ascii="Arial" w:cs="Arial" w:eastAsia="Arial" w:hAnsi="Arial"/>
                <w:sz w:val="3"/>
                <w:szCs w:val="3"/>
                <w:color w:val="FFFFFF"/>
              </w:rPr>
              <w:t>The Group issues credit in the form of markers to approved casino customers following investigations of creditworthiness. The Group</w:t>
            </w:r>
          </w:p>
        </w:tc>
        <w:tc>
          <w:tcPr>
            <w:tcW w:w="3860" w:type="dxa"/>
            <w:vAlign w:val="bottom"/>
            <w:gridSpan w:val="2"/>
          </w:tcPr>
          <w:p>
            <w:pPr>
              <w:jc w:val="right"/>
              <w:ind w:right="326"/>
              <w:spacing w:after="0"/>
              <w:rPr>
                <w:sz w:val="20"/>
                <w:szCs w:val="20"/>
                <w:color w:val="auto"/>
              </w:rPr>
            </w:pPr>
            <w:r>
              <w:rPr>
                <w:rFonts w:ascii="Arial" w:cs="Arial" w:eastAsia="Arial" w:hAnsi="Arial"/>
                <w:sz w:val="3"/>
                <w:szCs w:val="3"/>
                <w:color w:val="FFFFFF"/>
              </w:rPr>
              <w:t>strict control over the issuance of markers and aggressively</w:t>
            </w:r>
          </w:p>
        </w:tc>
        <w:tc>
          <w:tcPr>
            <w:tcW w:w="0" w:type="dxa"/>
            <w:vAlign w:val="bottom"/>
          </w:tcPr>
          <w:p>
            <w:pPr>
              <w:spacing w:after="0"/>
              <w:rPr>
                <w:sz w:val="1"/>
                <w:szCs w:val="1"/>
                <w:color w:val="auto"/>
              </w:rPr>
            </w:pPr>
          </w:p>
        </w:tc>
      </w:tr>
      <w:tr>
        <w:trPr>
          <w:trHeight w:val="41"/>
        </w:trPr>
        <w:tc>
          <w:tcPr>
            <w:tcW w:w="9340" w:type="dxa"/>
            <w:vAlign w:val="bottom"/>
            <w:gridSpan w:val="7"/>
          </w:tcPr>
          <w:p>
            <w:pPr>
              <w:spacing w:after="0"/>
              <w:rPr>
                <w:sz w:val="20"/>
                <w:szCs w:val="20"/>
                <w:color w:val="auto"/>
              </w:rPr>
            </w:pPr>
            <w:r>
              <w:rPr>
                <w:rFonts w:ascii="Arial" w:cs="Arial" w:eastAsia="Arial" w:hAnsi="Arial"/>
                <w:sz w:val="3"/>
                <w:szCs w:val="3"/>
                <w:color w:val="FFFFFF"/>
              </w:rPr>
              <w:t>pursues collection from those customers who fail to pay their marker balances on  timely basis. These collection efforts may include themaintainsing of statements and</w:t>
            </w:r>
          </w:p>
        </w:tc>
        <w:tc>
          <w:tcPr>
            <w:tcW w:w="2060" w:type="dxa"/>
            <w:vAlign w:val="bottom"/>
          </w:tcPr>
          <w:p>
            <w:pPr>
              <w:jc w:val="right"/>
              <w:spacing w:after="0"/>
              <w:rPr>
                <w:sz w:val="20"/>
                <w:szCs w:val="20"/>
                <w:color w:val="auto"/>
              </w:rPr>
            </w:pPr>
            <w:r>
              <w:rPr>
                <w:rFonts w:ascii="Arial" w:cs="Arial" w:eastAsia="Arial" w:hAnsi="Arial"/>
                <w:sz w:val="3"/>
                <w:szCs w:val="3"/>
                <w:color w:val="FFFFFF"/>
              </w:rPr>
              <w:t>notices, personal contacts, the use</w:t>
            </w:r>
          </w:p>
        </w:tc>
        <w:tc>
          <w:tcPr>
            <w:tcW w:w="0" w:type="dxa"/>
            <w:vAlign w:val="bottom"/>
          </w:tcPr>
          <w:p>
            <w:pPr>
              <w:spacing w:after="0"/>
              <w:rPr>
                <w:sz w:val="1"/>
                <w:szCs w:val="1"/>
                <w:color w:val="auto"/>
              </w:rPr>
            </w:pPr>
          </w:p>
        </w:tc>
      </w:tr>
      <w:tr>
        <w:trPr>
          <w:trHeight w:val="41"/>
        </w:trPr>
        <w:tc>
          <w:tcPr>
            <w:tcW w:w="160" w:type="dxa"/>
            <w:vAlign w:val="bottom"/>
          </w:tcPr>
          <w:p>
            <w:pPr>
              <w:spacing w:after="0"/>
              <w:rPr>
                <w:sz w:val="3"/>
                <w:szCs w:val="3"/>
                <w:color w:val="auto"/>
              </w:rPr>
            </w:pPr>
          </w:p>
        </w:tc>
        <w:tc>
          <w:tcPr>
            <w:tcW w:w="5160" w:type="dxa"/>
            <w:vAlign w:val="bottom"/>
            <w:gridSpan w:val="4"/>
          </w:tcPr>
          <w:p>
            <w:pPr>
              <w:spacing w:after="0"/>
              <w:rPr>
                <w:sz w:val="20"/>
                <w:szCs w:val="20"/>
                <w:color w:val="auto"/>
              </w:rPr>
            </w:pPr>
            <w:r>
              <w:rPr>
                <w:rFonts w:ascii="Arial" w:cs="Arial" w:eastAsia="Arial" w:hAnsi="Arial"/>
                <w:sz w:val="3"/>
                <w:szCs w:val="3"/>
                <w:color w:val="FFFFFF"/>
              </w:rPr>
              <w:t>outside collection agencies, and litigation. Markers are generally legally enforceable</w:t>
            </w:r>
          </w:p>
        </w:tc>
        <w:tc>
          <w:tcPr>
            <w:tcW w:w="6080" w:type="dxa"/>
            <w:vAlign w:val="bottom"/>
            <w:gridSpan w:val="3"/>
          </w:tcPr>
          <w:p>
            <w:pPr>
              <w:jc w:val="right"/>
              <w:spacing w:after="0"/>
              <w:rPr>
                <w:sz w:val="20"/>
                <w:szCs w:val="20"/>
                <w:color w:val="auto"/>
              </w:rPr>
            </w:pPr>
            <w:r>
              <w:rPr>
                <w:rFonts w:ascii="Arial" w:cs="Arial" w:eastAsia="Arial" w:hAnsi="Arial"/>
                <w:sz w:val="3"/>
                <w:szCs w:val="3"/>
                <w:color w:val="FFFFFF"/>
              </w:rPr>
              <w:t>in Macau, however, markers are not legally enforceable instrumentsdelinquencysome other countries. The collectibility</w:t>
            </w:r>
          </w:p>
        </w:tc>
        <w:tc>
          <w:tcPr>
            <w:tcW w:w="0" w:type="dxa"/>
            <w:vAlign w:val="bottom"/>
          </w:tcPr>
          <w:p>
            <w:pPr>
              <w:spacing w:after="0"/>
              <w:rPr>
                <w:sz w:val="1"/>
                <w:szCs w:val="1"/>
                <w:color w:val="auto"/>
              </w:rPr>
            </w:pPr>
          </w:p>
        </w:tc>
      </w:tr>
      <w:tr>
        <w:trPr>
          <w:trHeight w:val="41"/>
        </w:trPr>
        <w:tc>
          <w:tcPr>
            <w:tcW w:w="11400" w:type="dxa"/>
            <w:vAlign w:val="bottom"/>
            <w:gridSpan w:val="8"/>
          </w:tcPr>
          <w:p>
            <w:pPr>
              <w:spacing w:after="0"/>
              <w:rPr>
                <w:sz w:val="20"/>
                <w:szCs w:val="20"/>
                <w:color w:val="auto"/>
              </w:rPr>
            </w:pPr>
            <w:r>
              <w:rPr>
                <w:rFonts w:ascii="Arial" w:cs="Arial" w:eastAsia="Arial" w:hAnsi="Arial"/>
                <w:sz w:val="3"/>
                <w:szCs w:val="3"/>
                <w:color w:val="FFFFFF"/>
              </w:rPr>
              <w:t>of markers given to foreign customers is affected by a number of factors including changesinstrumentscurrency exchange rates and economic conditions in the customers’ home countries.</w:t>
            </w:r>
          </w:p>
        </w:tc>
        <w:tc>
          <w:tcPr>
            <w:tcW w:w="0" w:type="dxa"/>
            <w:vAlign w:val="bottom"/>
          </w:tcPr>
          <w:p>
            <w:pPr>
              <w:spacing w:after="0"/>
              <w:rPr>
                <w:sz w:val="1"/>
                <w:szCs w:val="1"/>
                <w:color w:val="auto"/>
              </w:rPr>
            </w:pPr>
          </w:p>
        </w:tc>
      </w:tr>
      <w:tr>
        <w:trPr>
          <w:trHeight w:val="0"/>
        </w:trPr>
        <w:tc>
          <w:tcPr>
            <w:tcW w:w="160" w:type="dxa"/>
            <w:vAlign w:val="bottom"/>
          </w:tcPr>
          <w:p>
            <w:pPr>
              <w:ind w:left="80"/>
              <w:spacing w:after="0" w:line="80" w:lineRule="exact"/>
              <w:rPr>
                <w:sz w:val="20"/>
                <w:szCs w:val="20"/>
                <w:color w:val="auto"/>
              </w:rPr>
            </w:pPr>
            <w:r>
              <w:rPr>
                <w:rFonts w:ascii="Arial" w:cs="Arial" w:eastAsia="Arial" w:hAnsi="Arial"/>
                <w:sz w:val="9"/>
                <w:szCs w:val="9"/>
                <w:color w:val="FFFFFF"/>
              </w:rPr>
              <w:t>u</w:t>
            </w:r>
          </w:p>
        </w:tc>
        <w:tc>
          <w:tcPr>
            <w:tcW w:w="140" w:type="dxa"/>
            <w:vAlign w:val="bottom"/>
          </w:tcPr>
          <w:p>
            <w:pPr>
              <w:spacing w:after="0" w:line="20" w:lineRule="exact"/>
              <w:rPr>
                <w:sz w:val="1"/>
                <w:szCs w:val="1"/>
                <w:color w:val="auto"/>
              </w:rPr>
            </w:pPr>
          </w:p>
        </w:tc>
        <w:tc>
          <w:tcPr>
            <w:tcW w:w="9040" w:type="dxa"/>
            <w:vAlign w:val="bottom"/>
            <w:gridSpan w:val="5"/>
          </w:tcPr>
          <w:p>
            <w:pPr>
              <w:ind w:left="140"/>
              <w:spacing w:after="0" w:line="80" w:lineRule="exact"/>
              <w:rPr>
                <w:sz w:val="20"/>
                <w:szCs w:val="20"/>
                <w:color w:val="auto"/>
              </w:rPr>
            </w:pPr>
            <w:r>
              <w:rPr>
                <w:rFonts w:ascii="Arial" w:cs="Arial" w:eastAsia="Arial" w:hAnsi="Arial"/>
                <w:sz w:val="9"/>
                <w:szCs w:val="9"/>
                <w:color w:val="FFFFFF"/>
              </w:rPr>
              <w:t>quantitative data in respect of the Group’s exposure to credit risk arising from trade and other receivables are disclosed   note 15 to the fi nancial statements.</w:t>
            </w: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Forther debt securities classi? ed as available-for-sale investments, the maximum exposure to credit risk at the end of the reporting period is the carrying value as disclosed in note 11 to the ? nancial statements.</w:t>
      </w:r>
    </w:p>
    <w:p>
      <w:pPr>
        <w:sectPr>
          <w:pgSz w:w="11900" w:h="16838" w:orient="portrait"/>
          <w:cols w:equalWidth="0" w:num="1">
            <w:col w:w="11400"/>
          </w:cols>
          <w:pgMar w:left="240" w:top="1440" w:right="259" w:bottom="1440" w:gutter="0" w:footer="0" w:header="0"/>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FFFFFF"/>
        </w:rPr>
        <w:t>166 Wynn Macau, Limited</w:t>
      </w:r>
    </w:p>
    <w:p>
      <w:pPr>
        <w:spacing w:after="0" w:line="221" w:lineRule="auto"/>
        <w:rPr>
          <w:sz w:val="20"/>
          <w:szCs w:val="20"/>
          <w:color w:val="auto"/>
        </w:rPr>
      </w:pPr>
      <w:r>
        <w:rPr>
          <w:rFonts w:ascii="Arial" w:cs="Arial" w:eastAsia="Arial" w:hAnsi="Arial"/>
          <w:sz w:val="14"/>
          <w:szCs w:val="14"/>
          <w:color w:val="FFFFFF"/>
        </w:rPr>
        <w:t>NotesFinancialtoFinancialStatementsStatements</w:t>
      </w:r>
    </w:p>
    <w:p>
      <w:pPr>
        <w:spacing w:after="0" w:line="188" w:lineRule="auto"/>
        <w:rPr>
          <w:sz w:val="20"/>
          <w:szCs w:val="20"/>
          <w:color w:val="auto"/>
        </w:rPr>
      </w:pPr>
      <w:r>
        <w:rPr>
          <w:rFonts w:ascii="Arial" w:cs="Arial" w:eastAsia="Arial" w:hAnsi="Arial"/>
          <w:sz w:val="6"/>
          <w:szCs w:val="6"/>
          <w:color w:val="FFFFFF"/>
        </w:rPr>
        <w:t>For the year ended 31 December 2012</w:t>
      </w:r>
    </w:p>
    <w:p>
      <w:pPr>
        <w:spacing w:after="0" w:line="188" w:lineRule="auto"/>
        <w:rPr>
          <w:sz w:val="20"/>
          <w:szCs w:val="20"/>
          <w:color w:val="auto"/>
        </w:rPr>
      </w:pPr>
      <w:r>
        <w:rPr>
          <w:rFonts w:ascii="Arial" w:cs="Arial" w:eastAsia="Arial" w:hAnsi="Arial"/>
          <w:sz w:val="9"/>
          <w:szCs w:val="9"/>
          <w:color w:val="FFFFFF"/>
        </w:rPr>
        <w:t>Liquidity29.FINANCIALrisk RISK MANAGEMENT OBJECTIVES AND POLICIES (CONTINUED)</w:t>
      </w:r>
    </w:p>
    <w:p>
      <w:pPr>
        <w:ind w:right="160"/>
        <w:spacing w:after="0" w:line="181" w:lineRule="auto"/>
        <w:rPr>
          <w:sz w:val="20"/>
          <w:szCs w:val="20"/>
          <w:color w:val="auto"/>
        </w:rPr>
      </w:pPr>
      <w:r>
        <w:rPr>
          <w:rFonts w:ascii="Arial" w:cs="Arial" w:eastAsia="Arial" w:hAnsi="Arial"/>
          <w:sz w:val="7"/>
          <w:szCs w:val="7"/>
          <w:color w:val="FFFFFF"/>
        </w:rPr>
        <w:t>cashThe Grouprequirementsmaintenancemeasurestheandordinarymonitorscourseitsliquidityofbusiness.structureIn addition,basedon thethe Group’soverallassets,senior liabilitiesbankfacility’sanddebtgoverningconjunctiondocumentswithcontainitsexpectedcapitalcashspending?owslimitstoensureand theothercapabilityaffirmativetomeetand anynegativeunexpectedcovenantsand whichmaterial require the of secure capital procedures.</w:t>
      </w:r>
    </w:p>
    <w:p>
      <w:pPr>
        <w:ind w:right="180"/>
        <w:spacing w:after="0" w:line="181" w:lineRule="auto"/>
        <w:rPr>
          <w:sz w:val="20"/>
          <w:szCs w:val="20"/>
          <w:color w:val="auto"/>
        </w:rPr>
      </w:pPr>
      <w:r>
        <w:rPr>
          <w:rFonts w:ascii="Arial" w:cs="Arial" w:eastAsia="Arial" w:hAnsi="Arial"/>
          <w:sz w:val="7"/>
          <w:szCs w:val="7"/>
          <w:color w:val="FFFFFF"/>
        </w:rPr>
        <w:t>million,Asat31 respectivelyDecember2012,(2011:theHKGroup$508.8heldmillionavailableand-HKfor-$sale20.8investmentsmillion,respectively),andaninterestand ratethe Groupswapathasfairnotvaluesheld withany assetsassets orandliabilitiesliabilitiesmeasuredmeasuredat atfairfairvaluevalueforforlevelslevel12andof HK3during$421.8themillionyears and2012HKand$30.52011. Level 1 fair values are those measured using quoted prices (unadjusted) in active markets for identical fi nancial instruments, level 2 fair values measured using quoted prices in active markets for similar ?</w:t>
      </w:r>
    </w:p>
    <w:p>
      <w:pPr>
        <w:ind w:left="11300"/>
        <w:spacing w:after="0"/>
        <w:rPr>
          <w:sz w:val="20"/>
          <w:szCs w:val="20"/>
          <w:color w:val="auto"/>
        </w:rPr>
      </w:pPr>
      <w:r>
        <w:rPr>
          <w:rFonts w:ascii="Arial" w:cs="Arial" w:eastAsia="Arial" w:hAnsi="Arial"/>
          <w:sz w:val="1"/>
          <w:szCs w:val="1"/>
          <w:color w:val="FFFFFF"/>
        </w:rPr>
        <w:t>whichnancialanyinstruments,signi?cantorinputusingisvaluationnot techniquesonobservableinwhichmarketall data.signi? cant inputs are directly or indirectly based on observable market data and level 3 fair values are those measured using valuation techniques in</w:t>
      </w:r>
    </w:p>
    <w:p>
      <w:pPr>
        <w:spacing w:after="0" w:line="187" w:lineRule="auto"/>
        <w:rPr>
          <w:sz w:val="20"/>
          <w:szCs w:val="20"/>
          <w:color w:val="auto"/>
        </w:rPr>
      </w:pPr>
      <w:r>
        <w:rPr>
          <w:rFonts w:ascii="Arial" w:cs="Arial" w:eastAsia="Arial" w:hAnsi="Arial"/>
          <w:sz w:val="7"/>
          <w:szCs w:val="7"/>
          <w:color w:val="FFFFFF"/>
        </w:rPr>
        <w:t>The table below analyzes the Group’basedand the Company’s fi nancial liabilities into relevant maturity groupings based on the remaining</w:t>
      </w:r>
      <w:r>
        <w:rPr>
          <w:rFonts w:ascii="Arial" w:cs="Arial" w:eastAsia="Arial" w:hAnsi="Arial"/>
          <w:sz w:val="9"/>
          <w:szCs w:val="9"/>
          <w:color w:val="FFFFFF"/>
          <w:vertAlign w:val="subscript"/>
        </w:rPr>
        <w:t>interest</w:t>
      </w:r>
      <w:r>
        <w:rPr>
          <w:rFonts w:ascii="Arial" w:cs="Arial" w:eastAsia="Arial" w:hAnsi="Arial"/>
          <w:sz w:val="7"/>
          <w:szCs w:val="7"/>
          <w:color w:val="FFFFFF"/>
        </w:rPr>
        <w:t>piod at the statement of ? nancial position date to the contractual maturity</w:t>
      </w:r>
    </w:p>
    <w:p>
      <w:pPr>
        <w:ind w:right="120"/>
        <w:spacing w:after="0"/>
        <w:rPr>
          <w:sz w:val="20"/>
          <w:szCs w:val="20"/>
          <w:color w:val="auto"/>
        </w:rPr>
      </w:pPr>
      <w:r>
        <w:rPr>
          <w:rFonts w:ascii="Arial" w:cs="Arial" w:eastAsia="Arial" w:hAnsi="Arial"/>
          <w:sz w:val="10"/>
          <w:szCs w:val="10"/>
          <w:color w:val="FFFFFF"/>
        </w:rPr>
        <w:t>date. The amounts disclosed are based on the contractual undiscounted cash ? ows of ? nancial liabilities which include principal and payments. The maturities are calculated assuming the effect of interest rate swap arrangements and interest rates with respect to variable rate ? nancial liabilities remain constant as at respective year ends and there is no change in the aggregate principal amount of ? nancial liabilities other than repayment at scheduled maturities as re? ected in the table below.</w:t>
      </w:r>
    </w:p>
    <w:p>
      <w:pPr>
        <w:sectPr>
          <w:pgSz w:w="11900" w:h="16838" w:orient="portrait"/>
          <w:cols w:equalWidth="0" w:num="1">
            <w:col w:w="11420"/>
          </w:cols>
          <w:pgMar w:left="240" w:top="1440" w:right="239"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167</w:t>
      </w:r>
    </w:p>
    <w:p>
      <w:pPr>
        <w:spacing w:after="0"/>
        <w:rPr>
          <w:sz w:val="20"/>
          <w:szCs w:val="20"/>
          <w:color w:val="auto"/>
        </w:rPr>
      </w:pPr>
      <w:r>
        <w:rPr>
          <w:rFonts w:ascii="Arial" w:cs="Arial" w:eastAsia="Arial" w:hAnsi="Arial"/>
          <w:sz w:val="3"/>
          <w:szCs w:val="3"/>
          <w:color w:val="FFFFFF"/>
        </w:rPr>
        <w:t>Financial Statements</w:t>
      </w:r>
    </w:p>
    <w:p>
      <w:pPr>
        <w:spacing w:after="0" w:line="198" w:lineRule="auto"/>
        <w:rPr>
          <w:sz w:val="20"/>
          <w:szCs w:val="20"/>
          <w:color w:val="auto"/>
        </w:rPr>
      </w:pPr>
      <w:r>
        <w:rPr>
          <w:rFonts w:ascii="Arial" w:cs="Arial" w:eastAsia="Arial" w:hAnsi="Arial"/>
          <w:sz w:val="12"/>
          <w:szCs w:val="12"/>
          <w:color w:val="FFFFFF"/>
        </w:rPr>
        <w:t>Notes to Financial Statements</w:t>
      </w:r>
    </w:p>
    <w:p>
      <w:pPr>
        <w:spacing w:after="0"/>
        <w:rPr>
          <w:sz w:val="20"/>
          <w:szCs w:val="20"/>
          <w:color w:val="auto"/>
        </w:rPr>
      </w:pPr>
      <w:r>
        <w:rPr>
          <w:rFonts w:ascii="Arial" w:cs="Arial" w:eastAsia="Arial" w:hAnsi="Arial"/>
          <w:sz w:val="3"/>
          <w:szCs w:val="3"/>
          <w:color w:val="FFFFFF"/>
        </w:rPr>
        <w:t>For the year ended 31 December 2012</w:t>
      </w:r>
    </w:p>
    <w:p>
      <w:pPr>
        <w:spacing w:after="0" w:line="190" w:lineRule="auto"/>
        <w:tabs>
          <w:tab w:leader="none" w:pos="440" w:val="left"/>
        </w:tabs>
        <w:rPr>
          <w:sz w:val="20"/>
          <w:szCs w:val="20"/>
          <w:color w:val="auto"/>
        </w:rPr>
      </w:pPr>
      <w:r>
        <w:rPr>
          <w:rFonts w:ascii="Arial" w:cs="Arial" w:eastAsia="Arial" w:hAnsi="Arial"/>
          <w:sz w:val="11"/>
          <w:szCs w:val="11"/>
          <w:color w:val="FFFFFF"/>
        </w:rPr>
        <w:t>29.</w:t>
      </w:r>
      <w:r>
        <w:rPr>
          <w:sz w:val="20"/>
          <w:szCs w:val="20"/>
          <w:color w:val="auto"/>
        </w:rPr>
        <w:tab/>
      </w:r>
      <w:r>
        <w:rPr>
          <w:rFonts w:ascii="Arial" w:cs="Arial" w:eastAsia="Arial" w:hAnsi="Arial"/>
          <w:sz w:val="11"/>
          <w:szCs w:val="11"/>
          <w:color w:val="FFFFFF"/>
        </w:rPr>
        <w:t>FINANCIAL RISK MANAGEMENT OBJECTIVES AND POLICIES (CONTINUED)</w:t>
      </w:r>
    </w:p>
    <w:p>
      <w:pPr>
        <w:spacing w:after="0"/>
        <w:rPr>
          <w:sz w:val="20"/>
          <w:szCs w:val="20"/>
          <w:color w:val="auto"/>
        </w:rPr>
      </w:pPr>
      <w:r>
        <w:rPr>
          <w:rFonts w:ascii="Arial" w:cs="Arial" w:eastAsia="Arial" w:hAnsi="Arial"/>
          <w:sz w:val="3"/>
          <w:szCs w:val="3"/>
          <w:color w:val="FFFFFF"/>
        </w:rPr>
        <w:t>Group:Liquidity risk (continued)</w:t>
      </w:r>
    </w:p>
    <w:p>
      <w:pPr>
        <w:spacing w:after="0" w:line="181" w:lineRule="auto"/>
        <w:rPr>
          <w:sz w:val="20"/>
          <w:szCs w:val="20"/>
          <w:color w:val="auto"/>
        </w:rPr>
      </w:pPr>
      <w:r>
        <w:rPr>
          <w:rFonts w:ascii="Arial" w:cs="Arial" w:eastAsia="Arial" w:hAnsi="Arial"/>
          <w:sz w:val="10"/>
          <w:szCs w:val="10"/>
          <w:color w:val="FFFFFF"/>
        </w:rPr>
        <w:t>Between Between one and two and</w:t>
      </w:r>
    </w:p>
    <w:p>
      <w:pPr>
        <w:spacing w:after="0"/>
        <w:rPr>
          <w:sz w:val="20"/>
          <w:szCs w:val="20"/>
          <w:color w:val="auto"/>
        </w:rPr>
      </w:pPr>
      <w:r>
        <w:rPr>
          <w:rFonts w:ascii="Arial" w:cs="Arial" w:eastAsia="Arial" w:hAnsi="Arial"/>
          <w:sz w:val="3"/>
          <w:szCs w:val="3"/>
          <w:color w:val="FFFFFF"/>
        </w:rPr>
        <w:t>(inInterestthousands)ratesWithin one year two years ? ve years Over Five Years Total HK$ HK$ HK$ HK$</w:t>
      </w:r>
    </w:p>
    <w:p>
      <w:pPr>
        <w:spacing w:after="0" w:line="194" w:lineRule="auto"/>
        <w:rPr>
          <w:sz w:val="20"/>
          <w:szCs w:val="20"/>
          <w:color w:val="auto"/>
        </w:rPr>
      </w:pPr>
      <w:r>
        <w:rPr>
          <w:rFonts w:ascii="Arial" w:cs="Arial" w:eastAsia="Arial" w:hAnsi="Arial"/>
          <w:sz w:val="5"/>
          <w:szCs w:val="5"/>
          <w:color w:val="FFFFFF"/>
        </w:rPr>
        <w:t>As at 31 December 2012</w:t>
      </w:r>
    </w:p>
    <w:p>
      <w:pPr>
        <w:spacing w:after="0" w:line="188" w:lineRule="auto"/>
        <w:rPr>
          <w:sz w:val="20"/>
          <w:szCs w:val="20"/>
          <w:color w:val="auto"/>
        </w:rPr>
      </w:pPr>
      <w:r>
        <w:rPr>
          <w:rFonts w:ascii="Arial" w:cs="Arial" w:eastAsia="Arial" w:hAnsi="Arial"/>
          <w:sz w:val="9"/>
          <w:szCs w:val="9"/>
          <w:color w:val="FFFFFF"/>
          <w:vertAlign w:val="subscript"/>
        </w:rPr>
        <w:t>Interest</w:t>
      </w:r>
      <w:r>
        <w:rPr>
          <w:rFonts w:ascii="Arial" w:cs="Arial" w:eastAsia="Arial" w:hAnsi="Arial"/>
          <w:sz w:val="7"/>
          <w:szCs w:val="7"/>
          <w:color w:val="FFFFFF"/>
        </w:rPr>
        <w:t>-bearing bank loans</w:t>
      </w:r>
      <w:r>
        <w:rPr>
          <w:rFonts w:ascii="Arial" w:cs="Arial" w:eastAsia="Arial" w:hAnsi="Arial"/>
          <w:sz w:val="9"/>
          <w:szCs w:val="9"/>
          <w:color w:val="FFFFFF"/>
          <w:vertAlign w:val="subscript"/>
        </w:rPr>
        <w:t>30,528</w:t>
      </w:r>
      <w:r>
        <w:rPr>
          <w:rFonts w:ascii="Arial" w:cs="Arial" w:eastAsia="Arial" w:hAnsi="Arial"/>
          <w:sz w:val="7"/>
          <w:szCs w:val="7"/>
          <w:color w:val="FFFFFF"/>
        </w:rPr>
        <w:t>.5%–2.0% 217,683 217,683 3,505,431 2,953,095 6,893,892 Land premium payable 5% 254,230 254,230 381,346 — 889,806</w:t>
      </w:r>
    </w:p>
    <w:p>
      <w:pPr>
        <w:spacing w:after="0" w:line="211" w:lineRule="auto"/>
        <w:rPr>
          <w:sz w:val="20"/>
          <w:szCs w:val="20"/>
          <w:color w:val="auto"/>
        </w:rPr>
      </w:pPr>
      <w:r>
        <w:rPr>
          <w:rFonts w:ascii="Arial" w:cs="Arial" w:eastAsia="Arial" w:hAnsi="Arial"/>
          <w:sz w:val="4"/>
          <w:szCs w:val="4"/>
          <w:color w:val="FFFFFF"/>
          <w:vertAlign w:val="superscript"/>
        </w:rPr>
        <w:t>Amounts</w:t>
      </w:r>
      <w:r>
        <w:rPr>
          <w:rFonts w:ascii="Arial" w:cs="Arial" w:eastAsia="Arial" w:hAnsi="Arial"/>
          <w:sz w:val="2"/>
          <w:szCs w:val="2"/>
          <w:color w:val="FFFFFF"/>
        </w:rPr>
        <w:t>ccountsratepayableswaps968,737—— — — —— 30,528968,737</w:t>
      </w:r>
    </w:p>
    <w:p>
      <w:pPr>
        <w:ind w:left="540"/>
        <w:spacing w:after="0"/>
        <w:rPr>
          <w:sz w:val="20"/>
          <w:szCs w:val="20"/>
          <w:color w:val="auto"/>
        </w:rPr>
      </w:pPr>
      <w:r>
        <w:rPr>
          <w:rFonts w:ascii="Arial" w:cs="Arial" w:eastAsia="Arial" w:hAnsi="Arial"/>
          <w:sz w:val="3"/>
          <w:szCs w:val="3"/>
          <w:color w:val="FFFFFF"/>
        </w:rPr>
        <w:t>due to related companies 230,930 — — — 230,930</w:t>
      </w:r>
    </w:p>
    <w:p>
      <w:pPr>
        <w:spacing w:after="0" w:line="6" w:lineRule="exact"/>
        <w:rPr>
          <w:sz w:val="20"/>
          <w:szCs w:val="20"/>
          <w:color w:val="auto"/>
        </w:rPr>
      </w:pPr>
    </w:p>
    <w:p>
      <w:pPr>
        <w:ind w:right="5340"/>
        <w:spacing w:after="0" w:line="187" w:lineRule="auto"/>
        <w:rPr>
          <w:sz w:val="20"/>
          <w:szCs w:val="20"/>
          <w:color w:val="auto"/>
        </w:rPr>
      </w:pPr>
      <w:r>
        <w:rPr>
          <w:rFonts w:ascii="Arial" w:cs="Arial" w:eastAsia="Arial" w:hAnsi="Arial"/>
          <w:sz w:val="9"/>
          <w:szCs w:val="9"/>
          <w:color w:val="FFFFFF"/>
        </w:rPr>
        <w:t>Other liabilities 610 824 22,802 1,355 25,591 Other payables 3,469,073 77,670 237,747 388,350 4,172,840 As at 31 December 2011</w:t>
      </w:r>
    </w:p>
    <w:p>
      <w:pPr>
        <w:spacing w:after="0" w:line="181" w:lineRule="auto"/>
        <w:rPr>
          <w:sz w:val="20"/>
          <w:szCs w:val="20"/>
          <w:color w:val="auto"/>
        </w:rPr>
      </w:pPr>
      <w:r>
        <w:rPr>
          <w:rFonts w:ascii="Arial" w:cs="Arial" w:eastAsia="Arial" w:hAnsi="Arial"/>
          <w:sz w:val="7"/>
          <w:szCs w:val="7"/>
          <w:color w:val="FFFFFF"/>
        </w:rPr>
        <w:t>Interest-bearing bank loans 1.5%–2.0% 2,400,079 1,152,570 1,472,863 — 5,025,512 Land premium payable 5% 127,115 254,230 635,576 — 1,016,921 Interest rate swaps 20,752 — — — 20,752 Accounts payable 1,050,345 — — — 1,050,345 Amounts due to related companies 158,188 — — — 158,188 Other liabilities 9,201 1,965 11,309 1,000 23,475 Other payables 3,737,794 77,670 233,010 466,019 4,514,493</w:t>
      </w:r>
    </w:p>
    <w:p>
      <w:pPr>
        <w:ind w:right="60"/>
        <w:spacing w:after="0"/>
        <w:rPr>
          <w:sz w:val="20"/>
          <w:szCs w:val="20"/>
          <w:color w:val="auto"/>
        </w:rPr>
      </w:pPr>
      <w:r>
        <w:rPr>
          <w:rFonts w:ascii="Arial" w:cs="Arial" w:eastAsia="Arial" w:hAnsi="Arial"/>
          <w:sz w:val="11"/>
          <w:szCs w:val="11"/>
          <w:color w:val="FFFFFF"/>
        </w:rPr>
        <w:t>“Other payables” are mainly comprised of outstanding chip liabilities, customer deposits, donation payable, and other miscellaneous payables, excluding tax liabilities, incurred as at 31 December 2012 and 2011.</w:t>
      </w:r>
    </w:p>
    <w:p>
      <w:pPr>
        <w:sectPr>
          <w:pgSz w:w="11900" w:h="16838" w:orient="portrait"/>
          <w:cols w:equalWidth="0" w:num="1">
            <w:col w:w="11160"/>
          </w:cols>
          <w:pgMar w:left="240" w:top="1440" w:right="499" w:bottom="1440" w:gutter="0" w:footer="0" w:header="0"/>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FFFFFF"/>
        </w:rPr>
        <w:t>Financial168WynnStatementsMacau,Limited</w:t>
      </w:r>
    </w:p>
    <w:p>
      <w:pPr>
        <w:spacing w:after="0" w:line="187" w:lineRule="auto"/>
        <w:rPr>
          <w:sz w:val="20"/>
          <w:szCs w:val="20"/>
          <w:color w:val="auto"/>
        </w:rPr>
      </w:pPr>
      <w:r>
        <w:rPr>
          <w:rFonts w:ascii="Arial" w:cs="Arial" w:eastAsia="Arial" w:hAnsi="Arial"/>
          <w:sz w:val="12"/>
          <w:szCs w:val="12"/>
          <w:color w:val="FFFFFF"/>
        </w:rPr>
        <w:t>Notes to Financial Statements</w:t>
      </w:r>
    </w:p>
    <w:p>
      <w:pPr>
        <w:spacing w:after="0" w:line="180" w:lineRule="auto"/>
        <w:rPr>
          <w:sz w:val="20"/>
          <w:szCs w:val="20"/>
          <w:color w:val="auto"/>
        </w:rPr>
      </w:pPr>
      <w:r>
        <w:rPr>
          <w:rFonts w:ascii="Arial" w:cs="Arial" w:eastAsia="Arial" w:hAnsi="Arial"/>
          <w:sz w:val="11"/>
          <w:szCs w:val="11"/>
          <w:color w:val="FFFFFF"/>
        </w:rPr>
        <w:t>For the year ended 31 December 2012</w:t>
      </w:r>
    </w:p>
    <w:p>
      <w:pPr>
        <w:spacing w:after="0" w:line="188" w:lineRule="auto"/>
        <w:rPr>
          <w:sz w:val="20"/>
          <w:szCs w:val="20"/>
          <w:color w:val="auto"/>
        </w:rPr>
      </w:pPr>
      <w:r>
        <w:rPr>
          <w:rFonts w:ascii="Arial" w:cs="Arial" w:eastAsia="Arial" w:hAnsi="Arial"/>
          <w:sz w:val="9"/>
          <w:szCs w:val="9"/>
          <w:color w:val="FFFFFF"/>
        </w:rPr>
        <w:t>Liquidity29.FINANCIALrisk(continued)RISK MANAGEMENT OBJECTIVES AND POLICIES (CONTINUED)</w:t>
      </w:r>
    </w:p>
    <w:p>
      <w:pPr>
        <w:spacing w:after="0"/>
        <w:rPr>
          <w:sz w:val="20"/>
          <w:szCs w:val="20"/>
          <w:color w:val="auto"/>
        </w:rPr>
      </w:pPr>
      <w:r>
        <w:rPr>
          <w:rFonts w:ascii="Arial" w:cs="Arial" w:eastAsia="Arial" w:hAnsi="Arial"/>
          <w:sz w:val="3"/>
          <w:szCs w:val="3"/>
          <w:color w:val="FFFFFF"/>
        </w:rPr>
        <w:t>BetweenCompany:Between</w:t>
      </w:r>
    </w:p>
    <w:p>
      <w:pPr>
        <w:spacing w:after="0" w:line="181" w:lineRule="auto"/>
        <w:rPr>
          <w:sz w:val="20"/>
          <w:szCs w:val="20"/>
          <w:color w:val="auto"/>
        </w:rPr>
      </w:pPr>
      <w:r>
        <w:rPr>
          <w:rFonts w:ascii="Arial" w:cs="Arial" w:eastAsia="Arial" w:hAnsi="Arial"/>
          <w:sz w:val="10"/>
          <w:szCs w:val="10"/>
          <w:color w:val="FFFFFF"/>
        </w:rPr>
        <w:t>Within one and two and Over</w:t>
      </w:r>
    </w:p>
    <w:p>
      <w:pPr>
        <w:spacing w:after="0"/>
        <w:rPr>
          <w:sz w:val="20"/>
          <w:szCs w:val="20"/>
          <w:color w:val="auto"/>
        </w:rPr>
      </w:pPr>
      <w:r>
        <w:rPr>
          <w:rFonts w:ascii="Arial" w:cs="Arial" w:eastAsia="Arial" w:hAnsi="Arial"/>
          <w:sz w:val="3"/>
          <w:szCs w:val="3"/>
          <w:color w:val="FFFFFF"/>
        </w:rPr>
        <w:t>(inOnethousands)yeartwoyears fi ve years fi ve years Total HK$ HK$ HK$ HK$ HK$</w:t>
      </w:r>
    </w:p>
    <w:p>
      <w:pPr>
        <w:ind w:left="100"/>
        <w:spacing w:after="0" w:line="181" w:lineRule="auto"/>
        <w:rPr>
          <w:sz w:val="20"/>
          <w:szCs w:val="20"/>
          <w:color w:val="auto"/>
        </w:rPr>
      </w:pPr>
      <w:r>
        <w:rPr>
          <w:rFonts w:ascii="Arial" w:cs="Arial" w:eastAsia="Arial" w:hAnsi="Arial"/>
          <w:sz w:val="10"/>
          <w:szCs w:val="10"/>
          <w:color w:val="FFFFFF"/>
          <w:vertAlign w:val="subscript"/>
        </w:rPr>
        <w:t>mounts</w:t>
      </w:r>
      <w:r>
        <w:rPr>
          <w:rFonts w:ascii="Arial" w:cs="Arial" w:eastAsia="Arial" w:hAnsi="Arial"/>
          <w:sz w:val="7"/>
          <w:szCs w:val="7"/>
          <w:color w:val="FFFFFF"/>
        </w:rPr>
        <w:t>at31December 2012</w:t>
      </w:r>
    </w:p>
    <w:p>
      <w:pPr>
        <w:spacing w:after="0" w:line="188" w:lineRule="auto"/>
        <w:rPr>
          <w:sz w:val="20"/>
          <w:szCs w:val="20"/>
          <w:color w:val="auto"/>
        </w:rPr>
      </w:pPr>
      <w:r>
        <w:rPr>
          <w:rFonts w:ascii="Arial" w:cs="Arial" w:eastAsia="Arial" w:hAnsi="Arial"/>
          <w:sz w:val="9"/>
          <w:szCs w:val="9"/>
          <w:color w:val="FFFFFF"/>
          <w:vertAlign w:val="subscript"/>
        </w:rPr>
        <w:t>Amounts</w:t>
      </w:r>
      <w:r>
        <w:rPr>
          <w:rFonts w:ascii="Arial" w:cs="Arial" w:eastAsia="Arial" w:hAnsi="Arial"/>
          <w:sz w:val="7"/>
          <w:szCs w:val="7"/>
          <w:color w:val="FFFFFF"/>
        </w:rPr>
        <w:t>at31Decemberduetorelated2011companies 1,448 — — — 1,448</w:t>
      </w:r>
    </w:p>
    <w:p>
      <w:pPr>
        <w:spacing w:after="0"/>
        <w:rPr>
          <w:sz w:val="20"/>
          <w:szCs w:val="20"/>
          <w:color w:val="auto"/>
        </w:rPr>
      </w:pPr>
      <w:r>
        <w:rPr>
          <w:rFonts w:ascii="Arial" w:cs="Arial" w:eastAsia="Arial" w:hAnsi="Arial"/>
          <w:sz w:val="3"/>
          <w:szCs w:val="3"/>
          <w:color w:val="FFFFFF"/>
        </w:rPr>
        <w:t>Capital managementduetorelated companies 19,200 — — — 19,200</w:t>
      </w:r>
    </w:p>
    <w:p>
      <w:pPr>
        <w:spacing w:after="0" w:line="194" w:lineRule="auto"/>
        <w:rPr>
          <w:sz w:val="20"/>
          <w:szCs w:val="20"/>
          <w:color w:val="auto"/>
        </w:rPr>
      </w:pPr>
      <w:r>
        <w:rPr>
          <w:rFonts w:ascii="Arial" w:cs="Arial" w:eastAsia="Arial" w:hAnsi="Arial"/>
          <w:sz w:val="5"/>
          <w:szCs w:val="5"/>
          <w:color w:val="FFFFFF"/>
          <w:vertAlign w:val="subscript"/>
        </w:rPr>
        <w:t>The</w:t>
      </w:r>
      <w:r>
        <w:rPr>
          <w:rFonts w:ascii="Arial" w:cs="Arial" w:eastAsia="Arial" w:hAnsi="Arial"/>
          <w:sz w:val="3"/>
          <w:szCs w:val="3"/>
          <w:color w:val="FFFFFF"/>
        </w:rPr>
        <w:t xml:space="preserve"> primary objective of the Group’</w:t>
      </w:r>
      <w:r>
        <w:rPr>
          <w:rFonts w:ascii="Arial" w:cs="Arial" w:eastAsia="Arial" w:hAnsi="Arial"/>
          <w:sz w:val="5"/>
          <w:szCs w:val="5"/>
          <w:color w:val="FFFFFF"/>
          <w:vertAlign w:val="subscript"/>
        </w:rPr>
        <w:t>structure</w:t>
      </w:r>
      <w:r>
        <w:rPr>
          <w:rFonts w:ascii="Arial" w:cs="Arial" w:eastAsia="Arial" w:hAnsi="Arial"/>
          <w:sz w:val="3"/>
          <w:szCs w:val="3"/>
          <w:color w:val="FFFFFF"/>
        </w:rPr>
        <w:t>capital management is to ensure that it maintains a strong credit rating</w:t>
      </w:r>
      <w:r>
        <w:rPr>
          <w:rFonts w:ascii="Arial" w:cs="Arial" w:eastAsia="Arial" w:hAnsi="Arial"/>
          <w:sz w:val="5"/>
          <w:szCs w:val="5"/>
          <w:color w:val="FFFFFF"/>
          <w:vertAlign w:val="subscript"/>
        </w:rPr>
        <w:t>interest</w:t>
      </w:r>
      <w:r>
        <w:rPr>
          <w:rFonts w:ascii="Arial" w:cs="Arial" w:eastAsia="Arial" w:hAnsi="Arial"/>
          <w:sz w:val="3"/>
          <w:szCs w:val="3"/>
          <w:color w:val="FFFFFF"/>
        </w:rPr>
        <w:t xml:space="preserve">order to support its business and </w:t>
      </w:r>
      <w:r>
        <w:rPr>
          <w:rFonts w:ascii="Arial" w:cs="Arial" w:eastAsia="Arial" w:hAnsi="Arial"/>
          <w:sz w:val="5"/>
          <w:szCs w:val="5"/>
          <w:color w:val="FFFFFF"/>
          <w:vertAlign w:val="subscript"/>
        </w:rPr>
        <w:t>maximize</w:t>
      </w:r>
      <w:r>
        <w:rPr>
          <w:rFonts w:ascii="Arial" w:cs="Arial" w:eastAsia="Arial" w:hAnsi="Arial"/>
          <w:sz w:val="3"/>
          <w:szCs w:val="3"/>
          <w:color w:val="FFFFFF"/>
        </w:rPr>
        <w:t xml:space="preserve"> shareholder’s value.</w:t>
      </w:r>
    </w:p>
    <w:p>
      <w:pPr>
        <w:ind w:firstLine="244"/>
        <w:spacing w:after="0" w:line="190" w:lineRule="auto"/>
        <w:rPr>
          <w:sz w:val="20"/>
          <w:szCs w:val="20"/>
          <w:color w:val="auto"/>
        </w:rPr>
      </w:pPr>
      <w:r>
        <w:rPr>
          <w:rFonts w:ascii="Arial" w:cs="Arial" w:eastAsia="Arial" w:hAnsi="Arial"/>
          <w:sz w:val="11"/>
          <w:szCs w:val="11"/>
          <w:color w:val="FFFFFF"/>
        </w:rPr>
        <w:t>Group manages its capital and makes adjustments to it as economic conditions change (i.e. rates and equity markets). To maintain strong capital structure and in response to changes in economic conditions, the Group may modify debt instruments to obtain more favorable interest rates, obtain additional debt ? nancing, and may adjust dividend payments to shareholders as conditions require.</w:t>
      </w:r>
    </w:p>
    <w:p>
      <w:pPr>
        <w:sectPr>
          <w:pgSz w:w="11900" w:h="16838" w:orient="portrait"/>
          <w:cols w:equalWidth="0" w:num="1">
            <w:col w:w="11240"/>
          </w:cols>
          <w:pgMar w:left="240" w:top="1440" w:right="419"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FFFFFF"/>
        </w:rPr>
        <w:t>FinancialAnnualReportStatements2012 169</w:t>
      </w:r>
    </w:p>
    <w:p>
      <w:pPr>
        <w:spacing w:after="0" w:line="187" w:lineRule="auto"/>
        <w:rPr>
          <w:sz w:val="20"/>
          <w:szCs w:val="20"/>
          <w:color w:val="auto"/>
        </w:rPr>
      </w:pPr>
      <w:r>
        <w:rPr>
          <w:rFonts w:ascii="Arial" w:cs="Arial" w:eastAsia="Arial" w:hAnsi="Arial"/>
          <w:sz w:val="12"/>
          <w:szCs w:val="12"/>
          <w:color w:val="FFFFFF"/>
        </w:rPr>
        <w:t>Notes to Financial Statements</w:t>
      </w:r>
    </w:p>
    <w:p>
      <w:pPr>
        <w:spacing w:after="0" w:line="180" w:lineRule="auto"/>
        <w:rPr>
          <w:sz w:val="20"/>
          <w:szCs w:val="20"/>
          <w:color w:val="auto"/>
        </w:rPr>
      </w:pPr>
      <w:r>
        <w:rPr>
          <w:rFonts w:ascii="Arial" w:cs="Arial" w:eastAsia="Arial" w:hAnsi="Arial"/>
          <w:sz w:val="11"/>
          <w:szCs w:val="11"/>
          <w:color w:val="FFFFFF"/>
        </w:rPr>
        <w:t>For the year ended 31 December 2012</w:t>
      </w:r>
    </w:p>
    <w:p>
      <w:pPr>
        <w:spacing w:after="0"/>
        <w:rPr>
          <w:sz w:val="20"/>
          <w:szCs w:val="20"/>
          <w:color w:val="auto"/>
        </w:rPr>
      </w:pPr>
      <w:r>
        <w:rPr>
          <w:rFonts w:ascii="Arial" w:cs="Arial" w:eastAsia="Arial" w:hAnsi="Arial"/>
          <w:sz w:val="3"/>
          <w:szCs w:val="3"/>
          <w:color w:val="FFFFFF"/>
        </w:rPr>
        <w:t>Capital29. managementFINANCIAL(continued)RISKMANAGEMENT OBJECTIVES AND POLICIES (CONTINUED)</w:t>
      </w:r>
    </w:p>
    <w:p>
      <w:pPr>
        <w:spacing w:after="0" w:line="194" w:lineRule="auto"/>
        <w:rPr>
          <w:sz w:val="20"/>
          <w:szCs w:val="20"/>
          <w:color w:val="auto"/>
        </w:rPr>
      </w:pPr>
      <w:r>
        <w:rPr>
          <w:rFonts w:ascii="Arial" w:cs="Arial" w:eastAsia="Arial" w:hAnsi="Arial"/>
          <w:sz w:val="5"/>
          <w:szCs w:val="5"/>
          <w:color w:val="FFFFFF"/>
        </w:rPr>
        <w:t>The gearing ratio is a key indicator of the Group’s capital structure. The gearing ratio is net debt divided by total capital plus net debt.</w:t>
      </w:r>
    </w:p>
    <w:p>
      <w:pPr>
        <w:ind w:left="3360"/>
        <w:spacing w:after="0"/>
        <w:rPr>
          <w:sz w:val="20"/>
          <w:szCs w:val="20"/>
          <w:color w:val="auto"/>
        </w:rPr>
      </w:pPr>
      <w:r>
        <w:rPr>
          <w:rFonts w:ascii="Arial" w:cs="Arial" w:eastAsia="Arial" w:hAnsi="Arial"/>
          <w:sz w:val="3"/>
          <w:szCs w:val="3"/>
          <w:color w:val="FFFFFF"/>
        </w:rPr>
        <w:t>Group As at 31 December 2012 2011 HK$ HK$ (in thousands, except for percentages)</w:t>
      </w:r>
    </w:p>
    <w:p>
      <w:pPr>
        <w:spacing w:after="0" w:line="6" w:lineRule="exact"/>
        <w:rPr>
          <w:sz w:val="20"/>
          <w:szCs w:val="20"/>
          <w:color w:val="auto"/>
        </w:rPr>
      </w:pPr>
    </w:p>
    <w:p>
      <w:pPr>
        <w:spacing w:after="0" w:line="181" w:lineRule="auto"/>
        <w:rPr>
          <w:sz w:val="20"/>
          <w:szCs w:val="20"/>
          <w:color w:val="auto"/>
        </w:rPr>
      </w:pPr>
      <w:r>
        <w:rPr>
          <w:rFonts w:ascii="Arial" w:cs="Arial" w:eastAsia="Arial" w:hAnsi="Arial"/>
          <w:sz w:val="7"/>
          <w:szCs w:val="7"/>
          <w:color w:val="FFFFFF"/>
        </w:rPr>
        <w:t>Interest-bearing bank loans, net 5,493,770 4,803,466 Accounts payable 968,737 1,050,345 Land premium payable 807,104 911,433 Other payables and accruals 5,440,748 6,236,877 Amounts due to related companies 230,930 158,188 Other liabilities 128,433 135,396 Less: cash and cash equivalents (10,475,370) (5,156,725) restricted cash and cash equivalents (768,654) —</w:t>
      </w:r>
    </w:p>
    <w:p>
      <w:pPr>
        <w:spacing w:after="0"/>
        <w:rPr>
          <w:sz w:val="20"/>
          <w:szCs w:val="20"/>
          <w:color w:val="auto"/>
        </w:rPr>
      </w:pPr>
      <w:r>
        <w:rPr>
          <w:rFonts w:ascii="Arial" w:cs="Arial" w:eastAsia="Arial" w:hAnsi="Arial"/>
          <w:sz w:val="3"/>
          <w:szCs w:val="3"/>
          <w:color w:val="FFFFFF"/>
        </w:rPr>
        <w:t>EquityNetdebt10,500,6701,825,6984,028,4438,138,980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Total capital 10,500,670 4,028,443 Capital and net debt 12,326,368 12,167,423 Gearing ratio 14.8% 66.9%</w:t>
      </w:r>
    </w:p>
    <w:p>
      <w:pPr>
        <w:sectPr>
          <w:pgSz w:w="11900" w:h="16838" w:orient="portrait"/>
          <w:cols w:equalWidth="0" w:num="1">
            <w:col w:w="11120"/>
          </w:cols>
          <w:pgMar w:left="240" w:top="1440" w:right="539" w:bottom="1440" w:gutter="0" w:footer="0" w:header="0"/>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color w:val="FFFFFF"/>
              </w:rPr>
              <w:t>170 Wynn Macau, Limited</w:t>
            </w:r>
          </w:p>
        </w:tc>
        <w:tc>
          <w:tcPr>
            <w:tcW w:w="9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Financial Summary</w:t>
            </w:r>
          </w:p>
        </w:tc>
        <w:tc>
          <w:tcPr>
            <w:tcW w:w="9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A summary of the published results and assets and liabilities of the Group for the last ? ve years prepared on the basis as set out herein, is set forth below.</w:t>
            </w: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Year ended 31 December</w:t>
            </w:r>
          </w:p>
        </w:tc>
        <w:tc>
          <w:tcPr>
            <w:tcW w:w="9720" w:type="dxa"/>
            <w:vAlign w:val="bottom"/>
            <w:vMerge w:val="restart"/>
          </w:tcPr>
          <w:p>
            <w:pPr>
              <w:ind w:left="2180"/>
              <w:spacing w:after="0" w:line="122" w:lineRule="exact"/>
              <w:rPr>
                <w:sz w:val="20"/>
                <w:szCs w:val="20"/>
                <w:color w:val="auto"/>
              </w:rPr>
            </w:pPr>
            <w:r>
              <w:rPr>
                <w:rFonts w:ascii="Arial" w:cs="Arial" w:eastAsia="Arial" w:hAnsi="Arial"/>
                <w:sz w:val="14"/>
                <w:szCs w:val="14"/>
                <w:color w:val="FFFFFF"/>
              </w:rPr>
              <w:t>2012 2011 2010 2009 2008 HK$ HK$ HK$ HK$ HK$ (in thousands)</w:t>
            </w:r>
          </w:p>
        </w:tc>
        <w:tc>
          <w:tcPr>
            <w:tcW w:w="0" w:type="dxa"/>
            <w:vAlign w:val="bottom"/>
          </w:tcPr>
          <w:p>
            <w:pPr>
              <w:spacing w:after="0"/>
              <w:rPr>
                <w:sz w:val="1"/>
                <w:szCs w:val="1"/>
                <w:color w:val="auto"/>
              </w:rPr>
            </w:pPr>
          </w:p>
        </w:tc>
      </w:tr>
      <w:tr>
        <w:trPr>
          <w:trHeight w:val="81"/>
        </w:trPr>
        <w:tc>
          <w:tcPr>
            <w:tcW w:w="1660" w:type="dxa"/>
            <w:vAlign w:val="bottom"/>
          </w:tcPr>
          <w:p>
            <w:pPr>
              <w:spacing w:after="0" w:line="81" w:lineRule="exact"/>
              <w:rPr>
                <w:sz w:val="20"/>
                <w:szCs w:val="20"/>
                <w:color w:val="auto"/>
              </w:rPr>
            </w:pPr>
            <w:r>
              <w:rPr>
                <w:rFonts w:ascii="Arial" w:cs="Arial" w:eastAsia="Arial" w:hAnsi="Arial"/>
                <w:sz w:val="9"/>
                <w:szCs w:val="9"/>
                <w:color w:val="FFFFFF"/>
              </w:rPr>
              <w:t>Results</w:t>
            </w:r>
          </w:p>
        </w:tc>
        <w:tc>
          <w:tcPr>
            <w:tcW w:w="9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Operating revenues 28,542,224 29,498,092 22,438,939 14,076,900 14,710,576 Pro? t before tax 6,454,742 5,894,245 4,466,103 2,074,236 1,982,280 Pro? t for the year 6,439,693 5,921,013 4,422,010 2,068,647</w:t>
            </w: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2,039,644</w:t>
            </w:r>
          </w:p>
        </w:tc>
        <w:tc>
          <w:tcPr>
            <w:tcW w:w="9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660" w:type="dxa"/>
            <w:vAlign w:val="bottom"/>
          </w:tcPr>
          <w:p>
            <w:pPr>
              <w:spacing w:after="0"/>
              <w:rPr>
                <w:sz w:val="20"/>
                <w:szCs w:val="20"/>
                <w:color w:val="auto"/>
              </w:rPr>
            </w:pPr>
            <w:r>
              <w:rPr>
                <w:rFonts w:ascii="Arial" w:cs="Arial" w:eastAsia="Arial" w:hAnsi="Arial"/>
                <w:sz w:val="3"/>
                <w:szCs w:val="3"/>
                <w:color w:val="FFFFFF"/>
              </w:rPr>
              <w:t>As at 31 December</w:t>
            </w:r>
          </w:p>
        </w:tc>
        <w:tc>
          <w:tcPr>
            <w:tcW w:w="9720" w:type="dxa"/>
            <w:vAlign w:val="bottom"/>
            <w:vMerge w:val="restart"/>
          </w:tcPr>
          <w:p>
            <w:pPr>
              <w:ind w:left="2180"/>
              <w:spacing w:after="0" w:line="122" w:lineRule="exact"/>
              <w:rPr>
                <w:sz w:val="20"/>
                <w:szCs w:val="20"/>
                <w:color w:val="auto"/>
              </w:rPr>
            </w:pPr>
            <w:r>
              <w:rPr>
                <w:rFonts w:ascii="Arial" w:cs="Arial" w:eastAsia="Arial" w:hAnsi="Arial"/>
                <w:sz w:val="14"/>
                <w:szCs w:val="14"/>
                <w:color w:val="FFFFFF"/>
              </w:rPr>
              <w:t>2012 2011 2010 2009 2008 HK$ HK$ HK$ HK$ HK$ (in thousands)</w:t>
            </w:r>
          </w:p>
        </w:tc>
        <w:tc>
          <w:tcPr>
            <w:tcW w:w="0" w:type="dxa"/>
            <w:vAlign w:val="bottom"/>
          </w:tcPr>
          <w:p>
            <w:pPr>
              <w:spacing w:after="0"/>
              <w:rPr>
                <w:sz w:val="1"/>
                <w:szCs w:val="1"/>
                <w:color w:val="auto"/>
              </w:rPr>
            </w:pPr>
          </w:p>
        </w:tc>
      </w:tr>
      <w:tr>
        <w:trPr>
          <w:trHeight w:val="81"/>
        </w:trPr>
        <w:tc>
          <w:tcPr>
            <w:tcW w:w="1660" w:type="dxa"/>
            <w:vAlign w:val="bottom"/>
          </w:tcPr>
          <w:p>
            <w:pPr>
              <w:spacing w:after="0" w:line="81" w:lineRule="exact"/>
              <w:rPr>
                <w:sz w:val="20"/>
                <w:szCs w:val="20"/>
                <w:color w:val="auto"/>
              </w:rPr>
            </w:pPr>
            <w:r>
              <w:rPr>
                <w:rFonts w:ascii="Arial" w:cs="Arial" w:eastAsia="Arial" w:hAnsi="Arial"/>
                <w:sz w:val="9"/>
                <w:szCs w:val="9"/>
                <w:color w:val="FFFFFF"/>
              </w:rPr>
              <w:t>Assets and liabilities</w:t>
            </w:r>
          </w:p>
        </w:tc>
        <w:tc>
          <w:tcPr>
            <w:tcW w:w="9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1380" w:type="dxa"/>
            <w:vAlign w:val="bottom"/>
            <w:gridSpan w:val="2"/>
          </w:tcPr>
          <w:p>
            <w:pPr>
              <w:ind w:left="80"/>
              <w:spacing w:after="0"/>
              <w:rPr>
                <w:sz w:val="20"/>
                <w:szCs w:val="20"/>
                <w:color w:val="auto"/>
              </w:rPr>
            </w:pPr>
            <w:r>
              <w:rPr>
                <w:rFonts w:ascii="Arial" w:cs="Arial" w:eastAsia="Arial" w:hAnsi="Arial"/>
                <w:sz w:val="3"/>
                <w:szCs w:val="3"/>
                <w:color w:val="FFFFFF"/>
              </w:rPr>
              <w:t>otal assets 23,615,969 17,359,949 14,348,471 15,591,911 11,116,632 Total liabilities 13,115,299 13,331,506 10,051,382 11,820,945 10,379,127 Net assets 10,500,670 4,028,443 4,297,089 3,770,966 737,505</w:t>
            </w:r>
          </w:p>
        </w:tc>
        <w:tc>
          <w:tcPr>
            <w:tcW w:w="0" w:type="dxa"/>
            <w:vAlign w:val="bottom"/>
          </w:tcPr>
          <w:p>
            <w:pPr>
              <w:spacing w:after="0"/>
              <w:rPr>
                <w:sz w:val="1"/>
                <w:szCs w:val="1"/>
                <w:color w:val="auto"/>
              </w:rPr>
            </w:pPr>
          </w:p>
        </w:tc>
      </w:tr>
      <w:tr>
        <w:trPr>
          <w:trHeight w:val="0"/>
        </w:trPr>
        <w:tc>
          <w:tcPr>
            <w:tcW w:w="1660" w:type="dxa"/>
            <w:vAlign w:val="bottom"/>
          </w:tcPr>
          <w:p>
            <w:pPr>
              <w:spacing w:after="0" w:line="80" w:lineRule="exact"/>
              <w:rPr>
                <w:sz w:val="20"/>
                <w:szCs w:val="20"/>
                <w:color w:val="auto"/>
              </w:rPr>
            </w:pPr>
            <w:r>
              <w:rPr>
                <w:rFonts w:ascii="Arial" w:cs="Arial" w:eastAsia="Arial" w:hAnsi="Arial"/>
                <w:sz w:val="9"/>
                <w:szCs w:val="9"/>
                <w:color w:val="FFFFFF"/>
              </w:rPr>
              <w:t>The summary of the</w:t>
            </w:r>
          </w:p>
        </w:tc>
        <w:tc>
          <w:tcPr>
            <w:tcW w:w="9720" w:type="dxa"/>
            <w:vAlign w:val="bottom"/>
          </w:tcPr>
          <w:p>
            <w:pPr>
              <w:ind w:left="180"/>
              <w:spacing w:after="0" w:line="80" w:lineRule="exact"/>
              <w:rPr>
                <w:sz w:val="20"/>
                <w:szCs w:val="20"/>
                <w:color w:val="auto"/>
              </w:rPr>
            </w:pPr>
            <w:r>
              <w:rPr>
                <w:rFonts w:ascii="Arial" w:cs="Arial" w:eastAsia="Arial" w:hAnsi="Arial"/>
                <w:sz w:val="9"/>
                <w:szCs w:val="9"/>
                <w:color w:val="FFFFFF"/>
              </w:rPr>
              <w:t>results of the Group for the year ended 31 December 2008, and of the asse s and liabilities as at 31 December 2008, have been extracted from the IPO Prospectus. Such</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 xml:space="preserve">summary was preparedconsolidatedcombined basis </w:t>
      </w:r>
      <w:r>
        <w:rPr>
          <w:rFonts w:ascii="Arial" w:cs="Arial" w:eastAsia="Arial" w:hAnsi="Arial"/>
          <w:sz w:val="1"/>
          <w:szCs w:val="1"/>
          <w:color w:val="FFFFFF"/>
          <w:vertAlign w:val="subscript"/>
        </w:rPr>
        <w:t>these</w:t>
      </w:r>
      <w:r>
        <w:rPr>
          <w:rFonts w:ascii="Arial" w:cs="Arial" w:eastAsia="Arial" w:hAnsi="Arial"/>
          <w:sz w:val="1"/>
          <w:szCs w:val="1"/>
          <w:color w:val="FFFFFF"/>
        </w:rPr>
        <w:t>oindicate the results of the Group as if the current structure of the Group, at the time when the Company’s ordinary shares were listed</w:t>
      </w:r>
      <w:r>
        <w:rPr>
          <w:rFonts w:ascii="Arial" w:cs="Arial" w:eastAsia="Arial" w:hAnsi="Arial"/>
          <w:sz w:val="1"/>
          <w:szCs w:val="1"/>
          <w:color w:val="FFFFFF"/>
          <w:vertAlign w:val="subscript"/>
        </w:rPr>
        <w:t>consolidated</w:t>
      </w:r>
      <w:r>
        <w:rPr>
          <w:rFonts w:ascii="Arial" w:cs="Arial" w:eastAsia="Arial" w:hAnsi="Arial"/>
          <w:sz w:val="1"/>
          <w:szCs w:val="1"/>
          <w:color w:val="FFFFFF"/>
        </w:rPr>
        <w:t>theHong Kong Stock</w:t>
      </w:r>
    </w:p>
    <w:p>
      <w:pPr>
        <w:jc w:val="both"/>
        <w:spacing w:after="0" w:line="211" w:lineRule="auto"/>
        <w:rPr>
          <w:sz w:val="20"/>
          <w:szCs w:val="20"/>
          <w:color w:val="auto"/>
        </w:rPr>
      </w:pPr>
      <w:r>
        <w:rPr>
          <w:rFonts w:ascii="Arial" w:cs="Arial" w:eastAsia="Arial" w:hAnsi="Arial"/>
          <w:sz w:val="8"/>
          <w:szCs w:val="8"/>
          <w:color w:val="FFFFFF"/>
        </w:rPr>
        <w:t>Exchange, had been in existence throughout fi nancial years. The consolidated results of the Group for the years ended 31 December 2009, 2010, 2011 and 2012 and the assets and liabilities of the Group as at 31 December 2009, 2010, 2011 and 2012 are those set out in the audited fi nancial statements.</w:t>
      </w:r>
    </w:p>
    <w:p>
      <w:pPr>
        <w:spacing w:after="0"/>
        <w:rPr>
          <w:sz w:val="20"/>
          <w:szCs w:val="20"/>
          <w:color w:val="auto"/>
        </w:rPr>
      </w:pPr>
      <w:r>
        <w:rPr>
          <w:rFonts w:ascii="Arial" w:cs="Arial" w:eastAsia="Arial" w:hAnsi="Arial"/>
          <w:sz w:val="14"/>
          <w:szCs w:val="14"/>
          <w:color w:val="FFFFFF"/>
        </w:rPr>
        <w:t>The summary above does not form part of the audited ? nancial statements.</w:t>
      </w:r>
    </w:p>
    <w:p>
      <w:pPr>
        <w:sectPr>
          <w:pgSz w:w="11900" w:h="16838" w:orient="portrait"/>
          <w:cols w:equalWidth="0" w:num="1">
            <w:col w:w="11400"/>
          </w:cols>
          <w:pgMar w:left="240" w:top="1440" w:right="259"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gridSpan w:val="2"/>
          </w:tcPr>
          <w:p>
            <w:pPr>
              <w:spacing w:after="0"/>
              <w:rPr>
                <w:sz w:val="20"/>
                <w:szCs w:val="20"/>
                <w:color w:val="auto"/>
              </w:rPr>
            </w:pPr>
            <w:r>
              <w:rPr>
                <w:rFonts w:ascii="Arial" w:cs="Arial" w:eastAsia="Arial" w:hAnsi="Arial"/>
                <w:sz w:val="14"/>
                <w:szCs w:val="14"/>
                <w:color w:val="FFFFFF"/>
              </w:rPr>
              <w:t>Annual Report 2012 171</w:t>
            </w:r>
          </w:p>
        </w:tc>
        <w:tc>
          <w:tcPr>
            <w:tcW w:w="6760" w:type="dxa"/>
            <w:vAlign w:val="bottom"/>
          </w:tcPr>
          <w:p>
            <w:pPr>
              <w:spacing w:after="0"/>
              <w:rPr>
                <w:sz w:val="14"/>
                <w:szCs w:val="14"/>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De? nitions</w:t>
            </w:r>
          </w:p>
        </w:tc>
        <w:tc>
          <w:tcPr>
            <w:tcW w:w="3400" w:type="dxa"/>
            <w:vAlign w:val="bottom"/>
          </w:tcPr>
          <w:p>
            <w:pPr>
              <w:spacing w:after="0"/>
              <w:rPr>
                <w:sz w:val="3"/>
                <w:szCs w:val="3"/>
                <w:color w:val="auto"/>
              </w:rPr>
            </w:pPr>
          </w:p>
        </w:tc>
        <w:tc>
          <w:tcPr>
            <w:tcW w:w="6760" w:type="dxa"/>
            <w:vAlign w:val="bottom"/>
          </w:tcPr>
          <w:p>
            <w:pPr>
              <w:spacing w:after="0"/>
              <w:rPr>
                <w:sz w:val="3"/>
                <w:szCs w:val="3"/>
                <w:color w:val="auto"/>
              </w:rPr>
            </w:pPr>
          </w:p>
        </w:tc>
      </w:tr>
      <w:tr>
        <w:trPr>
          <w:trHeight w:val="41"/>
        </w:trPr>
        <w:tc>
          <w:tcPr>
            <w:tcW w:w="11280" w:type="dxa"/>
            <w:vAlign w:val="bottom"/>
            <w:gridSpan w:val="3"/>
          </w:tcPr>
          <w:p>
            <w:pPr>
              <w:jc w:val="center"/>
              <w:ind w:left="129"/>
              <w:spacing w:after="0"/>
              <w:rPr>
                <w:sz w:val="20"/>
                <w:szCs w:val="20"/>
                <w:color w:val="auto"/>
              </w:rPr>
            </w:pPr>
            <w:r>
              <w:rPr>
                <w:rFonts w:ascii="Arial" w:cs="Arial" w:eastAsia="Arial" w:hAnsi="Arial"/>
                <w:sz w:val="3"/>
                <w:szCs w:val="3"/>
                <w:color w:val="FFFFFF"/>
              </w:rPr>
              <w:t>“Amended Wynn Macau together, the HK$5.8 billion (equivalent) fully-funded senior Credit Facilities” term loan facilities and the HK$12.1 billion (equivalent) senior revolving credit facilities extended to</w:t>
            </w:r>
          </w:p>
        </w:tc>
      </w:tr>
      <w:tr>
        <w:trPr>
          <w:trHeight w:val="81"/>
        </w:trPr>
        <w:tc>
          <w:tcPr>
            <w:tcW w:w="4520" w:type="dxa"/>
            <w:vAlign w:val="bottom"/>
            <w:gridSpan w:val="2"/>
          </w:tcPr>
          <w:p>
            <w:pPr>
              <w:ind w:left="60"/>
              <w:spacing w:after="0" w:line="81" w:lineRule="exact"/>
              <w:rPr>
                <w:sz w:val="20"/>
                <w:szCs w:val="20"/>
                <w:color w:val="auto"/>
              </w:rPr>
            </w:pPr>
            <w:r>
              <w:rPr>
                <w:rFonts w:ascii="Arial" w:cs="Arial" w:eastAsia="Arial" w:hAnsi="Arial"/>
                <w:sz w:val="9"/>
                <w:szCs w:val="9"/>
                <w:color w:val="FFFFFF"/>
              </w:rPr>
              <w:t>B ard of Directors”   “Board” the Board of Directors of our Company</w:t>
            </w:r>
          </w:p>
        </w:tc>
        <w:tc>
          <w:tcPr>
            <w:tcW w:w="6760" w:type="dxa"/>
            <w:vAlign w:val="bottom"/>
          </w:tcPr>
          <w:p>
            <w:pPr>
              <w:jc w:val="center"/>
              <w:ind w:right="4315"/>
              <w:spacing w:after="0" w:line="81" w:lineRule="exact"/>
              <w:rPr>
                <w:sz w:val="20"/>
                <w:szCs w:val="20"/>
                <w:color w:val="auto"/>
              </w:rPr>
            </w:pPr>
            <w:r>
              <w:rPr>
                <w:rFonts w:ascii="Arial" w:cs="Arial" w:eastAsia="Arial" w:hAnsi="Arial"/>
                <w:sz w:val="9"/>
                <w:szCs w:val="9"/>
                <w:color w:val="FFFFFF"/>
              </w:rPr>
              <w:t>WRM on 31 July 2012</w:t>
            </w:r>
          </w:p>
        </w:tc>
      </w:tr>
      <w:tr>
        <w:trPr>
          <w:trHeight w:val="41"/>
        </w:trPr>
        <w:tc>
          <w:tcPr>
            <w:tcW w:w="1120" w:type="dxa"/>
            <w:vAlign w:val="bottom"/>
          </w:tcPr>
          <w:p>
            <w:pPr>
              <w:ind w:left="360"/>
              <w:spacing w:after="0"/>
              <w:rPr>
                <w:sz w:val="20"/>
                <w:szCs w:val="20"/>
                <w:color w:val="auto"/>
              </w:rPr>
            </w:pPr>
            <w:r>
              <w:rPr>
                <w:rFonts w:ascii="Arial" w:cs="Arial" w:eastAsia="Arial" w:hAnsi="Arial"/>
                <w:sz w:val="3"/>
                <w:szCs w:val="3"/>
                <w:color w:val="FFFFFF"/>
              </w:rPr>
              <w:t>” the Code on</w:t>
            </w:r>
          </w:p>
        </w:tc>
        <w:tc>
          <w:tcPr>
            <w:tcW w:w="10160" w:type="dxa"/>
            <w:vAlign w:val="bottom"/>
            <w:gridSpan w:val="2"/>
          </w:tcPr>
          <w:p>
            <w:pPr>
              <w:ind w:left="20"/>
              <w:spacing w:after="0"/>
              <w:rPr>
                <w:sz w:val="20"/>
                <w:szCs w:val="20"/>
                <w:color w:val="auto"/>
              </w:rPr>
            </w:pPr>
            <w:r>
              <w:rPr>
                <w:rFonts w:ascii="Arial" w:cs="Arial" w:eastAsia="Arial" w:hAnsi="Arial"/>
                <w:sz w:val="3"/>
                <w:szCs w:val="3"/>
                <w:color w:val="FFFFFF"/>
              </w:rPr>
              <w:t>Corporate Governance Practices prior to 1 April 2012 and the Corporate Governance Code and Corporate Governance Report on and after 1 April 2012</w:t>
            </w:r>
          </w:p>
        </w:tc>
      </w:tr>
      <w:tr>
        <w:trPr>
          <w:trHeight w:val="41"/>
        </w:trPr>
        <w:tc>
          <w:tcPr>
            <w:tcW w:w="11280" w:type="dxa"/>
            <w:vAlign w:val="bottom"/>
            <w:gridSpan w:val="3"/>
          </w:tcPr>
          <w:p>
            <w:pPr>
              <w:spacing w:after="0"/>
              <w:rPr>
                <w:sz w:val="20"/>
                <w:szCs w:val="20"/>
                <w:color w:val="auto"/>
              </w:rPr>
            </w:pPr>
            <w:r>
              <w:rPr>
                <w:rFonts w:ascii="Arial" w:cs="Arial" w:eastAsia="Arial" w:hAnsi="Arial"/>
                <w:sz w:val="3"/>
                <w:szCs w:val="3"/>
                <w:color w:val="FFFFFF"/>
              </w:rPr>
              <w:t>“Code on Corporate Governance the Code on Corporate Governance Practices set out in Practices” Appendix 14 of the Listing Rules which was effective prior to</w:t>
            </w:r>
          </w:p>
        </w:tc>
      </w:tr>
      <w:tr>
        <w:trPr>
          <w:trHeight w:val="69"/>
        </w:trPr>
        <w:tc>
          <w:tcPr>
            <w:tcW w:w="4520" w:type="dxa"/>
            <w:vAlign w:val="bottom"/>
            <w:gridSpan w:val="2"/>
          </w:tcPr>
          <w:p>
            <w:pPr>
              <w:ind w:left="460"/>
              <w:spacing w:after="0" w:line="69" w:lineRule="exact"/>
              <w:rPr>
                <w:sz w:val="20"/>
                <w:szCs w:val="20"/>
                <w:color w:val="auto"/>
              </w:rPr>
            </w:pPr>
            <w:r>
              <w:rPr>
                <w:rFonts w:ascii="Arial" w:cs="Arial" w:eastAsia="Arial" w:hAnsi="Arial"/>
                <w:sz w:val="7"/>
                <w:szCs w:val="7"/>
                <w:color w:val="FFFFFF"/>
              </w:rPr>
              <w:t>1  April 2012</w:t>
            </w:r>
          </w:p>
        </w:tc>
        <w:tc>
          <w:tcPr>
            <w:tcW w:w="6760" w:type="dxa"/>
            <w:vAlign w:val="bottom"/>
          </w:tcPr>
          <w:p>
            <w:pPr>
              <w:spacing w:after="0"/>
              <w:rPr>
                <w:sz w:val="5"/>
                <w:szCs w:val="5"/>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11260" w:type="dxa"/>
            <w:vAlign w:val="bottom"/>
            <w:gridSpan w:val="3"/>
          </w:tcPr>
          <w:p>
            <w:pPr>
              <w:spacing w:after="0" w:line="121" w:lineRule="exact"/>
              <w:rPr>
                <w:sz w:val="20"/>
                <w:szCs w:val="20"/>
                <w:color w:val="auto"/>
              </w:rPr>
            </w:pPr>
            <w:r>
              <w:rPr>
                <w:rFonts w:ascii="Arial" w:cs="Arial" w:eastAsia="Arial" w:hAnsi="Arial"/>
                <w:sz w:val="12"/>
                <w:szCs w:val="12"/>
                <w:color w:val="FFFFFF"/>
              </w:rPr>
              <w:t>“Company” or “our Company” Wynn Macau, Limited, a company incorporated on 4 September 2009 as an exempted company with limited liability under the laws of the Cayman Islands and an indirect</w:t>
            </w:r>
          </w:p>
        </w:tc>
        <w:tc>
          <w:tcPr>
            <w:tcW w:w="0" w:type="dxa"/>
            <w:vAlign w:val="bottom"/>
          </w:tcPr>
          <w:p>
            <w:pPr>
              <w:spacing w:after="0"/>
              <w:rPr>
                <w:sz w:val="1"/>
                <w:szCs w:val="1"/>
                <w:color w:val="auto"/>
              </w:rPr>
            </w:pPr>
          </w:p>
        </w:tc>
      </w:tr>
      <w:tr>
        <w:trPr>
          <w:trHeight w:val="41"/>
        </w:trPr>
        <w:tc>
          <w:tcPr>
            <w:tcW w:w="2620" w:type="dxa"/>
            <w:vAlign w:val="bottom"/>
          </w:tcPr>
          <w:p>
            <w:pPr>
              <w:spacing w:after="0"/>
              <w:rPr>
                <w:sz w:val="20"/>
                <w:szCs w:val="20"/>
                <w:color w:val="auto"/>
              </w:rPr>
            </w:pPr>
            <w:r>
              <w:rPr>
                <w:rFonts w:ascii="Arial" w:cs="Arial" w:eastAsia="Arial" w:hAnsi="Arial"/>
                <w:sz w:val="3"/>
                <w:szCs w:val="3"/>
                <w:color w:val="FFFFFF"/>
              </w:rPr>
              <w:t>subsidiary of Wynn Resorts, Limited</w:t>
            </w:r>
          </w:p>
        </w:tc>
        <w:tc>
          <w:tcPr>
            <w:tcW w:w="6440" w:type="dxa"/>
            <w:vAlign w:val="bottom"/>
          </w:tcPr>
          <w:p>
            <w:pPr>
              <w:spacing w:after="0"/>
              <w:rPr>
                <w:sz w:val="3"/>
                <w:szCs w:val="3"/>
                <w:color w:val="auto"/>
              </w:rPr>
            </w:pPr>
          </w:p>
        </w:tc>
        <w:tc>
          <w:tcPr>
            <w:tcW w:w="2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60" w:type="dxa"/>
            <w:vAlign w:val="bottom"/>
            <w:gridSpan w:val="3"/>
          </w:tcPr>
          <w:p>
            <w:pPr>
              <w:spacing w:after="0"/>
              <w:rPr>
                <w:sz w:val="20"/>
                <w:szCs w:val="20"/>
                <w:color w:val="auto"/>
              </w:rPr>
            </w:pPr>
            <w:r>
              <w:rPr>
                <w:rFonts w:ascii="Arial" w:cs="Arial" w:eastAsia="Arial" w:hAnsi="Arial"/>
                <w:sz w:val="3"/>
                <w:szCs w:val="3"/>
                <w:color w:val="FFFFFF"/>
              </w:rPr>
              <w:t>“Concession Agreement” the Concession Contract for the Operation of Games of Chance or Other Games in Casinos in the Macau Special Administrative Region entered into between WRM and the Macau</w:t>
            </w:r>
          </w:p>
        </w:tc>
        <w:tc>
          <w:tcPr>
            <w:tcW w:w="0" w:type="dxa"/>
            <w:vAlign w:val="bottom"/>
          </w:tcPr>
          <w:p>
            <w:pPr>
              <w:spacing w:after="0"/>
              <w:rPr>
                <w:sz w:val="1"/>
                <w:szCs w:val="1"/>
                <w:color w:val="auto"/>
              </w:rPr>
            </w:pPr>
          </w:p>
        </w:tc>
      </w:tr>
      <w:tr>
        <w:trPr>
          <w:trHeight w:val="41"/>
        </w:trPr>
        <w:tc>
          <w:tcPr>
            <w:tcW w:w="2620" w:type="dxa"/>
            <w:vAlign w:val="bottom"/>
          </w:tcPr>
          <w:p>
            <w:pPr>
              <w:spacing w:after="0"/>
              <w:rPr>
                <w:sz w:val="20"/>
                <w:szCs w:val="20"/>
                <w:color w:val="auto"/>
              </w:rPr>
            </w:pPr>
            <w:r>
              <w:rPr>
                <w:rFonts w:ascii="Arial" w:cs="Arial" w:eastAsia="Arial" w:hAnsi="Arial"/>
                <w:sz w:val="3"/>
                <w:szCs w:val="3"/>
                <w:color w:val="FFFFFF"/>
              </w:rPr>
              <w:t>government on 24 June 2002</w:t>
            </w:r>
          </w:p>
        </w:tc>
        <w:tc>
          <w:tcPr>
            <w:tcW w:w="6440" w:type="dxa"/>
            <w:vAlign w:val="bottom"/>
          </w:tcPr>
          <w:p>
            <w:pPr>
              <w:spacing w:after="0"/>
              <w:rPr>
                <w:sz w:val="3"/>
                <w:szCs w:val="3"/>
                <w:color w:val="auto"/>
              </w:rPr>
            </w:pPr>
          </w:p>
        </w:tc>
        <w:tc>
          <w:tcPr>
            <w:tcW w:w="2200" w:type="dxa"/>
            <w:vAlign w:val="bottom"/>
            <w:vMerge w:val="restart"/>
          </w:tcPr>
          <w:p>
            <w:pPr>
              <w:ind w:left="240"/>
              <w:spacing w:after="0" w:line="81" w:lineRule="exact"/>
              <w:rPr>
                <w:sz w:val="20"/>
                <w:szCs w:val="20"/>
                <w:color w:val="auto"/>
              </w:rPr>
            </w:pPr>
            <w:r>
              <w:rPr>
                <w:rFonts w:ascii="Arial" w:cs="Arial" w:eastAsia="Arial" w:hAnsi="Arial"/>
                <w:sz w:val="9"/>
                <w:szCs w:val="9"/>
                <w:color w:val="FFFFFF"/>
              </w:rPr>
              <w:t>Rules</w:t>
            </w:r>
          </w:p>
        </w:tc>
        <w:tc>
          <w:tcPr>
            <w:tcW w:w="0" w:type="dxa"/>
            <w:vAlign w:val="bottom"/>
          </w:tcPr>
          <w:p>
            <w:pPr>
              <w:spacing w:after="0"/>
              <w:rPr>
                <w:sz w:val="1"/>
                <w:szCs w:val="1"/>
                <w:color w:val="auto"/>
              </w:rPr>
            </w:pPr>
          </w:p>
        </w:tc>
      </w:tr>
      <w:tr>
        <w:trPr>
          <w:trHeight w:val="41"/>
        </w:trPr>
        <w:tc>
          <w:tcPr>
            <w:tcW w:w="9060" w:type="dxa"/>
            <w:vAlign w:val="bottom"/>
            <w:gridSpan w:val="2"/>
          </w:tcPr>
          <w:p>
            <w:pPr>
              <w:spacing w:after="0"/>
              <w:rPr>
                <w:sz w:val="20"/>
                <w:szCs w:val="20"/>
                <w:color w:val="auto"/>
              </w:rPr>
            </w:pPr>
            <w:r>
              <w:rPr>
                <w:rFonts w:ascii="Arial" w:cs="Arial" w:eastAsia="Arial" w:hAnsi="Arial"/>
                <w:sz w:val="3"/>
                <w:szCs w:val="3"/>
                <w:color w:val="FFFFFF"/>
              </w:rPr>
              <w:t>“Corporate Governance Code and the Corporate Governance Code and Corporate Governance Corporate Governance Report” Report set out in Appendix 14 of the</w:t>
            </w:r>
          </w:p>
        </w:tc>
        <w:tc>
          <w:tcPr>
            <w:tcW w:w="22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60" w:type="dxa"/>
            <w:vAlign w:val="bottom"/>
            <w:gridSpan w:val="3"/>
          </w:tcPr>
          <w:p>
            <w:pPr>
              <w:jc w:val="center"/>
              <w:ind w:left="129"/>
              <w:spacing w:after="0"/>
              <w:rPr>
                <w:sz w:val="20"/>
                <w:szCs w:val="20"/>
                <w:color w:val="auto"/>
              </w:rPr>
            </w:pPr>
            <w:r>
              <w:rPr>
                <w:rFonts w:ascii="Arial" w:cs="Arial" w:eastAsia="Arial" w:hAnsi="Arial"/>
                <w:sz w:val="3"/>
                <w:szCs w:val="3"/>
                <w:color w:val="FFFFFF"/>
              </w:rPr>
              <w:t>“Cotai Land Concession the land concession contract entered into between WRM, Palo Agreement” and the Macau government for approximately 51 acres of landListingthe Cotai area of Macau, and for which</w:t>
            </w:r>
          </w:p>
        </w:tc>
        <w:tc>
          <w:tcPr>
            <w:tcW w:w="0" w:type="dxa"/>
            <w:vAlign w:val="bottom"/>
          </w:tcPr>
          <w:p>
            <w:pPr>
              <w:spacing w:after="0"/>
              <w:rPr>
                <w:sz w:val="1"/>
                <w:szCs w:val="1"/>
                <w:color w:val="auto"/>
              </w:rPr>
            </w:pPr>
          </w:p>
        </w:tc>
      </w:tr>
      <w:tr>
        <w:trPr>
          <w:trHeight w:val="172"/>
        </w:trPr>
        <w:tc>
          <w:tcPr>
            <w:tcW w:w="2620" w:type="dxa"/>
            <w:vAlign w:val="bottom"/>
          </w:tcPr>
          <w:p>
            <w:pPr>
              <w:spacing w:after="0"/>
              <w:rPr>
                <w:sz w:val="20"/>
                <w:szCs w:val="20"/>
                <w:color w:val="auto"/>
              </w:rPr>
            </w:pPr>
            <w:r>
              <w:rPr>
                <w:rFonts w:ascii="Arial" w:cs="Arial" w:eastAsia="Arial" w:hAnsi="Arial"/>
                <w:sz w:val="14"/>
                <w:szCs w:val="14"/>
                <w:color w:val="FFFFFF"/>
                <w:w w:val="96"/>
              </w:rPr>
              <w:t>“Director(s)” the director(s) of our Company</w:t>
            </w:r>
          </w:p>
        </w:tc>
        <w:tc>
          <w:tcPr>
            <w:tcW w:w="6440" w:type="dxa"/>
            <w:vAlign w:val="bottom"/>
          </w:tcPr>
          <w:p>
            <w:pPr>
              <w:jc w:val="center"/>
              <w:ind w:right="192"/>
              <w:spacing w:after="0"/>
              <w:rPr>
                <w:sz w:val="20"/>
                <w:szCs w:val="20"/>
                <w:color w:val="auto"/>
              </w:rPr>
            </w:pPr>
            <w:r>
              <w:rPr>
                <w:rFonts w:ascii="Arial" w:cs="Arial" w:eastAsia="Arial" w:hAnsi="Arial"/>
                <w:sz w:val="14"/>
                <w:szCs w:val="14"/>
                <w:color w:val="FFFFFF"/>
                <w:w w:val="88"/>
              </w:rPr>
              <w:t>formal approval from the Macau government was published in the offi cial gazette of Macau on 2 May 2012</w:t>
            </w:r>
          </w:p>
        </w:tc>
        <w:tc>
          <w:tcPr>
            <w:tcW w:w="2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440" w:right="379"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tcPr>
          <w:p>
            <w:pPr>
              <w:spacing w:after="0"/>
              <w:rPr>
                <w:sz w:val="20"/>
                <w:szCs w:val="20"/>
                <w:color w:val="auto"/>
              </w:rPr>
            </w:pPr>
            <w:r>
              <w:rPr>
                <w:rFonts w:ascii="Arial" w:cs="Arial" w:eastAsia="Arial" w:hAnsi="Arial"/>
                <w:sz w:val="14"/>
                <w:szCs w:val="14"/>
                <w:color w:val="FFFFFF"/>
              </w:rPr>
              <w:t>172 Wynn Macau, Limited</w:t>
            </w:r>
          </w:p>
        </w:tc>
        <w:tc>
          <w:tcPr>
            <w:tcW w:w="0" w:type="dxa"/>
            <w:vAlign w:val="bottom"/>
          </w:tcPr>
          <w:p>
            <w:pPr>
              <w:spacing w:after="0"/>
              <w:rPr>
                <w:sz w:val="1"/>
                <w:szCs w:val="1"/>
                <w:color w:val="auto"/>
              </w:rPr>
            </w:pPr>
          </w:p>
        </w:tc>
      </w:tr>
      <w:tr>
        <w:trPr>
          <w:trHeight w:val="41"/>
        </w:trPr>
        <w:tc>
          <w:tcPr>
            <w:tcW w:w="1260" w:type="dxa"/>
            <w:vAlign w:val="bottom"/>
          </w:tcPr>
          <w:p>
            <w:pPr>
              <w:spacing w:after="0"/>
              <w:rPr>
                <w:sz w:val="20"/>
                <w:szCs w:val="20"/>
                <w:color w:val="auto"/>
              </w:rPr>
            </w:pPr>
            <w:r>
              <w:rPr>
                <w:rFonts w:ascii="Arial" w:cs="Arial" w:eastAsia="Arial" w:hAnsi="Arial"/>
                <w:sz w:val="3"/>
                <w:szCs w:val="3"/>
                <w:color w:val="FFFFFF"/>
              </w:rPr>
              <w:t>De?nitions</w:t>
            </w:r>
          </w:p>
        </w:tc>
        <w:tc>
          <w:tcPr>
            <w:tcW w:w="3060" w:type="dxa"/>
            <w:vAlign w:val="bottom"/>
            <w:vMerge w:val="restart"/>
          </w:tcPr>
          <w:p>
            <w:pPr>
              <w:ind w:left="140"/>
              <w:spacing w:after="0"/>
              <w:rPr>
                <w:sz w:val="20"/>
                <w:szCs w:val="20"/>
                <w:color w:val="auto"/>
              </w:rPr>
            </w:pPr>
            <w:r>
              <w:rPr>
                <w:rFonts w:ascii="Arial" w:cs="Arial" w:eastAsia="Arial" w:hAnsi="Arial"/>
                <w:sz w:val="3"/>
                <w:szCs w:val="3"/>
                <w:color w:val="FFFFFF"/>
              </w:rPr>
              <w:t>casino resort located in Macau, connected to and fully</w:t>
            </w:r>
          </w:p>
        </w:tc>
        <w:tc>
          <w:tcPr>
            <w:tcW w:w="0" w:type="dxa"/>
            <w:vAlign w:val="bottom"/>
          </w:tcPr>
          <w:p>
            <w:pPr>
              <w:spacing w:after="0"/>
              <w:rPr>
                <w:sz w:val="1"/>
                <w:szCs w:val="1"/>
                <w:color w:val="auto"/>
              </w:rPr>
            </w:pPr>
          </w:p>
        </w:tc>
      </w:tr>
      <w:tr>
        <w:trPr>
          <w:trHeight w:val="0"/>
        </w:trPr>
        <w:tc>
          <w:tcPr>
            <w:tcW w:w="1260" w:type="dxa"/>
            <w:vAlign w:val="bottom"/>
          </w:tcPr>
          <w:p>
            <w:pPr>
              <w:spacing w:after="0" w:line="80" w:lineRule="exact"/>
              <w:rPr>
                <w:sz w:val="20"/>
                <w:szCs w:val="20"/>
                <w:color w:val="auto"/>
              </w:rPr>
            </w:pPr>
            <w:r>
              <w:rPr>
                <w:rFonts w:ascii="Arial" w:cs="Arial" w:eastAsia="Arial" w:hAnsi="Arial"/>
                <w:sz w:val="9"/>
                <w:szCs w:val="9"/>
                <w:color w:val="FFFFFF"/>
              </w:rPr>
              <w:t>“Encore” or “Encore</w:t>
            </w:r>
          </w:p>
        </w:tc>
        <w:tc>
          <w:tcPr>
            <w:tcW w:w="30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tabs>
          <w:tab w:leader="none" w:pos="800" w:val="left"/>
        </w:tabs>
        <w:rPr>
          <w:sz w:val="20"/>
          <w:szCs w:val="20"/>
          <w:color w:val="auto"/>
        </w:rPr>
      </w:pPr>
      <w:r>
        <w:rPr>
          <w:rFonts w:ascii="Arial" w:cs="Arial" w:eastAsia="Arial" w:hAnsi="Arial"/>
          <w:sz w:val="1"/>
          <w:szCs w:val="1"/>
          <w:color w:val="FFFFFF"/>
          <w:vertAlign w:val="superscript"/>
        </w:rPr>
        <w:t>WRM,</w:t>
      </w:r>
      <w:r>
        <w:rPr>
          <w:sz w:val="20"/>
          <w:szCs w:val="20"/>
          <w:color w:val="auto"/>
        </w:rPr>
        <w:tab/>
      </w:r>
      <w:r>
        <w:rPr>
          <w:rFonts w:ascii="Arial" w:cs="Arial" w:eastAsia="Arial" w:hAnsi="Arial"/>
          <w:sz w:val="1"/>
          <w:szCs w:val="1"/>
          <w:color w:val="FFFFFF"/>
        </w:rPr>
        <w:t>integrated</w:t>
      </w:r>
    </w:p>
    <w:p>
      <w:pPr>
        <w:ind w:left="120"/>
        <w:spacing w:after="0" w:line="187" w:lineRule="auto"/>
        <w:rPr>
          <w:sz w:val="20"/>
          <w:szCs w:val="20"/>
          <w:color w:val="auto"/>
        </w:rPr>
      </w:pPr>
      <w:r>
        <w:rPr>
          <w:rFonts w:ascii="Arial" w:cs="Arial" w:eastAsia="Arial" w:hAnsi="Arial"/>
          <w:sz w:val="9"/>
          <w:szCs w:val="9"/>
          <w:color w:val="FFFFFF"/>
        </w:rPr>
        <w:t>ynn Macau”whichopened on 21withAprilWynn2010Macau, owned and operated directly by</w:t>
      </w:r>
    </w:p>
    <w:p>
      <w:pPr>
        <w:spacing w:after="0"/>
        <w:rPr>
          <w:sz w:val="20"/>
          <w:szCs w:val="20"/>
          <w:color w:val="auto"/>
        </w:rPr>
      </w:pPr>
      <w:r>
        <w:rPr>
          <w:rFonts w:ascii="Arial" w:cs="Arial" w:eastAsia="Arial" w:hAnsi="Arial"/>
          <w:sz w:val="3"/>
          <w:szCs w:val="3"/>
          <w:color w:val="FFFFFF"/>
        </w:rPr>
        <w:t>?rst“ExistingmortgageNotes”notestogether,due2020the and77/8%the ?rst73/4%mortgage?rstmortgagenotesdue 2017, the 77/8%</w:t>
      </w:r>
    </w:p>
    <w:p>
      <w:pPr>
        <w:spacing w:after="0" w:line="181" w:lineRule="auto"/>
        <w:rPr>
          <w:sz w:val="20"/>
          <w:szCs w:val="20"/>
          <w:color w:val="auto"/>
        </w:rPr>
      </w:pPr>
      <w:r>
        <w:rPr>
          <w:rFonts w:ascii="Arial" w:cs="Arial" w:eastAsia="Arial" w:hAnsi="Arial"/>
          <w:sz w:val="10"/>
          <w:szCs w:val="10"/>
          <w:color w:val="FFFFFF"/>
        </w:rPr>
        <w:t>notes due 2020 extended to WRL group other than the Group</w:t>
      </w:r>
    </w:p>
    <w:p>
      <w:pPr>
        <w:spacing w:after="0" w:line="188" w:lineRule="auto"/>
        <w:rPr>
          <w:sz w:val="20"/>
          <w:szCs w:val="20"/>
          <w:color w:val="auto"/>
        </w:rPr>
      </w:pPr>
      <w:r>
        <w:rPr>
          <w:rFonts w:ascii="Arial" w:cs="Arial" w:eastAsia="Arial" w:hAnsi="Arial"/>
          <w:sz w:val="9"/>
          <w:szCs w:val="9"/>
          <w:color w:val="FFFFFF"/>
        </w:rPr>
        <w:t>and“Galaxy”oneofGalaxythethreeCasino,concessionairesS.A.,oneof the six gaming operators in Macau</w:t>
      </w:r>
    </w:p>
    <w:p>
      <w:pPr>
        <w:spacing w:after="0"/>
        <w:rPr>
          <w:sz w:val="20"/>
          <w:szCs w:val="20"/>
          <w:color w:val="auto"/>
        </w:rPr>
      </w:pPr>
      <w:r>
        <w:rPr>
          <w:rFonts w:ascii="Arial" w:cs="Arial" w:eastAsia="Arial" w:hAnsi="Arial"/>
          <w:sz w:val="7"/>
          <w:szCs w:val="7"/>
          <w:color w:val="FFFFFF"/>
        </w:rPr>
        <w:t>businesses“Group,”“we,”carried“us”on orby“our”such oursubsidiaries,Companyexceptanditswheresubsidiaries,the or any of them, and the</w:t>
      </w:r>
    </w:p>
    <w:p>
      <w:pPr>
        <w:spacing w:after="0" w:line="189" w:lineRule="auto"/>
        <w:rPr>
          <w:sz w:val="20"/>
          <w:szCs w:val="20"/>
          <w:color w:val="auto"/>
        </w:rPr>
      </w:pPr>
      <w:r>
        <w:rPr>
          <w:rFonts w:ascii="Arial" w:cs="Arial" w:eastAsia="Arial" w:hAnsi="Arial"/>
          <w:sz w:val="9"/>
          <w:szCs w:val="9"/>
          <w:color w:val="FFFFFF"/>
        </w:rPr>
        <w:t>itselfcontextandmakesnottoittheclearGroupthat the reference is only to the Company</w:t>
      </w:r>
    </w:p>
    <w:p>
      <w:pPr>
        <w:spacing w:after="0"/>
        <w:rPr>
          <w:sz w:val="20"/>
          <w:szCs w:val="20"/>
          <w:color w:val="auto"/>
        </w:rPr>
      </w:pPr>
      <w:r>
        <w:rPr>
          <w:rFonts w:ascii="Arial" w:cs="Arial" w:eastAsia="Arial" w:hAnsi="Arial"/>
          <w:sz w:val="7"/>
          <w:szCs w:val="7"/>
          <w:color w:val="FFFFFF"/>
        </w:rPr>
        <w:t>the“GroupsectionReorganization”headed“Historythe andreorganizationCorporate Structureundertaken— byIPOthe Group, as described in</w:t>
      </w:r>
    </w:p>
    <w:p>
      <w:pPr>
        <w:spacing w:after="0" w:line="214" w:lineRule="auto"/>
        <w:rPr>
          <w:sz w:val="20"/>
          <w:szCs w:val="20"/>
          <w:color w:val="auto"/>
        </w:rPr>
      </w:pPr>
      <w:r>
        <w:rPr>
          <w:rFonts w:ascii="Arial" w:cs="Arial" w:eastAsia="Arial" w:hAnsi="Arial"/>
          <w:sz w:val="2"/>
          <w:szCs w:val="2"/>
          <w:color w:val="FFFFFF"/>
        </w:rPr>
        <w:t>Reorganization”IBOR”</w:t>
      </w:r>
      <w:r>
        <w:rPr>
          <w:rFonts w:ascii="Arial" w:cs="Arial" w:eastAsia="Arial" w:hAnsi="Arial"/>
          <w:sz w:val="4"/>
          <w:szCs w:val="4"/>
          <w:color w:val="FFFFFF"/>
          <w:vertAlign w:val="superscript"/>
        </w:rPr>
        <w:t>K$”</w:t>
      </w:r>
      <w:r>
        <w:rPr>
          <w:rFonts w:ascii="Arial" w:cs="Arial" w:eastAsia="Arial" w:hAnsi="Arial"/>
          <w:sz w:val="2"/>
          <w:szCs w:val="2"/>
          <w:color w:val="FFFFFF"/>
        </w:rPr>
        <w:t>Hong Kongofthe InterbankIPOProspectusOffered Rate</w:t>
      </w:r>
    </w:p>
    <w:p>
      <w:pPr>
        <w:ind w:left="420"/>
        <w:spacing w:after="0"/>
        <w:rPr>
          <w:sz w:val="20"/>
          <w:szCs w:val="20"/>
          <w:color w:val="auto"/>
        </w:rPr>
      </w:pPr>
      <w:r>
        <w:rPr>
          <w:rFonts w:ascii="Arial" w:cs="Arial" w:eastAsia="Arial" w:hAnsi="Arial"/>
          <w:sz w:val="3"/>
          <w:szCs w:val="3"/>
          <w:color w:val="FFFFFF"/>
        </w:rPr>
        <w:t>Hong Kong dollars, the lawful currency of Hong Kong</w:t>
      </w:r>
    </w:p>
    <w:p>
      <w:pPr>
        <w:ind w:left="60"/>
        <w:spacing w:after="0" w:line="194" w:lineRule="auto"/>
        <w:rPr>
          <w:sz w:val="20"/>
          <w:szCs w:val="20"/>
          <w:color w:val="auto"/>
        </w:rPr>
      </w:pPr>
      <w:r>
        <w:rPr>
          <w:rFonts w:ascii="Arial" w:cs="Arial" w:eastAsia="Arial" w:hAnsi="Arial"/>
          <w:sz w:val="5"/>
          <w:szCs w:val="5"/>
          <w:color w:val="FFFFFF"/>
          <w:vertAlign w:val="superscript"/>
        </w:rPr>
        <w:t>Hong Kong</w:t>
      </w:r>
      <w:r>
        <w:rPr>
          <w:rFonts w:ascii="Arial" w:cs="Arial" w:eastAsia="Arial" w:hAnsi="Arial"/>
          <w:sz w:val="3"/>
          <w:szCs w:val="3"/>
          <w:color w:val="FFFFFF"/>
        </w:rPr>
        <w:t>” the Hong Kong Special Administrative Region of the PRC</w:t>
      </w:r>
    </w:p>
    <w:p>
      <w:pPr>
        <w:ind w:left="120"/>
        <w:spacing w:after="0" w:line="211" w:lineRule="auto"/>
        <w:rPr>
          <w:sz w:val="20"/>
          <w:szCs w:val="20"/>
          <w:color w:val="auto"/>
        </w:rPr>
      </w:pPr>
      <w:r>
        <w:rPr>
          <w:rFonts w:ascii="Arial" w:cs="Arial" w:eastAsia="Arial" w:hAnsi="Arial"/>
          <w:sz w:val="4"/>
          <w:szCs w:val="4"/>
          <w:color w:val="FFFFFF"/>
          <w:vertAlign w:val="superscript"/>
        </w:rPr>
        <w:t>FRS”</w:t>
      </w:r>
    </w:p>
    <w:p>
      <w:pPr>
        <w:spacing w:after="0" w:line="212" w:lineRule="auto"/>
        <w:tabs>
          <w:tab w:leader="none" w:pos="420" w:val="left"/>
        </w:tabs>
        <w:rPr>
          <w:sz w:val="20"/>
          <w:szCs w:val="20"/>
          <w:color w:val="auto"/>
        </w:rPr>
      </w:pPr>
      <w:r>
        <w:rPr>
          <w:rFonts w:ascii="Arial" w:cs="Arial" w:eastAsia="Arial" w:hAnsi="Arial"/>
          <w:sz w:val="4"/>
          <w:szCs w:val="4"/>
          <w:color w:val="FFFFFF"/>
          <w:vertAlign w:val="superscript"/>
        </w:rPr>
        <w:t>“IPO</w:t>
      </w:r>
      <w:r>
        <w:rPr>
          <w:sz w:val="20"/>
          <w:szCs w:val="20"/>
          <w:color w:val="auto"/>
        </w:rPr>
        <w:tab/>
      </w:r>
      <w:r>
        <w:rPr>
          <w:rFonts w:ascii="Arial" w:cs="Arial" w:eastAsia="Arial" w:hAnsi="Arial"/>
          <w:sz w:val="2"/>
          <w:szCs w:val="2"/>
          <w:color w:val="FFFFFF"/>
        </w:rPr>
        <w:t>InternationalStockExchange”Financial TheReportingStock StandardsExchange of Hong Kong Limited</w:t>
      </w:r>
    </w:p>
    <w:p>
      <w:pPr>
        <w:ind w:left="320"/>
        <w:spacing w:after="0"/>
        <w:rPr>
          <w:sz w:val="20"/>
          <w:szCs w:val="20"/>
          <w:color w:val="auto"/>
        </w:rPr>
      </w:pPr>
      <w:r>
        <w:rPr>
          <w:rFonts w:ascii="Arial" w:cs="Arial" w:eastAsia="Arial" w:hAnsi="Arial"/>
          <w:sz w:val="3"/>
          <w:szCs w:val="3"/>
          <w:color w:val="FFFFFF"/>
        </w:rPr>
        <w:t>Prospectus” the IPO Prospectus of the Company published on 24 September</w:t>
      </w:r>
    </w:p>
    <w:p>
      <w:pPr>
        <w:spacing w:after="0" w:line="181" w:lineRule="auto"/>
        <w:rPr>
          <w:sz w:val="20"/>
          <w:szCs w:val="20"/>
          <w:color w:val="auto"/>
        </w:rPr>
      </w:pPr>
      <w:r>
        <w:rPr>
          <w:rFonts w:ascii="Arial" w:cs="Arial" w:eastAsia="Arial" w:hAnsi="Arial"/>
          <w:sz w:val="10"/>
          <w:szCs w:val="10"/>
          <w:color w:val="FFFFFF"/>
        </w:rPr>
        <w:t>2009 in connection with the Listing</w:t>
      </w:r>
    </w:p>
    <w:p>
      <w:pPr>
        <w:spacing w:after="0"/>
        <w:rPr>
          <w:sz w:val="20"/>
          <w:szCs w:val="20"/>
          <w:color w:val="auto"/>
        </w:rPr>
      </w:pPr>
      <w:r>
        <w:rPr>
          <w:rFonts w:ascii="Arial" w:cs="Arial" w:eastAsia="Arial" w:hAnsi="Arial"/>
          <w:sz w:val="3"/>
          <w:szCs w:val="3"/>
          <w:color w:val="FFFFFF"/>
        </w:rPr>
        <w:t>State“Las VegasofNevada,Jet,LLC”UnitedLasStatesVegasandJet,a whollyLLC,a ownedcompanysubsidiaryformed under the laws of the</w:t>
      </w:r>
    </w:p>
    <w:p>
      <w:pPr>
        <w:spacing w:after="0" w:line="194" w:lineRule="auto"/>
        <w:rPr>
          <w:sz w:val="20"/>
          <w:szCs w:val="20"/>
          <w:color w:val="auto"/>
        </w:rPr>
      </w:pPr>
      <w:r>
        <w:rPr>
          <w:rFonts w:ascii="Arial" w:cs="Arial" w:eastAsia="Arial" w:hAnsi="Arial"/>
          <w:sz w:val="5"/>
          <w:szCs w:val="5"/>
          <w:color w:val="FFFFFF"/>
        </w:rPr>
        <w:t>of Wynn Resorts, Limited</w:t>
      </w:r>
    </w:p>
    <w:p>
      <w:pPr>
        <w:spacing w:after="0" w:line="211" w:lineRule="auto"/>
        <w:rPr>
          <w:sz w:val="20"/>
          <w:szCs w:val="20"/>
          <w:color w:val="auto"/>
        </w:rPr>
      </w:pPr>
      <w:r>
        <w:rPr>
          <w:rFonts w:ascii="Arial" w:cs="Arial" w:eastAsia="Arial" w:hAnsi="Arial"/>
          <w:sz w:val="4"/>
          <w:szCs w:val="4"/>
          <w:color w:val="FFFFFF"/>
          <w:vertAlign w:val="subscript"/>
        </w:rPr>
        <w:t>“Listing”</w:t>
      </w:r>
      <w:r>
        <w:rPr>
          <w:rFonts w:ascii="Arial" w:cs="Arial" w:eastAsia="Arial" w:hAnsi="Arial"/>
          <w:sz w:val="2"/>
          <w:szCs w:val="2"/>
          <w:color w:val="FFFFFF"/>
        </w:rPr>
        <w:t>IBOR” London Interbank Offered Rate</w:t>
      </w:r>
    </w:p>
    <w:p>
      <w:pPr>
        <w:ind w:left="540"/>
        <w:spacing w:after="0" w:line="212" w:lineRule="auto"/>
        <w:rPr>
          <w:sz w:val="20"/>
          <w:szCs w:val="20"/>
          <w:color w:val="auto"/>
        </w:rPr>
      </w:pPr>
      <w:r>
        <w:rPr>
          <w:rFonts w:ascii="Arial" w:cs="Arial" w:eastAsia="Arial" w:hAnsi="Arial"/>
          <w:sz w:val="2"/>
          <w:szCs w:val="2"/>
          <w:color w:val="FFFFFF"/>
        </w:rPr>
        <w:t>the</w:t>
      </w:r>
      <w:r>
        <w:rPr>
          <w:rFonts w:ascii="Arial" w:cs="Arial" w:eastAsia="Arial" w:hAnsi="Arial"/>
          <w:sz w:val="4"/>
          <w:szCs w:val="4"/>
          <w:color w:val="FFFFFF"/>
          <w:vertAlign w:val="subscript"/>
        </w:rPr>
        <w:t>Exchange</w:t>
      </w:r>
      <w:r>
        <w:rPr>
          <w:rFonts w:ascii="Arial" w:cs="Arial" w:eastAsia="Arial" w:hAnsi="Arial"/>
          <w:sz w:val="2"/>
          <w:szCs w:val="2"/>
          <w:color w:val="FFFFFF"/>
        </w:rPr>
        <w:t>initillisting of the Shares on the Main Board of the Hong</w:t>
      </w:r>
    </w:p>
    <w:p>
      <w:pPr>
        <w:spacing w:after="0"/>
        <w:tabs>
          <w:tab w:leader="none" w:pos="1220" w:val="left"/>
        </w:tabs>
        <w:rPr>
          <w:sz w:val="20"/>
          <w:szCs w:val="20"/>
          <w:color w:val="auto"/>
        </w:rPr>
      </w:pPr>
      <w:r>
        <w:rPr>
          <w:rFonts w:ascii="Arial" w:cs="Arial" w:eastAsia="Arial" w:hAnsi="Arial"/>
          <w:sz w:val="14"/>
          <w:szCs w:val="14"/>
          <w:color w:val="FFFFFF"/>
        </w:rPr>
        <w:t>Kong Stock</w:t>
      </w:r>
      <w:r>
        <w:rPr>
          <w:sz w:val="20"/>
          <w:szCs w:val="20"/>
          <w:color w:val="auto"/>
        </w:rPr>
        <w:tab/>
      </w:r>
      <w:r>
        <w:rPr>
          <w:rFonts w:ascii="Arial" w:cs="Arial" w:eastAsia="Arial" w:hAnsi="Arial"/>
          <w:sz w:val="12"/>
          <w:szCs w:val="12"/>
          <w:color w:val="FFFFFF"/>
        </w:rPr>
        <w:t>on 9 October 2009</w:t>
      </w:r>
    </w:p>
    <w:p>
      <w:pPr>
        <w:sectPr>
          <w:pgSz w:w="11900" w:h="16838" w:orient="portrait"/>
          <w:cols w:equalWidth="0" w:num="1">
            <w:col w:w="10219"/>
          </w:cols>
          <w:pgMar w:left="240" w:top="1440" w:right="1440"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20"/>
                <w:szCs w:val="20"/>
                <w:color w:val="auto"/>
              </w:rPr>
            </w:pPr>
            <w:r>
              <w:rPr>
                <w:rFonts w:ascii="Arial" w:cs="Arial" w:eastAsia="Arial" w:hAnsi="Arial"/>
                <w:sz w:val="14"/>
                <w:szCs w:val="14"/>
                <w:color w:val="FFFFFF"/>
              </w:rPr>
              <w:t>Annual Report 2012 173</w:t>
            </w:r>
          </w:p>
        </w:tc>
        <w:tc>
          <w:tcPr>
            <w:tcW w:w="3220" w:type="dxa"/>
            <w:vAlign w:val="bottom"/>
          </w:tcPr>
          <w:p>
            <w:pPr>
              <w:spacing w:after="0"/>
              <w:rPr>
                <w:sz w:val="14"/>
                <w:szCs w:val="14"/>
                <w:color w:val="auto"/>
              </w:rPr>
            </w:pPr>
          </w:p>
        </w:tc>
        <w:tc>
          <w:tcPr>
            <w:tcW w:w="5120" w:type="dxa"/>
            <w:vAlign w:val="bottom"/>
          </w:tcPr>
          <w:p>
            <w:pPr>
              <w:spacing w:after="0"/>
              <w:rPr>
                <w:sz w:val="14"/>
                <w:szCs w:val="14"/>
                <w:color w:val="auto"/>
              </w:rPr>
            </w:pPr>
          </w:p>
        </w:tc>
      </w:tr>
      <w:tr>
        <w:trPr>
          <w:trHeight w:val="41"/>
        </w:trPr>
        <w:tc>
          <w:tcPr>
            <w:tcW w:w="3080" w:type="dxa"/>
            <w:vAlign w:val="bottom"/>
          </w:tcPr>
          <w:p>
            <w:pPr>
              <w:spacing w:after="0"/>
              <w:rPr>
                <w:sz w:val="20"/>
                <w:szCs w:val="20"/>
                <w:color w:val="auto"/>
              </w:rPr>
            </w:pPr>
            <w:r>
              <w:rPr>
                <w:rFonts w:ascii="Arial" w:cs="Arial" w:eastAsia="Arial" w:hAnsi="Arial"/>
                <w:sz w:val="3"/>
                <w:szCs w:val="3"/>
                <w:color w:val="FFFFFF"/>
              </w:rPr>
              <w:t>De? nitions</w:t>
            </w:r>
          </w:p>
        </w:tc>
        <w:tc>
          <w:tcPr>
            <w:tcW w:w="3220" w:type="dxa"/>
            <w:vAlign w:val="bottom"/>
          </w:tcPr>
          <w:p>
            <w:pPr>
              <w:spacing w:after="0"/>
              <w:rPr>
                <w:sz w:val="3"/>
                <w:szCs w:val="3"/>
                <w:color w:val="auto"/>
              </w:rPr>
            </w:pPr>
          </w:p>
        </w:tc>
        <w:tc>
          <w:tcPr>
            <w:tcW w:w="5120" w:type="dxa"/>
            <w:vAlign w:val="bottom"/>
          </w:tcPr>
          <w:p>
            <w:pPr>
              <w:spacing w:after="0"/>
              <w:rPr>
                <w:sz w:val="3"/>
                <w:szCs w:val="3"/>
                <w:color w:val="auto"/>
              </w:rPr>
            </w:pPr>
          </w:p>
        </w:tc>
      </w:tr>
      <w:tr>
        <w:trPr>
          <w:trHeight w:val="41"/>
        </w:trPr>
        <w:tc>
          <w:tcPr>
            <w:tcW w:w="11420" w:type="dxa"/>
            <w:vAlign w:val="bottom"/>
            <w:gridSpan w:val="3"/>
          </w:tcPr>
          <w:p>
            <w:pPr>
              <w:ind w:left="60"/>
              <w:spacing w:after="0"/>
              <w:rPr>
                <w:sz w:val="20"/>
                <w:szCs w:val="20"/>
                <w:color w:val="auto"/>
              </w:rPr>
            </w:pPr>
            <w:r>
              <w:rPr>
                <w:rFonts w:ascii="Arial" w:cs="Arial" w:eastAsia="Arial" w:hAnsi="Arial"/>
                <w:sz w:val="3"/>
                <w:szCs w:val="3"/>
                <w:color w:val="FFFFFF"/>
              </w:rPr>
              <w:t>Listing Rules” the Rules Governing the Listing of Securities on the Hong Kong Stock Exchange (as amended from time to time)</w:t>
            </w:r>
          </w:p>
        </w:tc>
      </w:tr>
      <w:tr>
        <w:trPr>
          <w:trHeight w:val="41"/>
        </w:trPr>
        <w:tc>
          <w:tcPr>
            <w:tcW w:w="6300" w:type="dxa"/>
            <w:vAlign w:val="bottom"/>
            <w:gridSpan w:val="2"/>
          </w:tcPr>
          <w:p>
            <w:pPr>
              <w:ind w:left="440"/>
              <w:spacing w:after="0"/>
              <w:rPr>
                <w:sz w:val="20"/>
                <w:szCs w:val="20"/>
                <w:color w:val="auto"/>
              </w:rPr>
            </w:pPr>
            <w:r>
              <w:rPr>
                <w:rFonts w:ascii="Arial" w:cs="Arial" w:eastAsia="Arial" w:hAnsi="Arial"/>
                <w:sz w:val="3"/>
                <w:szCs w:val="3"/>
                <w:color w:val="FFFFFF"/>
              </w:rPr>
              <w:t>” or “Macau Special the Macau Special Administrative Region of the PRC Administrative Region”</w:t>
            </w:r>
          </w:p>
        </w:tc>
        <w:tc>
          <w:tcPr>
            <w:tcW w:w="5120" w:type="dxa"/>
            <w:vAlign w:val="bottom"/>
          </w:tcPr>
          <w:p>
            <w:pPr>
              <w:spacing w:after="0"/>
              <w:rPr>
                <w:sz w:val="3"/>
                <w:szCs w:val="3"/>
                <w:color w:val="auto"/>
              </w:rPr>
            </w:pPr>
          </w:p>
        </w:tc>
      </w:tr>
      <w:tr>
        <w:trPr>
          <w:trHeight w:val="41"/>
        </w:trPr>
        <w:tc>
          <w:tcPr>
            <w:tcW w:w="6300" w:type="dxa"/>
            <w:vAlign w:val="bottom"/>
            <w:gridSpan w:val="2"/>
          </w:tcPr>
          <w:p>
            <w:pPr>
              <w:ind w:left="180"/>
              <w:spacing w:after="0"/>
              <w:rPr>
                <w:sz w:val="20"/>
                <w:szCs w:val="20"/>
                <w:color w:val="auto"/>
              </w:rPr>
            </w:pPr>
            <w:r>
              <w:rPr>
                <w:rFonts w:ascii="Arial" w:cs="Arial" w:eastAsia="Arial" w:hAnsi="Arial"/>
                <w:sz w:val="3"/>
                <w:szCs w:val="3"/>
                <w:color w:val="FFFFFF"/>
              </w:rPr>
              <w:t>acau Operations” the fully integrated Wynn Macau and Encore at Wynn Macau resort</w:t>
            </w:r>
          </w:p>
        </w:tc>
        <w:tc>
          <w:tcPr>
            <w:tcW w:w="5120" w:type="dxa"/>
            <w:vAlign w:val="bottom"/>
          </w:tcPr>
          <w:p>
            <w:pPr>
              <w:spacing w:after="0"/>
              <w:rPr>
                <w:sz w:val="3"/>
                <w:szCs w:val="3"/>
                <w:color w:val="auto"/>
              </w:rPr>
            </w:pPr>
          </w:p>
        </w:tc>
      </w:tr>
      <w:tr>
        <w:trPr>
          <w:trHeight w:val="41"/>
        </w:trPr>
        <w:tc>
          <w:tcPr>
            <w:tcW w:w="11420" w:type="dxa"/>
            <w:vAlign w:val="bottom"/>
            <w:gridSpan w:val="3"/>
          </w:tcPr>
          <w:p>
            <w:pPr>
              <w:ind w:left="180"/>
              <w:spacing w:after="0"/>
              <w:rPr>
                <w:sz w:val="20"/>
                <w:szCs w:val="20"/>
                <w:color w:val="auto"/>
              </w:rPr>
            </w:pPr>
            <w:r>
              <w:rPr>
                <w:rFonts w:ascii="Arial" w:cs="Arial" w:eastAsia="Arial" w:hAnsi="Arial"/>
                <w:sz w:val="3"/>
                <w:szCs w:val="3"/>
                <w:color w:val="FFFFFF"/>
              </w:rPr>
              <w:t>elco Crown” Melco Crown Gam ng (Macau) Limited, one of the six gaming operators in Macau and one of the three sub-concessionaires</w:t>
            </w:r>
          </w:p>
        </w:tc>
      </w:tr>
      <w:tr>
        <w:trPr>
          <w:trHeight w:val="41"/>
        </w:trPr>
        <w:tc>
          <w:tcPr>
            <w:tcW w:w="11420" w:type="dxa"/>
            <w:vAlign w:val="bottom"/>
            <w:gridSpan w:val="3"/>
          </w:tcPr>
          <w:p>
            <w:pPr>
              <w:ind w:left="180"/>
              <w:spacing w:after="0"/>
              <w:rPr>
                <w:sz w:val="20"/>
                <w:szCs w:val="20"/>
                <w:color w:val="auto"/>
              </w:rPr>
            </w:pPr>
            <w:r>
              <w:rPr>
                <w:rFonts w:ascii="Arial" w:cs="Arial" w:eastAsia="Arial" w:hAnsi="Arial"/>
                <w:sz w:val="3"/>
                <w:szCs w:val="3"/>
                <w:color w:val="FFFFFF"/>
              </w:rPr>
              <w:t>GM Macau” MGM Grand Paradise Limited, one of the six gaming operators in Macau and one of the three sub-concessionaires</w:t>
            </w:r>
          </w:p>
        </w:tc>
      </w:tr>
      <w:tr>
        <w:trPr>
          <w:trHeight w:val="41"/>
        </w:trPr>
        <w:tc>
          <w:tcPr>
            <w:tcW w:w="11420" w:type="dxa"/>
            <w:vAlign w:val="bottom"/>
            <w:gridSpan w:val="3"/>
          </w:tcPr>
          <w:p>
            <w:pPr>
              <w:ind w:left="180"/>
              <w:spacing w:after="0"/>
              <w:rPr>
                <w:sz w:val="20"/>
                <w:szCs w:val="20"/>
                <w:color w:val="auto"/>
              </w:rPr>
            </w:pPr>
            <w:r>
              <w:rPr>
                <w:rFonts w:ascii="Arial" w:cs="Arial" w:eastAsia="Arial" w:hAnsi="Arial"/>
                <w:sz w:val="3"/>
                <w:szCs w:val="3"/>
                <w:color w:val="FFFFFF"/>
              </w:rPr>
              <w:t>odel Code” the Model Code for Securities Transactions by Directors of Listed Issuers set out in Appendix 10 of the Listing Rules</w:t>
            </w:r>
          </w:p>
        </w:tc>
      </w:tr>
      <w:tr>
        <w:trPr>
          <w:trHeight w:val="41"/>
        </w:trPr>
        <w:tc>
          <w:tcPr>
            <w:tcW w:w="6300" w:type="dxa"/>
            <w:vAlign w:val="bottom"/>
            <w:gridSpan w:val="2"/>
          </w:tcPr>
          <w:p>
            <w:pPr>
              <w:ind w:left="60"/>
              <w:spacing w:after="0"/>
              <w:rPr>
                <w:sz w:val="20"/>
                <w:szCs w:val="20"/>
                <w:color w:val="auto"/>
              </w:rPr>
            </w:pPr>
            <w:r>
              <w:rPr>
                <w:rFonts w:ascii="Arial" w:cs="Arial" w:eastAsia="Arial" w:hAnsi="Arial"/>
                <w:sz w:val="3"/>
                <w:szCs w:val="3"/>
                <w:color w:val="FFFFFF"/>
              </w:rPr>
              <w:t>MOP” or “pataca” Macau pataca, the lawful currency of Macau</w:t>
            </w:r>
          </w:p>
        </w:tc>
        <w:tc>
          <w:tcPr>
            <w:tcW w:w="5120" w:type="dxa"/>
            <w:vAlign w:val="bottom"/>
          </w:tcPr>
          <w:p>
            <w:pPr>
              <w:spacing w:after="0"/>
              <w:rPr>
                <w:sz w:val="3"/>
                <w:szCs w:val="3"/>
                <w:color w:val="auto"/>
              </w:rPr>
            </w:pPr>
          </w:p>
        </w:tc>
      </w:tr>
      <w:tr>
        <w:trPr>
          <w:trHeight w:val="41"/>
        </w:trPr>
        <w:tc>
          <w:tcPr>
            <w:tcW w:w="6300" w:type="dxa"/>
            <w:vAlign w:val="bottom"/>
            <w:gridSpan w:val="2"/>
          </w:tcPr>
          <w:p>
            <w:pPr>
              <w:ind w:left="60"/>
              <w:spacing w:after="0"/>
              <w:rPr>
                <w:sz w:val="20"/>
                <w:szCs w:val="20"/>
                <w:color w:val="auto"/>
              </w:rPr>
            </w:pPr>
            <w:r>
              <w:rPr>
                <w:rFonts w:ascii="Arial" w:cs="Arial" w:eastAsia="Arial" w:hAnsi="Arial"/>
                <w:sz w:val="3"/>
                <w:szCs w:val="3"/>
                <w:color w:val="FFFFFF"/>
              </w:rPr>
              <w:t>NASDAQ” or National Association of Securities Dealers Automated “NASDAQ Stock Market” Quotations</w:t>
            </w:r>
          </w:p>
        </w:tc>
        <w:tc>
          <w:tcPr>
            <w:tcW w:w="5120" w:type="dxa"/>
            <w:vAlign w:val="bottom"/>
          </w:tcPr>
          <w:p>
            <w:pPr>
              <w:spacing w:after="0"/>
              <w:rPr>
                <w:sz w:val="3"/>
                <w:szCs w:val="3"/>
                <w:color w:val="auto"/>
              </w:rPr>
            </w:pPr>
          </w:p>
        </w:tc>
      </w:tr>
      <w:tr>
        <w:trPr>
          <w:trHeight w:val="41"/>
        </w:trPr>
        <w:tc>
          <w:tcPr>
            <w:tcW w:w="3080" w:type="dxa"/>
            <w:vAlign w:val="bottom"/>
          </w:tcPr>
          <w:p>
            <w:pPr>
              <w:spacing w:after="0"/>
              <w:rPr>
                <w:sz w:val="20"/>
                <w:szCs w:val="20"/>
                <w:color w:val="auto"/>
              </w:rPr>
            </w:pPr>
            <w:r>
              <w:rPr>
                <w:rFonts w:ascii="Arial" w:cs="Arial" w:eastAsia="Arial" w:hAnsi="Arial"/>
                <w:sz w:val="3"/>
                <w:szCs w:val="3"/>
                <w:color w:val="FFFFFF"/>
              </w:rPr>
              <w:t>“Offshore RMB” RMB maintained outside mainland</w:t>
            </w:r>
          </w:p>
        </w:tc>
        <w:tc>
          <w:tcPr>
            <w:tcW w:w="8340" w:type="dxa"/>
            <w:vAlign w:val="bottom"/>
            <w:gridSpan w:val="2"/>
          </w:tcPr>
          <w:p>
            <w:pPr>
              <w:jc w:val="right"/>
              <w:ind w:right="172"/>
              <w:spacing w:after="0"/>
              <w:rPr>
                <w:sz w:val="20"/>
                <w:szCs w:val="20"/>
                <w:color w:val="auto"/>
              </w:rPr>
            </w:pPr>
            <w:r>
              <w:rPr>
                <w:rFonts w:ascii="Arial" w:cs="Arial" w:eastAsia="Arial" w:hAnsi="Arial"/>
                <w:sz w:val="3"/>
                <w:szCs w:val="3"/>
                <w:color w:val="FFFFFF"/>
              </w:rPr>
              <w:t>primarily in Hong Kong where RMB trading is offi cially sanctioned and regulated, that is largely convertible and transferable. It is also known as</w:t>
            </w:r>
          </w:p>
        </w:tc>
      </w:tr>
      <w:tr>
        <w:trPr>
          <w:trHeight w:val="41"/>
        </w:trPr>
        <w:tc>
          <w:tcPr>
            <w:tcW w:w="6300" w:type="dxa"/>
            <w:vAlign w:val="bottom"/>
            <w:gridSpan w:val="2"/>
          </w:tcPr>
          <w:p>
            <w:pPr>
              <w:spacing w:after="0"/>
              <w:rPr>
                <w:sz w:val="20"/>
                <w:szCs w:val="20"/>
                <w:color w:val="auto"/>
              </w:rPr>
            </w:pPr>
            <w:r>
              <w:rPr>
                <w:rFonts w:ascii="Arial" w:cs="Arial" w:eastAsia="Arial" w:hAnsi="Arial"/>
                <w:sz w:val="3"/>
                <w:szCs w:val="3"/>
                <w:color w:val="FFFFFF"/>
              </w:rPr>
              <w:t>CNH, which refers to offshore RMB primarily traded China,Hong Kong (hence the “H”)</w:t>
            </w:r>
          </w:p>
        </w:tc>
        <w:tc>
          <w:tcPr>
            <w:tcW w:w="5120" w:type="dxa"/>
            <w:vAlign w:val="bottom"/>
          </w:tcPr>
          <w:p>
            <w:pPr>
              <w:spacing w:after="0"/>
              <w:rPr>
                <w:sz w:val="3"/>
                <w:szCs w:val="3"/>
                <w:color w:val="auto"/>
              </w:rPr>
            </w:pPr>
          </w:p>
        </w:tc>
      </w:tr>
      <w:tr>
        <w:trPr>
          <w:trHeight w:val="41"/>
        </w:trPr>
        <w:tc>
          <w:tcPr>
            <w:tcW w:w="11420" w:type="dxa"/>
            <w:vAlign w:val="bottom"/>
            <w:gridSpan w:val="3"/>
          </w:tcPr>
          <w:p>
            <w:pPr>
              <w:jc w:val="right"/>
              <w:spacing w:after="0"/>
              <w:rPr>
                <w:sz w:val="20"/>
                <w:szCs w:val="20"/>
                <w:color w:val="auto"/>
              </w:rPr>
            </w:pPr>
            <w:r>
              <w:rPr>
                <w:rFonts w:ascii="Arial" w:cs="Arial" w:eastAsia="Arial" w:hAnsi="Arial"/>
                <w:sz w:val="3"/>
                <w:szCs w:val="3"/>
                <w:color w:val="FFFFFF"/>
              </w:rPr>
              <w:t>“Palo Real Estate Company Palo Real Estate Company Limited, a limited liability company Limited” or “Palo” incorporated under the laws of Macau and an indirect wholly owned subsidiary of the Company,</w:t>
            </w:r>
          </w:p>
        </w:tc>
      </w:tr>
      <w:tr>
        <w:trPr>
          <w:trHeight w:val="172"/>
        </w:trPr>
        <w:tc>
          <w:tcPr>
            <w:tcW w:w="3080" w:type="dxa"/>
            <w:vAlign w:val="bottom"/>
          </w:tcPr>
          <w:p>
            <w:pPr>
              <w:spacing w:after="0"/>
              <w:rPr>
                <w:sz w:val="20"/>
                <w:szCs w:val="20"/>
                <w:color w:val="auto"/>
              </w:rPr>
            </w:pPr>
            <w:r>
              <w:rPr>
                <w:rFonts w:ascii="Arial" w:cs="Arial" w:eastAsia="Arial" w:hAnsi="Arial"/>
                <w:sz w:val="14"/>
                <w:szCs w:val="14"/>
                <w:color w:val="FFFFFF"/>
              </w:rPr>
              <w:t>Wong Chi Seng (a Macau resident) in WRM</w:t>
            </w:r>
          </w:p>
        </w:tc>
        <w:tc>
          <w:tcPr>
            <w:tcW w:w="3220" w:type="dxa"/>
            <w:vAlign w:val="bottom"/>
          </w:tcPr>
          <w:p>
            <w:pPr>
              <w:spacing w:after="0"/>
              <w:rPr>
                <w:sz w:val="14"/>
                <w:szCs w:val="14"/>
                <w:color w:val="auto"/>
              </w:rPr>
            </w:pPr>
          </w:p>
        </w:tc>
        <w:tc>
          <w:tcPr>
            <w:tcW w:w="5120" w:type="dxa"/>
            <w:vAlign w:val="bottom"/>
          </w:tcPr>
          <w:p>
            <w:pPr>
              <w:jc w:val="right"/>
              <w:spacing w:after="0"/>
              <w:rPr>
                <w:sz w:val="20"/>
                <w:szCs w:val="20"/>
                <w:color w:val="auto"/>
              </w:rPr>
            </w:pPr>
            <w:r>
              <w:rPr>
                <w:rFonts w:ascii="Arial" w:cs="Arial" w:eastAsia="Arial" w:hAnsi="Arial"/>
                <w:sz w:val="14"/>
                <w:szCs w:val="14"/>
                <w:color w:val="FFFFFF"/>
                <w:w w:val="94"/>
              </w:rPr>
              <w:t>subject to a 10% social and voting interest and MOP1.00 economic interest held by Mr.</w:t>
            </w:r>
          </w:p>
        </w:tc>
      </w:tr>
    </w:tbl>
    <w:p>
      <w:pPr>
        <w:sectPr>
          <w:pgSz w:w="11900" w:h="16838" w:orient="portrait"/>
          <w:cols w:equalWidth="0" w:num="1">
            <w:col w:w="11420"/>
          </w:cols>
          <w:pgMar w:left="240" w:top="1440" w:right="23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color w:val="FFFFFF"/>
                <w:w w:val="90"/>
              </w:rPr>
              <w:t>174 Wynn Macau, Limited</w:t>
            </w:r>
          </w:p>
        </w:tc>
        <w:tc>
          <w:tcPr>
            <w:tcW w:w="1100" w:type="dxa"/>
            <w:vAlign w:val="bottom"/>
          </w:tcPr>
          <w:p>
            <w:pPr>
              <w:spacing w:after="0"/>
              <w:rPr>
                <w:sz w:val="14"/>
                <w:szCs w:val="14"/>
                <w:color w:val="auto"/>
              </w:rPr>
            </w:pPr>
          </w:p>
        </w:tc>
        <w:tc>
          <w:tcPr>
            <w:tcW w:w="8820" w:type="dxa"/>
            <w:vAlign w:val="bottom"/>
          </w:tcPr>
          <w:p>
            <w:pPr>
              <w:spacing w:after="0"/>
              <w:rPr>
                <w:sz w:val="14"/>
                <w:szCs w:val="14"/>
                <w:color w:val="auto"/>
              </w:rPr>
            </w:pPr>
          </w:p>
        </w:tc>
      </w:tr>
      <w:tr>
        <w:trPr>
          <w:trHeight w:val="41"/>
        </w:trPr>
        <w:tc>
          <w:tcPr>
            <w:tcW w:w="780" w:type="dxa"/>
            <w:vAlign w:val="bottom"/>
          </w:tcPr>
          <w:p>
            <w:pPr>
              <w:spacing w:after="0"/>
              <w:rPr>
                <w:sz w:val="20"/>
                <w:szCs w:val="20"/>
                <w:color w:val="auto"/>
              </w:rPr>
            </w:pPr>
            <w:r>
              <w:rPr>
                <w:rFonts w:ascii="Arial" w:cs="Arial" w:eastAsia="Arial" w:hAnsi="Arial"/>
                <w:sz w:val="3"/>
                <w:szCs w:val="3"/>
                <w:color w:val="FFFFFF"/>
              </w:rPr>
              <w:t>De? nitions</w:t>
            </w:r>
          </w:p>
        </w:tc>
        <w:tc>
          <w:tcPr>
            <w:tcW w:w="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820" w:type="dxa"/>
            <w:vAlign w:val="bottom"/>
          </w:tcPr>
          <w:p>
            <w:pPr>
              <w:spacing w:after="0"/>
              <w:rPr>
                <w:sz w:val="3"/>
                <w:szCs w:val="3"/>
                <w:color w:val="auto"/>
              </w:rPr>
            </w:pPr>
          </w:p>
        </w:tc>
      </w:tr>
      <w:tr>
        <w:trPr>
          <w:trHeight w:val="41"/>
        </w:trPr>
        <w:tc>
          <w:tcPr>
            <w:tcW w:w="11400" w:type="dxa"/>
            <w:vAlign w:val="bottom"/>
            <w:gridSpan w:val="4"/>
          </w:tcPr>
          <w:p>
            <w:pPr>
              <w:ind w:left="20"/>
              <w:spacing w:after="0"/>
              <w:rPr>
                <w:sz w:val="20"/>
                <w:szCs w:val="20"/>
                <w:color w:val="auto"/>
              </w:rPr>
            </w:pPr>
            <w:r>
              <w:rPr>
                <w:rFonts w:ascii="Arial" w:cs="Arial" w:eastAsia="Arial" w:hAnsi="Arial"/>
                <w:sz w:val="3"/>
                <w:szCs w:val="3"/>
                <w:color w:val="FFFFFF"/>
              </w:rPr>
              <w:t>“PRC”, “China” or the People’s Republic of China and, except where the context “mainland China” requires and only for the purpose of this annual report, references in this annual report to the PRC or China do</w:t>
            </w:r>
          </w:p>
        </w:tc>
      </w:tr>
      <w:tr>
        <w:trPr>
          <w:trHeight w:val="81"/>
        </w:trPr>
        <w:tc>
          <w:tcPr>
            <w:tcW w:w="2580" w:type="dxa"/>
            <w:vAlign w:val="bottom"/>
            <w:gridSpan w:val="3"/>
          </w:tcPr>
          <w:p>
            <w:pPr>
              <w:ind w:left="60"/>
              <w:spacing w:after="0" w:line="81" w:lineRule="exact"/>
              <w:rPr>
                <w:sz w:val="20"/>
                <w:szCs w:val="20"/>
                <w:color w:val="auto"/>
              </w:rPr>
            </w:pPr>
            <w:r>
              <w:rPr>
                <w:rFonts w:ascii="Arial" w:cs="Arial" w:eastAsia="Arial" w:hAnsi="Arial"/>
                <w:sz w:val="9"/>
                <w:szCs w:val="9"/>
                <w:color w:val="FFFFFF"/>
              </w:rPr>
              <w:t>RMB” Renminbi, the lawful currency of PRC</w:t>
            </w:r>
          </w:p>
        </w:tc>
        <w:tc>
          <w:tcPr>
            <w:tcW w:w="8820" w:type="dxa"/>
            <w:vAlign w:val="bottom"/>
          </w:tcPr>
          <w:p>
            <w:pPr>
              <w:ind w:left="840"/>
              <w:spacing w:after="0" w:line="81" w:lineRule="exact"/>
              <w:rPr>
                <w:sz w:val="20"/>
                <w:szCs w:val="20"/>
                <w:color w:val="auto"/>
              </w:rPr>
            </w:pPr>
            <w:r>
              <w:rPr>
                <w:rFonts w:ascii="Arial" w:cs="Arial" w:eastAsia="Arial" w:hAnsi="Arial"/>
                <w:sz w:val="9"/>
                <w:szCs w:val="9"/>
                <w:color w:val="FFFFFF"/>
              </w:rPr>
              <w:t>not include Taiwan, Hong Kong or Macau; the term “Chinese” has a similar meaning</w:t>
            </w:r>
          </w:p>
        </w:tc>
      </w:tr>
      <w:tr>
        <w:trPr>
          <w:trHeight w:val="41"/>
        </w:trPr>
        <w:tc>
          <w:tcPr>
            <w:tcW w:w="11400" w:type="dxa"/>
            <w:vAlign w:val="bottom"/>
            <w:gridSpan w:val="4"/>
          </w:tcPr>
          <w:p>
            <w:pPr>
              <w:ind w:left="140"/>
              <w:spacing w:after="0"/>
              <w:rPr>
                <w:sz w:val="20"/>
                <w:szCs w:val="20"/>
                <w:color w:val="auto"/>
              </w:rPr>
            </w:pPr>
            <w:r>
              <w:rPr>
                <w:rFonts w:ascii="Arial" w:cs="Arial" w:eastAsia="Arial" w:hAnsi="Arial"/>
                <w:sz w:val="3"/>
                <w:szCs w:val="3"/>
                <w:color w:val="FFFFFF"/>
              </w:rPr>
              <w:t>ecurities and Exchange the U.S. Securities and Exchange Commission Commission” or “SEC”</w:t>
            </w:r>
          </w:p>
        </w:tc>
      </w:tr>
      <w:tr>
        <w:trPr>
          <w:trHeight w:val="41"/>
        </w:trPr>
        <w:tc>
          <w:tcPr>
            <w:tcW w:w="11400" w:type="dxa"/>
            <w:vAlign w:val="bottom"/>
            <w:gridSpan w:val="4"/>
          </w:tcPr>
          <w:p>
            <w:pPr>
              <w:ind w:left="140"/>
              <w:spacing w:after="0"/>
              <w:rPr>
                <w:sz w:val="20"/>
                <w:szCs w:val="20"/>
                <w:color w:val="auto"/>
              </w:rPr>
            </w:pPr>
            <w:r>
              <w:rPr>
                <w:rFonts w:ascii="Arial" w:cs="Arial" w:eastAsia="Arial" w:hAnsi="Arial"/>
                <w:sz w:val="3"/>
                <w:szCs w:val="3"/>
                <w:color w:val="FFFFFF"/>
              </w:rPr>
              <w:t>FO” the Securities and Futures Ordinance (Chapter 571 of the Laws of Hong Kong)</w:t>
            </w:r>
          </w:p>
        </w:tc>
      </w:tr>
      <w:tr>
        <w:trPr>
          <w:trHeight w:val="41"/>
        </w:trPr>
        <w:tc>
          <w:tcPr>
            <w:tcW w:w="11400" w:type="dxa"/>
            <w:vAlign w:val="bottom"/>
            <w:gridSpan w:val="4"/>
          </w:tcPr>
          <w:p>
            <w:pPr>
              <w:ind w:left="620"/>
              <w:spacing w:after="0"/>
              <w:rPr>
                <w:sz w:val="20"/>
                <w:szCs w:val="20"/>
                <w:color w:val="auto"/>
              </w:rPr>
            </w:pPr>
            <w:r>
              <w:rPr>
                <w:rFonts w:ascii="Arial" w:cs="Arial" w:eastAsia="Arial" w:hAnsi="Arial"/>
                <w:sz w:val="3"/>
                <w:szCs w:val="3"/>
                <w:color w:val="FFFFFF"/>
              </w:rPr>
              <w:t>ordinary share(s) with  nominal value of HK$0.001 each in the share capital of our Company</w:t>
            </w:r>
          </w:p>
        </w:tc>
      </w:tr>
      <w:tr>
        <w:trPr>
          <w:trHeight w:val="41"/>
        </w:trPr>
        <w:tc>
          <w:tcPr>
            <w:tcW w:w="1480" w:type="dxa"/>
            <w:vAlign w:val="bottom"/>
            <w:gridSpan w:val="2"/>
          </w:tcPr>
          <w:p>
            <w:pPr>
              <w:ind w:left="140"/>
              <w:spacing w:after="0"/>
              <w:rPr>
                <w:sz w:val="20"/>
                <w:szCs w:val="20"/>
                <w:color w:val="auto"/>
              </w:rPr>
            </w:pPr>
            <w:r>
              <w:rPr>
                <w:rFonts w:ascii="Arial" w:cs="Arial" w:eastAsia="Arial" w:hAnsi="Arial"/>
                <w:sz w:val="3"/>
                <w:szCs w:val="3"/>
                <w:color w:val="FFFFFF"/>
              </w:rPr>
              <w:t>hareholder(s)”</w:t>
            </w:r>
          </w:p>
        </w:tc>
        <w:tc>
          <w:tcPr>
            <w:tcW w:w="9920" w:type="dxa"/>
            <w:vAlign w:val="bottom"/>
            <w:gridSpan w:val="2"/>
          </w:tcPr>
          <w:p>
            <w:pPr>
              <w:spacing w:after="0"/>
              <w:rPr>
                <w:sz w:val="20"/>
                <w:szCs w:val="20"/>
                <w:color w:val="auto"/>
              </w:rPr>
            </w:pPr>
            <w:r>
              <w:rPr>
                <w:rFonts w:ascii="Arial" w:cs="Arial" w:eastAsia="Arial" w:hAnsi="Arial"/>
                <w:sz w:val="3"/>
                <w:szCs w:val="3"/>
                <w:color w:val="FFFFFF"/>
              </w:rPr>
              <w:t>of Share(s) of the Company from time   time</w:t>
            </w:r>
          </w:p>
        </w:tc>
      </w:tr>
      <w:tr>
        <w:trPr>
          <w:trHeight w:val="41"/>
        </w:trPr>
        <w:tc>
          <w:tcPr>
            <w:tcW w:w="11400" w:type="dxa"/>
            <w:vAlign w:val="bottom"/>
            <w:gridSpan w:val="4"/>
          </w:tcPr>
          <w:p>
            <w:pPr>
              <w:ind w:left="60"/>
              <w:spacing w:after="0"/>
              <w:rPr>
                <w:sz w:val="20"/>
                <w:szCs w:val="20"/>
                <w:color w:val="auto"/>
              </w:rPr>
            </w:pPr>
            <w:r>
              <w:rPr>
                <w:rFonts w:ascii="Arial" w:cs="Arial" w:eastAsia="Arial" w:hAnsi="Arial"/>
                <w:sz w:val="3"/>
                <w:szCs w:val="3"/>
                <w:color w:val="FFFFFF"/>
              </w:rPr>
              <w:t>SJM” Sociedadeholder(s)Jogos de Macau S.A., one of the six gaming operators in Macau and one of the three concessionaires</w:t>
            </w:r>
          </w:p>
        </w:tc>
      </w:tr>
      <w:tr>
        <w:trPr>
          <w:trHeight w:val="41"/>
        </w:trPr>
        <w:tc>
          <w:tcPr>
            <w:tcW w:w="11400" w:type="dxa"/>
            <w:vAlign w:val="bottom"/>
            <w:gridSpan w:val="4"/>
          </w:tcPr>
          <w:p>
            <w:pPr>
              <w:ind w:left="60"/>
              <w:spacing w:after="0"/>
              <w:rPr>
                <w:sz w:val="20"/>
                <w:szCs w:val="20"/>
                <w:color w:val="auto"/>
              </w:rPr>
            </w:pPr>
            <w:r>
              <w:rPr>
                <w:rFonts w:ascii="Arial" w:cs="Arial" w:eastAsia="Arial" w:hAnsi="Arial"/>
                <w:sz w:val="3"/>
                <w:szCs w:val="3"/>
                <w:color w:val="FFFFFF"/>
              </w:rPr>
              <w:t>US$” United States dollars, the lawful currency of the United States</w:t>
            </w:r>
          </w:p>
        </w:tc>
      </w:tr>
      <w:tr>
        <w:trPr>
          <w:trHeight w:val="41"/>
        </w:trPr>
        <w:tc>
          <w:tcPr>
            <w:tcW w:w="11400" w:type="dxa"/>
            <w:vAlign w:val="bottom"/>
            <w:gridSpan w:val="4"/>
          </w:tcPr>
          <w:p>
            <w:pPr>
              <w:ind w:left="60"/>
              <w:spacing w:after="0"/>
              <w:rPr>
                <w:sz w:val="20"/>
                <w:szCs w:val="20"/>
                <w:color w:val="auto"/>
              </w:rPr>
            </w:pPr>
            <w:r>
              <w:rPr>
                <w:rFonts w:ascii="Arial" w:cs="Arial" w:eastAsia="Arial" w:hAnsi="Arial"/>
                <w:sz w:val="3"/>
                <w:szCs w:val="3"/>
                <w:color w:val="FFFFFF"/>
              </w:rPr>
              <w:t>Venetian Macau” Venetian Macau S.A., one of the six gaming operators in Macau and one of the three sub-concessionaires</w:t>
            </w:r>
          </w:p>
        </w:tc>
      </w:tr>
      <w:tr>
        <w:trPr>
          <w:trHeight w:val="0"/>
        </w:trPr>
        <w:tc>
          <w:tcPr>
            <w:tcW w:w="780" w:type="dxa"/>
            <w:vAlign w:val="bottom"/>
          </w:tcPr>
          <w:p>
            <w:pPr>
              <w:ind w:left="200"/>
              <w:spacing w:after="0" w:line="80" w:lineRule="exact"/>
              <w:rPr>
                <w:sz w:val="20"/>
                <w:szCs w:val="20"/>
                <w:color w:val="auto"/>
              </w:rPr>
            </w:pPr>
            <w:r>
              <w:rPr>
                <w:rFonts w:ascii="Arial" w:cs="Arial" w:eastAsia="Arial" w:hAnsi="Arial"/>
                <w:sz w:val="9"/>
                <w:szCs w:val="9"/>
                <w:color w:val="FFFFFF"/>
              </w:rPr>
              <w:t>IML” W</w:t>
            </w:r>
          </w:p>
        </w:tc>
        <w:tc>
          <w:tcPr>
            <w:tcW w:w="180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International Marketing, Ltd.,</w:t>
            </w:r>
          </w:p>
        </w:tc>
        <w:tc>
          <w:tcPr>
            <w:tcW w:w="8820" w:type="dxa"/>
            <w:vAlign w:val="bottom"/>
          </w:tcPr>
          <w:p>
            <w:pPr>
              <w:ind w:left="40"/>
              <w:spacing w:after="0" w:line="80" w:lineRule="exact"/>
              <w:rPr>
                <w:sz w:val="20"/>
                <w:szCs w:val="20"/>
                <w:color w:val="auto"/>
              </w:rPr>
            </w:pPr>
            <w:r>
              <w:rPr>
                <w:rFonts w:ascii="Arial" w:cs="Arial" w:eastAsia="Arial" w:hAnsi="Arial"/>
                <w:sz w:val="9"/>
                <w:szCs w:val="9"/>
                <w:color w:val="FFFFFF"/>
              </w:rPr>
              <w:t>company incorporated under the laws of Isle of Man and a wholly owned subsidiary of Wynn Resorts, Limited</w:t>
            </w:r>
          </w:p>
        </w:tc>
      </w:tr>
    </w:tbl>
    <w:p>
      <w:pPr>
        <w:spacing w:after="0"/>
        <w:tabs>
          <w:tab w:leader="none" w:pos="640" w:val="left"/>
          <w:tab w:leader="none" w:pos="2220" w:val="left"/>
        </w:tabs>
        <w:rPr>
          <w:sz w:val="20"/>
          <w:szCs w:val="20"/>
          <w:color w:val="auto"/>
        </w:rPr>
      </w:pPr>
      <w:r>
        <w:rPr>
          <w:rFonts w:ascii="Arial" w:cs="Arial" w:eastAsia="Arial" w:hAnsi="Arial"/>
          <w:sz w:val="3"/>
          <w:szCs w:val="3"/>
          <w:color w:val="FFFFFF"/>
        </w:rPr>
        <w:t>“WM</w:t>
      </w:r>
      <w:r>
        <w:rPr>
          <w:sz w:val="20"/>
          <w:szCs w:val="20"/>
          <w:color w:val="auto"/>
        </w:rPr>
        <w:tab/>
      </w:r>
      <w:r>
        <w:rPr>
          <w:rFonts w:ascii="Arial" w:cs="Arial" w:eastAsia="Arial" w:hAnsi="Arial"/>
          <w:sz w:val="3"/>
          <w:szCs w:val="3"/>
          <w:color w:val="FFFFFF"/>
        </w:rPr>
        <w:t>ynn</w:t>
      </w:r>
      <w:r>
        <w:rPr>
          <w:sz w:val="20"/>
          <w:szCs w:val="20"/>
          <w:color w:val="auto"/>
        </w:rPr>
        <w:tab/>
      </w:r>
      <w:r>
        <w:rPr>
          <w:rFonts w:ascii="Arial" w:cs="Arial" w:eastAsia="Arial" w:hAnsi="Arial"/>
          <w:sz w:val="3"/>
          <w:szCs w:val="3"/>
          <w:color w:val="FFFFFF"/>
        </w:rPr>
        <w:t>Cayman</w:t>
      </w:r>
    </w:p>
    <w:p>
      <w:pPr>
        <w:ind w:left="340"/>
        <w:spacing w:after="0"/>
        <w:tabs>
          <w:tab w:leader="none" w:pos="2700" w:val="left"/>
        </w:tabs>
        <w:rPr>
          <w:sz w:val="20"/>
          <w:szCs w:val="20"/>
          <w:color w:val="auto"/>
        </w:rPr>
      </w:pPr>
      <w:r>
        <w:rPr>
          <w:rFonts w:ascii="Arial" w:cs="Arial" w:eastAsia="Arial" w:hAnsi="Arial"/>
          <w:sz w:val="3"/>
          <w:szCs w:val="3"/>
          <w:color w:val="FFFFFF"/>
        </w:rPr>
        <w:t>Caymas Holdings Limited I” WM</w:t>
      </w:r>
      <w:r>
        <w:rPr>
          <w:sz w:val="20"/>
          <w:szCs w:val="20"/>
          <w:color w:val="auto"/>
        </w:rPr>
        <w:tab/>
      </w:r>
      <w:r>
        <w:rPr>
          <w:rFonts w:ascii="Arial" w:cs="Arial" w:eastAsia="Arial" w:hAnsi="Arial"/>
          <w:sz w:val="3"/>
          <w:szCs w:val="3"/>
          <w:color w:val="FFFFFF"/>
        </w:rPr>
        <w:t>Holdings Limited I,lawscompany incorporated on</w:t>
      </w:r>
    </w:p>
    <w:p>
      <w:pPr>
        <w:spacing w:after="0" w:line="5" w:lineRule="exact"/>
        <w:rPr>
          <w:sz w:val="20"/>
          <w:szCs w:val="20"/>
          <w:color w:val="auto"/>
        </w:rPr>
      </w:pPr>
    </w:p>
    <w:p>
      <w:pPr>
        <w:spacing w:after="0"/>
        <w:tabs>
          <w:tab w:leader="none" w:pos="800" w:val="left"/>
          <w:tab w:leader="none" w:pos="4020" w:val="left"/>
        </w:tabs>
        <w:rPr>
          <w:sz w:val="20"/>
          <w:szCs w:val="20"/>
          <w:color w:val="auto"/>
        </w:rPr>
      </w:pPr>
      <w:r>
        <w:rPr>
          <w:rFonts w:ascii="Arial" w:cs="Arial" w:eastAsia="Arial" w:hAnsi="Arial"/>
          <w:sz w:val="14"/>
          <w:szCs w:val="14"/>
          <w:color w:val="FFFFFF"/>
        </w:rPr>
        <w:t>7 July 2009</w:t>
        <w:tab/>
        <w:t>an exempted company with limited liability under the</w:t>
      </w:r>
      <w:r>
        <w:rPr>
          <w:sz w:val="20"/>
          <w:szCs w:val="20"/>
          <w:color w:val="auto"/>
        </w:rPr>
        <w:tab/>
      </w:r>
      <w:r>
        <w:rPr>
          <w:rFonts w:ascii="Arial" w:cs="Arial" w:eastAsia="Arial" w:hAnsi="Arial"/>
          <w:sz w:val="12"/>
          <w:szCs w:val="12"/>
          <w:color w:val="FFFFFF"/>
        </w:rPr>
        <w:t>of the Cayman Islands and a wholly owned subsidiary of Wynn Group Asia, Inc.</w:t>
      </w:r>
    </w:p>
    <w:p>
      <w:pPr>
        <w:sectPr>
          <w:pgSz w:w="11900" w:h="16838" w:orient="portrait"/>
          <w:cols w:equalWidth="0" w:num="1">
            <w:col w:w="11400"/>
          </w:cols>
          <w:pgMar w:left="240" w:top="1440" w:right="259"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20"/>
                <w:szCs w:val="20"/>
                <w:color w:val="auto"/>
              </w:rPr>
            </w:pPr>
            <w:r>
              <w:rPr>
                <w:rFonts w:ascii="Arial" w:cs="Arial" w:eastAsia="Arial" w:hAnsi="Arial"/>
                <w:sz w:val="14"/>
                <w:szCs w:val="14"/>
                <w:color w:val="FFFFFF"/>
              </w:rPr>
              <w:t>Annual Report 2012 175</w:t>
            </w:r>
          </w:p>
        </w:tc>
        <w:tc>
          <w:tcPr>
            <w:tcW w:w="18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580" w:type="dxa"/>
            <w:vAlign w:val="bottom"/>
          </w:tcPr>
          <w:p>
            <w:pPr>
              <w:spacing w:after="0"/>
              <w:rPr>
                <w:sz w:val="20"/>
                <w:szCs w:val="20"/>
                <w:color w:val="auto"/>
              </w:rPr>
            </w:pPr>
            <w:r>
              <w:rPr>
                <w:rFonts w:ascii="Arial" w:cs="Arial" w:eastAsia="Arial" w:hAnsi="Arial"/>
                <w:sz w:val="3"/>
                <w:szCs w:val="3"/>
                <w:color w:val="FFFFFF"/>
              </w:rPr>
              <w:t>De? nitions</w:t>
            </w:r>
          </w:p>
        </w:tc>
        <w:tc>
          <w:tcPr>
            <w:tcW w:w="180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“WM Cayman Holdings Limited II” WM Cayman Holdings Limited II, a company incorporated on 8 September 2009 as an exempted company with limited liability under the laws of the Cayman Islands and a</w:t>
            </w:r>
          </w:p>
        </w:tc>
        <w:tc>
          <w:tcPr>
            <w:tcW w:w="0" w:type="dxa"/>
            <w:vAlign w:val="bottom"/>
          </w:tcPr>
          <w:p>
            <w:pPr>
              <w:spacing w:after="0"/>
              <w:rPr>
                <w:sz w:val="1"/>
                <w:szCs w:val="1"/>
                <w:color w:val="auto"/>
              </w:rPr>
            </w:pPr>
          </w:p>
        </w:tc>
      </w:tr>
      <w:tr>
        <w:trPr>
          <w:trHeight w:val="41"/>
        </w:trPr>
        <w:tc>
          <w:tcPr>
            <w:tcW w:w="3380" w:type="dxa"/>
            <w:vAlign w:val="bottom"/>
            <w:gridSpan w:val="2"/>
          </w:tcPr>
          <w:p>
            <w:pPr>
              <w:spacing w:after="0"/>
              <w:rPr>
                <w:sz w:val="20"/>
                <w:szCs w:val="20"/>
                <w:color w:val="auto"/>
              </w:rPr>
            </w:pPr>
            <w:r>
              <w:rPr>
                <w:rFonts w:ascii="Arial" w:cs="Arial" w:eastAsia="Arial" w:hAnsi="Arial"/>
                <w:sz w:val="3"/>
                <w:szCs w:val="3"/>
                <w:color w:val="FFFFFF"/>
              </w:rPr>
              <w:t>wholly owned subsidiary of the Company</w:t>
            </w:r>
          </w:p>
        </w:tc>
        <w:tc>
          <w:tcPr>
            <w:tcW w:w="1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ind w:left="180"/>
              <w:spacing w:after="0"/>
              <w:rPr>
                <w:sz w:val="20"/>
                <w:szCs w:val="20"/>
                <w:color w:val="auto"/>
              </w:rPr>
            </w:pPr>
            <w:r>
              <w:rPr>
                <w:rFonts w:ascii="Arial" w:cs="Arial" w:eastAsia="Arial" w:hAnsi="Arial"/>
                <w:sz w:val="3"/>
                <w:szCs w:val="3"/>
                <w:color w:val="FFFFFF"/>
              </w:rPr>
              <w:t>orldwide Wynn” Worldwide Wynn, LLC, a company formed under the laws of the State of Nevada, United States and a wholly owned subsidiary of Wynn Resorts, Limited</w:t>
            </w:r>
          </w:p>
        </w:tc>
        <w:tc>
          <w:tcPr>
            <w:tcW w:w="0" w:type="dxa"/>
            <w:vAlign w:val="bottom"/>
          </w:tcPr>
          <w:p>
            <w:pPr>
              <w:spacing w:after="0"/>
              <w:rPr>
                <w:sz w:val="1"/>
                <w:szCs w:val="1"/>
                <w:color w:val="auto"/>
              </w:rPr>
            </w:pPr>
          </w:p>
        </w:tc>
      </w:tr>
      <w:tr>
        <w:trPr>
          <w:trHeight w:val="41"/>
        </w:trPr>
        <w:tc>
          <w:tcPr>
            <w:tcW w:w="5360" w:type="dxa"/>
            <w:vAlign w:val="bottom"/>
            <w:gridSpan w:val="3"/>
          </w:tcPr>
          <w:p>
            <w:pPr>
              <w:ind w:left="280"/>
              <w:spacing w:after="0"/>
              <w:rPr>
                <w:sz w:val="20"/>
                <w:szCs w:val="20"/>
                <w:color w:val="auto"/>
              </w:rPr>
            </w:pPr>
            <w:r>
              <w:rPr>
                <w:rFonts w:ascii="Arial" w:cs="Arial" w:eastAsia="Arial" w:hAnsi="Arial"/>
                <w:sz w:val="3"/>
                <w:szCs w:val="3"/>
                <w:color w:val="FFFFFF"/>
              </w:rPr>
              <w:t>L Group” Wynn Resorts, Limited and its subsidiaries (other than the Group)</w:t>
            </w:r>
          </w:p>
        </w:tc>
        <w:tc>
          <w:tcPr>
            <w:tcW w:w="1140" w:type="dxa"/>
            <w:vAlign w:val="bottom"/>
          </w:tcPr>
          <w:p>
            <w:pPr>
              <w:spacing w:after="0"/>
              <w:rPr>
                <w:sz w:val="3"/>
                <w:szCs w:val="3"/>
                <w:color w:val="auto"/>
              </w:rPr>
            </w:pPr>
          </w:p>
        </w:tc>
        <w:tc>
          <w:tcPr>
            <w:tcW w:w="490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of the Company</w:t>
            </w:r>
          </w:p>
        </w:tc>
        <w:tc>
          <w:tcPr>
            <w:tcW w:w="0" w:type="dxa"/>
            <w:vAlign w:val="bottom"/>
          </w:tcPr>
          <w:p>
            <w:pPr>
              <w:spacing w:after="0"/>
              <w:rPr>
                <w:sz w:val="1"/>
                <w:szCs w:val="1"/>
                <w:color w:val="auto"/>
              </w:rPr>
            </w:pPr>
          </w:p>
        </w:tc>
      </w:tr>
      <w:tr>
        <w:trPr>
          <w:trHeight w:val="41"/>
        </w:trPr>
        <w:tc>
          <w:tcPr>
            <w:tcW w:w="6500" w:type="dxa"/>
            <w:vAlign w:val="bottom"/>
            <w:gridSpan w:val="4"/>
          </w:tcPr>
          <w:p>
            <w:pPr>
              <w:ind w:left="500"/>
              <w:spacing w:after="0"/>
              <w:rPr>
                <w:sz w:val="20"/>
                <w:szCs w:val="20"/>
                <w:color w:val="auto"/>
              </w:rPr>
            </w:pPr>
            <w:r>
              <w:rPr>
                <w:rFonts w:ascii="Arial" w:cs="Arial" w:eastAsia="Arial" w:hAnsi="Arial"/>
                <w:sz w:val="3"/>
                <w:szCs w:val="3"/>
                <w:color w:val="FFFFFF"/>
              </w:rPr>
              <w:t>Wynn Resorts (Macau) S.A., a company incorporated under the laws of Macau and a wholly-owned</w:t>
            </w:r>
          </w:p>
        </w:tc>
        <w:tc>
          <w:tcPr>
            <w:tcW w:w="49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“WRM” Shareholder Dividend Tax the agreement, entered into during June 2009 and July 2011, Agreement” eachsubsidiaryforterm of fi ve years between WRM and the Macau Special Administrative Region, effective</w:t>
            </w:r>
          </w:p>
        </w:tc>
        <w:tc>
          <w:tcPr>
            <w:tcW w:w="0" w:type="dxa"/>
            <w:vAlign w:val="bottom"/>
          </w:tcPr>
          <w:p>
            <w:pPr>
              <w:spacing w:after="0"/>
              <w:rPr>
                <w:sz w:val="1"/>
                <w:szCs w:val="1"/>
                <w:color w:val="auto"/>
              </w:rPr>
            </w:pPr>
          </w:p>
        </w:tc>
      </w:tr>
      <w:tr>
        <w:trPr>
          <w:trHeight w:val="41"/>
        </w:trPr>
        <w:tc>
          <w:tcPr>
            <w:tcW w:w="3380" w:type="dxa"/>
            <w:vAlign w:val="bottom"/>
            <w:gridSpan w:val="2"/>
          </w:tcPr>
          <w:p>
            <w:pPr>
              <w:ind w:left="40"/>
              <w:spacing w:after="0"/>
              <w:rPr>
                <w:sz w:val="20"/>
                <w:szCs w:val="20"/>
                <w:color w:val="auto"/>
              </w:rPr>
            </w:pPr>
            <w:r>
              <w:rPr>
                <w:rFonts w:ascii="Arial" w:cs="Arial" w:eastAsia="Arial" w:hAnsi="Arial"/>
                <w:sz w:val="3"/>
                <w:szCs w:val="3"/>
                <w:color w:val="FFFFFF"/>
              </w:rPr>
              <w:t>retroactively to 2006, that provide for an annual payment to</w:t>
            </w:r>
          </w:p>
        </w:tc>
        <w:tc>
          <w:tcPr>
            <w:tcW w:w="1980" w:type="dxa"/>
            <w:vAlign w:val="bottom"/>
          </w:tcPr>
          <w:p>
            <w:pPr>
              <w:ind w:left="120"/>
              <w:spacing w:after="0"/>
              <w:rPr>
                <w:sz w:val="20"/>
                <w:szCs w:val="20"/>
                <w:color w:val="auto"/>
              </w:rPr>
            </w:pPr>
            <w:r>
              <w:rPr>
                <w:rFonts w:ascii="Arial" w:cs="Arial" w:eastAsia="Arial" w:hAnsi="Arial"/>
                <w:sz w:val="3"/>
                <w:szCs w:val="3"/>
                <w:color w:val="FFFFFF"/>
              </w:rPr>
              <w:t>Macau Special Administrative</w:t>
            </w:r>
          </w:p>
        </w:tc>
        <w:tc>
          <w:tcPr>
            <w:tcW w:w="6040" w:type="dxa"/>
            <w:vAlign w:val="bottom"/>
            <w:gridSpan w:val="2"/>
          </w:tcPr>
          <w:p>
            <w:pPr>
              <w:ind w:left="240"/>
              <w:spacing w:after="0"/>
              <w:rPr>
                <w:sz w:val="20"/>
                <w:szCs w:val="20"/>
                <w:color w:val="auto"/>
              </w:rPr>
            </w:pPr>
            <w:r>
              <w:rPr>
                <w:rFonts w:ascii="Arial" w:cs="Arial" w:eastAsia="Arial" w:hAnsi="Arial"/>
                <w:sz w:val="3"/>
                <w:szCs w:val="3"/>
                <w:color w:val="FFFFFF"/>
              </w:rPr>
              <w:t>of MOP7.2 million in years 2006 through 2010 and MOP15.5 million in years 2011 through 2015 in lieu of</w:t>
            </w:r>
          </w:p>
        </w:tc>
        <w:tc>
          <w:tcPr>
            <w:tcW w:w="0" w:type="dxa"/>
            <w:vAlign w:val="bottom"/>
          </w:tcPr>
          <w:p>
            <w:pPr>
              <w:spacing w:after="0"/>
              <w:rPr>
                <w:sz w:val="1"/>
                <w:szCs w:val="1"/>
                <w:color w:val="auto"/>
              </w:rPr>
            </w:pPr>
          </w:p>
        </w:tc>
      </w:tr>
      <w:tr>
        <w:trPr>
          <w:trHeight w:val="41"/>
        </w:trPr>
        <w:tc>
          <w:tcPr>
            <w:tcW w:w="1580" w:type="dxa"/>
            <w:vAlign w:val="bottom"/>
          </w:tcPr>
          <w:p>
            <w:pPr>
              <w:spacing w:after="0"/>
              <w:rPr>
                <w:sz w:val="3"/>
                <w:szCs w:val="3"/>
                <w:color w:val="auto"/>
              </w:rPr>
            </w:pPr>
          </w:p>
        </w:tc>
        <w:tc>
          <w:tcPr>
            <w:tcW w:w="9820" w:type="dxa"/>
            <w:vAlign w:val="bottom"/>
            <w:gridSpan w:val="4"/>
          </w:tcPr>
          <w:p>
            <w:pPr>
              <w:ind w:left="500"/>
              <w:spacing w:after="0"/>
              <w:rPr>
                <w:sz w:val="20"/>
                <w:szCs w:val="20"/>
                <w:color w:val="auto"/>
              </w:rPr>
            </w:pPr>
            <w:r>
              <w:rPr>
                <w:rFonts w:ascii="Arial" w:cs="Arial" w:eastAsia="Arial" w:hAnsi="Arial"/>
                <w:sz w:val="3"/>
                <w:szCs w:val="3"/>
                <w:color w:val="FFFFFF"/>
              </w:rPr>
              <w:t>Complementary Tax otherwise due by WRM shareholdersRegiondividend distributions to them from gaming pro? ts earned in those years</w:t>
            </w:r>
          </w:p>
        </w:tc>
        <w:tc>
          <w:tcPr>
            <w:tcW w:w="0" w:type="dxa"/>
            <w:vAlign w:val="bottom"/>
          </w:tcPr>
          <w:p>
            <w:pPr>
              <w:spacing w:after="0"/>
              <w:rPr>
                <w:sz w:val="1"/>
                <w:szCs w:val="1"/>
                <w:color w:val="auto"/>
              </w:rPr>
            </w:pPr>
          </w:p>
        </w:tc>
      </w:tr>
      <w:tr>
        <w:trPr>
          <w:trHeight w:val="41"/>
        </w:trPr>
        <w:tc>
          <w:tcPr>
            <w:tcW w:w="11400" w:type="dxa"/>
            <w:vAlign w:val="bottom"/>
            <w:gridSpan w:val="5"/>
          </w:tcPr>
          <w:p>
            <w:pPr>
              <w:ind w:left="420"/>
              <w:spacing w:after="0"/>
              <w:rPr>
                <w:sz w:val="20"/>
                <w:szCs w:val="20"/>
                <w:color w:val="auto"/>
              </w:rPr>
            </w:pPr>
            <w:r>
              <w:rPr>
                <w:rFonts w:ascii="Arial" w:cs="Arial" w:eastAsia="Arial" w:hAnsi="Arial"/>
                <w:sz w:val="3"/>
                <w:szCs w:val="3"/>
                <w:color w:val="FFFFFF"/>
              </w:rPr>
              <w:t>Cotai” a-full-scale integrated resort which WRM is constructing on 51 acres of land in the Cotai area of Macau in accordance with the terms of the Cotai Land Concession Agreement</w:t>
            </w:r>
          </w:p>
        </w:tc>
        <w:tc>
          <w:tcPr>
            <w:tcW w:w="0" w:type="dxa"/>
            <w:vAlign w:val="bottom"/>
          </w:tcPr>
          <w:p>
            <w:pPr>
              <w:spacing w:after="0"/>
              <w:rPr>
                <w:sz w:val="1"/>
                <w:szCs w:val="1"/>
                <w:color w:val="auto"/>
              </w:rPr>
            </w:pPr>
          </w:p>
        </w:tc>
      </w:tr>
      <w:tr>
        <w:trPr>
          <w:trHeight w:val="0"/>
        </w:trPr>
        <w:tc>
          <w:tcPr>
            <w:tcW w:w="1580" w:type="dxa"/>
            <w:vAlign w:val="bottom"/>
          </w:tcPr>
          <w:p>
            <w:pPr>
              <w:ind w:left="420"/>
              <w:spacing w:after="0" w:line="80" w:lineRule="exact"/>
              <w:rPr>
                <w:sz w:val="20"/>
                <w:szCs w:val="20"/>
                <w:color w:val="auto"/>
              </w:rPr>
            </w:pPr>
            <w:r>
              <w:rPr>
                <w:rFonts w:ascii="Arial" w:cs="Arial" w:eastAsia="Arial" w:hAnsi="Arial"/>
                <w:sz w:val="9"/>
                <w:szCs w:val="9"/>
                <w:color w:val="FFFFFF"/>
              </w:rPr>
              <w:t>Design &amp;</w:t>
            </w:r>
          </w:p>
        </w:tc>
        <w:tc>
          <w:tcPr>
            <w:tcW w:w="4920" w:type="dxa"/>
            <w:vAlign w:val="bottom"/>
            <w:gridSpan w:val="3"/>
          </w:tcPr>
          <w:p>
            <w:pPr>
              <w:ind w:left="220"/>
              <w:spacing w:after="0" w:line="80" w:lineRule="exact"/>
              <w:rPr>
                <w:sz w:val="20"/>
                <w:szCs w:val="20"/>
                <w:color w:val="auto"/>
              </w:rPr>
            </w:pPr>
            <w:r>
              <w:rPr>
                <w:rFonts w:ascii="Arial" w:cs="Arial" w:eastAsia="Arial" w:hAnsi="Arial"/>
                <w:sz w:val="9"/>
                <w:szCs w:val="9"/>
                <w:color w:val="FFFFFF"/>
              </w:rPr>
              <w:t>Wynn Design &amp; Development, LLC, a company formed under the laws of the State of</w:t>
            </w:r>
          </w:p>
        </w:tc>
        <w:tc>
          <w:tcPr>
            <w:tcW w:w="4900" w:type="dxa"/>
            <w:vAlign w:val="bottom"/>
          </w:tcPr>
          <w:p>
            <w:pPr>
              <w:ind w:left="480"/>
              <w:spacing w:after="0" w:line="80" w:lineRule="exact"/>
              <w:rPr>
                <w:sz w:val="20"/>
                <w:szCs w:val="20"/>
                <w:color w:val="auto"/>
              </w:rPr>
            </w:pPr>
            <w:r>
              <w:rPr>
                <w:rFonts w:ascii="Arial" w:cs="Arial" w:eastAsia="Arial" w:hAnsi="Arial"/>
                <w:sz w:val="9"/>
                <w:szCs w:val="9"/>
                <w:color w:val="FFFFFF"/>
              </w:rPr>
              <w:t>United States and  wholly owned subsidiary of Wynn Resorts, Limited</w:t>
            </w: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“Wynn Group Asia,Development”Inc.Wynn Group Asia, Inc, a company formed under the laws of the State of Nevada, United StatesNevada,andwholly owned subsidiary of Wynn Resorts, Limited</w:t>
      </w:r>
    </w:p>
    <w:p>
      <w:pPr>
        <w:sectPr>
          <w:pgSz w:w="11900" w:h="16838" w:orient="portrait"/>
          <w:cols w:equalWidth="0" w:num="1">
            <w:col w:w="11400"/>
          </w:cols>
          <w:pgMar w:left="240" w:top="1440" w:right="259"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gridSpan w:val="2"/>
          </w:tcPr>
          <w:p>
            <w:pPr>
              <w:spacing w:after="0"/>
              <w:rPr>
                <w:sz w:val="20"/>
                <w:szCs w:val="20"/>
                <w:color w:val="auto"/>
              </w:rPr>
            </w:pPr>
            <w:r>
              <w:rPr>
                <w:rFonts w:ascii="Arial" w:cs="Arial" w:eastAsia="Arial" w:hAnsi="Arial"/>
                <w:sz w:val="14"/>
                <w:szCs w:val="14"/>
                <w:color w:val="FFFFFF"/>
              </w:rPr>
              <w:t>176 Wynn Macau, Limited</w:t>
            </w:r>
          </w:p>
        </w:tc>
        <w:tc>
          <w:tcPr>
            <w:tcW w:w="9260" w:type="dxa"/>
            <w:vAlign w:val="bottom"/>
          </w:tcPr>
          <w:p>
            <w:pPr>
              <w:spacing w:after="0"/>
              <w:rPr>
                <w:sz w:val="14"/>
                <w:szCs w:val="14"/>
                <w:color w:val="auto"/>
              </w:rPr>
            </w:pPr>
          </w:p>
        </w:tc>
      </w:tr>
      <w:tr>
        <w:trPr>
          <w:trHeight w:val="81"/>
        </w:trPr>
        <w:tc>
          <w:tcPr>
            <w:tcW w:w="700" w:type="dxa"/>
            <w:vAlign w:val="bottom"/>
          </w:tcPr>
          <w:p>
            <w:pPr>
              <w:spacing w:after="0" w:line="81" w:lineRule="exact"/>
              <w:rPr>
                <w:sz w:val="20"/>
                <w:szCs w:val="20"/>
                <w:color w:val="auto"/>
              </w:rPr>
            </w:pPr>
            <w:r>
              <w:rPr>
                <w:rFonts w:ascii="Arial" w:cs="Arial" w:eastAsia="Arial" w:hAnsi="Arial"/>
                <w:sz w:val="9"/>
                <w:szCs w:val="9"/>
                <w:color w:val="FFFFFF"/>
              </w:rPr>
              <w:t>De? nitions</w:t>
            </w:r>
          </w:p>
        </w:tc>
        <w:tc>
          <w:tcPr>
            <w:tcW w:w="10540" w:type="dxa"/>
            <w:vAlign w:val="bottom"/>
            <w:gridSpan w:val="2"/>
          </w:tcPr>
          <w:p>
            <w:pPr>
              <w:ind w:left="100"/>
              <w:spacing w:after="0" w:line="81" w:lineRule="exact"/>
              <w:rPr>
                <w:sz w:val="20"/>
                <w:szCs w:val="20"/>
                <w:color w:val="auto"/>
              </w:rPr>
            </w:pPr>
            <w:r>
              <w:rPr>
                <w:rFonts w:ascii="Arial" w:cs="Arial" w:eastAsia="Arial" w:hAnsi="Arial"/>
                <w:sz w:val="9"/>
                <w:szCs w:val="9"/>
                <w:color w:val="FFFFFF"/>
              </w:rPr>
              <w:t>” a casino hotel resort located in Macau, owned and operated directly by WRM, which opened on 6 September 2006, and where appropriate, the term also includes Encore at Wynn Macau</w:t>
            </w:r>
          </w:p>
        </w:tc>
      </w:tr>
      <w:tr>
        <w:trPr>
          <w:trHeight w:val="0"/>
        </w:trPr>
        <w:tc>
          <w:tcPr>
            <w:tcW w:w="1980" w:type="dxa"/>
            <w:vAlign w:val="bottom"/>
            <w:gridSpan w:val="2"/>
          </w:tcPr>
          <w:p>
            <w:pPr>
              <w:spacing w:after="0" w:line="80" w:lineRule="exact"/>
              <w:rPr>
                <w:sz w:val="20"/>
                <w:szCs w:val="20"/>
                <w:color w:val="auto"/>
              </w:rPr>
            </w:pPr>
            <w:r>
              <w:rPr>
                <w:rFonts w:ascii="Arial" w:cs="Arial" w:eastAsia="Arial" w:hAnsi="Arial"/>
                <w:sz w:val="9"/>
                <w:szCs w:val="9"/>
                <w:color w:val="FFFFFF"/>
              </w:rPr>
              <w:t>“Wynn Macau Credit Facilities”</w:t>
            </w:r>
          </w:p>
        </w:tc>
        <w:tc>
          <w:tcPr>
            <w:tcW w:w="9260" w:type="dxa"/>
            <w:vAlign w:val="bottom"/>
          </w:tcPr>
          <w:p>
            <w:pPr>
              <w:ind w:left="240"/>
              <w:spacing w:after="0" w:line="80" w:lineRule="exact"/>
              <w:rPr>
                <w:sz w:val="20"/>
                <w:szCs w:val="20"/>
                <w:color w:val="auto"/>
              </w:rPr>
            </w:pPr>
            <w:r>
              <w:rPr>
                <w:rFonts w:ascii="Arial" w:cs="Arial" w:eastAsia="Arial" w:hAnsi="Arial"/>
                <w:sz w:val="9"/>
                <w:szCs w:val="9"/>
                <w:color w:val="FFFFFF"/>
              </w:rPr>
              <w:t>, the HK$4.3 billion (equivalent) fully-funded senior term loan facilities and the HK$7.8 billion (equivalent) senior revolving credit facilities extended to WRM and as</w:t>
            </w:r>
          </w:p>
        </w:tc>
      </w:tr>
    </w:tbl>
    <w:p>
      <w:pPr>
        <w:spacing w:after="0" w:line="25" w:lineRule="auto"/>
        <w:rPr>
          <w:sz w:val="20"/>
          <w:szCs w:val="20"/>
          <w:color w:val="auto"/>
        </w:rPr>
      </w:pPr>
      <w:r>
        <w:rPr>
          <w:rFonts w:ascii="Arial" w:cs="Arial" w:eastAsia="Arial" w:hAnsi="Arial"/>
          <w:sz w:val="1"/>
          <w:szCs w:val="1"/>
          <w:color w:val="FFFFFF"/>
        </w:rPr>
        <w:t>subsequently amended from timetogethertime and as refi nanced on 31 July 2012</w:t>
      </w:r>
    </w:p>
    <w:p>
      <w:pPr>
        <w:spacing w:after="0" w:line="211" w:lineRule="auto"/>
        <w:rPr>
          <w:sz w:val="20"/>
          <w:szCs w:val="20"/>
          <w:color w:val="auto"/>
        </w:rPr>
      </w:pPr>
      <w:r>
        <w:rPr>
          <w:rFonts w:ascii="Arial" w:cs="Arial" w:eastAsia="Arial" w:hAnsi="Arial"/>
          <w:sz w:val="2"/>
          <w:szCs w:val="2"/>
          <w:color w:val="FFFFFF"/>
        </w:rPr>
        <w:t>“Wynn Resorts Holdings, LLC” Wynn Resorts Holdings, LLC,</w:t>
      </w:r>
      <w:r>
        <w:rPr>
          <w:rFonts w:ascii="Arial" w:cs="Arial" w:eastAsia="Arial" w:hAnsi="Arial"/>
          <w:sz w:val="4"/>
          <w:szCs w:val="4"/>
          <w:color w:val="FFFFFF"/>
          <w:vertAlign w:val="subscript"/>
        </w:rPr>
        <w:t>International,</w:t>
      </w:r>
      <w:r>
        <w:rPr>
          <w:rFonts w:ascii="Arial" w:cs="Arial" w:eastAsia="Arial" w:hAnsi="Arial"/>
          <w:sz w:val="2"/>
          <w:szCs w:val="2"/>
          <w:color w:val="FFFFFF"/>
        </w:rPr>
        <w:t>companyformed under the laws of the State of Nevada, United States and a wholly owned subsidiary of Wynn Resorts, Limited</w:t>
      </w:r>
    </w:p>
    <w:p>
      <w:pPr>
        <w:ind w:left="960"/>
        <w:spacing w:after="0" w:line="211" w:lineRule="auto"/>
        <w:tabs>
          <w:tab w:leader="none" w:pos="4100" w:val="left"/>
        </w:tabs>
        <w:rPr>
          <w:sz w:val="20"/>
          <w:szCs w:val="20"/>
          <w:color w:val="auto"/>
        </w:rPr>
      </w:pPr>
      <w:r>
        <w:rPr>
          <w:rFonts w:ascii="Arial" w:cs="Arial" w:eastAsia="Arial" w:hAnsi="Arial"/>
          <w:sz w:val="3"/>
          <w:szCs w:val="3"/>
          <w:color w:val="FFFFFF"/>
        </w:rPr>
        <w:t>“Wynn Resorts International, Wynn Resorts</w:t>
      </w:r>
      <w:r>
        <w:rPr>
          <w:sz w:val="20"/>
          <w:szCs w:val="20"/>
          <w:color w:val="auto"/>
        </w:rPr>
        <w:tab/>
      </w:r>
      <w:r>
        <w:rPr>
          <w:rFonts w:ascii="Arial" w:cs="Arial" w:eastAsia="Arial" w:hAnsi="Arial"/>
          <w:sz w:val="2"/>
          <w:szCs w:val="2"/>
          <w:color w:val="FFFFFF"/>
        </w:rPr>
        <w:t>Ltd., a company incorporated under Ltd</w:t>
      </w:r>
      <w:r>
        <w:rPr>
          <w:rFonts w:ascii="Arial" w:cs="Arial" w:eastAsia="Arial" w:hAnsi="Arial"/>
          <w:sz w:val="4"/>
          <w:szCs w:val="4"/>
          <w:color w:val="FFFFFF"/>
          <w:vertAlign w:val="subscript"/>
        </w:rPr>
        <w:t>“WRL”</w:t>
      </w:r>
      <w:r>
        <w:rPr>
          <w:rFonts w:ascii="Arial" w:cs="Arial" w:eastAsia="Arial" w:hAnsi="Arial"/>
          <w:sz w:val="2"/>
          <w:szCs w:val="2"/>
          <w:color w:val="FFFFFF"/>
        </w:rPr>
        <w:t>.thelaws of the Isle of Man and</w:t>
      </w:r>
      <w:r>
        <w:rPr>
          <w:rFonts w:ascii="Arial" w:cs="Arial" w:eastAsia="Arial" w:hAnsi="Arial"/>
          <w:sz w:val="4"/>
          <w:szCs w:val="4"/>
          <w:color w:val="FFFFFF"/>
          <w:vertAlign w:val="subscript"/>
        </w:rPr>
        <w:t>States,</w:t>
      </w:r>
      <w:r>
        <w:rPr>
          <w:rFonts w:ascii="Arial" w:cs="Arial" w:eastAsia="Arial" w:hAnsi="Arial"/>
          <w:sz w:val="2"/>
          <w:szCs w:val="2"/>
          <w:color w:val="FFFFFF"/>
        </w:rPr>
        <w:t>wholly owned subsidiary of the Company</w:t>
      </w:r>
    </w:p>
    <w:p>
      <w:pPr>
        <w:ind w:left="160"/>
        <w:spacing w:after="0"/>
        <w:tabs>
          <w:tab w:leader="none" w:pos="6640" w:val="left"/>
          <w:tab w:leader="none" w:pos="8360" w:val="left"/>
        </w:tabs>
        <w:rPr>
          <w:sz w:val="20"/>
          <w:szCs w:val="20"/>
          <w:color w:val="auto"/>
        </w:rPr>
      </w:pPr>
      <w:r>
        <w:rPr>
          <w:rFonts w:ascii="Arial" w:cs="Arial" w:eastAsia="Arial" w:hAnsi="Arial"/>
          <w:sz w:val="14"/>
          <w:szCs w:val="14"/>
          <w:color w:val="FFFFFF"/>
        </w:rPr>
        <w:t>“Wynn Resorts, Limited”, Wynn Resorts, Limited, a company formed under the laws of the “Wynn Resorts” or</w:t>
      </w:r>
      <w:r>
        <w:rPr>
          <w:sz w:val="20"/>
          <w:szCs w:val="20"/>
          <w:color w:val="auto"/>
        </w:rPr>
        <w:tab/>
      </w:r>
      <w:r>
        <w:rPr>
          <w:rFonts w:ascii="Arial" w:cs="Arial" w:eastAsia="Arial" w:hAnsi="Arial"/>
          <w:sz w:val="14"/>
          <w:szCs w:val="14"/>
          <w:color w:val="FFFFFF"/>
        </w:rPr>
        <w:t>State of Nevada, United</w:t>
      </w:r>
      <w:r>
        <w:rPr>
          <w:sz w:val="20"/>
          <w:szCs w:val="20"/>
          <w:color w:val="auto"/>
        </w:rPr>
        <w:tab/>
      </w:r>
      <w:r>
        <w:rPr>
          <w:rFonts w:ascii="Arial" w:cs="Arial" w:eastAsia="Arial" w:hAnsi="Arial"/>
          <w:sz w:val="12"/>
          <w:szCs w:val="12"/>
          <w:color w:val="FFFFFF"/>
        </w:rPr>
        <w:t>our controlling shareholder (as defi ned in the Listing</w:t>
      </w:r>
    </w:p>
    <w:p>
      <w:pPr>
        <w:sectPr>
          <w:pgSz w:w="11900" w:h="16838" w:orient="portrait"/>
          <w:cols w:equalWidth="0" w:num="1">
            <w:col w:w="11260"/>
          </w:cols>
          <w:pgMar w:left="240" w:top="1440" w:right="399" w:bottom="1440" w:gutter="0" w:footer="0" w:header="0"/>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FFFFFF"/>
        </w:rPr>
        <w:t>Annual Report 2012 177</w:t>
      </w:r>
    </w:p>
    <w:p>
      <w:pPr>
        <w:spacing w:after="0" w:line="187" w:lineRule="auto"/>
        <w:rPr>
          <w:sz w:val="20"/>
          <w:szCs w:val="20"/>
          <w:color w:val="auto"/>
        </w:rPr>
      </w:pPr>
      <w:r>
        <w:rPr>
          <w:rFonts w:ascii="Arial" w:cs="Arial" w:eastAsia="Arial" w:hAnsi="Arial"/>
          <w:sz w:val="9"/>
          <w:szCs w:val="9"/>
          <w:color w:val="FFFFFF"/>
        </w:rPr>
        <w:t>GlossaryAdjustd Average Daily Rate” ADR calculated based on room revenues plus associated promotional allowances</w:t>
      </w:r>
    </w:p>
    <w:p>
      <w:pPr>
        <w:ind w:left="580"/>
        <w:spacing w:after="0"/>
        <w:rPr>
          <w:sz w:val="20"/>
          <w:szCs w:val="20"/>
          <w:color w:val="auto"/>
        </w:rPr>
      </w:pPr>
      <w:r>
        <w:rPr>
          <w:rFonts w:ascii="Arial" w:cs="Arial" w:eastAsia="Arial" w:hAnsi="Arial"/>
          <w:sz w:val="3"/>
          <w:szCs w:val="3"/>
          <w:color w:val="FFFFFF"/>
        </w:rPr>
        <w:t>REVPAR” REVPAR calculated based on room revenues plus associated promotional allowances</w:t>
      </w:r>
    </w:p>
    <w:p>
      <w:pPr>
        <w:ind w:left="60"/>
        <w:spacing w:after="0" w:line="227" w:lineRule="auto"/>
        <w:rPr>
          <w:sz w:val="20"/>
          <w:szCs w:val="20"/>
          <w:color w:val="auto"/>
        </w:rPr>
      </w:pPr>
      <w:r>
        <w:rPr>
          <w:rFonts w:ascii="Arial" w:cs="Arial" w:eastAsia="Arial" w:hAnsi="Arial"/>
          <w:sz w:val="8"/>
          <w:szCs w:val="8"/>
          <w:color w:val="FFFFFF"/>
        </w:rPr>
        <w:t>chaverageasinop(s)”revenue”dailyrate”revenueor“ADR”from thecasinoamountgamingcalculatedactivitiesby (grossdividingtabletotalgamesroomwinrevenuesandgross(lessslotservicewin),charges,calculatedifany)netofbycashtotalportionroomsofcommissionsoccupied and discounts and in accordance with IFRS</w:t>
      </w:r>
    </w:p>
    <w:p>
      <w:pPr>
        <w:ind w:left="60" w:right="340" w:firstLine="68"/>
        <w:spacing w:after="0" w:line="181" w:lineRule="auto"/>
        <w:rPr>
          <w:sz w:val="20"/>
          <w:szCs w:val="20"/>
          <w:color w:val="auto"/>
        </w:rPr>
      </w:pPr>
      <w:r>
        <w:rPr>
          <w:rFonts w:ascii="Arial" w:cs="Arial" w:eastAsia="Arial" w:hAnsi="Arial"/>
          <w:sz w:val="7"/>
          <w:szCs w:val="7"/>
          <w:color w:val="FFFFFF"/>
        </w:rPr>
        <w:t>aily”grossatoken;winperusuallygrocashingamingtheformwinofforplastictable disc(s)games ordividedplaque(s)bynumberissued byof tablescasinogamingtocustomerstable”dividedinexchangebythefornumber ofcredit,daysinwhichtheapplicablemustbeusedperiod(in lieu of cash) to place bets on gaming tables drop the amount of and promotional coupons deposited in andgaming table’ drop box</w:t>
      </w:r>
    </w:p>
    <w:p>
      <w:pPr>
        <w:ind w:left="10920"/>
        <w:spacing w:after="0"/>
        <w:rPr>
          <w:sz w:val="20"/>
          <w:szCs w:val="20"/>
          <w:color w:val="auto"/>
        </w:rPr>
      </w:pPr>
      <w:r>
        <w:rPr>
          <w:rFonts w:ascii="Arial" w:cs="Arial" w:eastAsia="Arial" w:hAnsi="Arial"/>
          <w:sz w:val="1"/>
          <w:szCs w:val="1"/>
          <w:color w:val="FFFFFF"/>
        </w:rPr>
        <w:t>“gamingbox”promoters”boxor containerindividualsthat servescompaniesasrepositorylicensedbyforandcashregisteredpromotionalwiththe Macaucouponsgovernment to promote games of fortune and chance or other casino games to patrons, through the arrangement of</w:t>
      </w:r>
    </w:p>
    <w:p>
      <w:pPr>
        <w:spacing w:after="0" w:line="187" w:lineRule="auto"/>
        <w:rPr>
          <w:sz w:val="20"/>
          <w:szCs w:val="20"/>
          <w:color w:val="auto"/>
        </w:rPr>
      </w:pPr>
      <w:r>
        <w:rPr>
          <w:rFonts w:ascii="Arial" w:cs="Arial" w:eastAsia="Arial" w:hAnsi="Arial"/>
          <w:sz w:val="9"/>
          <w:szCs w:val="9"/>
          <w:color w:val="FFFFFF"/>
        </w:rPr>
        <w:t>certain services, including transportation, accommodation, dining and entertainment, whose activity is regulated by Macau Administrative Regulation no. 6/2002</w:t>
      </w:r>
    </w:p>
    <w:p>
      <w:pPr>
        <w:ind w:left="1060"/>
        <w:spacing w:after="0"/>
        <w:rPr>
          <w:sz w:val="20"/>
          <w:szCs w:val="20"/>
          <w:color w:val="auto"/>
        </w:rPr>
      </w:pPr>
      <w:r>
        <w:rPr>
          <w:rFonts w:ascii="Arial" w:cs="Arial" w:eastAsia="Arial" w:hAnsi="Arial"/>
          <w:sz w:val="12"/>
          <w:szCs w:val="12"/>
          <w:color w:val="FFFFFF"/>
        </w:rPr>
        <w:t>“gross gaming revenue” or the total win generated by all casino gaming activities “gross gaming win” combined, calculated before deduction of commissions and discounts</w:t>
      </w:r>
    </w:p>
    <w:p>
      <w:pPr>
        <w:sectPr>
          <w:pgSz w:w="11900" w:h="16838" w:orient="portrait"/>
          <w:cols w:equalWidth="0" w:num="1">
            <w:col w:w="11040"/>
          </w:cols>
          <w:pgMar w:left="240" w:top="1440" w:right="61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3"/>
          </w:tcPr>
          <w:p>
            <w:pPr>
              <w:spacing w:after="0"/>
              <w:rPr>
                <w:sz w:val="20"/>
                <w:szCs w:val="20"/>
                <w:color w:val="auto"/>
              </w:rPr>
            </w:pPr>
            <w:r>
              <w:rPr>
                <w:rFonts w:ascii="Arial" w:cs="Arial" w:eastAsia="Arial" w:hAnsi="Arial"/>
                <w:sz w:val="14"/>
                <w:szCs w:val="14"/>
                <w:color w:val="FFFFFF"/>
                <w:w w:val="91"/>
              </w:rPr>
              <w:t>178 Wynn Macau, Limited</w:t>
            </w:r>
          </w:p>
        </w:tc>
        <w:tc>
          <w:tcPr>
            <w:tcW w:w="9900" w:type="dxa"/>
            <w:vAlign w:val="bottom"/>
            <w:gridSpan w:val="2"/>
            <w:vMerge w:val="restart"/>
          </w:tcPr>
          <w:p>
            <w:pPr>
              <w:ind w:left="40"/>
              <w:spacing w:after="0"/>
              <w:rPr>
                <w:sz w:val="20"/>
                <w:szCs w:val="20"/>
                <w:color w:val="auto"/>
              </w:rPr>
            </w:pPr>
            <w:r>
              <w:rPr>
                <w:rFonts w:ascii="Arial" w:cs="Arial" w:eastAsia="Arial" w:hAnsi="Arial"/>
                <w:sz w:val="14"/>
                <w:szCs w:val="14"/>
                <w:color w:val="FFFFFF"/>
                <w:w w:val="88"/>
              </w:rPr>
              <w:t>of handle (representing the total amount wagered) that is retained as winnings. We record this amount and gross table games win as casino revenue after deduction of progressive</w:t>
            </w:r>
          </w:p>
        </w:tc>
        <w:tc>
          <w:tcPr>
            <w:tcW w:w="0" w:type="dxa"/>
            <w:vAlign w:val="bottom"/>
          </w:tcPr>
          <w:p>
            <w:pPr>
              <w:spacing w:after="0"/>
              <w:rPr>
                <w:sz w:val="1"/>
                <w:szCs w:val="1"/>
                <w:color w:val="auto"/>
              </w:rPr>
            </w:pPr>
          </w:p>
        </w:tc>
      </w:tr>
      <w:tr>
        <w:trPr>
          <w:trHeight w:val="81"/>
        </w:trPr>
        <w:tc>
          <w:tcPr>
            <w:tcW w:w="1240" w:type="dxa"/>
            <w:vAlign w:val="bottom"/>
            <w:gridSpan w:val="2"/>
          </w:tcPr>
          <w:p>
            <w:pPr>
              <w:spacing w:after="0" w:line="81" w:lineRule="exact"/>
              <w:rPr>
                <w:sz w:val="20"/>
                <w:szCs w:val="20"/>
                <w:color w:val="auto"/>
              </w:rPr>
            </w:pPr>
            <w:r>
              <w:rPr>
                <w:rFonts w:ascii="Arial" w:cs="Arial" w:eastAsia="Arial" w:hAnsi="Arial"/>
                <w:sz w:val="9"/>
                <w:szCs w:val="9"/>
                <w:color w:val="FFFFFF"/>
              </w:rPr>
              <w:t>Glossary“grossot win” the</w:t>
            </w:r>
          </w:p>
        </w:tc>
        <w:tc>
          <w:tcPr>
            <w:tcW w:w="260" w:type="dxa"/>
            <w:vAlign w:val="bottom"/>
          </w:tcPr>
          <w:p>
            <w:pPr>
              <w:spacing w:after="0"/>
              <w:rPr>
                <w:sz w:val="7"/>
                <w:szCs w:val="7"/>
                <w:color w:val="auto"/>
              </w:rPr>
            </w:pPr>
          </w:p>
        </w:tc>
        <w:tc>
          <w:tcPr>
            <w:tcW w:w="9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1700" w:type="dxa"/>
            <w:vAlign w:val="bottom"/>
            <w:gridSpan w:val="4"/>
          </w:tcPr>
          <w:p>
            <w:pPr>
              <w:spacing w:after="0"/>
              <w:rPr>
                <w:sz w:val="20"/>
                <w:szCs w:val="20"/>
                <w:color w:val="auto"/>
              </w:rPr>
            </w:pPr>
            <w:r>
              <w:rPr>
                <w:rFonts w:ascii="Arial" w:cs="Arial" w:eastAsia="Arial" w:hAnsi="Arial"/>
                <w:sz w:val="3"/>
                <w:szCs w:val="3"/>
                <w:color w:val="FFFFFF"/>
              </w:rPr>
              <w:t>jackpot liabilities andamountportion</w:t>
            </w:r>
          </w:p>
        </w:tc>
        <w:tc>
          <w:tcPr>
            <w:tcW w:w="9700" w:type="dxa"/>
            <w:vAlign w:val="bottom"/>
          </w:tcPr>
          <w:p>
            <w:pPr>
              <w:ind w:left="100"/>
              <w:spacing w:after="0"/>
              <w:rPr>
                <w:sz w:val="20"/>
                <w:szCs w:val="20"/>
                <w:color w:val="auto"/>
              </w:rPr>
            </w:pPr>
            <w:r>
              <w:rPr>
                <w:rFonts w:ascii="Arial" w:cs="Arial" w:eastAsia="Arial" w:hAnsi="Arial"/>
                <w:sz w:val="3"/>
                <w:szCs w:val="3"/>
                <w:color w:val="FFFFFF"/>
              </w:rPr>
              <w:t>f commissions and discounts</w:t>
            </w:r>
          </w:p>
        </w:tc>
        <w:tc>
          <w:tcPr>
            <w:tcW w:w="0" w:type="dxa"/>
            <w:vAlign w:val="bottom"/>
          </w:tcPr>
          <w:p>
            <w:pPr>
              <w:spacing w:after="0"/>
              <w:rPr>
                <w:sz w:val="1"/>
                <w:szCs w:val="1"/>
                <w:color w:val="auto"/>
              </w:rPr>
            </w:pPr>
          </w:p>
        </w:tc>
      </w:tr>
      <w:tr>
        <w:trPr>
          <w:trHeight w:val="41"/>
        </w:trPr>
        <w:tc>
          <w:tcPr>
            <w:tcW w:w="920" w:type="dxa"/>
            <w:vAlign w:val="bottom"/>
          </w:tcPr>
          <w:p>
            <w:pPr>
              <w:spacing w:after="0"/>
              <w:rPr>
                <w:sz w:val="20"/>
                <w:szCs w:val="20"/>
                <w:color w:val="auto"/>
              </w:rPr>
            </w:pPr>
            <w:r>
              <w:rPr>
                <w:rFonts w:ascii="Arial" w:cs="Arial" w:eastAsia="Arial" w:hAnsi="Arial"/>
                <w:sz w:val="3"/>
                <w:szCs w:val="3"/>
                <w:color w:val="FFFFFF"/>
              </w:rPr>
              <w:t>“gross table</w:t>
            </w:r>
          </w:p>
        </w:tc>
        <w:tc>
          <w:tcPr>
            <w:tcW w:w="780" w:type="dxa"/>
            <w:vAlign w:val="bottom"/>
            <w:gridSpan w:val="3"/>
          </w:tcPr>
          <w:p>
            <w:pPr>
              <w:ind w:left="140"/>
              <w:spacing w:after="0"/>
              <w:rPr>
                <w:sz w:val="20"/>
                <w:szCs w:val="20"/>
                <w:color w:val="auto"/>
              </w:rPr>
            </w:pPr>
            <w:r>
              <w:rPr>
                <w:rFonts w:ascii="Arial" w:cs="Arial" w:eastAsia="Arial" w:hAnsi="Arial"/>
                <w:sz w:val="3"/>
                <w:szCs w:val="3"/>
                <w:color w:val="FFFFFF"/>
              </w:rPr>
              <w:t>win” the a</w:t>
            </w:r>
          </w:p>
        </w:tc>
        <w:tc>
          <w:tcPr>
            <w:tcW w:w="9700" w:type="dxa"/>
            <w:vAlign w:val="bottom"/>
          </w:tcPr>
          <w:p>
            <w:pPr>
              <w:ind w:left="20"/>
              <w:spacing w:after="0"/>
              <w:rPr>
                <w:sz w:val="20"/>
                <w:szCs w:val="20"/>
                <w:color w:val="auto"/>
              </w:rPr>
            </w:pPr>
            <w:r>
              <w:rPr>
                <w:rFonts w:ascii="Arial" w:cs="Arial" w:eastAsia="Arial" w:hAnsi="Arial"/>
                <w:sz w:val="3"/>
                <w:szCs w:val="3"/>
                <w:color w:val="FFFFFF"/>
              </w:rPr>
              <w:t>ount of drop (in our general casino segment) or turnover (in our VIP casino segment) that is retained as winnings. We record this amount and gross slot win as casino revenue after</w:t>
            </w:r>
          </w:p>
        </w:tc>
        <w:tc>
          <w:tcPr>
            <w:tcW w:w="0" w:type="dxa"/>
            <w:vAlign w:val="bottom"/>
          </w:tcPr>
          <w:p>
            <w:pPr>
              <w:spacing w:after="0"/>
              <w:rPr>
                <w:sz w:val="1"/>
                <w:szCs w:val="1"/>
                <w:color w:val="auto"/>
              </w:rPr>
            </w:pPr>
          </w:p>
        </w:tc>
      </w:tr>
      <w:tr>
        <w:trPr>
          <w:trHeight w:val="41"/>
        </w:trPr>
        <w:tc>
          <w:tcPr>
            <w:tcW w:w="11400" w:type="dxa"/>
            <w:vAlign w:val="bottom"/>
            <w:gridSpan w:val="5"/>
          </w:tcPr>
          <w:p>
            <w:pPr>
              <w:spacing w:after="0"/>
              <w:rPr>
                <w:sz w:val="20"/>
                <w:szCs w:val="20"/>
                <w:color w:val="auto"/>
              </w:rPr>
            </w:pPr>
            <w:r>
              <w:rPr>
                <w:rFonts w:ascii="Arial" w:cs="Arial" w:eastAsia="Arial" w:hAnsi="Arial"/>
                <w:sz w:val="3"/>
                <w:szCs w:val="3"/>
                <w:color w:val="FFFFFF"/>
              </w:rPr>
              <w:t>deduction ofgamesportion of commissions and discounts</w:t>
            </w:r>
          </w:p>
        </w:tc>
        <w:tc>
          <w:tcPr>
            <w:tcW w:w="0" w:type="dxa"/>
            <w:vAlign w:val="bottom"/>
          </w:tcPr>
          <w:p>
            <w:pPr>
              <w:spacing w:after="0"/>
              <w:rPr>
                <w:sz w:val="1"/>
                <w:szCs w:val="1"/>
                <w:color w:val="auto"/>
              </w:rPr>
            </w:pPr>
          </w:p>
        </w:tc>
      </w:tr>
      <w:tr>
        <w:trPr>
          <w:trHeight w:val="0"/>
        </w:trPr>
        <w:tc>
          <w:tcPr>
            <w:tcW w:w="920" w:type="dxa"/>
            <w:vAlign w:val="bottom"/>
          </w:tcPr>
          <w:p>
            <w:pPr>
              <w:spacing w:after="0" w:line="80" w:lineRule="exact"/>
              <w:rPr>
                <w:sz w:val="20"/>
                <w:szCs w:val="20"/>
                <w:color w:val="auto"/>
              </w:rPr>
            </w:pPr>
            <w:r>
              <w:rPr>
                <w:rFonts w:ascii="Arial" w:cs="Arial" w:eastAsia="Arial" w:hAnsi="Arial"/>
                <w:sz w:val="9"/>
                <w:szCs w:val="9"/>
                <w:color w:val="FFFFFF"/>
              </w:rPr>
              <w:t>“In-house VIP</w:t>
            </w:r>
          </w:p>
        </w:tc>
        <w:tc>
          <w:tcPr>
            <w:tcW w:w="320" w:type="dxa"/>
            <w:vAlign w:val="bottom"/>
          </w:tcPr>
          <w:p>
            <w:pPr>
              <w:spacing w:after="0" w:line="20" w:lineRule="exact"/>
              <w:rPr>
                <w:sz w:val="1"/>
                <w:szCs w:val="1"/>
                <w:color w:val="auto"/>
              </w:rPr>
            </w:pPr>
          </w:p>
        </w:tc>
        <w:tc>
          <w:tcPr>
            <w:tcW w:w="10160" w:type="dxa"/>
            <w:vAlign w:val="bottom"/>
            <w:gridSpan w:val="3"/>
          </w:tcPr>
          <w:p>
            <w:pPr>
              <w:ind w:left="140"/>
              <w:spacing w:after="0" w:line="80" w:lineRule="exact"/>
              <w:rPr>
                <w:sz w:val="20"/>
                <w:szCs w:val="20"/>
                <w:color w:val="auto"/>
              </w:rPr>
            </w:pPr>
            <w:r>
              <w:rPr>
                <w:rFonts w:ascii="Arial" w:cs="Arial" w:eastAsia="Arial" w:hAnsi="Arial"/>
                <w:sz w:val="9"/>
                <w:szCs w:val="9"/>
                <w:color w:val="FFFFFF"/>
              </w:rPr>
              <w:t>an internal marketing program wherein we directly market our casino resorts to gaming clients, including to high-end or premium players in the greater Asia region. These players are</w:t>
            </w:r>
          </w:p>
        </w:tc>
        <w:tc>
          <w:tcPr>
            <w:tcW w:w="0" w:type="dxa"/>
            <w:vAlign w:val="bottom"/>
          </w:tcPr>
          <w:p>
            <w:pPr>
              <w:spacing w:after="0" w:line="20" w:lineRule="exact"/>
              <w:rPr>
                <w:sz w:val="1"/>
                <w:szCs w:val="1"/>
                <w:color w:val="auto"/>
              </w:rPr>
            </w:pPr>
          </w:p>
        </w:tc>
      </w:tr>
    </w:tbl>
    <w:p>
      <w:pPr>
        <w:ind w:right="60"/>
        <w:spacing w:after="0"/>
        <w:rPr>
          <w:sz w:val="20"/>
          <w:szCs w:val="20"/>
          <w:color w:val="auto"/>
        </w:rPr>
      </w:pPr>
      <w:r>
        <w:rPr>
          <w:rFonts w:ascii="Arial" w:cs="Arial" w:eastAsia="Arial" w:hAnsi="Arial"/>
          <w:sz w:val="3"/>
          <w:szCs w:val="3"/>
          <w:color w:val="FFFFFF"/>
        </w:rPr>
        <w:t>invited to qualifyProgram”forvariety of gaming rebate programs whereby they earn cash commissions and room, food and beverage and other complimentary allowances based on their turnover level. We often extend credit to these players based upon knowledge of the players, their ? nancial background and payment history</w:t>
      </w:r>
    </w:p>
    <w:p>
      <w:pPr>
        <w:spacing w:after="0" w:line="7" w:lineRule="exact"/>
        <w:rPr>
          <w:sz w:val="20"/>
          <w:szCs w:val="20"/>
          <w:color w:val="auto"/>
        </w:rPr>
      </w:pPr>
    </w:p>
    <w:p>
      <w:pPr>
        <w:ind w:right="2940" w:firstLine="60"/>
        <w:spacing w:after="0"/>
        <w:rPr>
          <w:sz w:val="20"/>
          <w:szCs w:val="20"/>
          <w:color w:val="auto"/>
        </w:rPr>
      </w:pPr>
      <w:r>
        <w:rPr>
          <w:rFonts w:ascii="Arial" w:cs="Arial" w:eastAsia="Arial" w:hAnsi="Arial"/>
          <w:sz w:val="6"/>
          <w:szCs w:val="6"/>
          <w:color w:val="FFFFFF"/>
        </w:rPr>
        <w:t>promotional</w:t>
      </w:r>
      <w:r>
        <w:rPr>
          <w:rFonts w:ascii="Arial" w:cs="Arial" w:eastAsia="Arial" w:hAnsi="Arial"/>
          <w:sz w:val="7"/>
          <w:szCs w:val="7"/>
          <w:color w:val="FFFFFF"/>
          <w:vertAlign w:val="superscript"/>
        </w:rPr>
        <w:t>EVP</w:t>
      </w:r>
      <w:r>
        <w:rPr>
          <w:rFonts w:ascii="Arial" w:cs="Arial" w:eastAsia="Arial" w:hAnsi="Arial"/>
          <w:sz w:val="6"/>
          <w:szCs w:val="6"/>
          <w:color w:val="FFFFFF"/>
        </w:rPr>
        <w:t xml:space="preserve"> allowance” the retail value of rooms, food and beverage and retail and other services furnished to guests (typically VIP clients) without charge </w:t>
      </w:r>
      <w:r>
        <w:rPr>
          <w:rFonts w:ascii="Arial" w:cs="Arial" w:eastAsia="Arial" w:hAnsi="Arial"/>
          <w:sz w:val="7"/>
          <w:szCs w:val="7"/>
          <w:color w:val="FFFFFF"/>
          <w:vertAlign w:val="subscript"/>
        </w:rPr>
        <w:t>“Rolling</w:t>
      </w:r>
      <w:r>
        <w:rPr>
          <w:rFonts w:ascii="Arial" w:cs="Arial" w:eastAsia="Arial" w:hAnsi="Arial"/>
          <w:sz w:val="6"/>
          <w:szCs w:val="6"/>
          <w:color w:val="FFFFFF"/>
        </w:rPr>
        <w:t>AR” the amount calculated by dividing total room revenues (less service charges, if any) by total rooms available</w:t>
      </w:r>
    </w:p>
    <w:p>
      <w:pPr>
        <w:spacing w:after="0" w:line="1" w:lineRule="exact"/>
        <w:rPr>
          <w:sz w:val="20"/>
          <w:szCs w:val="20"/>
          <w:color w:val="auto"/>
        </w:rPr>
      </w:pPr>
    </w:p>
    <w:p>
      <w:pPr>
        <w:ind w:right="60" w:firstLine="499"/>
        <w:spacing w:after="0" w:line="187" w:lineRule="auto"/>
        <w:rPr>
          <w:sz w:val="20"/>
          <w:szCs w:val="20"/>
          <w:color w:val="auto"/>
        </w:rPr>
      </w:pPr>
      <w:r>
        <w:rPr>
          <w:rFonts w:ascii="Arial" w:cs="Arial" w:eastAsia="Arial" w:hAnsi="Arial"/>
          <w:sz w:val="9"/>
          <w:szCs w:val="9"/>
          <w:color w:val="FFFFFF"/>
        </w:rPr>
        <w:t>Chip” physically identifi able chip that is used to track VIP wagering volume for purposes of calculating commissions and other allowances payable to gaming promoters and Wynn Macau’s individual VIP players</w:t>
      </w:r>
    </w:p>
    <w:p>
      <w:pPr>
        <w:ind w:left="60"/>
        <w:spacing w:after="0"/>
        <w:rPr>
          <w:sz w:val="20"/>
          <w:szCs w:val="20"/>
          <w:color w:val="auto"/>
        </w:rPr>
      </w:pPr>
      <w:r>
        <w:rPr>
          <w:rFonts w:ascii="Arial" w:cs="Arial" w:eastAsia="Arial" w:hAnsi="Arial"/>
          <w:sz w:val="3"/>
          <w:szCs w:val="3"/>
          <w:color w:val="FFFFFF"/>
        </w:rPr>
        <w:t>turnover” the sum of all losing Rolling Chip wagers within the VIP program</w:t>
      </w:r>
    </w:p>
    <w:p>
      <w:pPr>
        <w:spacing w:after="0" w:line="6" w:lineRule="exact"/>
        <w:rPr>
          <w:sz w:val="20"/>
          <w:szCs w:val="20"/>
          <w:color w:val="auto"/>
        </w:rPr>
      </w:pPr>
    </w:p>
    <w:p>
      <w:pPr>
        <w:ind w:left="320" w:right="2380" w:hanging="310"/>
        <w:spacing w:after="0" w:line="182" w:lineRule="auto"/>
        <w:rPr>
          <w:sz w:val="20"/>
          <w:szCs w:val="20"/>
          <w:color w:val="auto"/>
        </w:rPr>
      </w:pPr>
      <w:r>
        <w:rPr>
          <w:rFonts w:ascii="Arial" w:cs="Arial" w:eastAsia="Arial" w:hAnsi="Arial"/>
          <w:sz w:val="14"/>
          <w:szCs w:val="14"/>
          <w:color w:val="FFFFFF"/>
          <w:vertAlign w:val="superscript"/>
        </w:rPr>
        <w:t>“VIP</w:t>
      </w:r>
      <w:r>
        <w:rPr>
          <w:rFonts w:ascii="Arial" w:cs="Arial" w:eastAsia="Arial" w:hAnsi="Arial"/>
          <w:sz w:val="9"/>
          <w:szCs w:val="9"/>
          <w:color w:val="FFFFFF"/>
        </w:rPr>
        <w:t xml:space="preserve"> client” or “VIP player” client, patron or players who participates in Wynn Macau’s In-house VIP Program or in the VIP program of any of our gaming promoters table games turnover” turnover resulting from VIP table games only</w:t>
      </w:r>
    </w:p>
    <w:p>
      <w:pPr>
        <w:sectPr>
          <w:pgSz w:w="11900" w:h="16838" w:orient="portrait"/>
          <w:cols w:equalWidth="0" w:num="1">
            <w:col w:w="11400"/>
          </w:cols>
          <w:pgMar w:left="240" w:top="1440" w:right="25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469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FFFFFF"/>
        </w:rPr>
        <w:t>Wynn Macau, Limited Rua Cidade de Sintra, NAPE, Macau (853) 2888-9966 www.wynnmacau.com</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2019-12-07T03:58:36Z</dcterms:created>
  <dcterms:modified xsi:type="dcterms:W3CDTF">2019-12-07T03:58:36Z</dcterms:modified>
</cp:coreProperties>
</file>