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2"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580"/>
            <w:col w:w="786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285"/>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16"/>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245"/>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 w:lineRule="exact"/>
        <w:rPr>
          <w:sz w:val="24"/>
          <w:szCs w:val="24"/>
          <w:color w:val="auto"/>
        </w:rPr>
      </w:pPr>
    </w:p>
    <w:p>
      <w:pPr>
        <w:ind w:left="2380"/>
        <w:spacing w:after="0" w:line="207" w:lineRule="exact"/>
        <w:tabs>
          <w:tab w:leader="none" w:pos="4760" w:val="left"/>
          <w:tab w:leader="none" w:pos="6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0"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10,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Pr>
          <w:p>
            <w:pPr>
              <w:spacing w:after="0"/>
              <w:rPr>
                <w:sz w:val="19"/>
                <w:szCs w:val="19"/>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2007 and December 31, 2006</w:t>
              </w:r>
            </w:hyperlink>
          </w:p>
        </w:tc>
        <w:tc>
          <w:tcPr>
            <w:tcW w:w="2020" w:type="dxa"/>
            <w:vAlign w:val="bottom"/>
            <w:gridSpan w:val="3"/>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w:t>
            </w: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(unaudited) – Three months ended March 31, 2007 and 2006</w:t>
              </w:r>
            </w:hyperlink>
          </w:p>
        </w:tc>
        <w:tc>
          <w:tcPr>
            <w:tcW w:w="1100" w:type="dxa"/>
            <w:vAlign w:val="bottom"/>
          </w:tcPr>
          <w:p>
            <w:pPr>
              <w:ind w:left="820"/>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Three months ended March 31, 2007 and 2006</w:t>
              </w:r>
            </w:hyperlink>
          </w:p>
        </w:tc>
        <w:tc>
          <w:tcPr>
            <w:tcW w:w="8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000" w:type="dxa"/>
            <w:vAlign w:val="bottom"/>
            <w:gridSpan w:val="5"/>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6</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2900" w:type="dxa"/>
            <w:vAlign w:val="bottom"/>
            <w:gridSpan w:val="4"/>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30</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7460" w:type="dxa"/>
            <w:vAlign w:val="bottom"/>
            <w:gridSpan w:val="8"/>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31</w:t>
            </w: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4"/>
          </w:tcPr>
          <w:p>
            <w:pPr>
              <w:spacing w:after="0"/>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Other Information</w:t>
              </w:r>
            </w:hyperlink>
          </w:p>
        </w:tc>
        <w:tc>
          <w:tcPr>
            <w:tcW w:w="7780" w:type="dxa"/>
            <w:vAlign w:val="bottom"/>
            <w:gridSpan w:val="9"/>
          </w:tcPr>
          <w:p>
            <w:pPr>
              <w:spacing w:after="0"/>
              <w:rPr>
                <w:sz w:val="24"/>
                <w:szCs w:val="24"/>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79"/>
              </w:rPr>
              <w:t>31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8300" w:type="dxa"/>
            <w:vAlign w:val="bottom"/>
            <w:gridSpan w:val="10"/>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Unregistered Sales of Equity Securities and Use of Proceeds</w:t>
              </w:r>
            </w:hyperlink>
          </w:p>
        </w:tc>
        <w:tc>
          <w:tcPr>
            <w:tcW w:w="4940" w:type="dxa"/>
            <w:vAlign w:val="bottom"/>
            <w:gridSpan w:val="7"/>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100" w:type="dxa"/>
            <w:vAlign w:val="bottom"/>
          </w:tcPr>
          <w:p>
            <w:pPr>
              <w:ind w:left="820"/>
              <w:spacing w:after="0"/>
              <w:rPr>
                <w:sz w:val="20"/>
                <w:szCs w:val="20"/>
                <w:color w:val="auto"/>
              </w:rPr>
            </w:pPr>
            <w:r>
              <w:rPr>
                <w:rFonts w:ascii="Arial" w:cs="Arial" w:eastAsia="Arial" w:hAnsi="Arial"/>
                <w:sz w:val="18"/>
                <w:szCs w:val="18"/>
                <w:color w:val="auto"/>
              </w:rPr>
              <w:t>32</w:t>
            </w:r>
          </w:p>
        </w:tc>
      </w:tr>
      <w:tr>
        <w:trPr>
          <w:trHeight w:val="304"/>
        </w:trPr>
        <w:tc>
          <w:tcPr>
            <w:tcW w:w="112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33</w:t>
            </w: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8"/>
          </w:tcPr>
          <w:p>
            <w:pPr>
              <w:ind w:left="456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51,224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292,221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83,879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2,509,955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3,099,360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33,834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49,989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206,959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1,565,950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1,816,809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1,877,118</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1,456,127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1,453,918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(173,576)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1,282,551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1,242,770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3,099,360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173,093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368,318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(37,384)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330,934</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272,176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255,476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(24,378)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Increase/(decrease)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(21,442)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(22,656)</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37,572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37,572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Provision for doubtful accounts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2,946</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(3,355)</w:t>
            </w: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on debt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17,539</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(1,926)</w:t>
            </w: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7,482</w:t>
            </w:r>
          </w:p>
        </w:tc>
        <w:tc>
          <w:tcPr>
            <w:tcW w:w="60" w:type="dxa"/>
            <w:vAlign w:val="bottom"/>
          </w:tcPr>
          <w:p>
            <w:pPr>
              <w:spacing w:after="0"/>
              <w:rPr>
                <w:sz w:val="18"/>
                <w:szCs w:val="18"/>
                <w:color w:val="auto"/>
              </w:rPr>
            </w:pP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102,894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70,440</w:t>
            </w:r>
          </w:p>
        </w:tc>
        <w:tc>
          <w:tcPr>
            <w:tcW w:w="60" w:type="dxa"/>
            <w:vAlign w:val="bottom"/>
            <w:shd w:val="clear" w:color="auto" w:fill="CCEEFF"/>
          </w:tcPr>
          <w:p>
            <w:pPr>
              <w:spacing w:after="0"/>
              <w:rPr>
                <w:sz w:val="18"/>
                <w:szCs w:val="18"/>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(98,423)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(37,504)</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83,625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30,355</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Intangibles and other assets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(16,705)</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(29,993)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(23,640)</w:t>
            </w:r>
          </w:p>
        </w:tc>
      </w:tr>
      <w:tr>
        <w:trPr>
          <w:trHeight w:val="222"/>
        </w:trPr>
        <w:tc>
          <w:tcPr>
            <w:tcW w:w="7780" w:type="dxa"/>
            <w:vAlign w:val="bottom"/>
          </w:tcPr>
          <w:p>
            <w:pPr>
              <w:ind w:left="440"/>
              <w:spacing w:after="0"/>
              <w:rPr>
                <w:sz w:val="20"/>
                <w:szCs w:val="20"/>
                <w:color w:val="auto"/>
              </w:rPr>
            </w:pPr>
            <w:r>
              <w:rPr>
                <w:rFonts w:ascii="Arial" w:cs="Arial" w:eastAsia="Arial" w:hAnsi="Arial"/>
                <w:sz w:val="18"/>
                <w:szCs w:val="18"/>
                <w:color w:val="auto"/>
              </w:rPr>
              <w:t>Cash flows from financing activities: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(127,401)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(11,231)</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(85,401)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(11,231)</w:t>
            </w: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93,820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123,346</w:t>
            </w:r>
          </w:p>
        </w:tc>
        <w:tc>
          <w:tcPr>
            <w:tcW w:w="60" w:type="dxa"/>
            <w:vAlign w:val="bottom"/>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on “the Strip” in Las Vegas, Nevada. Wynn Las Vegas opened to the public on April 28, 2005. In addition, the Company is constructing “Encore at Wynn Las Vegas” or “Encore.” Encore will be fully integrated with Wynn Las Vegas and is being constructed on 20 acres of land immediately adjacent to Wynn Las Vegas. Encore is expected to open to the public in early 2009.</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As of March 31, 2007, Wynn Las Vegas, LLC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193" w:lineRule="exact"/>
        <w:rPr>
          <w:sz w:val="20"/>
          <w:szCs w:val="20"/>
          <w:color w:val="auto"/>
        </w:rPr>
      </w:pPr>
    </w:p>
    <w:p>
      <w:pPr>
        <w:ind w:left="240" w:right="794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2007 and December 31, 2006,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approximately 54% and 55%,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months ended March 31, 2007 and 2006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Food &amp; beverage</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14,021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880"/>
              <w:spacing w:after="0"/>
              <w:rPr>
                <w:sz w:val="20"/>
                <w:szCs w:val="20"/>
                <w:color w:val="auto"/>
              </w:rPr>
            </w:pPr>
            <w:r>
              <w:rPr>
                <w:rFonts w:ascii="Arial" w:cs="Arial" w:eastAsia="Arial" w:hAnsi="Arial"/>
                <w:sz w:val="18"/>
                <w:szCs w:val="18"/>
                <w:color w:val="auto"/>
              </w:rPr>
              <w:t>Total</w:t>
            </w:r>
          </w:p>
        </w:tc>
        <w:tc>
          <w:tcPr>
            <w:tcW w:w="5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21,962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24,605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140" w:type="dxa"/>
            <w:vAlign w:val="bottom"/>
            <w:vMerge w:val="restart"/>
          </w:tcPr>
          <w:p>
            <w:pPr>
              <w:jc w:val="right"/>
              <w:ind w:right="34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For the three months ended March 31, 2007 and 2006, advertising costs included in general and administrative expenses totaled approximately $5.3 million for each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condensed consolidated financial statements for the three months ended March 31, 2006 have been reclassified to be consistent with the current year presentation. These reclassifications had no effect on the previously reported net loss.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“Accounting for Uncertainty in Income Taxes”. This interpretation clarifies the accounting for uncertainty in income taxes recognized in a company’s financial statements in accordance with Statement of Financial Accounting Standards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consolidated financial statements.</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9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paid for the three months ended March 31, 2007 and 2006 totaled approximately $5.6 million and $10.7 million, respectively. Interest capitalized for the three months ended March 31, 2007 and 2006 totaled approximately $4.4 million and $0.3 million, respectively.</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Encore that was capitalized into construction in progress for the three months ended March 31, 2007 and 2006 totaled approximately $0.2 million and $0.5 million, respectively.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three months ended March 31, 2007 and 2006, capital expenditures includes an approximately $26.7 million increase and a $13.5 million decrease,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$ 111,822</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15,176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135,222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(39,834)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95,388</w:t>
            </w:r>
          </w:p>
        </w:tc>
        <w:tc>
          <w:tcPr>
            <w:tcW w:w="26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 (amounts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603,838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1,207,308</w:t>
            </w:r>
          </w:p>
        </w:tc>
        <w:tc>
          <w:tcPr>
            <w:tcW w:w="2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1,164,947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625,686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614,676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275,889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214,574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2,756,975</w:t>
            </w:r>
          </w:p>
        </w:tc>
        <w:tc>
          <w:tcPr>
            <w:tcW w:w="2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2,641,741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(247,020)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(222,580)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$ 2,509,955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$ 2,419,161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As of March 31, 2007 and December 31, 2006, construction in progress includes interest and other costs capitalized in conjunction with Encore. 9</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207" w:lineRule="exact"/>
        <w:rPr>
          <w:sz w:val="20"/>
          <w:szCs w:val="20"/>
          <w:color w:val="auto"/>
        </w:rPr>
      </w:pPr>
    </w:p>
    <w:p>
      <w:pPr>
        <w:jc w:val="center"/>
        <w:ind w:left="9360"/>
        <w:spacing w:after="0"/>
        <w:rPr>
          <w:sz w:val="20"/>
          <w:szCs w:val="20"/>
          <w:color w:val="auto"/>
        </w:rPr>
      </w:pPr>
      <w:r>
        <w:rPr>
          <w:rFonts w:ascii="Arial" w:cs="Arial" w:eastAsia="Arial" w:hAnsi="Arial"/>
          <w:sz w:val="12"/>
          <w:szCs w:val="12"/>
          <w:b w:val="1"/>
          <w:bCs w:val="1"/>
          <w:color w:val="auto"/>
        </w:rPr>
        <w:t>March 31,</w:t>
      </w:r>
    </w:p>
    <w:p>
      <w:pPr>
        <w:spacing w:after="0" w:line="24"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December 31,</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2006</w:t>
      </w:r>
    </w:p>
    <w:p>
      <w:pPr>
        <w:spacing w:after="0" w:line="1" w:lineRule="exact"/>
        <w:rPr>
          <w:sz w:val="20"/>
          <w:szCs w:val="20"/>
          <w:color w:val="auto"/>
        </w:rPr>
      </w:pPr>
    </w:p>
    <w:p>
      <w:pPr>
        <w:sectPr>
          <w:pgSz w:w="11900" w:h="16838" w:orient="portrait"/>
          <w:cols w:equalWidth="0" w:num="2">
            <w:col w:w="9960" w:space="560"/>
            <w:col w:w="9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8"/>
              </w:rPr>
              <w:t>$225 million Term Loan Facility; $112.5 million due September 30, 2012 with remaining $112.5 million due August 15,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1,567,000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$ 1,565,950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$ 1,647,092</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In April 2007, the Company amended its $900 million Revolving Credit Facility and its $225 million Term Loan Facility (together the “Wynn Las Vegas Credit Facilities,” or the “Credit Facilities”) to: (a) have the Final Completion as defined, be deemed satisfied for Wynn Las Vegas with the resulting release of</w:t>
      </w: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amounts in excess of $30 million, which amount must remain for Encore, from the Completion Guaranty Deposit; ($24.6 million at March 31, 2007),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balance of funds in the Project Liquidity Reserve Account ($32.8 million at March 31, 2007), (b) increase the permitted expenditures for Encore from</w:t>
      </w:r>
    </w:p>
    <w:p>
      <w:pPr>
        <w:spacing w:after="0" w:line="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$300 million to $500 million prior to the execution of a guaranteed maximum price contract, and (c) permit the issuance of up to $500 million of unsecured debt as and when permitted under the indenture governing the First Mortgage Notes.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2007, the Company was in compliance with all covenants governing the Company’s debt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which opened to the public on September 6, 2006. Interest accrues at 7.5% per annum. Unpaid principal and interest is due at maturity on August 15, 2012.</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Included in the balances as of March 31, 2007 and December 31, 2006, was approximately $3.9 and $2.4 million, respectively, of accrued interest receivable related to this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March 31, 2007, the Company’s net due to affiliates was primarily comprised of construction payables of approximately $40.8 million, construction retention of approximately $14.9 million, a management fee of approximately $32.9 million (equal to 1.5% of revenues and payable upon meeting certain leverage ratios as specified in the documents governing the Company’s Credit Facilities), and other net amounts receivable from affiliates totaling $2.7 million (including corporate allocations discussed below).</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three months ended March 31, 2007 and 2006, approximately $5.2 million and $3.3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amounts on deposit with Wynn Resorts to prepay any such items, which are replenished on an ongoing basis as needed. As of March 31, 2007 and December 31, 2006, Wynn Resorts owed Mr. Wynn and the other officers approximately $559,000 and $315,000,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project budget for Encore is currently estimated at approximately $2.1 billion, consisting of approximately $2.0 billion for Encore and approximately $100 million for an employee parking garage on the Koval property, an associated pedestrian bridge and costs incurred in connection with the theatre remodeling and production of “Monty Python’s Spamalot” at Wynn Las Vegas. The project is being funded from the Company’s existing Credit Facilities, remaining proceeds from the First Mortgage Notes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Through March 31, 2007, the Company incurred approximately $405.8 million of project costs related to the development and construction of Encore and related capital improvements. These costs are being funded from the Wynn Las Vegas Credit Facilities, the First Mortgage Notes and cash flow from the operations of Wynn Las Vegas.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6, in April 2007, all amounts in excess of $30 million were released as a result of the April 2007 amendment to the Credit Facilities. The remaining $30 million will be retained as Encore’s completion guarantee.</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Company also deposited $30 million from the net proceeds of the initial public offering of the Company’s common stock into a liquidity reserve account to secure the completion and opening of Wynn Las Vegas. This account was released as a result of the April 2007 amendment to the Credit Facilities.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released funds are expected to be applied to construction costs to be incurred in connection with Encore.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Consolidating Financial Information of Guarantors and Issuers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2007 and December 31, 2006, and for the three months ended March 31, 2007 and 2006.</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81,321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42,104</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95,388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51,224</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292,002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17,155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54,633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83,879</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2,304,670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205,285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2,509,955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21,450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43,453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65,762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2,829,116</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216,356</w:t>
            </w:r>
          </w:p>
        </w:tc>
        <w:tc>
          <w:tcPr>
            <w:tcW w:w="32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54,633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3,099,360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23,918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30,285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32,828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25,756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49,989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(155,111)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178,579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180,741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18,553</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1,525,000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1,565,950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1,546,565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221,691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1,816,809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1,456,127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(12,530)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1,456,127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(173,576)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(173,576)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1,282,551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(5,335)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1,282,551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2,829,116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216,356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54,633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3,099,360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93,825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120,489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49,451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21,204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309,590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118,965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82,379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2,219,360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56,360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36,235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21,846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63,549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1,613,892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1,613,202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1,453,918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1,242,770</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173,093</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77,347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368,574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(37,384)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331,190</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52,154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34,272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271,081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58,809</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(23,628)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(21,237)</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(21,442)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702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60" w:type="dxa"/>
            <w:vAlign w:val="bottom"/>
            <w:gridSpan w:val="3"/>
          </w:tcPr>
          <w:p>
            <w:pPr>
              <w:jc w:val="right"/>
              <w:ind w:right="393"/>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318,781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(41,057)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277,724</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42,996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37,548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254,861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(31,229)</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(22,399)</w:t>
            </w: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507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(22,656)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507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37,572</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37,572</w:t>
            </w:r>
          </w:p>
        </w:tc>
        <w:tc>
          <w:tcPr>
            <w:tcW w:w="60" w:type="dxa"/>
            <w:vAlign w:val="bottom"/>
          </w:tcPr>
          <w:p>
            <w:pPr>
              <w:spacing w:after="0"/>
              <w:rPr>
                <w:sz w:val="18"/>
                <w:szCs w:val="18"/>
                <w:color w:val="auto"/>
              </w:rPr>
            </w:pPr>
          </w:p>
        </w:tc>
      </w:t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w w:val="95"/>
              </w:rPr>
              <w:t>Equity in (income) loss from subsidiaries, net of distributions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Inventories and prepaid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(2,356)</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Pr>
          <w:p>
            <w:pPr>
              <w:ind w:left="220"/>
              <w:spacing w:after="0"/>
              <w:rPr>
                <w:sz w:val="20"/>
                <w:szCs w:val="20"/>
                <w:color w:val="auto"/>
              </w:rPr>
            </w:pPr>
            <w:r>
              <w:rPr>
                <w:rFonts w:ascii="Arial" w:cs="Arial" w:eastAsia="Arial" w:hAnsi="Arial"/>
                <w:sz w:val="18"/>
                <w:szCs w:val="18"/>
                <w:color w:val="auto"/>
              </w:rPr>
              <w:t>Due to affiliates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(3,894)</w:t>
            </w:r>
          </w:p>
        </w:tc>
        <w:tc>
          <w:tcPr>
            <w:tcW w:w="14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(3,894)</w:t>
            </w:r>
          </w:p>
        </w:tc>
      </w:tr>
      <w:tr>
        <w:trPr>
          <w:trHeight w:val="216"/>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101,155</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702</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102,894</w:t>
            </w:r>
          </w:p>
        </w:tc>
        <w:tc>
          <w:tcPr>
            <w:tcW w:w="6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(91,141)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(98,423)</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83,625</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(13,322)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(13,479)</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(4,631)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(1,716)</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(24,767)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(29,993)</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(88,892)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(38,509)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(127,401)</w:t>
            </w:r>
          </w:p>
        </w:tc>
      </w:tr>
      <w:tr>
        <w:trPr>
          <w:trHeight w:val="223"/>
        </w:trPr>
        <w:tc>
          <w:tcPr>
            <w:tcW w:w="5040" w:type="dxa"/>
            <w:vAlign w:val="bottom"/>
          </w:tcPr>
          <w:p>
            <w:pPr>
              <w:ind w:left="220"/>
              <w:spacing w:after="0"/>
              <w:rPr>
                <w:sz w:val="20"/>
                <w:szCs w:val="20"/>
                <w:color w:val="auto"/>
              </w:rPr>
            </w:pPr>
            <w:r>
              <w:rPr>
                <w:rFonts w:ascii="Arial" w:cs="Arial" w:eastAsia="Arial" w:hAnsi="Arial"/>
                <w:sz w:val="18"/>
                <w:szCs w:val="18"/>
                <w:color w:val="auto"/>
              </w:rPr>
              <w:t>Proceeds from issuance of long term debt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(88,892)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(85,401)</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(12,504)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81,320</w:t>
            </w:r>
          </w:p>
        </w:tc>
        <w:tc>
          <w:tcPr>
            <w:tcW w:w="6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872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37,548</w:t>
            </w: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6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5,487</w:t>
            </w:r>
          </w:p>
        </w:tc>
        <w:tc>
          <w:tcPr>
            <w:tcW w:w="16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2,946</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4,949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(3,355)</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17,811</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(3,149)</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69,982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(35,082)</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30,862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Intangibles and other assets</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(20,417)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(24,423)</w:t>
            </w:r>
          </w:p>
        </w:tc>
        <w:tc>
          <w:tcPr>
            <w:tcW w:w="16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(10,000)</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(11,231)</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35,559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87,787</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123,346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2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at Wynn Las Vegas (“Encore”), a hotel casino resort which, when completed, will be fully integrated with Wynn Las Vegas. Until the opening of Wynn Las Vegas in 2005, we were solely a development stage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Louis Vuitton, Jean-Paul Gaultier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March 2007, we remodeled the Le Reve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Reve. Also, in March 2007, we commenced performances of “Monty Python’s Spamalot” in our Grail Theatre.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design of Encore. Encore is expected to open in early 2009. Our project budget is currently estimated at approximately $2.1 billion, consisting of approximately $2 billion for Encore and approximately $100 million for an employee parking garage on our Koval property, an associated pedestrian bridge and costs incurred in connection with the theatre remodeling and production of “Monty Python’s Spamalot” at Wynn Las Vegas, which opened in March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recorded net income for the quarter ended March 31, 2007 of $37.6 million, compared to a net loss of $408,000 recorded during the quarter ended March 31, 2006. This increase is due to a significant increase in revenues and operating income primarily related to the casino operations.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March 31, 2007 compared to the three months ended March 31,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revenues for the three months ended March 31, 2007 are comprised of $173.1 million in casino revenues (52.3% of total net revenues) and $157.8 million of net non-casino revenues (47.7% of total net revenues). Net revenues for the first quarter of 2006 were comprised of $126.5 million in casino revenues (45.6% of total net revenues) and $150.9 million of net non-casino revenues (54.4% of total net revenues). We believe the quality of our resort’s non-casino amenities, combined with providing guests an unparalleled total resort experience, has driven a premium in ADR and other non-gaming revenues as well as increasing the length of casino play.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three months ended March 31, 2007 of approximately $173.1 million represents approximately a $46.6 million (or 36.8%) increase from casino revenues of $126.5 million for the three months ended March 31, 2006. During the three months ended March 31, 2007, we experienced a 12% increase in drop and an increase in the average table games win percentage compared to the prior year quarter. The average table games win percentage (before discounts) of 27.6% was above the expected range of 20% to 23% for the three months ended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March 31, 2007. For the three months ended March 31, 2006, our average table games win percentage (before discounts) was 19.8%. Slot handle at Wynn Las Vegas increased during the three months ended March 31, 2007 as compared to 2006, and the slot win percentage was within the expected range of 4.5% to 5.5%.</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three months ended March 31, 2007, room revenues were approximately $72.9 million, which represents a $4.8 million (or 7%) increase over the $68.2 million generated in the three months ended March 31, 2006. This increase is due to an increase in both occupancy and rate as compared to the prior year. See the table below for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2007</w:t>
            </w: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Occupancy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2"/>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2007 include: food and beverage revenues of approximately $77.3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$21.4 million, entertainment revenues of approximately $10.9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$12.6 million. Other non-gaming revenues for the three months ended March 31, 2006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retail revenues of approximately $17.2 million, entertainment revenues of approximately $20.3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$11.5 million. The $9.4 million decrease in entertainment revenues is due to the cancellation of Avenue Q in May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30 fewer Le Reve shows in March 2007 than March 2006 due to closure of the Le Reve theatre for modifications from March 6, 2007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4, 2007. Revenue from “Monty Python’s Spamalot” which opened in March 2007 is also included in entertainment revenues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2007.</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three months ended March 31, 2007, departmental expenses included casino expenses of $72.2 million, rooms expenses of $19.2 million, food and beverage expenses of $48.5 million, and entertainment, retail and other expenses of $32.1 million. Also included are general and administrative expenses of approximately $51.5 million and approximately $5 million charged as a provision for doubtful accounts receivable. During the three months ended March 31, 2006, departmental expenses included casino expenses of $63.2 million, room expenses of $17 million, food and beverage expenses of $44.8 million, and entertainment, retail and other expenses of $32.3 million. Also included are general and administrative expenses of approximately $42.2 million and approximately $2.9 million charged as a provision for doubtful accounts receivable. The increase in expenses is commensurate with the increase in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$5 million for the quarter ended March 31, 2007 compared to $4.2 million for the quarter ended March 31, 2006.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Pre-opening costs for the three months ended March 31, 2007 were $1.5 million compared to $18,000 for the three months ended March 31, 2006. Pre-opening costs for the three months ended March 31, 2007 were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incurred with the opening of the new show “Monty Python’s Spamalot” and the development of Encore. As Encore progresses, pre-opening costs related to this project will increase as opening approaches in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Depreciation and amortization for the three months ended March 31, 2007 of $36.1 million decreased by $2.9 million when compared to the three months ended March 31, 2006, primarily due to the reduced amortization of show production costs and rights with the cancellation of Avenue Q in May 2006.</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February 2006, we agreed with the producers of Avenue Q to end their exclusive Las Vegas run at Wynn Las Vegas’ Broadway Theatre at the end of May 2006. To terminate the contract, we paid a termination fee of $5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Property charges and other for the three months ended March 31, 2007 of $1.1 million decreased by approximately $3.8 million when compared to the three months ended March 31, 2006.</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three months ended March 31, 2007, the $1.1 million incurred related to enhancements we made to the Le Reve theatre. The $4.9 million incurred in the prior year’s quarter related to several projects including the Fairway Villas, changes to certain retail outlets and our spa and salon.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Interest income decreased by $1.9 million to $4.1 million for the three months ended March 31, 2007 compared to the three months ended March 31, 2006. This decrease is primarily due to reduced average restricted cash balances during the three months ended March 31, 2007 compared to the prior year’s quarter as a result of spending related to the development and construction of Encore.</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Interest expense, net of capitalized interest, was $24.4 million for the three months ended March 31, 2007 compared to $32 million during the three months ended March 31, 2006. This decrease is due to lower average debt balances and lower interest rates as a result of the August 2006 bank refinancing and increased capitalized interest of $4.1 million due to the continuing construction costs of Encore. Capitalized interest continues to increase with the ongoing borrowings and construction costs related to Encore.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increase (or decrease) in swap fair value in each period. We recorded an expense of approximately $1 million for the three months ended March 31, 2007 resulting from the decrease in the fair value of our interest rate swap from December 31, 2006 to March 31, 2007. During the three months ended March 31, 2006 we recorded a gain of $3.4 million resulting from the increase in the fair value of interest rate swap between December 31, 2005 and March 31, 2006. For further information on our interest rate swaps, see Item 3 – “Quantitative and Qualitative Disclosures about Market Risk.”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three months ended March 31, 2007 was $102.9 million compared to $70.4 million provided by operations for the three months ended March 31, 2006. This increase is due to the increase in operating income as a result of improved overall operational results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We require a certain amount of cash on hand for operations. As of March 31, 2007, we had approximately $81.3 million of cash and cash equivalents available for new development activities, general corporate purposes, enhancements to Wynn Las Vegas, and to support the development and construction of Encore. As of March 31, 2007, we had approximately $113.9 million in cash and investments from the proceeds of our debt and equity financings, which is restricted for the following:</w:t>
      </w:r>
    </w:p>
    <w:p>
      <w:pPr>
        <w:spacing w:after="0" w:line="62"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$80 million restricted for the Wynn Las Vegas liquidity reserve and completion guarantee ($30 million of which must be retained for Encore).</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80" w:firstLine="456"/>
        <w:spacing w:after="0" w:line="317" w:lineRule="auto"/>
        <w:rPr>
          <w:sz w:val="20"/>
          <w:szCs w:val="20"/>
          <w:color w:val="auto"/>
        </w:rPr>
      </w:pPr>
      <w:r>
        <w:rPr>
          <w:rFonts w:ascii="Arial" w:cs="Arial" w:eastAsia="Arial" w:hAnsi="Arial"/>
          <w:sz w:val="16"/>
          <w:szCs w:val="16"/>
          <w:color w:val="auto"/>
        </w:rPr>
        <w:t>On April 28, 2006, we commenced construction on Encore. We expect to open Encore to the public in early 2009. Design and construction is progressing as expected at Encore. Current construction activities in the various project sections since groundbreaking include the following:</w:t>
      </w:r>
    </w:p>
    <w:p>
      <w:pPr>
        <w:spacing w:after="0" w:line="27" w:lineRule="exact"/>
        <w:rPr>
          <w:sz w:val="20"/>
          <w:szCs w:val="20"/>
          <w:color w:val="auto"/>
        </w:rPr>
      </w:pPr>
    </w:p>
    <w:p>
      <w:pPr>
        <w:ind w:left="78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high-rise concrete pours have been completed through the 24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deck. The installation of the reinforcing rebar for the shear walls and columns for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is underway.</w:t>
      </w:r>
    </w:p>
    <w:p>
      <w:pPr>
        <w:ind w:left="780" w:right="140" w:hanging="326"/>
        <w:spacing w:after="0" w:line="243"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mechanical, electrical and plumbing rough-in is completed up to the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and framing is completed up to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with drywall through the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Exterior glass installation is currently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on the south side of the building and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on the north side.</w:t>
      </w:r>
    </w:p>
    <w:p>
      <w:pPr>
        <w:spacing w:after="0" w:line="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Concrete pours for the 10-level guest self-park garage are complete as well as three levels of the 10-level employee parking garage.</w:t>
      </w:r>
    </w:p>
    <w:p>
      <w:pPr>
        <w:spacing w:after="0" w:line="76"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Low-rise casino concrete pours are completed through the mezzanine level with the casino level perimeter walls under way. The footings for the meeting and convention area are 50% complete and pool footings are underway.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remaining proceeds from the First Mortgage Notes and operating cash flow from Wynn Las Vegas. To the extent additional funds are required, we will provide these amounts with additional debt and equity contributions from Wynn Resorts or additional indebtedness to be incurred by Wynn Las Vegas.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2007, we incurred approximately $405.8 million of project costs related to the development and construction of Encore and related capital improvements. These costs are being funded from the Wynn Las Vegas Credit Facilities, the remaining funds from the First Mortgage Notes and cash flow from the operations of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any debt or equity contributions from Wynn Resorts or proceeds of additional debt financing at Wynn Las Vegas;</w:t>
      </w:r>
    </w:p>
    <w:p>
      <w:pPr>
        <w:spacing w:after="0" w:line="50"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Second, by using any proceeds from the First Mortgage Notes (including any additional First Mortgage Notes that may be issued in the future), and the proceeds of borrowings under our Credit Facilities, until exhaustion of the First Mortgage Notes proceeds (which we expect will be fully used in the second quarter of 2007), with amounts funded 66.67% from the First Mortgage Notes proceeds and 33.33% from the Credit Facilities;</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our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$172.2 million of capital expenditures in 2007, of which we have expended approximately $11 million through March 31, 2007. The spending limit may be increased to the extent funds are contributed to Wynn Las Vegas by Wynn Resorts,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March 31, 2007, our Credit Facilities consist of a $900 million revolving credit facility (the “Revolver”) and $225 million term loan facility (the “Term Loan”).</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For borrowings under the Term Loan we have elected, and expect to continue to elect, Eurodollar loans which bear interest at 1-month LIBOR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2007, there are no borrowings outstanding under the Revolver. Consequently, $900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April 2007, the Company amended its Credit Facilities to: (a) have the Final Completion as defined, be deemed satisfied for Wynn Las Vegas with the resulting release of (i) all amounts in excess of $30 million, which amount must remain for Encore, from the Completion Guaranty Deposit; ($24.6 million at March 31, 2007), and (ii) the balance of funds in the Project Liquidity Reserve Account ($32.8 million at March 31, 2007),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Wynn Las Vegas intends to fund its operations and capital requirements from operating cash flow and remaining availability under our Credit Facilities. We cannot assure you, however, that Wynn Las Vegas will generate sufficient cash flow from operations or that future borrowings available to us under the Credit Facilities will be sufficient to enable us to service and repay Wynn Las Vegas, LLC’s indebtedness and to fund its other liquidity needs. We may refinance all or a portion of our indebtedness on or before maturity. We cannot assure you that we will be able to refinance any of the indebtedness on acceptable terms.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Other than some additional information related to the allowance for estimated doubtful accounts receivable below, there have been no material change to these policies for the three months ended March 31, 2007.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As of March 31, 2007 and December 31, 2006, approximately 54%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75"/>
        </w:trPr>
        <w:tc>
          <w:tcPr>
            <w:tcW w:w="6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133,985</w:t>
            </w:r>
          </w:p>
        </w:tc>
        <w:tc>
          <w:tcPr>
            <w:tcW w:w="1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39,354</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2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2800" w:type="dxa"/>
            <w:vAlign w:val="bottom"/>
            <w:gridSpan w:val="3"/>
          </w:tcPr>
          <w:p>
            <w:pPr>
              <w:jc w:val="right"/>
              <w:ind w:right="300"/>
              <w:spacing w:after="0"/>
              <w:rPr>
                <w:sz w:val="20"/>
                <w:szCs w:val="20"/>
                <w:color w:val="auto"/>
              </w:rPr>
            </w:pPr>
            <w:r>
              <w:rPr>
                <w:rFonts w:ascii="Arial" w:cs="Arial" w:eastAsia="Arial" w:hAnsi="Arial"/>
                <w:sz w:val="18"/>
                <w:szCs w:val="18"/>
                <w:color w:val="auto"/>
              </w:rPr>
              <w:t>25.5%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seasonality and the aging of customer accounts in the ordinary course as our operations mature. To date,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write-offs have been de minimis. While collection efforts remain active, it is our current policy to fully reserve all accounts over one year old. 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condensed consolidated financial statements.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March 31, 2007,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as the swap does not qualify for hedge accounting.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March 31, 2007 and December 31, 2006, our interest rate swap had an approximate asset fair value of $3.8 million and $4.8 million, respectively. The fair value approximates the amount the Company would receive if this contract were settled at the valuation date. Fair value is estimated based upon current, and predictions of future, interest rate levels along a yield curve, the remaining duration of the instruments and other market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therefore, is subject to significant estimation and a high degree of variability of fluctuation between periods.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2007, approximately 96%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2007, an assumed 1% change in variable rates would cause our annual interest cost to change by $0.7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9"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2006. There were no material changes to those risk factors during the three months ended March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880" w:type="dxa"/>
            <w:vAlign w:val="bottom"/>
          </w:tcPr>
          <w:p>
            <w:pPr>
              <w:spacing w:after="0"/>
              <w:rPr>
                <w:sz w:val="24"/>
                <w:szCs w:val="24"/>
                <w:color w:val="auto"/>
              </w:rPr>
            </w:pPr>
          </w:p>
        </w:tc>
        <w:tc>
          <w:tcPr>
            <w:tcW w:w="988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60" w:type="dxa"/>
            <w:vAlign w:val="bottom"/>
          </w:tcPr>
          <w:p>
            <w:pPr>
              <w:jc w:val="right"/>
              <w:ind w:right="176"/>
              <w:spacing w:after="0"/>
              <w:rPr>
                <w:sz w:val="20"/>
                <w:szCs w:val="20"/>
                <w:color w:val="auto"/>
              </w:rPr>
            </w:pPr>
            <w:r>
              <w:rPr>
                <w:rFonts w:ascii="Arial" w:cs="Arial" w:eastAsia="Arial" w:hAnsi="Arial"/>
                <w:sz w:val="18"/>
                <w:szCs w:val="18"/>
                <w:color w:val="auto"/>
              </w:rPr>
              <w:t>3.1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84"/>
        </w:trPr>
        <w:tc>
          <w:tcPr>
            <w:tcW w:w="660" w:type="dxa"/>
            <w:vAlign w:val="bottom"/>
          </w:tcPr>
          <w:p>
            <w:pPr>
              <w:jc w:val="right"/>
              <w:ind w:right="176"/>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84"/>
        </w:trPr>
        <w:tc>
          <w:tcPr>
            <w:tcW w:w="660" w:type="dxa"/>
            <w:vAlign w:val="bottom"/>
          </w:tcPr>
          <w:p>
            <w:pPr>
              <w:jc w:val="right"/>
              <w:ind w:right="176"/>
              <w:spacing w:after="0"/>
              <w:rPr>
                <w:sz w:val="20"/>
                <w:szCs w:val="20"/>
                <w:color w:val="auto"/>
              </w:rPr>
            </w:pPr>
            <w:r>
              <w:rPr>
                <w:rFonts w:ascii="Arial" w:cs="Arial" w:eastAsia="Arial" w:hAnsi="Arial"/>
                <w:sz w:val="18"/>
                <w:szCs w:val="18"/>
                <w:color w:val="auto"/>
                <w:w w:val="90"/>
              </w:rPr>
              <w:t>*31.1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284"/>
        </w:trPr>
        <w:tc>
          <w:tcPr>
            <w:tcW w:w="660" w:type="dxa"/>
            <w:vAlign w:val="bottom"/>
          </w:tcPr>
          <w:p>
            <w:pPr>
              <w:jc w:val="right"/>
              <w:ind w:right="176"/>
              <w:spacing w:after="0"/>
              <w:rPr>
                <w:sz w:val="20"/>
                <w:szCs w:val="20"/>
                <w:color w:val="auto"/>
              </w:rPr>
            </w:pPr>
            <w:r>
              <w:rPr>
                <w:rFonts w:ascii="Arial" w:cs="Arial" w:eastAsia="Arial" w:hAnsi="Arial"/>
                <w:sz w:val="18"/>
                <w:szCs w:val="18"/>
                <w:color w:val="auto"/>
                <w:w w:val="90"/>
              </w:rPr>
              <w:t>*31.2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284"/>
        </w:trPr>
        <w:tc>
          <w:tcPr>
            <w:tcW w:w="660" w:type="dxa"/>
            <w:vAlign w:val="bottom"/>
          </w:tcPr>
          <w:p>
            <w:pPr>
              <w:jc w:val="right"/>
              <w:ind w:right="176"/>
              <w:spacing w:after="0"/>
              <w:rPr>
                <w:sz w:val="20"/>
                <w:szCs w:val="20"/>
                <w:color w:val="auto"/>
              </w:rPr>
            </w:pPr>
            <w:r>
              <w:rPr>
                <w:rFonts w:ascii="Arial" w:cs="Arial" w:eastAsia="Arial" w:hAnsi="Arial"/>
                <w:sz w:val="18"/>
                <w:szCs w:val="18"/>
                <w:color w:val="auto"/>
                <w:w w:val="90"/>
              </w:rPr>
              <w:t>*32.1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231" w:lineRule="exact"/>
        <w:rPr>
          <w:sz w:val="20"/>
          <w:szCs w:val="20"/>
          <w:color w:val="auto"/>
        </w:rPr>
      </w:pPr>
    </w:p>
    <w:p>
      <w:pPr>
        <w:spacing w:after="0"/>
        <w:tabs>
          <w:tab w:leader="none" w:pos="5480" w:val="left"/>
          <w:tab w:leader="none" w:pos="8180" w:val="left"/>
        </w:tabs>
        <w:rPr>
          <w:sz w:val="20"/>
          <w:szCs w:val="20"/>
          <w:color w:val="auto"/>
        </w:rPr>
      </w:pPr>
      <w:r>
        <w:rPr>
          <w:rFonts w:ascii="Arial" w:cs="Arial" w:eastAsia="Arial" w:hAnsi="Arial"/>
          <w:sz w:val="18"/>
          <w:szCs w:val="18"/>
          <w:color w:val="auto"/>
        </w:rPr>
        <w:t>Dated: May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Sisk</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40"/>
          </w:cols>
          <w:pgMar w:left="240" w:top="459" w:right="11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320"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2007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r>
      <w:tr>
        <w:trPr>
          <w:trHeight w:val="43"/>
        </w:trPr>
        <w:tc>
          <w:tcPr>
            <w:tcW w:w="700" w:type="dxa"/>
            <w:vAlign w:val="bottom"/>
            <w:gridSpan w:val="2"/>
          </w:tcPr>
          <w:p>
            <w:pPr>
              <w:spacing w:after="0"/>
              <w:rPr>
                <w:sz w:val="3"/>
                <w:szCs w:val="3"/>
                <w:color w:val="auto"/>
              </w:rPr>
            </w:pPr>
          </w:p>
        </w:tc>
        <w:tc>
          <w:tcPr>
            <w:tcW w:w="4220" w:type="dxa"/>
            <w:vAlign w:val="bottom"/>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Andrew Pascal</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700" w:type="dxa"/>
            <w:vAlign w:val="bottom"/>
            <w:gridSpan w:val="2"/>
          </w:tcPr>
          <w:p>
            <w:pPr>
              <w:spacing w:after="0"/>
              <w:rPr>
                <w:sz w:val="20"/>
                <w:szCs w:val="20"/>
                <w:color w:val="auto"/>
              </w:rPr>
            </w:pPr>
            <w:r>
              <w:rPr>
                <w:rFonts w:ascii="Arial" w:cs="Arial" w:eastAsia="Arial" w:hAnsi="Arial"/>
                <w:sz w:val="18"/>
                <w:szCs w:val="18"/>
                <w:color w:val="auto"/>
              </w:rPr>
              <w:t>Date:</w:t>
            </w:r>
          </w:p>
        </w:tc>
        <w:tc>
          <w:tcPr>
            <w:tcW w:w="4220" w:type="dxa"/>
            <w:vAlign w:val="bottom"/>
          </w:tcPr>
          <w:p>
            <w:pPr>
              <w:ind w:left="240"/>
              <w:spacing w:after="0"/>
              <w:rPr>
                <w:sz w:val="20"/>
                <w:szCs w:val="20"/>
                <w:color w:val="auto"/>
              </w:rPr>
            </w:pPr>
            <w:r>
              <w:rPr>
                <w:rFonts w:ascii="Arial" w:cs="Arial" w:eastAsia="Arial" w:hAnsi="Arial"/>
                <w:sz w:val="18"/>
                <w:szCs w:val="18"/>
                <w:color w:val="auto"/>
              </w:rPr>
              <w:t>May 10, 2007</w:t>
            </w:r>
          </w:p>
        </w:tc>
      </w:tr>
      <w:tr>
        <w:trPr>
          <w:trHeight w:val="63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tc>
      </w:tr>
      <w:tr>
        <w:trPr>
          <w:trHeight w:val="43"/>
        </w:trPr>
        <w:tc>
          <w:tcPr>
            <w:tcW w:w="700" w:type="dxa"/>
            <w:vAlign w:val="bottom"/>
            <w:gridSpan w:val="2"/>
          </w:tcPr>
          <w:p>
            <w:pPr>
              <w:spacing w:after="0"/>
              <w:rPr>
                <w:sz w:val="3"/>
                <w:szCs w:val="3"/>
                <w:color w:val="auto"/>
              </w:rPr>
            </w:pPr>
          </w:p>
        </w:tc>
        <w:tc>
          <w:tcPr>
            <w:tcW w:w="4220" w:type="dxa"/>
            <w:vAlign w:val="bottom"/>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David R. Sisk</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700" w:type="dxa"/>
            <w:vAlign w:val="bottom"/>
            <w:gridSpan w:val="2"/>
          </w:tcPr>
          <w:p>
            <w:pPr>
              <w:spacing w:after="0"/>
              <w:rPr>
                <w:sz w:val="20"/>
                <w:szCs w:val="20"/>
                <w:color w:val="auto"/>
              </w:rPr>
            </w:pPr>
            <w:r>
              <w:rPr>
                <w:rFonts w:ascii="Arial" w:cs="Arial" w:eastAsia="Arial" w:hAnsi="Arial"/>
                <w:sz w:val="18"/>
                <w:szCs w:val="18"/>
                <w:color w:val="auto"/>
              </w:rPr>
              <w:t>Date:</w:t>
            </w:r>
          </w:p>
        </w:tc>
        <w:tc>
          <w:tcPr>
            <w:tcW w:w="4220" w:type="dxa"/>
            <w:vAlign w:val="bottom"/>
          </w:tcPr>
          <w:p>
            <w:pPr>
              <w:ind w:left="240"/>
              <w:spacing w:after="0"/>
              <w:rPr>
                <w:sz w:val="20"/>
                <w:szCs w:val="20"/>
                <w:color w:val="auto"/>
              </w:rPr>
            </w:pPr>
            <w:r>
              <w:rPr>
                <w:rFonts w:ascii="Arial" w:cs="Arial" w:eastAsia="Arial" w:hAnsi="Arial"/>
                <w:sz w:val="18"/>
                <w:szCs w:val="18"/>
                <w:color w:val="auto"/>
              </w:rPr>
              <w:t>May 10,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decimal"/>
      <w:start w:val="8"/>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2019-12-15T08:08:29Z</dcterms:created>
  <dcterms:modified xsi:type="dcterms:W3CDTF">2019-12-15T08:08:29Z</dcterms:modified>
</cp:coreProperties>
</file>