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____________________</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Date of Report (Date of earliest event reported): April 15, 2004</w:t>
      </w:r>
    </w:p>
    <w:p>
      <w:pPr>
        <w:spacing w:after="0" w:line="200" w:lineRule="exact"/>
        <w:rPr>
          <w:sz w:val="24"/>
          <w:szCs w:val="24"/>
          <w:color w:val="auto"/>
        </w:rPr>
      </w:pPr>
    </w:p>
    <w:p>
      <w:pPr>
        <w:spacing w:after="0" w:line="22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ind w:firstLine="105"/>
        <w:spacing w:after="0" w:line="279" w:lineRule="auto"/>
        <w:rPr>
          <w:sz w:val="20"/>
          <w:szCs w:val="20"/>
          <w:color w:val="auto"/>
        </w:rPr>
      </w:pPr>
      <w:r>
        <w:rPr>
          <w:rFonts w:ascii="Courier New" w:cs="Courier New" w:eastAsia="Courier New" w:hAnsi="Courier New"/>
          <w:sz w:val="16"/>
          <w:szCs w:val="16"/>
          <w:color w:val="auto"/>
        </w:rPr>
        <w:t>000-50028 (Commission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46-0484987</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45" w:lineRule="exact"/>
        <w:rPr>
          <w:sz w:val="24"/>
          <w:szCs w:val="24"/>
          <w:color w:val="auto"/>
        </w:rPr>
      </w:pPr>
    </w:p>
    <w:p>
      <w:pPr>
        <w:sectPr>
          <w:pgSz w:w="11900" w:h="16838" w:orient="portrait"/>
          <w:cols w:equalWidth="0" w:num="3">
            <w:col w:w="3380" w:space="520"/>
            <w:col w:w="1260" w:space="640"/>
            <w:col w:w="4419"/>
          </w:cols>
          <w:pgMar w:left="240" w:top="244" w:right="1440" w:bottom="1440" w:gutter="0" w:footer="0" w:header="0"/>
          <w:type w:val="continuous"/>
        </w:sectPr>
      </w:pPr>
    </w:p>
    <w:p>
      <w:pPr>
        <w:spacing w:after="0" w:line="175" w:lineRule="exact"/>
        <w:rPr>
          <w:sz w:val="24"/>
          <w:szCs w:val="24"/>
          <w:color w:val="auto"/>
        </w:rPr>
      </w:pPr>
    </w:p>
    <w:p>
      <w:pPr>
        <w:jc w:val="center"/>
        <w:ind w:right="126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138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12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920" w:space="720"/>
            <w:col w:w="3579"/>
          </w:cols>
          <w:pgMar w:left="240" w:top="244" w:right="1440" w:bottom="1440" w:gutter="0" w:footer="0" w:header="0"/>
          <w:type w:val="continuous"/>
        </w:sectPr>
      </w:pPr>
    </w:p>
    <w:p>
      <w:pPr>
        <w:spacing w:after="0" w:line="226"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(702) 770-7555</w:t>
      </w:r>
    </w:p>
    <w:p>
      <w:pPr>
        <w:sectPr>
          <w:pgSz w:w="11900" w:h="16838" w:orient="portrait"/>
          <w:cols w:equalWidth="0" w:num="1">
            <w:col w:w="10219"/>
          </w:cols>
          <w:pgMar w:left="240" w:top="244" w:right="1440" w:bottom="1440" w:gutter="0" w:footer="0" w:header="0"/>
          <w:type w:val="continuous"/>
        </w:sectPr>
      </w:pP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previously disclosed, Valvino Lamore, LLC, a subsidiary of the Registrant ("Valvino"), has been involved in litigation related to its ownership and development of the former Desert Inn golf course and the residential lots around the golf course. Based on the February 23, 2004 settlement reached with the plaintiffs, all actions relating to the litigation were dismissed with prejudice on or prior to April 15, 2004. As part of the settlement, the Registrant purchased the ten remaining residential lots which Valvino had not previously purchased, for $23 million from its existing cash.</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20, 2004</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/s/John Strzemp</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John Strzemp</w:t>
      </w:r>
    </w:p>
    <w:p>
      <w:pPr>
        <w:ind w:left="528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5280"/>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2019-12-15T07:29:00Z</dcterms:created>
  <dcterms:modified xsi:type="dcterms:W3CDTF">2019-12-15T07:29:00Z</dcterms:modified>
</cp:coreProperties>
</file>