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February 1, 2012</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4080" w:type="dxa"/>
            <w:vAlign w:val="bottom"/>
          </w:tcPr>
          <w:p>
            <w:pPr>
              <w:jc w:val="center"/>
              <w:ind w:right="876"/>
              <w:spacing w:after="0"/>
              <w:rPr>
                <w:sz w:val="20"/>
                <w:szCs w:val="20"/>
                <w:color w:val="auto"/>
              </w:rPr>
            </w:pPr>
            <w:r>
              <w:rPr>
                <w:rFonts w:ascii="Arial" w:cs="Arial" w:eastAsia="Arial" w:hAnsi="Arial"/>
                <w:sz w:val="22"/>
                <w:szCs w:val="22"/>
                <w:b w:val="1"/>
                <w:bCs w:val="1"/>
                <w:color w:val="auto"/>
                <w:w w:val="89"/>
              </w:rPr>
              <w:t>Nevada</w:t>
            </w:r>
          </w:p>
        </w:tc>
        <w:tc>
          <w:tcPr>
            <w:tcW w:w="3420" w:type="dxa"/>
            <w:vAlign w:val="bottom"/>
          </w:tcPr>
          <w:p>
            <w:pPr>
              <w:jc w:val="right"/>
              <w:ind w:right="1577"/>
              <w:spacing w:after="0"/>
              <w:rPr>
                <w:sz w:val="20"/>
                <w:szCs w:val="20"/>
                <w:color w:val="auto"/>
              </w:rPr>
            </w:pPr>
            <w:r>
              <w:rPr>
                <w:rFonts w:ascii="Arial" w:cs="Arial" w:eastAsia="Arial" w:hAnsi="Arial"/>
                <w:sz w:val="22"/>
                <w:szCs w:val="22"/>
                <w:b w:val="1"/>
                <w:bCs w:val="1"/>
                <w:color w:val="auto"/>
              </w:rPr>
              <w:t>000-50028</w:t>
            </w:r>
          </w:p>
        </w:tc>
        <w:tc>
          <w:tcPr>
            <w:tcW w:w="3220" w:type="dxa"/>
            <w:vAlign w:val="bottom"/>
          </w:tcPr>
          <w:p>
            <w:pPr>
              <w:jc w:val="right"/>
              <w:ind w:right="935"/>
              <w:spacing w:after="0"/>
              <w:rPr>
                <w:sz w:val="20"/>
                <w:szCs w:val="20"/>
                <w:color w:val="auto"/>
              </w:rPr>
            </w:pPr>
            <w:r>
              <w:rPr>
                <w:rFonts w:ascii="Arial" w:cs="Arial" w:eastAsia="Arial" w:hAnsi="Arial"/>
                <w:sz w:val="22"/>
                <w:szCs w:val="22"/>
                <w:b w:val="1"/>
                <w:bCs w:val="1"/>
                <w:color w:val="auto"/>
              </w:rPr>
              <w:t>46-0484987</w:t>
            </w:r>
          </w:p>
        </w:tc>
      </w:tr>
      <w:tr>
        <w:trPr>
          <w:trHeight w:val="243"/>
        </w:trPr>
        <w:tc>
          <w:tcPr>
            <w:tcW w:w="4080" w:type="dxa"/>
            <w:vAlign w:val="bottom"/>
          </w:tcPr>
          <w:p>
            <w:pPr>
              <w:jc w:val="center"/>
              <w:ind w:right="876"/>
              <w:spacing w:after="0" w:line="243" w:lineRule="exact"/>
              <w:rPr>
                <w:sz w:val="20"/>
                <w:szCs w:val="20"/>
                <w:color w:val="auto"/>
              </w:rPr>
            </w:pPr>
            <w:r>
              <w:rPr>
                <w:rFonts w:ascii="Arial" w:cs="Arial" w:eastAsia="Arial" w:hAnsi="Arial"/>
                <w:sz w:val="22"/>
                <w:szCs w:val="22"/>
                <w:color w:val="auto"/>
                <w:w w:val="90"/>
              </w:rPr>
              <w:t>(State or other jurisdiction of</w:t>
            </w:r>
          </w:p>
        </w:tc>
        <w:tc>
          <w:tcPr>
            <w:tcW w:w="3420" w:type="dxa"/>
            <w:vAlign w:val="bottom"/>
          </w:tcPr>
          <w:p>
            <w:pPr>
              <w:jc w:val="center"/>
              <w:ind w:right="777"/>
              <w:spacing w:after="0" w:line="243" w:lineRule="exact"/>
              <w:rPr>
                <w:sz w:val="20"/>
                <w:szCs w:val="20"/>
                <w:color w:val="auto"/>
              </w:rPr>
            </w:pPr>
            <w:r>
              <w:rPr>
                <w:rFonts w:ascii="Arial" w:cs="Arial" w:eastAsia="Arial" w:hAnsi="Arial"/>
                <w:sz w:val="22"/>
                <w:szCs w:val="22"/>
                <w:color w:val="auto"/>
                <w:w w:val="90"/>
              </w:rPr>
              <w:t>(Commission File Number)</w:t>
            </w:r>
          </w:p>
        </w:tc>
        <w:tc>
          <w:tcPr>
            <w:tcW w:w="3220" w:type="dxa"/>
            <w:vAlign w:val="bottom"/>
          </w:tcPr>
          <w:p>
            <w:pPr>
              <w:ind w:left="80"/>
              <w:spacing w:after="0" w:line="243" w:lineRule="exact"/>
              <w:rPr>
                <w:sz w:val="20"/>
                <w:szCs w:val="20"/>
                <w:color w:val="auto"/>
              </w:rPr>
            </w:pPr>
            <w:r>
              <w:rPr>
                <w:rFonts w:ascii="Arial" w:cs="Arial" w:eastAsia="Arial" w:hAnsi="Arial"/>
                <w:sz w:val="22"/>
                <w:szCs w:val="22"/>
                <w:color w:val="auto"/>
                <w:w w:val="92"/>
              </w:rPr>
              <w:t>(I.R.S. Employer Identification No.)</w:t>
            </w:r>
          </w:p>
        </w:tc>
      </w:tr>
      <w:tr>
        <w:trPr>
          <w:trHeight w:val="275"/>
        </w:trPr>
        <w:tc>
          <w:tcPr>
            <w:tcW w:w="4080" w:type="dxa"/>
            <w:vAlign w:val="bottom"/>
          </w:tcPr>
          <w:p>
            <w:pPr>
              <w:jc w:val="center"/>
              <w:ind w:right="896"/>
              <w:spacing w:after="0"/>
              <w:rPr>
                <w:sz w:val="20"/>
                <w:szCs w:val="20"/>
                <w:color w:val="auto"/>
              </w:rPr>
            </w:pPr>
            <w:r>
              <w:rPr>
                <w:rFonts w:ascii="Arial" w:cs="Arial" w:eastAsia="Arial" w:hAnsi="Arial"/>
                <w:sz w:val="22"/>
                <w:szCs w:val="22"/>
                <w:color w:val="auto"/>
                <w:w w:val="92"/>
              </w:rPr>
              <w:t>incorporation)</w:t>
            </w:r>
          </w:p>
        </w:tc>
        <w:tc>
          <w:tcPr>
            <w:tcW w:w="34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432"/>
        </w:trPr>
        <w:tc>
          <w:tcPr>
            <w:tcW w:w="4080" w:type="dxa"/>
            <w:vAlign w:val="bottom"/>
          </w:tcPr>
          <w:p>
            <w:pPr>
              <w:spacing w:after="0"/>
              <w:rPr>
                <w:sz w:val="24"/>
                <w:szCs w:val="24"/>
                <w:color w:val="auto"/>
              </w:rPr>
            </w:pPr>
          </w:p>
        </w:tc>
        <w:tc>
          <w:tcPr>
            <w:tcW w:w="3420" w:type="dxa"/>
            <w:vAlign w:val="bottom"/>
          </w:tcPr>
          <w:p>
            <w:pPr>
              <w:jc w:val="center"/>
              <w:ind w:right="777"/>
              <w:spacing w:after="0"/>
              <w:rPr>
                <w:sz w:val="20"/>
                <w:szCs w:val="20"/>
                <w:color w:val="auto"/>
              </w:rPr>
            </w:pPr>
            <w:r>
              <w:rPr>
                <w:rFonts w:ascii="Arial" w:cs="Arial" w:eastAsia="Arial" w:hAnsi="Arial"/>
                <w:sz w:val="20"/>
                <w:szCs w:val="20"/>
                <w:b w:val="1"/>
                <w:bCs w:val="1"/>
                <w:color w:val="auto"/>
                <w:w w:val="99"/>
              </w:rPr>
              <w:t>WYNN LAS VEGAS, LLC</w:t>
            </w:r>
          </w:p>
        </w:tc>
        <w:tc>
          <w:tcPr>
            <w:tcW w:w="3220" w:type="dxa"/>
            <w:vAlign w:val="bottom"/>
          </w:tcPr>
          <w:p>
            <w:pPr>
              <w:spacing w:after="0"/>
              <w:rPr>
                <w:sz w:val="24"/>
                <w:szCs w:val="24"/>
                <w:color w:val="auto"/>
              </w:rPr>
            </w:pPr>
          </w:p>
        </w:tc>
      </w:tr>
      <w:tr>
        <w:trPr>
          <w:trHeight w:val="250"/>
        </w:trPr>
        <w:tc>
          <w:tcPr>
            <w:tcW w:w="7500" w:type="dxa"/>
            <w:vAlign w:val="bottom"/>
            <w:gridSpan w:val="2"/>
          </w:tcPr>
          <w:p>
            <w:pPr>
              <w:jc w:val="center"/>
              <w:ind w:left="3096"/>
              <w:spacing w:after="0"/>
              <w:rPr>
                <w:sz w:val="20"/>
                <w:szCs w:val="20"/>
                <w:color w:val="auto"/>
              </w:rPr>
            </w:pPr>
            <w:r>
              <w:rPr>
                <w:rFonts w:ascii="Arial" w:cs="Arial" w:eastAsia="Arial" w:hAnsi="Arial"/>
                <w:sz w:val="20"/>
                <w:szCs w:val="20"/>
                <w:color w:val="auto"/>
                <w:w w:val="89"/>
              </w:rPr>
              <w:t>(Exact name of registrant as specified in its charter)</w:t>
            </w:r>
          </w:p>
        </w:tc>
        <w:tc>
          <w:tcPr>
            <w:tcW w:w="3220" w:type="dxa"/>
            <w:vAlign w:val="bottom"/>
          </w:tcPr>
          <w:p>
            <w:pPr>
              <w:spacing w:after="0"/>
              <w:rPr>
                <w:sz w:val="21"/>
                <w:szCs w:val="21"/>
                <w:color w:val="auto"/>
              </w:rPr>
            </w:pPr>
          </w:p>
        </w:tc>
      </w:tr>
      <w:tr>
        <w:trPr>
          <w:trHeight w:val="398"/>
        </w:trPr>
        <w:tc>
          <w:tcPr>
            <w:tcW w:w="4080" w:type="dxa"/>
            <w:vAlign w:val="bottom"/>
          </w:tcPr>
          <w:p>
            <w:pPr>
              <w:jc w:val="center"/>
              <w:ind w:right="896"/>
              <w:spacing w:after="0"/>
              <w:rPr>
                <w:sz w:val="20"/>
                <w:szCs w:val="20"/>
                <w:color w:val="auto"/>
              </w:rPr>
            </w:pPr>
            <w:r>
              <w:rPr>
                <w:rFonts w:ascii="Arial" w:cs="Arial" w:eastAsia="Arial" w:hAnsi="Arial"/>
                <w:sz w:val="20"/>
                <w:szCs w:val="20"/>
                <w:b w:val="1"/>
                <w:bCs w:val="1"/>
                <w:color w:val="auto"/>
                <w:w w:val="89"/>
              </w:rPr>
              <w:t>Nevada</w:t>
            </w:r>
          </w:p>
        </w:tc>
        <w:tc>
          <w:tcPr>
            <w:tcW w:w="3420" w:type="dxa"/>
            <w:vAlign w:val="bottom"/>
          </w:tcPr>
          <w:p>
            <w:pPr>
              <w:jc w:val="right"/>
              <w:ind w:right="1577"/>
              <w:spacing w:after="0"/>
              <w:rPr>
                <w:sz w:val="20"/>
                <w:szCs w:val="20"/>
                <w:color w:val="auto"/>
              </w:rPr>
            </w:pPr>
            <w:r>
              <w:rPr>
                <w:rFonts w:ascii="Arial" w:cs="Arial" w:eastAsia="Arial" w:hAnsi="Arial"/>
                <w:sz w:val="20"/>
                <w:szCs w:val="20"/>
                <w:b w:val="1"/>
                <w:bCs w:val="1"/>
                <w:color w:val="auto"/>
              </w:rPr>
              <w:t>333-100768</w:t>
            </w:r>
          </w:p>
        </w:tc>
        <w:tc>
          <w:tcPr>
            <w:tcW w:w="3220" w:type="dxa"/>
            <w:vAlign w:val="bottom"/>
          </w:tcPr>
          <w:p>
            <w:pPr>
              <w:jc w:val="right"/>
              <w:ind w:right="975"/>
              <w:spacing w:after="0"/>
              <w:rPr>
                <w:sz w:val="20"/>
                <w:szCs w:val="20"/>
                <w:color w:val="auto"/>
              </w:rPr>
            </w:pPr>
            <w:r>
              <w:rPr>
                <w:rFonts w:ascii="Arial" w:cs="Arial" w:eastAsia="Arial" w:hAnsi="Arial"/>
                <w:sz w:val="20"/>
                <w:szCs w:val="20"/>
                <w:b w:val="1"/>
                <w:bCs w:val="1"/>
                <w:color w:val="auto"/>
              </w:rPr>
              <w:t>88-0494875</w:t>
            </w:r>
          </w:p>
        </w:tc>
      </w:tr>
      <w:tr>
        <w:trPr>
          <w:trHeight w:val="216"/>
        </w:trPr>
        <w:tc>
          <w:tcPr>
            <w:tcW w:w="4080" w:type="dxa"/>
            <w:vAlign w:val="bottom"/>
          </w:tcPr>
          <w:p>
            <w:pPr>
              <w:jc w:val="center"/>
              <w:ind w:right="876"/>
              <w:spacing w:after="0" w:line="216" w:lineRule="exact"/>
              <w:rPr>
                <w:sz w:val="20"/>
                <w:szCs w:val="20"/>
                <w:color w:val="auto"/>
              </w:rPr>
            </w:pPr>
            <w:r>
              <w:rPr>
                <w:rFonts w:ascii="Arial" w:cs="Arial" w:eastAsia="Arial" w:hAnsi="Arial"/>
                <w:sz w:val="20"/>
                <w:szCs w:val="20"/>
                <w:color w:val="auto"/>
                <w:w w:val="91"/>
              </w:rPr>
              <w:t>(State or other jurisdiction of</w:t>
            </w:r>
          </w:p>
        </w:tc>
        <w:tc>
          <w:tcPr>
            <w:tcW w:w="3420" w:type="dxa"/>
            <w:vAlign w:val="bottom"/>
          </w:tcPr>
          <w:p>
            <w:pPr>
              <w:jc w:val="center"/>
              <w:ind w:right="777"/>
              <w:spacing w:after="0" w:line="216" w:lineRule="exact"/>
              <w:rPr>
                <w:sz w:val="20"/>
                <w:szCs w:val="20"/>
                <w:color w:val="auto"/>
              </w:rPr>
            </w:pPr>
            <w:r>
              <w:rPr>
                <w:rFonts w:ascii="Arial" w:cs="Arial" w:eastAsia="Arial" w:hAnsi="Arial"/>
                <w:sz w:val="20"/>
                <w:szCs w:val="20"/>
                <w:color w:val="auto"/>
                <w:w w:val="91"/>
              </w:rPr>
              <w:t>(Commission File Number)</w:t>
            </w:r>
          </w:p>
        </w:tc>
        <w:tc>
          <w:tcPr>
            <w:tcW w:w="3220" w:type="dxa"/>
            <w:vAlign w:val="bottom"/>
          </w:tcPr>
          <w:p>
            <w:pPr>
              <w:ind w:left="220"/>
              <w:spacing w:after="0" w:line="216" w:lineRule="exact"/>
              <w:rPr>
                <w:sz w:val="20"/>
                <w:szCs w:val="20"/>
                <w:color w:val="auto"/>
              </w:rPr>
            </w:pPr>
            <w:r>
              <w:rPr>
                <w:rFonts w:ascii="Arial" w:cs="Arial" w:eastAsia="Arial" w:hAnsi="Arial"/>
                <w:sz w:val="20"/>
                <w:szCs w:val="20"/>
                <w:color w:val="auto"/>
                <w:w w:val="96"/>
              </w:rPr>
              <w:t>(I.R.S. Employer Identification No.)</w:t>
            </w:r>
          </w:p>
        </w:tc>
      </w:tr>
      <w:tr>
        <w:trPr>
          <w:trHeight w:val="250"/>
        </w:trPr>
        <w:tc>
          <w:tcPr>
            <w:tcW w:w="4080" w:type="dxa"/>
            <w:vAlign w:val="bottom"/>
          </w:tcPr>
          <w:p>
            <w:pPr>
              <w:jc w:val="center"/>
              <w:ind w:right="876"/>
              <w:spacing w:after="0"/>
              <w:rPr>
                <w:sz w:val="20"/>
                <w:szCs w:val="20"/>
                <w:color w:val="auto"/>
              </w:rPr>
            </w:pPr>
            <w:r>
              <w:rPr>
                <w:rFonts w:ascii="Arial" w:cs="Arial" w:eastAsia="Arial" w:hAnsi="Arial"/>
                <w:sz w:val="20"/>
                <w:szCs w:val="20"/>
                <w:color w:val="auto"/>
                <w:w w:val="93"/>
              </w:rPr>
              <w:t>incorporation)</w:t>
            </w:r>
          </w:p>
        </w:tc>
        <w:tc>
          <w:tcPr>
            <w:tcW w:w="342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414"/>
        </w:trPr>
        <w:tc>
          <w:tcPr>
            <w:tcW w:w="4080" w:type="dxa"/>
            <w:vAlign w:val="bottom"/>
          </w:tcPr>
          <w:p>
            <w:pPr>
              <w:jc w:val="center"/>
              <w:ind w:left="796"/>
              <w:spacing w:after="0"/>
              <w:rPr>
                <w:sz w:val="20"/>
                <w:szCs w:val="20"/>
                <w:color w:val="auto"/>
              </w:rPr>
            </w:pPr>
            <w:r>
              <w:rPr>
                <w:rFonts w:ascii="Arial" w:cs="Arial" w:eastAsia="Arial" w:hAnsi="Arial"/>
                <w:sz w:val="22"/>
                <w:szCs w:val="22"/>
                <w:b w:val="1"/>
                <w:bCs w:val="1"/>
                <w:color w:val="auto"/>
                <w:w w:val="87"/>
              </w:rPr>
              <w:t>3131 Las Vegas Boulevard South</w:t>
            </w:r>
          </w:p>
        </w:tc>
        <w:tc>
          <w:tcPr>
            <w:tcW w:w="34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9"/>
        </w:trPr>
        <w:tc>
          <w:tcPr>
            <w:tcW w:w="4080" w:type="dxa"/>
            <w:vAlign w:val="bottom"/>
          </w:tcPr>
          <w:p>
            <w:pPr>
              <w:jc w:val="center"/>
              <w:ind w:left="816"/>
              <w:spacing w:after="0" w:line="249" w:lineRule="exact"/>
              <w:rPr>
                <w:sz w:val="20"/>
                <w:szCs w:val="20"/>
                <w:color w:val="auto"/>
              </w:rPr>
            </w:pPr>
            <w:r>
              <w:rPr>
                <w:rFonts w:ascii="Arial" w:cs="Arial" w:eastAsia="Arial" w:hAnsi="Arial"/>
                <w:sz w:val="22"/>
                <w:szCs w:val="22"/>
                <w:b w:val="1"/>
                <w:bCs w:val="1"/>
                <w:color w:val="auto"/>
                <w:w w:val="86"/>
              </w:rPr>
              <w:t>Las Vegas, Nevada</w:t>
            </w:r>
          </w:p>
        </w:tc>
        <w:tc>
          <w:tcPr>
            <w:tcW w:w="3420" w:type="dxa"/>
            <w:vAlign w:val="bottom"/>
          </w:tcPr>
          <w:p>
            <w:pPr>
              <w:spacing w:after="0"/>
              <w:rPr>
                <w:sz w:val="21"/>
                <w:szCs w:val="21"/>
                <w:color w:val="auto"/>
              </w:rPr>
            </w:pPr>
          </w:p>
        </w:tc>
        <w:tc>
          <w:tcPr>
            <w:tcW w:w="3220" w:type="dxa"/>
            <w:vAlign w:val="bottom"/>
          </w:tcPr>
          <w:p>
            <w:pPr>
              <w:jc w:val="right"/>
              <w:ind w:right="2135"/>
              <w:spacing w:after="0" w:line="249" w:lineRule="exact"/>
              <w:rPr>
                <w:sz w:val="20"/>
                <w:szCs w:val="20"/>
                <w:color w:val="auto"/>
              </w:rPr>
            </w:pPr>
            <w:r>
              <w:rPr>
                <w:rFonts w:ascii="Arial" w:cs="Arial" w:eastAsia="Arial" w:hAnsi="Arial"/>
                <w:sz w:val="22"/>
                <w:szCs w:val="22"/>
                <w:b w:val="1"/>
                <w:bCs w:val="1"/>
                <w:color w:val="auto"/>
              </w:rPr>
              <w:t>89109</w:t>
            </w:r>
          </w:p>
        </w:tc>
      </w:tr>
      <w:tr>
        <w:trPr>
          <w:trHeight w:val="275"/>
        </w:trPr>
        <w:tc>
          <w:tcPr>
            <w:tcW w:w="7500" w:type="dxa"/>
            <w:vAlign w:val="bottom"/>
            <w:gridSpan w:val="2"/>
          </w:tcPr>
          <w:p>
            <w:pPr>
              <w:jc w:val="center"/>
              <w:ind w:right="2417"/>
              <w:spacing w:after="0"/>
              <w:rPr>
                <w:sz w:val="20"/>
                <w:szCs w:val="20"/>
                <w:color w:val="auto"/>
              </w:rPr>
            </w:pPr>
            <w:r>
              <w:rPr>
                <w:rFonts w:ascii="Arial" w:cs="Arial" w:eastAsia="Arial" w:hAnsi="Arial"/>
                <w:sz w:val="22"/>
                <w:szCs w:val="22"/>
                <w:color w:val="auto"/>
                <w:w w:val="90"/>
              </w:rPr>
              <w:t>(Address of principal executive offices of each registrant)</w:t>
            </w:r>
          </w:p>
        </w:tc>
        <w:tc>
          <w:tcPr>
            <w:tcW w:w="3220" w:type="dxa"/>
            <w:vAlign w:val="bottom"/>
          </w:tcPr>
          <w:p>
            <w:pPr>
              <w:ind w:left="220"/>
              <w:spacing w:after="0"/>
              <w:rPr>
                <w:sz w:val="20"/>
                <w:szCs w:val="20"/>
                <w:color w:val="auto"/>
              </w:rPr>
            </w:pPr>
            <w:r>
              <w:rPr>
                <w:rFonts w:ascii="Arial" w:cs="Arial" w:eastAsia="Arial" w:hAnsi="Arial"/>
                <w:sz w:val="22"/>
                <w:szCs w:val="22"/>
                <w:color w:val="auto"/>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1040" w:hanging="1032"/>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1040" w:hanging="1032"/>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1040" w:right="920" w:hanging="1032"/>
        <w:spacing w:after="0" w:line="251"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173" w:lineRule="exact"/>
        <w:rPr>
          <w:rFonts w:ascii="Arial" w:cs="Arial" w:eastAsia="Arial" w:hAnsi="Arial"/>
          <w:sz w:val="22"/>
          <w:szCs w:val="22"/>
          <w:color w:val="auto"/>
        </w:rPr>
      </w:pPr>
    </w:p>
    <w:p>
      <w:pPr>
        <w:ind w:left="1040" w:right="1140" w:hanging="1032"/>
        <w:spacing w:after="0" w:line="251"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February 2, 2012, Wynn Resorts, Limited (the “Company”) issued a press release announcing its results of operations for the fourth quarter and year ended December 31, 2011.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On February 1, 2012, the Board of Directors of the Company declared a cash dividend for the quarter of $0.50 per share of its outstanding common stock. This cash dividend will be payable on March 1, 2012 to stockholders of record on February 16, 2012.</w:t>
      </w:r>
    </w:p>
    <w:p>
      <w:pPr>
        <w:spacing w:after="0" w:line="12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00" w:hanging="929"/>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February 2, 2012,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2, 2012</w:t>
      </w:r>
    </w:p>
    <w:p>
      <w:pPr>
        <w:spacing w:after="0" w:line="233"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7620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22"/>
          <w:szCs w:val="22"/>
          <w:color w:val="auto"/>
        </w:rPr>
        <w:t>Matt Maddox</w:t>
      </w:r>
    </w:p>
    <w:p>
      <w:pPr>
        <w:ind w:left="7900"/>
        <w:spacing w:after="0"/>
        <w:rPr>
          <w:sz w:val="20"/>
          <w:szCs w:val="20"/>
          <w:color w:val="auto"/>
        </w:rPr>
      </w:pPr>
      <w:r>
        <w:rPr>
          <w:rFonts w:ascii="Arial" w:cs="Arial" w:eastAsia="Arial" w:hAnsi="Arial"/>
          <w:sz w:val="21"/>
          <w:szCs w:val="2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February 2, 2012</w:t>
      </w:r>
    </w:p>
    <w:p>
      <w:pPr>
        <w:spacing w:after="0" w:line="233"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WYNN LAS VEGAS, LLC</w:t>
      </w:r>
    </w:p>
    <w:p>
      <w:pPr>
        <w:spacing w:after="0" w:line="196" w:lineRule="exact"/>
        <w:rPr>
          <w:sz w:val="20"/>
          <w:szCs w:val="20"/>
          <w:color w:val="auto"/>
        </w:rPr>
      </w:pPr>
    </w:p>
    <w:tbl>
      <w:tblPr>
        <w:tblLayout w:type="fixed"/>
        <w:tblInd w:w="720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tcPr>
          <w:p>
            <w:pPr>
              <w:spacing w:after="0"/>
              <w:rPr>
                <w:sz w:val="20"/>
                <w:szCs w:val="20"/>
                <w:color w:val="auto"/>
              </w:rPr>
            </w:pPr>
            <w:r>
              <w:rPr>
                <w:rFonts w:ascii="Arial" w:cs="Arial" w:eastAsia="Arial" w:hAnsi="Arial"/>
                <w:sz w:val="22"/>
                <w:szCs w:val="22"/>
                <w:color w:val="auto"/>
                <w:w w:val="96"/>
              </w:rPr>
              <w:t>Wynn Resorts Holdings, LLC, its sole</w:t>
            </w:r>
          </w:p>
        </w:tc>
      </w:tr>
      <w:tr>
        <w:trPr>
          <w:trHeight w:val="275"/>
        </w:trPr>
        <w:tc>
          <w:tcPr>
            <w:tcW w:w="70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22"/>
                <w:szCs w:val="22"/>
                <w:color w:val="auto"/>
              </w:rPr>
              <w:t>member</w:t>
            </w:r>
          </w:p>
        </w:tc>
      </w:tr>
      <w:tr>
        <w:trPr>
          <w:trHeight w:val="459"/>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tcPr>
          <w:p>
            <w:pPr>
              <w:spacing w:after="0"/>
              <w:rPr>
                <w:sz w:val="20"/>
                <w:szCs w:val="20"/>
                <w:color w:val="auto"/>
              </w:rPr>
            </w:pPr>
            <w:r>
              <w:rPr>
                <w:rFonts w:ascii="Arial" w:cs="Arial" w:eastAsia="Arial" w:hAnsi="Arial"/>
                <w:sz w:val="22"/>
                <w:szCs w:val="22"/>
                <w:color w:val="auto"/>
                <w:w w:val="90"/>
              </w:rPr>
              <w:t>Wynn Resorts, Limited, its sole member</w:t>
            </w:r>
          </w:p>
        </w:tc>
      </w:tr>
      <w:tr>
        <w:trPr>
          <w:trHeight w:val="449"/>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15"/>
        </w:trPr>
        <w:tc>
          <w:tcPr>
            <w:tcW w:w="70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22"/>
                <w:szCs w:val="22"/>
                <w:color w:val="auto"/>
              </w:rPr>
              <w:t>Matt Maddox</w:t>
            </w:r>
          </w:p>
        </w:tc>
      </w:tr>
      <w:tr>
        <w:trPr>
          <w:trHeight w:val="275"/>
        </w:trPr>
        <w:tc>
          <w:tcPr>
            <w:tcW w:w="70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22"/>
                <w:szCs w:val="22"/>
                <w:color w:val="auto"/>
                <w:w w:val="97"/>
              </w:rPr>
              <w:t>Chief Financial Officer and Treasurer</w:t>
            </w:r>
          </w:p>
        </w:tc>
      </w:tr>
    </w:tbl>
    <w:p>
      <w:pPr>
        <w:sectPr>
          <w:pgSz w:w="11900" w:h="16838" w:orient="portrait"/>
          <w:cols w:equalWidth="0" w:num="1">
            <w:col w:w="11420"/>
          </w:cols>
          <w:pgMar w:left="240" w:top="5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Limited Reports Fourth Quarter and Year End 2011 Results</w:t>
      </w:r>
    </w:p>
    <w:p>
      <w:pPr>
        <w:spacing w:after="0" w:line="262"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color w:val="auto"/>
        </w:rPr>
        <w:t>LAS VEGAS, February 2, 2012 (BUSINESS WIRE) -- Wynn Resorts, Limited (Nasdaq: WYNN) today reported financial results for the fourth quarter and year ended December 31, 2011.</w:t>
      </w:r>
    </w:p>
    <w:p>
      <w:pPr>
        <w:spacing w:after="0" w:line="223"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Net revenues for the year ended 2011 increased 25.9% to $5,269.8 million, compared to $4,184.7 million in 2010. The revenue increase was driven by a 31.2% increase in revenues from our Macau Operations and a 14.2% revenue increase from our Las Vegas Operations. Adjusted property EBITDA (1) in 2011 increased 40.6% to $ 1,635.3 million, compared to $1,163.0 million for the year ended 2010. The EBITDA increase was driven by a 34.0% increase in EBITDA from our Macau Operations and a 62.4% increase from our Las Vegas Operations.</w:t>
      </w:r>
    </w:p>
    <w:p>
      <w:pPr>
        <w:spacing w:after="0" w:line="226"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Net revenues for the fourth quarter of 2011 were $1,343.9 million, compared to $1,237.2 million in the fourth quarter of 2010. The revenue increase was driven by a 9.1% increase in revenues from our Macau Operations and a 7.2% revenue increase from our Las Vegas Operations. Adjusted property EBITDA was $402.2 million for the fourth quarter of 2011, compared to $ 365.2 million in the fourth quarter of 2010. The EBITDA increase was driven by a 5.5% increase from our Macau Operations and a 30.3% increase from our Las Vegas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On a US GAAP (Generally Accepted Accounting Principles) basis, net income attributable to Wynn Resorts for the year ended</w:t>
      </w:r>
    </w:p>
    <w:p>
      <w:pPr>
        <w:spacing w:after="0" w:line="225" w:lineRule="auto"/>
        <w:rPr>
          <w:sz w:val="20"/>
          <w:szCs w:val="20"/>
          <w:color w:val="auto"/>
        </w:rPr>
      </w:pPr>
      <w:r>
        <w:rPr>
          <w:rFonts w:ascii="Arial" w:cs="Arial" w:eastAsia="Arial" w:hAnsi="Arial"/>
          <w:sz w:val="20"/>
          <w:szCs w:val="20"/>
          <w:color w:val="auto"/>
        </w:rPr>
        <w:t>2011 was $613.4 million, or $4.88 per diluted share, compared to net income attributable to Wynn Resorts of $160.1 million, or</w:t>
      </w:r>
    </w:p>
    <w:p>
      <w:pPr>
        <w:spacing w:after="0" w:line="237" w:lineRule="auto"/>
        <w:rPr>
          <w:sz w:val="20"/>
          <w:szCs w:val="20"/>
          <w:color w:val="auto"/>
        </w:rPr>
      </w:pPr>
      <w:r>
        <w:rPr>
          <w:rFonts w:ascii="Arial" w:cs="Arial" w:eastAsia="Arial" w:hAnsi="Arial"/>
          <w:sz w:val="19"/>
          <w:szCs w:val="19"/>
          <w:color w:val="auto"/>
        </w:rPr>
        <w:t>$1.29 per diluted share in 2010. Adjusted net income attributable to Wynn Resorts in 2011 was $701.1 million, or $5.58 per diluted</w:t>
      </w:r>
    </w:p>
    <w:p>
      <w:pPr>
        <w:spacing w:after="0" w:line="226" w:lineRule="auto"/>
        <w:rPr>
          <w:sz w:val="20"/>
          <w:szCs w:val="20"/>
          <w:color w:val="auto"/>
        </w:rPr>
      </w:pPr>
      <w:r>
        <w:rPr>
          <w:rFonts w:ascii="Arial" w:cs="Arial" w:eastAsia="Arial" w:hAnsi="Arial"/>
          <w:sz w:val="20"/>
          <w:szCs w:val="20"/>
          <w:color w:val="auto"/>
        </w:rPr>
        <w:t>share (adjusted EPS)(2) compared to an adjusted net income attributable to Wynn Resorts of $261.0 million, or $2.11 per diluted</w:t>
      </w:r>
    </w:p>
    <w:p>
      <w:pPr>
        <w:spacing w:after="0"/>
        <w:rPr>
          <w:sz w:val="20"/>
          <w:szCs w:val="20"/>
          <w:color w:val="auto"/>
        </w:rPr>
      </w:pPr>
      <w:r>
        <w:rPr>
          <w:rFonts w:ascii="Arial" w:cs="Arial" w:eastAsia="Arial" w:hAnsi="Arial"/>
          <w:sz w:val="20"/>
          <w:szCs w:val="20"/>
          <w:color w:val="auto"/>
        </w:rPr>
        <w:t>share in 2010.</w:t>
      </w:r>
    </w:p>
    <w:p>
      <w:pPr>
        <w:spacing w:after="0" w:line="229"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On a US GAAP basis, net income attributable to Wynn Resorts for the fourth quarter of 2011 was $190.5 million, or $1.52 per diluted share, compared to a net income attributable to Wynn Resorts of $114.2 million, or $0.91 per diluted share in the fourth quarter of 2010. Adjusted net income attributable to Wynn Resorts in the fourth quarter of 2011 was $194.4 million, or $1.55 per diluted share (adjusted EPS) compared to an adjusted net income attributable to Wynn Resorts of $113.7 million, or $0.91 per diluted share in the fourth quarter of 2010.</w:t>
      </w:r>
    </w:p>
    <w:p>
      <w:pPr>
        <w:spacing w:after="0" w:line="226" w:lineRule="exact"/>
        <w:rPr>
          <w:sz w:val="20"/>
          <w:szCs w:val="20"/>
          <w:color w:val="auto"/>
        </w:rPr>
      </w:pPr>
    </w:p>
    <w:p>
      <w:pPr>
        <w:ind w:right="800"/>
        <w:spacing w:after="0" w:line="236" w:lineRule="auto"/>
        <w:rPr>
          <w:sz w:val="20"/>
          <w:szCs w:val="20"/>
          <w:color w:val="auto"/>
        </w:rPr>
      </w:pPr>
      <w:r>
        <w:rPr>
          <w:rFonts w:ascii="Arial" w:cs="Arial" w:eastAsia="Arial" w:hAnsi="Arial"/>
          <w:sz w:val="20"/>
          <w:szCs w:val="20"/>
          <w:color w:val="auto"/>
        </w:rPr>
        <w:t>Wynn Resorts also announced today that its Board of Directors has approved a cash dividend for the quarter of $0.50 per common share. This dividend will be payable on March 1, 2012, to stockholders of record on February 16, 2012.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Macau Operations</w:t>
      </w:r>
    </w:p>
    <w:p>
      <w:pPr>
        <w:spacing w:after="0" w:line="253" w:lineRule="exact"/>
        <w:rPr>
          <w:sz w:val="20"/>
          <w:szCs w:val="20"/>
          <w:color w:val="auto"/>
        </w:rPr>
      </w:pPr>
    </w:p>
    <w:p>
      <w:pPr>
        <w:jc w:val="both"/>
        <w:ind w:right="300"/>
        <w:spacing w:after="0" w:line="232" w:lineRule="auto"/>
        <w:rPr>
          <w:sz w:val="20"/>
          <w:szCs w:val="20"/>
          <w:color w:val="auto"/>
        </w:rPr>
      </w:pPr>
      <w:r>
        <w:rPr>
          <w:rFonts w:ascii="Arial" w:cs="Arial" w:eastAsia="Arial" w:hAnsi="Arial"/>
          <w:sz w:val="20"/>
          <w:szCs w:val="20"/>
          <w:color w:val="auto"/>
        </w:rPr>
        <w:t>In the fourth quarter of 2011, net revenues were $ 995.5 million, a 9.1% increase from the $912.1 million generated in the fourth quarter of 2010. Adjusted property EBITDA in the fourth quarter of 2011 was $313.1 million, up 5.5% from $296.8 million in the fourth quarter of 2010.</w:t>
      </w:r>
    </w:p>
    <w:p>
      <w:pPr>
        <w:spacing w:after="0" w:line="224" w:lineRule="exact"/>
        <w:rPr>
          <w:sz w:val="20"/>
          <w:szCs w:val="20"/>
          <w:color w:val="auto"/>
        </w:rPr>
      </w:pPr>
    </w:p>
    <w:p>
      <w:pPr>
        <w:ind w:right="720"/>
        <w:spacing w:after="0" w:line="236" w:lineRule="auto"/>
        <w:rPr>
          <w:sz w:val="20"/>
          <w:szCs w:val="20"/>
          <w:color w:val="auto"/>
        </w:rPr>
      </w:pPr>
      <w:r>
        <w:rPr>
          <w:rFonts w:ascii="Arial" w:cs="Arial" w:eastAsia="Arial" w:hAnsi="Arial"/>
          <w:sz w:val="20"/>
          <w:szCs w:val="20"/>
          <w:color w:val="auto"/>
        </w:rPr>
        <w:t>Table games results in Macau are segregated into two distinct reporting categories, the VIP segment and the mass market segment.</w:t>
      </w:r>
    </w:p>
    <w:p>
      <w:pPr>
        <w:spacing w:after="0" w:line="223"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Table games turnover in the VIP segment was $29.7 billion for the fourth quarter of 2011, a 7.3% increase from $27.7 billion in the fourth quarter of 2010. VIP table games win as a percentage of turnover (calculated before discounts and commissions) for the quarter was 3.18%, above the expected range of 2.7% to 3.0% and slightly higher than the 3.15% experienced in the fourth quarter of 2010.</w:t>
      </w:r>
    </w:p>
    <w:p>
      <w:pPr>
        <w:spacing w:after="0" w:line="222"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color w:val="auto"/>
        </w:rPr>
        <w:t>Table games drop in the mass market category was $692.3 million during the period, a 4.4% increase from $663.3 million in the fourth quarter of 2010. Mass market table games win percentage (calculated before discounts) of 30.4% was higher than our revised range of 26% to 28% and above the 26.0% generated in the 2010 quarter.</w:t>
      </w:r>
    </w:p>
    <w:p>
      <w:pPr>
        <w:spacing w:after="0" w:line="224"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Slot machine handle increased 12.2% to $1.3 billion as compared to the prior year quarter. Win per unit per day was 23.2% higher at $749, compared to $608 in the fourth quarter of 2010.</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right="200"/>
        <w:spacing w:after="0" w:line="232" w:lineRule="auto"/>
        <w:rPr>
          <w:sz w:val="20"/>
          <w:szCs w:val="20"/>
          <w:color w:val="auto"/>
        </w:rPr>
      </w:pPr>
      <w:r>
        <w:rPr>
          <w:rFonts w:ascii="Arial" w:cs="Arial" w:eastAsia="Arial" w:hAnsi="Arial"/>
          <w:sz w:val="20"/>
          <w:szCs w:val="20"/>
          <w:color w:val="auto"/>
        </w:rPr>
        <w:t>We achieved an Average Daily Rate (ADR) of $ 322 for the fourth quarter of 2011, 6.3% above the $303 reported in the 2010 quarter. The property’s occupancy was 94.2%, compared to 92.3% during the prior year period, and revenue per available room (REVPAR) was $304 in the 2011 quarter, 8.6% above the $280 reported in the prior year quarter.</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non-casino revenues increased 14.6% during the quarter to $106.0 million, driven by strong performance from all non-casino segments.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We currently have 504 tables (295 VIP tables, 198 mass market tables and 11 poker tables) and 930 slot machines.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work on the final project scope, timeline and budget for our Cotai project.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Las Vegas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For the fourth quarter ended December 31, 2011, net revenues were $348.4 million, 7.2% higher than in the fourth quarter of</w:t>
      </w:r>
    </w:p>
    <w:p>
      <w:pPr>
        <w:spacing w:after="0" w:line="225" w:lineRule="auto"/>
        <w:rPr>
          <w:sz w:val="20"/>
          <w:szCs w:val="20"/>
          <w:color w:val="auto"/>
        </w:rPr>
      </w:pPr>
      <w:r>
        <w:rPr>
          <w:rFonts w:ascii="Arial" w:cs="Arial" w:eastAsia="Arial" w:hAnsi="Arial"/>
          <w:sz w:val="20"/>
          <w:szCs w:val="20"/>
          <w:color w:val="auto"/>
        </w:rPr>
        <w:t>2010. Adjusted property EBITDA of $89.1 million was up 30.3% versus the $68.3 million generated in the comparable period in</w:t>
      </w:r>
    </w:p>
    <w:p>
      <w:pPr>
        <w:spacing w:after="0"/>
        <w:rPr>
          <w:sz w:val="20"/>
          <w:szCs w:val="20"/>
          <w:color w:val="auto"/>
        </w:rPr>
      </w:pPr>
      <w:r>
        <w:rPr>
          <w:rFonts w:ascii="Arial" w:cs="Arial" w:eastAsia="Arial" w:hAnsi="Arial"/>
          <w:sz w:val="20"/>
          <w:szCs w:val="20"/>
          <w:color w:val="auto"/>
        </w:rPr>
        <w:t>2010. EBITDA margin on net revenues was 25.6% in the fourth quarter of 2011 compared to 21.0% in the fourth quarter of 2010.</w:t>
      </w:r>
    </w:p>
    <w:p>
      <w:pPr>
        <w:spacing w:after="0" w:line="22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Net casino revenues in the fourth quarter of 2011 were $145.8 million, up 4.7% from the fourth quarter of 2010. Table games drop was $594.5 million, compared to drop of $564.8 million in the 2010 quarter and table games win percentage of 23.3% was within the property’s expected range of 21% to 24% and higher than the 22.5% reported in the 2010 quarter. Slot machine handle of $660.1 million was 5.4% below the comparable period of 2010, however net slot win was up 0.9% due to better hold in the 2011 quarter.</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Gross non-casino revenues for the quarter were $246.6 million, a 6.8% increase from the fourth quarter of 2010, driven by higher revenues across all non-gaming segments.</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Room revenues were up 11.7% to $85.3 million during the quarter, versus $76.4 million in the fourth quarter of 2010. Average Daily Rate (ADR) was up 6.3% to $250 while occupancy of 79.1% was below the 81.8% experienced in the fourth quarter of 2010. Revenue per available room (REVPAR) was $197 in the 2011 quarter, 2.6% above the $ 192 reported in the prior year quarter. During the fourth quarter of 2011, we had 1.0% of the rooms out due to renovations while we had 9.0% of the rooms out due to renovations in the fourth quarter of 2010.</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Food and beverage revenues increased 5.3% to $103.2 million, retail revenues were $22.3 million in the quarter, 1.7% above last year’s levels, and entertainment revenues increased 2.5% to $20.7 million from the fourth quarter of 2010.</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other</w:t>
      </w:r>
    </w:p>
    <w:p>
      <w:pPr>
        <w:spacing w:after="0" w:line="253"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Our total cash balance at December 31, 2011 was $1.3 billion. Total debt outstanding at the end of the year was $3.2 billion, including $2.6 billion of Wynn Las Vegas debt and $628 million of Wynn Macau debt.</w:t>
      </w:r>
    </w:p>
    <w:p>
      <w:pPr>
        <w:spacing w:after="0" w:line="223" w:lineRule="exact"/>
        <w:rPr>
          <w:sz w:val="20"/>
          <w:szCs w:val="20"/>
          <w:color w:val="auto"/>
        </w:rPr>
      </w:pPr>
    </w:p>
    <w:p>
      <w:pPr>
        <w:jc w:val="both"/>
        <w:ind w:right="60"/>
        <w:spacing w:after="0" w:line="232" w:lineRule="auto"/>
        <w:rPr>
          <w:sz w:val="20"/>
          <w:szCs w:val="20"/>
          <w:color w:val="auto"/>
        </w:rPr>
      </w:pPr>
      <w:r>
        <w:rPr>
          <w:rFonts w:ascii="Arial" w:cs="Arial" w:eastAsia="Arial" w:hAnsi="Arial"/>
          <w:sz w:val="20"/>
          <w:szCs w:val="20"/>
          <w:color w:val="auto"/>
        </w:rPr>
        <w:t>For the three months and the year ended December 31, 2011, we recorded an income tax benefit. Such benefit primarily resulted from an increase in our U.S. deferred tax asset related to foreign tax credits and a decrease in our liability for uncertain foreign tax positions as the result of the statute of limitations lapse.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discuss its results on Thursday, February 2, 2012 at 1:30 p.m. PT (4:30 p.m. ET).</w:t>
      </w:r>
    </w:p>
    <w:p>
      <w:pPr>
        <w:spacing w:after="0"/>
        <w:rPr>
          <w:sz w:val="20"/>
          <w:szCs w:val="20"/>
          <w:color w:val="auto"/>
        </w:rPr>
      </w:pPr>
      <w:r>
        <w:rPr>
          <w:rFonts w:ascii="Arial" w:cs="Arial" w:eastAsia="Arial" w:hAnsi="Arial"/>
          <w:sz w:val="19"/>
          <w:szCs w:val="19"/>
          <w:color w:val="auto"/>
        </w:rPr>
        <w:t>Interested parties are invited to join the call by accessing a live audio webcast at http://www.wynnresorts.com (Investor Relations).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2010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3" w:lineRule="exact"/>
        <w:rPr>
          <w:sz w:val="20"/>
          <w:szCs w:val="20"/>
          <w:color w:val="auto"/>
        </w:rPr>
      </w:pPr>
    </w:p>
    <w:p>
      <w:pPr>
        <w:jc w:val="both"/>
        <w:ind w:firstLine="8"/>
        <w:spacing w:after="0" w:line="226" w:lineRule="auto"/>
        <w:tabs>
          <w:tab w:leader="none" w:pos="303"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33" w:lineRule="exact"/>
        <w:rPr>
          <w:rFonts w:ascii="Arial" w:cs="Arial" w:eastAsia="Arial" w:hAnsi="Arial"/>
          <w:sz w:val="20"/>
          <w:szCs w:val="20"/>
          <w:color w:val="auto"/>
        </w:rPr>
      </w:pPr>
    </w:p>
    <w:p>
      <w:pPr>
        <w:jc w:val="both"/>
        <w:ind w:firstLine="77"/>
        <w:spacing w:after="0" w:line="228" w:lineRule="auto"/>
        <w:tabs>
          <w:tab w:leader="none" w:pos="379"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2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has included schedules in the tables that accompany this release that reconcile (i) net income attributable to Wynn Resorts to adjusted net income attributable to Wynn Resorts, and (ii) operating income (loss) to adjusted property EBITDA and adjusted property EBITDA to net income attributable to Wynn Resorts.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840" w:type="dxa"/>
            <w:vAlign w:val="bottom"/>
          </w:tcPr>
          <w:p>
            <w:pPr>
              <w:spacing w:after="0"/>
              <w:rPr>
                <w:sz w:val="17"/>
                <w:szCs w:val="17"/>
                <w:color w:val="auto"/>
              </w:rPr>
            </w:pPr>
          </w:p>
        </w:tc>
      </w:tr>
      <w:tr>
        <w:trPr>
          <w:trHeight w:val="207"/>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210"/>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Casino</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1,081,954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998,920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4,190,507</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3,245,104</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Rooms</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116,582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105,306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472,074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400,291</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Food and beverage</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128,193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119,512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547,735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488,108</w:t>
            </w:r>
          </w:p>
        </w:tc>
      </w:tr>
      <w:tr>
        <w:trPr>
          <w:trHeight w:val="189"/>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Entertainment, retail and other</w:t>
            </w: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107,886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98,524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414,786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354,332</w:t>
            </w:r>
          </w:p>
        </w:tc>
      </w:tr>
      <w:tr>
        <w:trPr>
          <w:trHeight w:val="183"/>
        </w:trPr>
        <w:tc>
          <w:tcPr>
            <w:tcW w:w="5120" w:type="dxa"/>
            <w:vAlign w:val="bottom"/>
          </w:tcPr>
          <w:p>
            <w:pPr>
              <w:ind w:left="340"/>
              <w:spacing w:after="0" w:line="183" w:lineRule="exact"/>
              <w:rPr>
                <w:sz w:val="20"/>
                <w:szCs w:val="20"/>
                <w:color w:val="auto"/>
              </w:rPr>
            </w:pPr>
            <w:r>
              <w:rPr>
                <w:rFonts w:ascii="Arial" w:cs="Arial" w:eastAsia="Arial" w:hAnsi="Arial"/>
                <w:sz w:val="16"/>
                <w:szCs w:val="16"/>
                <w:color w:val="auto"/>
              </w:rPr>
              <w:t>Gross revenues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1,434,615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1,322,262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5,625,102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4,487,835</w:t>
            </w:r>
          </w:p>
        </w:tc>
      </w:tr>
      <w:tr>
        <w:trPr>
          <w:trHeight w:val="189"/>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promotional allowances</w:t>
            </w: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(90,752)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(355,310)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(303,137)</w:t>
            </w:r>
          </w:p>
        </w:tc>
      </w:tr>
      <w:tr>
        <w:trPr>
          <w:trHeight w:val="183"/>
        </w:trPr>
        <w:tc>
          <w:tcPr>
            <w:tcW w:w="5120" w:type="dxa"/>
            <w:vAlign w:val="bottom"/>
          </w:tcPr>
          <w:p>
            <w:pPr>
              <w:ind w:left="340"/>
              <w:spacing w:after="0" w:line="183" w:lineRule="exact"/>
              <w:rPr>
                <w:sz w:val="20"/>
                <w:szCs w:val="20"/>
                <w:color w:val="auto"/>
              </w:rPr>
            </w:pPr>
            <w:r>
              <w:rPr>
                <w:rFonts w:ascii="Arial" w:cs="Arial" w:eastAsia="Arial" w:hAnsi="Arial"/>
                <w:sz w:val="16"/>
                <w:szCs w:val="16"/>
                <w:color w:val="auto"/>
              </w:rPr>
              <w:t>Net revenues</w:t>
            </w: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1,343,863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1,237,188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5,269,792</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4,184,698</w:t>
            </w:r>
          </w:p>
        </w:tc>
      </w:tr>
      <w:tr>
        <w:trPr>
          <w:trHeight w:val="210"/>
        </w:trPr>
        <w:tc>
          <w:tcPr>
            <w:tcW w:w="5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Operating costs and expenses: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Casino</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698,033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632,551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2,686,372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2,100,050</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Rooms</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31,692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28,897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125,286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122,260</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Food and beverage</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69,737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283,940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272,747</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Entertainment, retail and other</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51,844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56,739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214,435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204,558</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101,545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105,555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389,053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391,254</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15,509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33,778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28,304</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Pre-opening costs</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9,496</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94,118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100,299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398,039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405,558</w:t>
            </w:r>
          </w:p>
        </w:tc>
      </w:tr>
      <w:tr>
        <w:trPr>
          <w:trHeight w:val="189"/>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charges and other</w:t>
            </w: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6,579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130,649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25,219</w:t>
            </w:r>
          </w:p>
        </w:tc>
      </w:tr>
      <w:tr>
        <w:trPr>
          <w:trHeight w:val="183"/>
        </w:trPr>
        <w:tc>
          <w:tcPr>
            <w:tcW w:w="5120" w:type="dxa"/>
            <w:vAlign w:val="bottom"/>
          </w:tcPr>
          <w:p>
            <w:pPr>
              <w:ind w:left="340"/>
              <w:spacing w:after="0" w:line="183" w:lineRule="exact"/>
              <w:rPr>
                <w:sz w:val="20"/>
                <w:szCs w:val="20"/>
                <w:color w:val="auto"/>
              </w:rPr>
            </w:pPr>
            <w:r>
              <w:rPr>
                <w:rFonts w:ascii="Arial" w:cs="Arial" w:eastAsia="Arial" w:hAnsi="Arial"/>
                <w:sz w:val="16"/>
                <w:szCs w:val="16"/>
                <w:color w:val="auto"/>
              </w:rPr>
              <w:t>Total operating costs and expenses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1,069,057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1,006,879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4,261,552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3,559,446</w:t>
            </w:r>
          </w:p>
        </w:tc>
      </w:tr>
      <w:tr>
        <w:trPr>
          <w:trHeight w:val="216"/>
        </w:trPr>
        <w:tc>
          <w:tcPr>
            <w:tcW w:w="5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Operating income</w:t>
            </w:r>
          </w:p>
        </w:tc>
        <w:tc>
          <w:tcPr>
            <w:tcW w:w="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274,806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230,309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1,008,240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625,252</w:t>
            </w:r>
          </w:p>
        </w:tc>
      </w:tr>
      <w:tr>
        <w:trPr>
          <w:trHeight w:val="210"/>
        </w:trPr>
        <w:tc>
          <w:tcPr>
            <w:tcW w:w="5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Other income (expense):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2,498</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Interest expense, net of capitalized interest</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(55,962)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(229,918)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(222,863)</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(decrease) in swap fair value</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14,151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Loss on extinguishment of debt/exchange offer</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(67,990)</w:t>
            </w:r>
          </w:p>
        </w:tc>
      </w:tr>
      <w:tr>
        <w:trPr>
          <w:trHeight w:val="18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 income from unconsolidated affiliates</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801</w:t>
            </w:r>
          </w:p>
        </w:tc>
      </w:tr>
      <w:tr>
        <w:trPr>
          <w:trHeight w:val="189"/>
        </w:trPr>
        <w:tc>
          <w:tcPr>
            <w:tcW w:w="5120" w:type="dxa"/>
            <w:vAlign w:val="bottom"/>
          </w:tcPr>
          <w:p>
            <w:pPr>
              <w:ind w:left="1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r>
      <w:tr>
        <w:trPr>
          <w:trHeight w:val="183"/>
        </w:trPr>
        <w:tc>
          <w:tcPr>
            <w:tcW w:w="512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(47,697)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(53,997)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(202,673)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(288,209)</w:t>
            </w:r>
          </w:p>
        </w:tc>
      </w:tr>
      <w:tr>
        <w:trPr>
          <w:trHeight w:val="210"/>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227,109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176,312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805,567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337,043</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(provision) for income taxes</w:t>
            </w: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31,153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19,546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(20,447)</w:t>
            </w:r>
          </w:p>
        </w:tc>
      </w:tr>
      <w:tr>
        <w:trPr>
          <w:trHeight w:val="210"/>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258,262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171,874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825,113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316,596</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9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(67,789)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(211,742)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(156,469)</w:t>
            </w:r>
          </w:p>
        </w:tc>
      </w:tr>
      <w:tr>
        <w:trPr>
          <w:trHeight w:val="210"/>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Wynn Resorts, Limited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190,473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114,242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613,371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160,127</w:t>
            </w:r>
          </w:p>
        </w:tc>
      </w:tr>
      <w:tr>
        <w:trPr>
          <w:trHeight w:val="216"/>
        </w:trPr>
        <w:tc>
          <w:tcPr>
            <w:tcW w:w="5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income per common share:</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6"/>
                <w:szCs w:val="16"/>
                <w:color w:val="auto"/>
              </w:rPr>
              <w:t>Net income attributable to Wynn Resorts, Limited:</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189"/>
        </w:trPr>
        <w:tc>
          <w:tcPr>
            <w:tcW w:w="5120" w:type="dxa"/>
            <w:vAlign w:val="bottom"/>
          </w:tcPr>
          <w:p>
            <w:pPr>
              <w:ind w:left="340"/>
              <w:spacing w:after="0"/>
              <w:rPr>
                <w:sz w:val="20"/>
                <w:szCs w:val="20"/>
                <w:color w:val="auto"/>
              </w:rPr>
            </w:pPr>
            <w:r>
              <w:rPr>
                <w:rFonts w:ascii="Arial" w:cs="Arial" w:eastAsia="Arial" w:hAnsi="Arial"/>
                <w:sz w:val="16"/>
                <w:szCs w:val="16"/>
                <w:color w:val="auto"/>
              </w:rPr>
              <w:t>Diluted</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9"/>
        </w:trPr>
        <w:tc>
          <w:tcPr>
            <w:tcW w:w="5120" w:type="dxa"/>
            <w:vAlign w:val="bottom"/>
          </w:tcPr>
          <w:p>
            <w:pPr>
              <w:ind w:left="340"/>
              <w:spacing w:after="0"/>
              <w:rPr>
                <w:sz w:val="20"/>
                <w:szCs w:val="20"/>
                <w:color w:val="auto"/>
              </w:rPr>
            </w:pPr>
            <w:r>
              <w:rPr>
                <w:rFonts w:ascii="Arial" w:cs="Arial" w:eastAsia="Arial" w:hAnsi="Arial"/>
                <w:sz w:val="16"/>
                <w:szCs w:val="16"/>
                <w:color w:val="auto"/>
              </w:rPr>
              <w:t>Basic</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124,247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123,436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124,039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122,787</w:t>
            </w:r>
          </w:p>
        </w:tc>
      </w:tr>
      <w:tr>
        <w:trPr>
          <w:trHeight w:val="189"/>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125,606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124,899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125,667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123,939</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per common share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jc w:val="center"/>
        <w:spacing w:after="0" w:line="234" w:lineRule="auto"/>
        <w:rPr>
          <w:sz w:val="20"/>
          <w:szCs w:val="20"/>
          <w:color w:val="auto"/>
        </w:rPr>
      </w:pPr>
      <w:r>
        <w:rPr>
          <w:rFonts w:ascii="Arial" w:cs="Arial" w:eastAsia="Arial" w:hAnsi="Arial"/>
          <w:sz w:val="18"/>
          <w:szCs w:val="18"/>
          <w:color w:val="auto"/>
        </w:rPr>
        <w:t>TO ADJUSTED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82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195"/>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Wynn Resorts, Limited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190,473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114,242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613,371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160,127</w:t>
            </w: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Pre-opening costs</w:t>
            </w:r>
          </w:p>
        </w:tc>
        <w:tc>
          <w:tcPr>
            <w:tcW w:w="26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9,496</w:t>
            </w: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debt/exchange offer</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67,990</w:t>
            </w: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(Increase) decrease in swap fair value</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880</w:t>
            </w:r>
          </w:p>
        </w:tc>
      </w:tr>
      <w:tr>
        <w:trPr>
          <w:trHeight w:val="189"/>
        </w:trPr>
        <w:tc>
          <w:tcPr>
            <w:tcW w:w="6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charges and other</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130,649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25,219</w:t>
            </w:r>
          </w:p>
        </w:tc>
      </w:tr>
      <w:tr>
        <w:trPr>
          <w:trHeight w:val="189"/>
        </w:trPr>
        <w:tc>
          <w:tcPr>
            <w:tcW w:w="6080" w:type="dxa"/>
            <w:vAlign w:val="bottom"/>
          </w:tcPr>
          <w:p>
            <w:pPr>
              <w:ind w:left="180"/>
              <w:spacing w:after="0"/>
              <w:rPr>
                <w:sz w:val="20"/>
                <w:szCs w:val="20"/>
                <w:color w:val="auto"/>
              </w:rPr>
            </w:pPr>
            <w:r>
              <w:rPr>
                <w:rFonts w:ascii="Arial" w:cs="Arial" w:eastAsia="Arial" w:hAnsi="Arial"/>
                <w:sz w:val="16"/>
                <w:szCs w:val="16"/>
                <w:color w:val="auto"/>
              </w:rPr>
              <w:t>Adjustment for noncontrolling interest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(28,735)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r>
      <w:tr>
        <w:trPr>
          <w:trHeight w:val="203"/>
        </w:trPr>
        <w:tc>
          <w:tcPr>
            <w:tcW w:w="6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Adjusted net income attributable to Wynn Resorts, Limited(2)</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194,423</w:t>
            </w:r>
          </w:p>
        </w:tc>
        <w:tc>
          <w:tcPr>
            <w:tcW w:w="3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113,662</w:t>
            </w:r>
          </w:p>
        </w:tc>
        <w:tc>
          <w:tcPr>
            <w:tcW w:w="38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701,134</w:t>
            </w:r>
          </w:p>
        </w:tc>
        <w:tc>
          <w:tcPr>
            <w:tcW w:w="54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261,023</w:t>
            </w:r>
          </w:p>
        </w:tc>
      </w:tr>
      <w:tr>
        <w:trPr>
          <w:trHeight w:val="203"/>
        </w:trPr>
        <w:tc>
          <w:tcPr>
            <w:tcW w:w="60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03"/>
        </w:trPr>
        <w:tc>
          <w:tcPr>
            <w:tcW w:w="6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Adjusted net income attributable to Wynn Resorts, Limited per diluted share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41"/>
        </w:trPr>
        <w:tc>
          <w:tcPr>
            <w:tcW w:w="608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rPr>
              <w:t>Three Months Ended December 31, 2011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79"/>
              <w:spacing w:after="0" w:line="165" w:lineRule="exact"/>
              <w:rPr>
                <w:sz w:val="20"/>
                <w:szCs w:val="20"/>
                <w:color w:val="auto"/>
              </w:rPr>
            </w:pPr>
            <w:r>
              <w:rPr>
                <w:rFonts w:ascii="Arial" w:cs="Arial" w:eastAsia="Arial" w:hAnsi="Arial"/>
                <w:sz w:val="16"/>
                <w:szCs w:val="16"/>
                <w:b w:val="1"/>
                <w:bCs w:val="1"/>
                <w:color w:val="auto"/>
              </w:rPr>
              <w:t>Las Vegas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99"/>
              <w:spacing w:after="0" w:line="165" w:lineRule="exact"/>
              <w:rPr>
                <w:sz w:val="20"/>
                <w:szCs w:val="20"/>
                <w:color w:val="auto"/>
              </w:rPr>
            </w:pPr>
            <w:r>
              <w:rPr>
                <w:rFonts w:ascii="Arial" w:cs="Arial" w:eastAsia="Arial" w:hAnsi="Arial"/>
                <w:sz w:val="16"/>
                <w:szCs w:val="16"/>
                <w:b w:val="1"/>
                <w:bCs w:val="1"/>
                <w:color w:val="auto"/>
              </w:rPr>
              <w:t>Macau</w:t>
            </w:r>
          </w:p>
        </w:tc>
        <w:tc>
          <w:tcPr>
            <w:tcW w:w="100" w:type="dxa"/>
            <w:vAlign w:val="bottom"/>
          </w:tcPr>
          <w:p>
            <w:pPr>
              <w:spacing w:after="0"/>
              <w:rPr>
                <w:sz w:val="14"/>
                <w:szCs w:val="14"/>
                <w:color w:val="auto"/>
              </w:rPr>
            </w:pPr>
          </w:p>
        </w:tc>
        <w:tc>
          <w:tcPr>
            <w:tcW w:w="12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233,909</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94,118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Property charges and other</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Management and royalty fees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Corporate expense and other</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20,879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Equity in income/(loss) from unconsolidated affiliates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1"/>
                <w:szCs w:val="21"/>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89,082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313,093</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402,175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rPr>
              <w:t>Three Months Ended December 31, 2010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79"/>
              <w:spacing w:after="0" w:line="165" w:lineRule="exact"/>
              <w:rPr>
                <w:sz w:val="20"/>
                <w:szCs w:val="20"/>
                <w:color w:val="auto"/>
              </w:rPr>
            </w:pPr>
            <w:r>
              <w:rPr>
                <w:rFonts w:ascii="Arial" w:cs="Arial" w:eastAsia="Arial" w:hAnsi="Arial"/>
                <w:sz w:val="16"/>
                <w:szCs w:val="16"/>
                <w:b w:val="1"/>
                <w:bCs w:val="1"/>
                <w:color w:val="auto"/>
              </w:rPr>
              <w:t>Las Vegas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99"/>
              <w:spacing w:after="0" w:line="165" w:lineRule="exact"/>
              <w:rPr>
                <w:sz w:val="20"/>
                <w:szCs w:val="20"/>
                <w:color w:val="auto"/>
              </w:rPr>
            </w:pPr>
            <w:r>
              <w:rPr>
                <w:rFonts w:ascii="Arial" w:cs="Arial" w:eastAsia="Arial" w:hAnsi="Arial"/>
                <w:sz w:val="16"/>
                <w:szCs w:val="16"/>
                <w:b w:val="1"/>
                <w:bCs w:val="1"/>
                <w:color w:val="auto"/>
              </w:rPr>
              <w:t>Macau</w:t>
            </w:r>
          </w:p>
        </w:tc>
        <w:tc>
          <w:tcPr>
            <w:tcW w:w="100" w:type="dxa"/>
            <w:vAlign w:val="bottom"/>
          </w:tcPr>
          <w:p>
            <w:pPr>
              <w:spacing w:after="0"/>
              <w:rPr>
                <w:sz w:val="14"/>
                <w:szCs w:val="14"/>
                <w:color w:val="auto"/>
              </w:rPr>
            </w:pPr>
          </w:p>
        </w:tc>
        <w:tc>
          <w:tcPr>
            <w:tcW w:w="12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214,515</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29,206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Pre-opening costs</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64,466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charges and other</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Management and royalty fees</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36,142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expense and other</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 income from unconsolidated affiliates</w:t>
            </w:r>
          </w:p>
        </w:tc>
        <w:tc>
          <w:tcPr>
            <w:tcW w:w="1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1"/>
                <w:szCs w:val="21"/>
                <w:b w:val="1"/>
                <w:bCs w:val="1"/>
                <w:color w:val="auto"/>
                <w:vertAlign w:val="superscript"/>
              </w:rPr>
              <w:t>(1)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68,346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296,841</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365,187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8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9"/>
              </w:rPr>
              <w:t>December 31,</w:t>
            </w:r>
          </w:p>
        </w:tc>
        <w:tc>
          <w:tcPr>
            <w:tcW w:w="760" w:type="dxa"/>
            <w:vAlign w:val="bottom"/>
            <w:tcBorders>
              <w:bottom w:val="single" w:sz="8" w:color="auto"/>
            </w:tcBorders>
          </w:tcPr>
          <w:p>
            <w:pPr>
              <w:spacing w:after="0"/>
              <w:rPr>
                <w:sz w:val="18"/>
                <w:szCs w:val="18"/>
                <w:color w:val="auto"/>
              </w:rPr>
            </w:pPr>
          </w:p>
        </w:tc>
      </w:tr>
      <w:tr>
        <w:trPr>
          <w:trHeight w:val="196"/>
        </w:trPr>
        <w:tc>
          <w:tcPr>
            <w:tcW w:w="8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2010</w:t>
            </w:r>
          </w:p>
        </w:tc>
      </w:tr>
      <w:tr>
        <w:trPr>
          <w:trHeight w:val="210"/>
        </w:trPr>
        <w:tc>
          <w:tcPr>
            <w:tcW w:w="8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line="21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402,175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365,187</w:t>
            </w:r>
          </w:p>
        </w:tc>
      </w:tr>
      <w:tr>
        <w:trPr>
          <w:trHeight w:val="216"/>
        </w:trPr>
        <w:tc>
          <w:tcPr>
            <w:tcW w:w="8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Pre-opening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(94,118)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(100,299)</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charges and other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Corporate expenses and 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(20,879)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(24,679)</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(6,447)</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686</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capitalized interest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(59,663)</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Increase in swap fair value</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2,668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4,749</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671</w:t>
            </w:r>
          </w:p>
        </w:tc>
      </w:tr>
      <w:tr>
        <w:trPr>
          <w:trHeight w:val="20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31,153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w:t>
            </w:r>
          </w:p>
        </w:tc>
      </w:tr>
      <w:tr>
        <w:trPr>
          <w:trHeight w:val="210"/>
        </w:trPr>
        <w:tc>
          <w:tcPr>
            <w:tcW w:w="8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258,262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171,874</w:t>
            </w:r>
          </w:p>
        </w:tc>
      </w:tr>
      <w:tr>
        <w:trPr>
          <w:trHeight w:val="216"/>
        </w:trPr>
        <w:tc>
          <w:tcPr>
            <w:tcW w:w="8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(67,789)</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(57,632)</w:t>
            </w:r>
          </w:p>
        </w:tc>
      </w:tr>
      <w:tr>
        <w:trPr>
          <w:trHeight w:val="210"/>
        </w:trPr>
        <w:tc>
          <w:tcPr>
            <w:tcW w:w="8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Wynn Resorts, Limited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190,473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114,242</w:t>
            </w:r>
          </w:p>
        </w:tc>
      </w:tr>
      <w:tr>
        <w:trPr>
          <w:trHeight w:val="41"/>
        </w:trPr>
        <w:tc>
          <w:tcPr>
            <w:tcW w:w="8820" w:type="dxa"/>
            <w:vAlign w:val="bottom"/>
            <w:shd w:val="clear" w:color="auto" w:fill="CCEEFF"/>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Year Ended December 31, 2011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79"/>
              <w:spacing w:after="0" w:line="165" w:lineRule="exact"/>
              <w:rPr>
                <w:sz w:val="20"/>
                <w:szCs w:val="20"/>
                <w:color w:val="auto"/>
              </w:rPr>
            </w:pPr>
            <w:r>
              <w:rPr>
                <w:rFonts w:ascii="Arial" w:cs="Arial" w:eastAsia="Arial" w:hAnsi="Arial"/>
                <w:sz w:val="16"/>
                <w:szCs w:val="16"/>
                <w:b w:val="1"/>
                <w:bCs w:val="1"/>
                <w:color w:val="auto"/>
              </w:rPr>
              <w:t>Las Vegas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99"/>
              <w:spacing w:after="0" w:line="165" w:lineRule="exact"/>
              <w:rPr>
                <w:sz w:val="20"/>
                <w:szCs w:val="20"/>
                <w:color w:val="auto"/>
              </w:rPr>
            </w:pPr>
            <w:r>
              <w:rPr>
                <w:rFonts w:ascii="Arial" w:cs="Arial" w:eastAsia="Arial" w:hAnsi="Arial"/>
                <w:sz w:val="16"/>
                <w:szCs w:val="16"/>
                <w:b w:val="1"/>
                <w:bCs w:val="1"/>
                <w:color w:val="auto"/>
              </w:rPr>
              <w:t>Macau</w:t>
            </w:r>
          </w:p>
        </w:tc>
        <w:tc>
          <w:tcPr>
            <w:tcW w:w="100" w:type="dxa"/>
            <w:vAlign w:val="bottom"/>
          </w:tcPr>
          <w:p>
            <w:pPr>
              <w:spacing w:after="0"/>
              <w:rPr>
                <w:sz w:val="14"/>
                <w:szCs w:val="14"/>
                <w:color w:val="auto"/>
              </w:rPr>
            </w:pPr>
          </w:p>
        </w:tc>
        <w:tc>
          <w:tcPr>
            <w:tcW w:w="12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101,319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765,142</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141,779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1,008,240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263,639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Property charges and other</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16,623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130,649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Management and royalty fees</w:t>
            </w:r>
          </w:p>
        </w:tc>
        <w:tc>
          <w:tcPr>
            <w:tcW w:w="14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22,229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Corporate expense and other</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18,375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72,987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6"/>
                <w:szCs w:val="16"/>
                <w:color w:val="auto"/>
              </w:rPr>
            </w:pPr>
          </w:p>
        </w:tc>
        <w:tc>
          <w:tcPr>
            <w:tcW w:w="11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Equity in income from unconsolidated affiliates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Pr>
          <w:p>
            <w:pPr>
              <w:spacing w:after="0" w:line="189"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1"/>
                <w:szCs w:val="21"/>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439,036</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1,196,232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1,635,268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40" w:type="dxa"/>
            <w:vAlign w:val="bottom"/>
            <w:tcBorders>
              <w:right w:val="single" w:sz="8" w:color="auto"/>
            </w:tcBorders>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rPr>
              <w:t>Year Ended December 31, 2010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79"/>
              <w:spacing w:after="0" w:line="165" w:lineRule="exact"/>
              <w:rPr>
                <w:sz w:val="20"/>
                <w:szCs w:val="20"/>
                <w:color w:val="auto"/>
              </w:rPr>
            </w:pPr>
            <w:r>
              <w:rPr>
                <w:rFonts w:ascii="Arial" w:cs="Arial" w:eastAsia="Arial" w:hAnsi="Arial"/>
                <w:sz w:val="16"/>
                <w:szCs w:val="16"/>
                <w:b w:val="1"/>
                <w:bCs w:val="1"/>
                <w:color w:val="auto"/>
              </w:rPr>
              <w:t>Las Vegas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99"/>
              <w:spacing w:after="0" w:line="165" w:lineRule="exact"/>
              <w:rPr>
                <w:sz w:val="20"/>
                <w:szCs w:val="20"/>
                <w:color w:val="auto"/>
              </w:rPr>
            </w:pPr>
            <w:r>
              <w:rPr>
                <w:rFonts w:ascii="Arial" w:cs="Arial" w:eastAsia="Arial" w:hAnsi="Arial"/>
                <w:sz w:val="16"/>
                <w:szCs w:val="16"/>
                <w:b w:val="1"/>
                <w:bCs w:val="1"/>
                <w:color w:val="auto"/>
              </w:rPr>
              <w:t>Macau</w:t>
            </w:r>
          </w:p>
        </w:tc>
        <w:tc>
          <w:tcPr>
            <w:tcW w:w="100" w:type="dxa"/>
            <w:vAlign w:val="bottom"/>
          </w:tcPr>
          <w:p>
            <w:pPr>
              <w:spacing w:after="0"/>
              <w:rPr>
                <w:sz w:val="14"/>
                <w:szCs w:val="14"/>
                <w:color w:val="auto"/>
              </w:rPr>
            </w:pPr>
          </w:p>
        </w:tc>
        <w:tc>
          <w:tcPr>
            <w:tcW w:w="12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604,443</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102,123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Pre-opening costs</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274,305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128,519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405,558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charges and other</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Management and royalty fees</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19,459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114,904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(134,363)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expense and other</w:t>
            </w: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26,668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18,057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 income from unconsolidated affiliates</w:t>
            </w:r>
          </w:p>
        </w:tc>
        <w:tc>
          <w:tcPr>
            <w:tcW w:w="1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1"/>
                <w:szCs w:val="21"/>
                <w:b w:val="1"/>
                <w:bCs w:val="1"/>
                <w:color w:val="auto"/>
                <w:vertAlign w:val="superscript"/>
              </w:rPr>
              <w:t>(1)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270,299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892,686</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1,162,985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840" w:type="dxa"/>
            <w:vAlign w:val="bottom"/>
          </w:tcPr>
          <w:p>
            <w:pPr>
              <w:spacing w:after="0"/>
              <w:rPr>
                <w:sz w:val="17"/>
                <w:szCs w:val="17"/>
                <w:color w:val="auto"/>
              </w:rPr>
            </w:pPr>
          </w:p>
        </w:tc>
      </w:tr>
      <w:tr>
        <w:trPr>
          <w:trHeight w:val="207"/>
        </w:trPr>
        <w:tc>
          <w:tcPr>
            <w:tcW w:w="8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December 31,</w:t>
            </w:r>
          </w:p>
        </w:tc>
      </w:tr>
      <w:tr>
        <w:trPr>
          <w:trHeight w:val="196"/>
        </w:trPr>
        <w:tc>
          <w:tcPr>
            <w:tcW w:w="8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2010</w:t>
            </w:r>
          </w:p>
        </w:tc>
      </w:tr>
      <w:tr>
        <w:trPr>
          <w:trHeight w:val="210"/>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line="21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1,635,268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1,162,985</w:t>
            </w:r>
          </w:p>
        </w:tc>
      </w:tr>
      <w:tr>
        <w:trPr>
          <w:trHeight w:val="216"/>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Pre-opening costs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(398,039)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(405,558)</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charges and other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(25,219)</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Corporate expense and 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(72,987)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(69,491)</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(27,168)</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7,654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2,498</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capitalized interest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(229,918)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(222,863)</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Increase (decrease) in swap fair value</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(67,990)</w:t>
            </w:r>
          </w:p>
        </w:tc>
      </w:tr>
      <w:tr>
        <w:trPr>
          <w:trHeight w:val="216"/>
        </w:trPr>
        <w:tc>
          <w:tcPr>
            <w:tcW w:w="88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20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19,546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(20,447)</w:t>
            </w:r>
          </w:p>
        </w:tc>
      </w:tr>
      <w:tr>
        <w:trPr>
          <w:trHeight w:val="210"/>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825,113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316,596</w:t>
            </w:r>
          </w:p>
        </w:tc>
      </w:tr>
      <w:tr>
        <w:trPr>
          <w:trHeight w:val="216"/>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(211,742)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(156,469)</w:t>
            </w:r>
          </w:p>
        </w:tc>
      </w:tr>
      <w:tr>
        <w:trPr>
          <w:trHeight w:val="210"/>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Wynn Resorts, Limited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613,371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160,127</w:t>
            </w:r>
          </w:p>
        </w:tc>
      </w:tr>
      <w:tr>
        <w:trPr>
          <w:trHeight w:val="41"/>
        </w:trPr>
        <w:tc>
          <w:tcPr>
            <w:tcW w:w="8820" w:type="dxa"/>
            <w:vAlign w:val="bottom"/>
            <w:shd w:val="clear" w:color="auto" w:fill="CCEEFF"/>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SUPPLEMENTAL DATA SCHEDULE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4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December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December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December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December</w:t>
            </w:r>
          </w:p>
        </w:tc>
      </w:tr>
      <w:tr>
        <w:trPr>
          <w:trHeight w:val="264"/>
        </w:trPr>
        <w:tc>
          <w:tcPr>
            <w:tcW w:w="4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31, 2011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31, 2010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31, 2011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31, 2010</w:t>
            </w:r>
          </w:p>
        </w:tc>
      </w:tr>
      <w:tr>
        <w:trPr>
          <w:trHeight w:val="25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Las Vegas Operations: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Occupancy %</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w:t>
            </w: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2"/>
                <w:szCs w:val="12"/>
                <w:color w:val="auto"/>
              </w:rPr>
              <w:t>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2"/>
                <w:szCs w:val="12"/>
                <w:color w:val="auto"/>
              </w:rPr>
              <w:t>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63"/>
        </w:trPr>
        <w:tc>
          <w:tcPr>
            <w:tcW w:w="48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Table Win %</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Average number of table games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number of slot machines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2,649</w:t>
            </w:r>
          </w:p>
        </w:tc>
      </w:tr>
      <w:tr>
        <w:trPr>
          <w:trHeight w:val="257"/>
        </w:trPr>
        <w:tc>
          <w:tcPr>
            <w:tcW w:w="48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 Operations: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Occupancy %</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2"/>
                <w:szCs w:val="12"/>
                <w:color w:val="auto"/>
              </w:rPr>
              <w:t>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2"/>
                <w:szCs w:val="12"/>
                <w:color w:val="auto"/>
              </w:rPr>
              <w:t>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63"/>
        </w:trPr>
        <w:tc>
          <w:tcPr>
            <w:tcW w:w="48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Other information for Macau Operations: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2"/>
                <w:szCs w:val="12"/>
                <w:color w:val="auto"/>
              </w:rPr>
              <w:t>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20,563</w:t>
            </w:r>
          </w:p>
        </w:tc>
      </w:tr>
      <w:tr>
        <w:trPr>
          <w:trHeight w:val="250"/>
        </w:trPr>
        <w:tc>
          <w:tcPr>
            <w:tcW w:w="4820" w:type="dxa"/>
            <w:vAlign w:val="bottom"/>
          </w:tcPr>
          <w:p>
            <w:pPr>
              <w:ind w:left="3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2"/>
                <w:szCs w:val="12"/>
                <w:color w:val="auto"/>
              </w:rPr>
              <w:t>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6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number of table games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4820" w:type="dxa"/>
            <w:vAlign w:val="bottom"/>
          </w:tcPr>
          <w:p>
            <w:pPr>
              <w:ind w:left="340"/>
              <w:spacing w:after="0"/>
              <w:rPr>
                <w:sz w:val="20"/>
                <w:szCs w:val="20"/>
                <w:color w:val="auto"/>
              </w:rPr>
            </w:pPr>
            <w:r>
              <w:rPr>
                <w:rFonts w:ascii="Arial" w:cs="Arial" w:eastAsia="Arial" w:hAnsi="Arial"/>
                <w:sz w:val="18"/>
                <w:szCs w:val="18"/>
                <w:color w:val="auto"/>
              </w:rPr>
              <w:t>Average number of slot machines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1,167</w:t>
            </w:r>
          </w:p>
        </w:tc>
      </w:tr>
    </w:tbl>
    <w:p>
      <w:pPr>
        <w:spacing w:after="0" w:line="36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49" w:lineRule="exact"/>
        <w:rPr>
          <w:rFonts w:ascii="Arial" w:cs="Arial" w:eastAsia="Arial" w:hAnsi="Arial"/>
          <w:sz w:val="18"/>
          <w:szCs w:val="18"/>
          <w:color w:val="auto"/>
        </w:rPr>
      </w:pPr>
    </w:p>
    <w:p>
      <w:pPr>
        <w:ind w:right="500" w:firstLine="8"/>
        <w:spacing w:after="0" w:line="29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4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lvl w:ilvl="1">
      <w:lvlJc w:val="left"/>
      <w:lvlText w:val="(%2)"/>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2019-12-09T15:54:16Z</dcterms:created>
  <dcterms:modified xsi:type="dcterms:W3CDTF">2019-12-09T15:54:16Z</dcterms:modified>
</cp:coreProperties>
</file>