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333-234542</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520" w:type="dxa"/>
            <w:vAlign w:val="bottom"/>
          </w:tcPr>
          <w:p>
            <w:pPr>
              <w:spacing w:after="0"/>
              <w:rPr>
                <w:sz w:val="9"/>
                <w:szCs w:val="9"/>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7,475,000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$115.00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$859,625,000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$93,785.09</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left="540" w:right="360" w:hanging="424"/>
        <w:spacing w:after="0" w:line="25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of common stock that may be purchased by the underwriters pursuant to their option to purchase additional shares of common stock.</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under the Securities Act of 1933, as amended.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November 6, 2019</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2168525" cy="968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852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6,500,000 Shares of</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Common Stock</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offering 6,500,000 shares of our common stock, par value $0.01 per share (the “Common Stock”).</w:t>
      </w:r>
    </w:p>
    <w:p>
      <w:pPr>
        <w:spacing w:after="0" w:line="266"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“WYNN.” The last reported sale price of our Common Stock on the Nasdaq Global Select Market (“Nasdaq”) on February 5, 2021 was $116.99 per share.</w:t>
      </w: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Underwriting</w:t>
            </w:r>
          </w:p>
        </w:tc>
        <w:tc>
          <w:tcPr>
            <w:tcW w:w="1800" w:type="dxa"/>
            <w:vAlign w:val="bottom"/>
            <w:gridSpan w:val="4"/>
          </w:tcPr>
          <w:p>
            <w:pPr>
              <w:ind w:left="460"/>
              <w:spacing w:after="0"/>
              <w:rPr>
                <w:sz w:val="20"/>
                <w:szCs w:val="20"/>
                <w:color w:val="auto"/>
              </w:rPr>
            </w:pPr>
            <w:r>
              <w:rPr>
                <w:rFonts w:ascii="Arial" w:cs="Arial" w:eastAsia="Arial" w:hAnsi="Arial"/>
                <w:sz w:val="13"/>
                <w:szCs w:val="13"/>
                <w:b w:val="1"/>
                <w:bCs w:val="1"/>
                <w:color w:val="auto"/>
              </w:rPr>
              <w:t>Proceeds, before</w:t>
            </w:r>
          </w:p>
        </w:tc>
      </w:tr>
      <w:tr>
        <w:trPr>
          <w:trHeight w:val="148"/>
        </w:trPr>
        <w:tc>
          <w:tcPr>
            <w:tcW w:w="30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Discounts and</w:t>
            </w:r>
          </w:p>
        </w:tc>
        <w:tc>
          <w:tcPr>
            <w:tcW w:w="1800" w:type="dxa"/>
            <w:vAlign w:val="bottom"/>
            <w:gridSpan w:val="4"/>
          </w:tcPr>
          <w:p>
            <w:pPr>
              <w:ind w:left="460"/>
              <w:spacing w:after="0"/>
              <w:rPr>
                <w:sz w:val="20"/>
                <w:szCs w:val="20"/>
                <w:color w:val="auto"/>
              </w:rPr>
            </w:pPr>
            <w:r>
              <w:rPr>
                <w:rFonts w:ascii="Arial" w:cs="Arial" w:eastAsia="Arial" w:hAnsi="Arial"/>
                <w:sz w:val="13"/>
                <w:szCs w:val="13"/>
                <w:b w:val="1"/>
                <w:bCs w:val="1"/>
                <w:color w:val="auto"/>
              </w:rPr>
              <w:t>expenses, to the</w:t>
            </w:r>
          </w:p>
        </w:tc>
      </w:tr>
      <w:tr>
        <w:trPr>
          <w:trHeight w:val="165"/>
        </w:trPr>
        <w:tc>
          <w:tcPr>
            <w:tcW w:w="3060" w:type="dxa"/>
            <w:vAlign w:val="bottom"/>
          </w:tcPr>
          <w:p>
            <w:pPr>
              <w:spacing w:after="0"/>
              <w:rPr>
                <w:sz w:val="14"/>
                <w:szCs w:val="14"/>
                <w:color w:val="auto"/>
              </w:rPr>
            </w:pPr>
          </w:p>
        </w:tc>
        <w:tc>
          <w:tcPr>
            <w:tcW w:w="4500" w:type="dxa"/>
            <w:vAlign w:val="bottom"/>
            <w:gridSpan w:val="4"/>
          </w:tcPr>
          <w:p>
            <w:pPr>
              <w:ind w:left="2320"/>
              <w:spacing w:after="0"/>
              <w:rPr>
                <w:sz w:val="20"/>
                <w:szCs w:val="20"/>
                <w:color w:val="auto"/>
              </w:rPr>
            </w:pPr>
            <w:r>
              <w:rPr>
                <w:rFonts w:ascii="Arial" w:cs="Arial" w:eastAsia="Arial" w:hAnsi="Arial"/>
                <w:sz w:val="13"/>
                <w:szCs w:val="13"/>
                <w:b w:val="1"/>
                <w:bCs w:val="1"/>
                <w:color w:val="auto"/>
              </w:rPr>
              <w:t>Price to Public</w:t>
            </w:r>
          </w:p>
        </w:tc>
        <w:tc>
          <w:tcPr>
            <w:tcW w:w="1660" w:type="dxa"/>
            <w:vAlign w:val="bottom"/>
            <w:gridSpan w:val="3"/>
          </w:tcPr>
          <w:p>
            <w:pPr>
              <w:spacing w:after="0"/>
              <w:rPr>
                <w:sz w:val="20"/>
                <w:szCs w:val="20"/>
                <w:color w:val="auto"/>
              </w:rPr>
            </w:pPr>
            <w:r>
              <w:rPr>
                <w:rFonts w:ascii="Arial" w:cs="Arial" w:eastAsia="Arial" w:hAnsi="Arial"/>
                <w:sz w:val="13"/>
                <w:szCs w:val="13"/>
                <w:b w:val="1"/>
                <w:bCs w:val="1"/>
                <w:color w:val="auto"/>
              </w:rPr>
              <w:t>Commissions(1)</w:t>
            </w:r>
          </w:p>
        </w:tc>
        <w:tc>
          <w:tcPr>
            <w:tcW w:w="1800" w:type="dxa"/>
            <w:vAlign w:val="bottom"/>
            <w:gridSpan w:val="4"/>
          </w:tcPr>
          <w:p>
            <w:pPr>
              <w:ind w:left="460"/>
              <w:spacing w:after="0"/>
              <w:rPr>
                <w:sz w:val="20"/>
                <w:szCs w:val="20"/>
                <w:color w:val="auto"/>
              </w:rPr>
            </w:pPr>
            <w:r>
              <w:rPr>
                <w:rFonts w:ascii="Arial" w:cs="Arial" w:eastAsia="Arial" w:hAnsi="Arial"/>
                <w:sz w:val="13"/>
                <w:szCs w:val="13"/>
                <w:b w:val="1"/>
                <w:bCs w:val="1"/>
                <w:color w:val="auto"/>
              </w:rPr>
              <w:t>Company</w:t>
            </w:r>
          </w:p>
        </w:tc>
      </w:tr>
      <w:tr>
        <w:trPr>
          <w:trHeight w:val="48"/>
        </w:trPr>
        <w:tc>
          <w:tcPr>
            <w:tcW w:w="30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500" w:type="dxa"/>
            <w:vAlign w:val="bottom"/>
            <w:gridSpan w:val="2"/>
            <w:shd w:val="clear" w:color="auto" w:fill="CCEEFF"/>
          </w:tcPr>
          <w:p>
            <w:pPr>
              <w:ind w:left="2320"/>
              <w:spacing w:after="0" w:line="202" w:lineRule="exact"/>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115.00</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2.30</w:t>
            </w:r>
          </w:p>
        </w:tc>
        <w:tc>
          <w:tcPr>
            <w:tcW w:w="66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112.70</w:t>
            </w:r>
          </w:p>
        </w:tc>
      </w:tr>
      <w:tr>
        <w:trPr>
          <w:trHeight w:val="214"/>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250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747,500,000</w:t>
            </w:r>
          </w:p>
        </w:tc>
        <w:tc>
          <w:tcPr>
            <w:tcW w:w="9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14,950,000</w:t>
            </w:r>
          </w:p>
        </w:tc>
        <w:tc>
          <w:tcPr>
            <w:tcW w:w="460" w:type="dxa"/>
            <w:vAlign w:val="bottom"/>
          </w:tcPr>
          <w:p>
            <w:pPr>
              <w:spacing w:after="0"/>
              <w:rPr>
                <w:sz w:val="18"/>
                <w:szCs w:val="18"/>
                <w:color w:val="auto"/>
              </w:rPr>
            </w:pP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732,550,000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6"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“Underwriting—Commissions and Discounts” in this prospectus supplement for additional discussion regarding underwriting discounts and commissions.</w:t>
      </w:r>
    </w:p>
    <w:p>
      <w:pPr>
        <w:spacing w:after="0" w:line="165"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The underwriters may also exercise their option to purchase up to 975,000 additional shares from us, at the public offering price, less the underwriting discount, for 30 days after the date of this prospectus.</w:t>
      </w:r>
    </w:p>
    <w:p>
      <w:pPr>
        <w:spacing w:after="0" w:line="227" w:lineRule="exact"/>
        <w:rPr>
          <w:sz w:val="20"/>
          <w:szCs w:val="20"/>
          <w:color w:val="auto"/>
        </w:rPr>
      </w:pPr>
    </w:p>
    <w:p>
      <w:pPr>
        <w:ind w:left="120" w:right="1000"/>
        <w:spacing w:after="0" w:line="263"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w:t>
      </w:r>
      <w:hyperlink w:anchor="page3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S-21 of this prospectus supplement. You should also consider the risk factors described in the documents incorporated by reference into this prospectus supplement and the accompanying prospectus.</w:t>
      </w:r>
    </w:p>
    <w:p>
      <w:pPr>
        <w:spacing w:after="0" w:line="219" w:lineRule="exact"/>
        <w:rPr>
          <w:sz w:val="20"/>
          <w:szCs w:val="20"/>
          <w:color w:val="auto"/>
        </w:rPr>
      </w:pPr>
    </w:p>
    <w:p>
      <w:pPr>
        <w:jc w:val="both"/>
        <w:ind w:left="120" w:right="300"/>
        <w:spacing w:after="0" w:line="249"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of our Common Stock to purchasers on or about February 11, 2021.</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Joint Lead Book-Running Managers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4000" w:type="dxa"/>
            <w:vAlign w:val="bottom"/>
            <w:shd w:val="clear" w:color="auto" w:fill="CCEEFF"/>
          </w:tcPr>
          <w:p>
            <w:pPr>
              <w:ind w:left="500"/>
              <w:spacing w:after="0"/>
              <w:rPr>
                <w:sz w:val="20"/>
                <w:szCs w:val="20"/>
                <w:color w:val="auto"/>
              </w:rPr>
            </w:pPr>
            <w:r>
              <w:rPr>
                <w:rFonts w:ascii="Arial" w:cs="Arial" w:eastAsia="Arial" w:hAnsi="Arial"/>
                <w:sz w:val="24"/>
                <w:szCs w:val="24"/>
                <w:b w:val="1"/>
                <w:bCs w:val="1"/>
                <w:color w:val="auto"/>
              </w:rPr>
              <w:t>Deutsche Bank Securities</w:t>
            </w:r>
          </w:p>
        </w:tc>
        <w:tc>
          <w:tcPr>
            <w:tcW w:w="4340" w:type="dxa"/>
            <w:vAlign w:val="bottom"/>
            <w:shd w:val="clear" w:color="auto" w:fill="CCEEFF"/>
          </w:tcPr>
          <w:p>
            <w:pPr>
              <w:ind w:left="760"/>
              <w:spacing w:after="0"/>
              <w:rPr>
                <w:sz w:val="20"/>
                <w:szCs w:val="20"/>
                <w:color w:val="auto"/>
              </w:rPr>
            </w:pPr>
            <w:r>
              <w:rPr>
                <w:rFonts w:ascii="Arial" w:cs="Arial" w:eastAsia="Arial" w:hAnsi="Arial"/>
                <w:sz w:val="24"/>
                <w:szCs w:val="24"/>
                <w:b w:val="1"/>
                <w:bCs w:val="1"/>
                <w:color w:val="auto"/>
              </w:rPr>
              <w:t>Goldman Sachs &amp; Co. LLC</w:t>
            </w:r>
          </w:p>
        </w:tc>
        <w:tc>
          <w:tcPr>
            <w:tcW w:w="2680" w:type="dxa"/>
            <w:vAlign w:val="bottom"/>
            <w:shd w:val="clear" w:color="auto" w:fill="CCEEFF"/>
          </w:tcPr>
          <w:p>
            <w:pPr>
              <w:jc w:val="right"/>
              <w:ind w:right="209"/>
              <w:spacing w:after="0"/>
              <w:rPr>
                <w:sz w:val="20"/>
                <w:szCs w:val="20"/>
                <w:color w:val="auto"/>
              </w:rPr>
            </w:pPr>
            <w:r>
              <w:rPr>
                <w:rFonts w:ascii="Arial" w:cs="Arial" w:eastAsia="Arial" w:hAnsi="Arial"/>
                <w:sz w:val="24"/>
                <w:szCs w:val="24"/>
                <w:b w:val="1"/>
                <w:bCs w:val="1"/>
                <w:color w:val="auto"/>
              </w:rPr>
              <w:t>BofA Securities</w:t>
            </w:r>
          </w:p>
        </w:tc>
      </w:tr>
      <w:tr>
        <w:trPr>
          <w:trHeight w:val="376"/>
        </w:trPr>
        <w:tc>
          <w:tcPr>
            <w:tcW w:w="4000" w:type="dxa"/>
            <w:vAlign w:val="bottom"/>
          </w:tcPr>
          <w:p>
            <w:pPr>
              <w:spacing w:after="0"/>
              <w:rPr>
                <w:sz w:val="24"/>
                <w:szCs w:val="24"/>
                <w:color w:val="auto"/>
              </w:rPr>
            </w:pPr>
          </w:p>
        </w:tc>
        <w:tc>
          <w:tcPr>
            <w:tcW w:w="4340" w:type="dxa"/>
            <w:vAlign w:val="bottom"/>
          </w:tcPr>
          <w:p>
            <w:pPr>
              <w:ind w:left="540"/>
              <w:spacing w:after="0"/>
              <w:rPr>
                <w:sz w:val="20"/>
                <w:szCs w:val="20"/>
                <w:color w:val="auto"/>
              </w:rPr>
            </w:pPr>
            <w:r>
              <w:rPr>
                <w:rFonts w:ascii="Arial" w:cs="Arial" w:eastAsia="Arial" w:hAnsi="Arial"/>
                <w:sz w:val="18"/>
                <w:szCs w:val="18"/>
                <w:i w:val="1"/>
                <w:iCs w:val="1"/>
                <w:color w:val="auto"/>
              </w:rPr>
              <w:t>Book-Running Managers</w:t>
            </w:r>
          </w:p>
        </w:tc>
        <w:tc>
          <w:tcPr>
            <w:tcW w:w="2680" w:type="dxa"/>
            <w:vAlign w:val="bottom"/>
          </w:tcPr>
          <w:p>
            <w:pPr>
              <w:spacing w:after="0"/>
              <w:rPr>
                <w:sz w:val="24"/>
                <w:szCs w:val="24"/>
                <w:color w:val="auto"/>
              </w:rPr>
            </w:pPr>
          </w:p>
        </w:tc>
      </w:tr>
      <w:tr>
        <w:trPr>
          <w:trHeight w:val="191"/>
        </w:trPr>
        <w:tc>
          <w:tcPr>
            <w:tcW w:w="40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11"/>
        </w:trPr>
        <w:tc>
          <w:tcPr>
            <w:tcW w:w="4000" w:type="dxa"/>
            <w:vAlign w:val="bottom"/>
            <w:shd w:val="clear" w:color="auto" w:fill="CCEEFF"/>
          </w:tcPr>
          <w:p>
            <w:pPr>
              <w:ind w:left="360"/>
              <w:spacing w:after="0" w:line="210" w:lineRule="exact"/>
              <w:rPr>
                <w:sz w:val="20"/>
                <w:szCs w:val="20"/>
                <w:color w:val="auto"/>
              </w:rPr>
            </w:pPr>
            <w:r>
              <w:rPr>
                <w:rFonts w:ascii="Arial" w:cs="Arial" w:eastAsia="Arial" w:hAnsi="Arial"/>
                <w:sz w:val="22"/>
                <w:szCs w:val="22"/>
                <w:b w:val="1"/>
                <w:bCs w:val="1"/>
                <w:color w:val="auto"/>
              </w:rPr>
              <w:t>Fifth Third Securities</w:t>
            </w:r>
          </w:p>
        </w:tc>
        <w:tc>
          <w:tcPr>
            <w:tcW w:w="4340" w:type="dxa"/>
            <w:vAlign w:val="bottom"/>
            <w:shd w:val="clear" w:color="auto" w:fill="CCEEFF"/>
          </w:tcPr>
          <w:p>
            <w:pPr>
              <w:ind w:left="980"/>
              <w:spacing w:after="0" w:line="210" w:lineRule="exact"/>
              <w:rPr>
                <w:sz w:val="20"/>
                <w:szCs w:val="20"/>
                <w:color w:val="auto"/>
              </w:rPr>
            </w:pPr>
            <w:r>
              <w:rPr>
                <w:rFonts w:ascii="Arial" w:cs="Arial" w:eastAsia="Arial" w:hAnsi="Arial"/>
                <w:sz w:val="22"/>
                <w:szCs w:val="22"/>
                <w:b w:val="1"/>
                <w:bCs w:val="1"/>
                <w:color w:val="auto"/>
              </w:rPr>
              <w:t>BNP PARIBAS</w:t>
            </w:r>
          </w:p>
        </w:tc>
        <w:tc>
          <w:tcPr>
            <w:tcW w:w="2680" w:type="dxa"/>
            <w:vAlign w:val="bottom"/>
            <w:shd w:val="clear" w:color="auto" w:fill="CCEEFF"/>
          </w:tcPr>
          <w:p>
            <w:pPr>
              <w:jc w:val="right"/>
              <w:ind w:right="209"/>
              <w:spacing w:after="0" w:line="210" w:lineRule="exact"/>
              <w:rPr>
                <w:sz w:val="20"/>
                <w:szCs w:val="20"/>
                <w:color w:val="auto"/>
              </w:rPr>
            </w:pPr>
            <w:r>
              <w:rPr>
                <w:rFonts w:ascii="Arial" w:cs="Arial" w:eastAsia="Arial" w:hAnsi="Arial"/>
                <w:sz w:val="22"/>
                <w:szCs w:val="22"/>
                <w:b w:val="1"/>
                <w:bCs w:val="1"/>
                <w:color w:val="auto"/>
              </w:rPr>
              <w:t>Mizuho Securities</w:t>
            </w:r>
          </w:p>
        </w:tc>
      </w:tr>
      <w:tr>
        <w:trPr>
          <w:trHeight w:val="243"/>
        </w:trPr>
        <w:tc>
          <w:tcPr>
            <w:tcW w:w="4000" w:type="dxa"/>
            <w:vAlign w:val="bottom"/>
            <w:shd w:val="clear" w:color="auto" w:fill="CCEEFF"/>
          </w:tcPr>
          <w:p>
            <w:pPr>
              <w:ind w:left="220"/>
              <w:spacing w:after="0" w:line="243" w:lineRule="exact"/>
              <w:rPr>
                <w:sz w:val="20"/>
                <w:szCs w:val="20"/>
                <w:color w:val="auto"/>
              </w:rPr>
            </w:pPr>
            <w:r>
              <w:rPr>
                <w:rFonts w:ascii="Arial" w:cs="Arial" w:eastAsia="Arial" w:hAnsi="Arial"/>
                <w:sz w:val="22"/>
                <w:szCs w:val="22"/>
                <w:b w:val="1"/>
                <w:bCs w:val="1"/>
                <w:color w:val="auto"/>
              </w:rPr>
              <w:t>Scotiabank</w:t>
            </w:r>
          </w:p>
        </w:tc>
        <w:tc>
          <w:tcPr>
            <w:tcW w:w="4340" w:type="dxa"/>
            <w:vAlign w:val="bottom"/>
            <w:shd w:val="clear" w:color="auto" w:fill="CCEEFF"/>
          </w:tcPr>
          <w:p>
            <w:pPr>
              <w:ind w:left="500"/>
              <w:spacing w:after="0" w:line="243" w:lineRule="exact"/>
              <w:rPr>
                <w:sz w:val="20"/>
                <w:szCs w:val="20"/>
                <w:color w:val="auto"/>
              </w:rPr>
            </w:pPr>
            <w:r>
              <w:rPr>
                <w:rFonts w:ascii="Arial" w:cs="Arial" w:eastAsia="Arial" w:hAnsi="Arial"/>
                <w:sz w:val="22"/>
                <w:szCs w:val="22"/>
                <w:b w:val="1"/>
                <w:bCs w:val="1"/>
                <w:color w:val="auto"/>
              </w:rPr>
              <w:t>SMBC Nikko</w:t>
            </w:r>
          </w:p>
        </w:tc>
        <w:tc>
          <w:tcPr>
            <w:tcW w:w="2680" w:type="dxa"/>
            <w:vAlign w:val="bottom"/>
            <w:shd w:val="clear" w:color="auto" w:fill="CCEEFF"/>
          </w:tcPr>
          <w:p>
            <w:pPr>
              <w:jc w:val="right"/>
              <w:ind w:right="229"/>
              <w:spacing w:after="0" w:line="243" w:lineRule="exact"/>
              <w:rPr>
                <w:sz w:val="20"/>
                <w:szCs w:val="20"/>
                <w:color w:val="auto"/>
              </w:rPr>
            </w:pPr>
            <w:r>
              <w:rPr>
                <w:rFonts w:ascii="Arial" w:cs="Arial" w:eastAsia="Arial" w:hAnsi="Arial"/>
                <w:sz w:val="22"/>
                <w:szCs w:val="22"/>
                <w:b w:val="1"/>
                <w:bCs w:val="1"/>
                <w:color w:val="auto"/>
              </w:rPr>
              <w:t>Truist Securities</w:t>
            </w:r>
          </w:p>
        </w:tc>
      </w:tr>
      <w:tr>
        <w:trPr>
          <w:trHeight w:val="243"/>
        </w:trPr>
        <w:tc>
          <w:tcPr>
            <w:tcW w:w="4000" w:type="dxa"/>
            <w:vAlign w:val="bottom"/>
            <w:shd w:val="clear" w:color="auto" w:fill="CCEEFF"/>
          </w:tcPr>
          <w:p>
            <w:pPr>
              <w:ind w:left="360"/>
              <w:spacing w:after="0" w:line="243" w:lineRule="exact"/>
              <w:rPr>
                <w:sz w:val="20"/>
                <w:szCs w:val="20"/>
                <w:color w:val="auto"/>
              </w:rPr>
            </w:pPr>
            <w:r>
              <w:rPr>
                <w:rFonts w:ascii="Arial" w:cs="Arial" w:eastAsia="Arial" w:hAnsi="Arial"/>
                <w:sz w:val="22"/>
                <w:szCs w:val="22"/>
                <w:b w:val="1"/>
                <w:bCs w:val="1"/>
                <w:color w:val="auto"/>
              </w:rPr>
              <w:t>Credit Agricole CIB</w:t>
            </w:r>
          </w:p>
        </w:tc>
        <w:tc>
          <w:tcPr>
            <w:tcW w:w="4340" w:type="dxa"/>
            <w:vAlign w:val="bottom"/>
            <w:shd w:val="clear" w:color="auto" w:fill="CCEEFF"/>
          </w:tcPr>
          <w:p>
            <w:pPr>
              <w:ind w:left="780"/>
              <w:spacing w:after="0" w:line="243" w:lineRule="exact"/>
              <w:rPr>
                <w:sz w:val="20"/>
                <w:szCs w:val="20"/>
                <w:color w:val="auto"/>
              </w:rPr>
            </w:pPr>
            <w:r>
              <w:rPr>
                <w:rFonts w:ascii="Arial" w:cs="Arial" w:eastAsia="Arial" w:hAnsi="Arial"/>
                <w:sz w:val="22"/>
                <w:szCs w:val="22"/>
                <w:b w:val="1"/>
                <w:bCs w:val="1"/>
                <w:color w:val="auto"/>
              </w:rPr>
              <w:t>Citizens Capital Markets</w:t>
            </w:r>
          </w:p>
        </w:tc>
        <w:tc>
          <w:tcPr>
            <w:tcW w:w="2680" w:type="dxa"/>
            <w:vAlign w:val="bottom"/>
            <w:shd w:val="clear" w:color="auto" w:fill="CCEEFF"/>
          </w:tcPr>
          <w:p>
            <w:pPr>
              <w:jc w:val="right"/>
              <w:ind w:right="129"/>
              <w:spacing w:after="0" w:line="243" w:lineRule="exact"/>
              <w:rPr>
                <w:sz w:val="20"/>
                <w:szCs w:val="20"/>
                <w:color w:val="auto"/>
              </w:rPr>
            </w:pPr>
            <w:r>
              <w:rPr>
                <w:rFonts w:ascii="Arial" w:cs="Arial" w:eastAsia="Arial" w:hAnsi="Arial"/>
                <w:sz w:val="22"/>
                <w:szCs w:val="22"/>
                <w:b w:val="1"/>
                <w:bCs w:val="1"/>
                <w:color w:val="auto"/>
              </w:rPr>
              <w:t>J.P. Morgan</w:t>
            </w:r>
          </w:p>
        </w:tc>
      </w:tr>
      <w:tr>
        <w:trPr>
          <w:trHeight w:val="275"/>
        </w:trPr>
        <w:tc>
          <w:tcPr>
            <w:tcW w:w="4000" w:type="dxa"/>
            <w:vAlign w:val="bottom"/>
            <w:shd w:val="clear" w:color="auto" w:fill="CCEEFF"/>
          </w:tcPr>
          <w:p>
            <w:pPr>
              <w:spacing w:after="0"/>
              <w:rPr>
                <w:sz w:val="23"/>
                <w:szCs w:val="23"/>
                <w:color w:val="auto"/>
              </w:rPr>
            </w:pPr>
          </w:p>
        </w:tc>
        <w:tc>
          <w:tcPr>
            <w:tcW w:w="4340" w:type="dxa"/>
            <w:vAlign w:val="bottom"/>
            <w:shd w:val="clear" w:color="auto" w:fill="CCEEFF"/>
          </w:tcPr>
          <w:p>
            <w:pPr>
              <w:ind w:left="540"/>
              <w:spacing w:after="0"/>
              <w:rPr>
                <w:sz w:val="20"/>
                <w:szCs w:val="20"/>
                <w:color w:val="auto"/>
              </w:rPr>
            </w:pPr>
            <w:r>
              <w:rPr>
                <w:rFonts w:ascii="Arial" w:cs="Arial" w:eastAsia="Arial" w:hAnsi="Arial"/>
                <w:sz w:val="22"/>
                <w:szCs w:val="22"/>
                <w:b w:val="1"/>
                <w:bCs w:val="1"/>
                <w:color w:val="auto"/>
              </w:rPr>
              <w:t>Moelis &amp; Company</w:t>
            </w:r>
          </w:p>
        </w:tc>
        <w:tc>
          <w:tcPr>
            <w:tcW w:w="2680" w:type="dxa"/>
            <w:vAlign w:val="bottom"/>
            <w:shd w:val="clear" w:color="auto" w:fill="CCEEFF"/>
          </w:tcPr>
          <w:p>
            <w:pPr>
              <w:spacing w:after="0"/>
              <w:rPr>
                <w:sz w:val="23"/>
                <w:szCs w:val="23"/>
                <w:color w:val="auto"/>
              </w:rPr>
            </w:pPr>
          </w:p>
        </w:tc>
      </w:tr>
    </w:tbl>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date of this prospectus supplement is February 8, 2021.</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8680" w:type="dxa"/>
            <w:vAlign w:val="bottom"/>
          </w:tcPr>
          <w:p>
            <w:pPr>
              <w:jc w:val="center"/>
              <w:ind w:left="2232"/>
              <w:spacing w:after="0"/>
              <w:rPr>
                <w:sz w:val="20"/>
                <w:szCs w:val="20"/>
                <w:color w:val="auto"/>
              </w:rPr>
            </w:pPr>
            <w:r>
              <w:rPr>
                <w:rFonts w:ascii="Arial" w:cs="Arial" w:eastAsia="Arial" w:hAnsi="Arial"/>
                <w:sz w:val="18"/>
                <w:szCs w:val="18"/>
                <w:b w:val="1"/>
                <w:bCs w:val="1"/>
                <w:color w:val="auto"/>
                <w:w w:val="96"/>
              </w:rPr>
              <w:t>TABLE OF CONTENTS</w:t>
            </w:r>
          </w:p>
        </w:tc>
        <w:tc>
          <w:tcPr>
            <w:tcW w:w="2280" w:type="dxa"/>
            <w:vAlign w:val="bottom"/>
          </w:tcPr>
          <w:p>
            <w:pPr>
              <w:spacing w:after="0"/>
              <w:rPr>
                <w:sz w:val="20"/>
                <w:szCs w:val="20"/>
                <w:color w:val="auto"/>
              </w:rPr>
            </w:pPr>
          </w:p>
        </w:tc>
      </w:tr>
      <w:tr>
        <w:trPr>
          <w:trHeight w:val="365"/>
        </w:trPr>
        <w:tc>
          <w:tcPr>
            <w:tcW w:w="8680" w:type="dxa"/>
            <w:vAlign w:val="bottom"/>
          </w:tcPr>
          <w:p>
            <w:pPr>
              <w:jc w:val="center"/>
              <w:ind w:left="2232"/>
              <w:spacing w:after="0"/>
              <w:rPr>
                <w:sz w:val="20"/>
                <w:szCs w:val="20"/>
                <w:color w:val="auto"/>
              </w:rPr>
            </w:pPr>
            <w:r>
              <w:rPr>
                <w:rFonts w:ascii="Arial" w:cs="Arial" w:eastAsia="Arial" w:hAnsi="Arial"/>
                <w:sz w:val="18"/>
                <w:szCs w:val="18"/>
                <w:b w:val="1"/>
                <w:bCs w:val="1"/>
                <w:color w:val="auto"/>
                <w:w w:val="97"/>
              </w:rPr>
              <w:t>Prospectus Supplement</w:t>
            </w:r>
          </w:p>
        </w:tc>
        <w:tc>
          <w:tcPr>
            <w:tcW w:w="2280" w:type="dxa"/>
            <w:vAlign w:val="bottom"/>
          </w:tcPr>
          <w:p>
            <w:pPr>
              <w:spacing w:after="0"/>
              <w:rPr>
                <w:sz w:val="24"/>
                <w:szCs w:val="24"/>
                <w:color w:val="auto"/>
              </w:rPr>
            </w:pPr>
          </w:p>
        </w:tc>
      </w:tr>
      <w:tr>
        <w:trPr>
          <w:trHeight w:val="397"/>
        </w:trPr>
        <w:tc>
          <w:tcPr>
            <w:tcW w:w="8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WHERE YOU CAN FIND MORE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 SUPPLEMENT</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S-iii</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INCORPORATION BY REFERENCE</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S-iv</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SPECIAL NOTE REGARDING FORWARD-LOOKING STATEMENTS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S-v</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SUMMARY</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S-21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USE OF PROCEEDS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S-43</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CAPITALIZATION</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S-44</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DIVIDEND POLICY</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S-46</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DESCRIPTION OF OUR COMMON STOCK</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S-47</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MATERIAL U.S. FEDERAL INCOME TAX CONSEQUENCES TO NON-U.S. HOLDERS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S-48</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UNDERWRITING</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S-53</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LEGAL MATTERS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S-61</w:t>
            </w:r>
          </w:p>
        </w:tc>
      </w:tr>
      <w:tr>
        <w:trPr>
          <w:trHeight w:val="211"/>
        </w:trPr>
        <w:tc>
          <w:tcPr>
            <w:tcW w:w="86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S-61</w:t>
            </w:r>
          </w:p>
        </w:tc>
      </w:tr>
      <w:tr>
        <w:trPr>
          <w:trHeight w:val="527"/>
        </w:trPr>
        <w:tc>
          <w:tcPr>
            <w:tcW w:w="8680" w:type="dxa"/>
            <w:vAlign w:val="bottom"/>
          </w:tcPr>
          <w:p>
            <w:pPr>
              <w:jc w:val="center"/>
              <w:ind w:left="2232"/>
              <w:spacing w:after="0"/>
              <w:rPr>
                <w:sz w:val="20"/>
                <w:szCs w:val="20"/>
                <w:color w:val="auto"/>
              </w:rPr>
            </w:pPr>
            <w:r>
              <w:rPr>
                <w:rFonts w:ascii="Arial" w:cs="Arial" w:eastAsia="Arial" w:hAnsi="Arial"/>
                <w:sz w:val="18"/>
                <w:szCs w:val="18"/>
                <w:b w:val="1"/>
                <w:bCs w:val="1"/>
                <w:color w:val="auto"/>
                <w:w w:val="97"/>
              </w:rPr>
              <w:t>Prospectus</w:t>
            </w:r>
          </w:p>
        </w:tc>
        <w:tc>
          <w:tcPr>
            <w:tcW w:w="2280" w:type="dxa"/>
            <w:vAlign w:val="bottom"/>
          </w:tcPr>
          <w:p>
            <w:pPr>
              <w:spacing w:after="0"/>
              <w:rPr>
                <w:sz w:val="24"/>
                <w:szCs w:val="24"/>
                <w:color w:val="auto"/>
              </w:rPr>
            </w:pPr>
          </w:p>
        </w:tc>
      </w:tr>
      <w:tr>
        <w:trPr>
          <w:trHeight w:val="397"/>
        </w:trPr>
        <w:tc>
          <w:tcPr>
            <w:tcW w:w="868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ABOUT THIS PROSPECTUS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WHERE YOU CAN FIND MORE INFORMATION</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INCORPORATION BY REFERENCE</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FORWARD-LOOKING STATEMENTS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THE COMPANY</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2"/>
        </w:trPr>
        <w:tc>
          <w:tcPr>
            <w:tcW w:w="8680" w:type="dxa"/>
            <w:vAlign w:val="bottom"/>
          </w:tcPr>
          <w:p>
            <w:pPr>
              <w:spacing w:after="0" w:line="202"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USE OF PROCEEDS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THE SECURITIES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LEGAL MATTERS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11"/>
        </w:trPr>
        <w:tc>
          <w:tcPr>
            <w:tcW w:w="868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 Nevada corporation, and its consolidated subsidiaries.</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not authorized anyone to provide any information or make any representations other than those contained or incorporated by reference in this prospectus supplement, the accompanying prospectus or any free writing prospectus that we have authorized for use in connection with this offering. We take no responsibility for, and can provide no assurance as to the reliability of, any other information that others may give you. This prospectus supplement and the accompanying prospectus is an offer to sell only the Common Stock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their respective dates.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in the section of this prospectus supplement entitled “Where You Can Find More Information.”</w:t>
      </w:r>
    </w:p>
    <w:p>
      <w:pPr>
        <w:spacing w:after="0" w:line="138" w:lineRule="exact"/>
        <w:rPr>
          <w:sz w:val="20"/>
          <w:szCs w:val="20"/>
          <w:color w:val="auto"/>
        </w:rPr>
      </w:pPr>
    </w:p>
    <w:p>
      <w:pPr>
        <w:jc w:val="both"/>
        <w:ind w:left="120" w:right="60" w:firstLine="440"/>
        <w:spacing w:after="0" w:line="249" w:lineRule="auto"/>
        <w:rPr>
          <w:sz w:val="20"/>
          <w:szCs w:val="20"/>
          <w:color w:val="auto"/>
        </w:rPr>
      </w:pPr>
      <w:r>
        <w:rPr>
          <w:rFonts w:ascii="Arial" w:cs="Arial" w:eastAsia="Arial" w:hAnsi="Arial"/>
          <w:sz w:val="18"/>
          <w:szCs w:val="18"/>
          <w:b w:val="1"/>
          <w:bCs w:val="1"/>
          <w:color w:val="auto"/>
        </w:rPr>
        <w:t>Certain persons participating in this offering may engage in transactions that stabilize, maintain or otherwise affect the price of the Common Stock. Such transactions may include stabilizing and the purchase of Common Stock to cover short positions. For a description of these activities, see “Underwriting.”</w:t>
      </w:r>
    </w:p>
    <w:p>
      <w:pPr>
        <w:spacing w:after="0" w:line="125" w:lineRule="exact"/>
        <w:rPr>
          <w:sz w:val="20"/>
          <w:szCs w:val="20"/>
          <w:color w:val="auto"/>
        </w:rPr>
      </w:pPr>
    </w:p>
    <w:p>
      <w:pPr>
        <w:ind w:left="120" w:right="100" w:firstLine="440"/>
        <w:spacing w:after="0" w:line="249" w:lineRule="auto"/>
        <w:rPr>
          <w:sz w:val="20"/>
          <w:szCs w:val="20"/>
          <w:color w:val="auto"/>
        </w:rPr>
      </w:pPr>
      <w:r>
        <w:rPr>
          <w:rFonts w:ascii="Arial" w:cs="Arial" w:eastAsia="Arial" w:hAnsi="Arial"/>
          <w:sz w:val="18"/>
          <w:szCs w:val="18"/>
          <w:b w:val="1"/>
          <w:bCs w:val="1"/>
          <w:color w:val="auto"/>
        </w:rPr>
        <w:t>No state gaming commission or any other gaming authority or other regulatory agency (including, without limitation, the Nevada Gaming Commission and the Nevada State Gaming Control Board) has approved or disapproved of the Common Stock or determined if this prospectus supplement is truthful or complete. Any representation to the contrary is unlawful.</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60"/>
          </w:cols>
          <w:pgMar w:left="320" w:top="459"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 xml:space="preserve">Wynn Resorts, Limited (“Wynn Resorts”) files periodic reports and other information with the SEC. The SEC filings of Wynn Resorts are available to the public over the Internet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You may find additional information about Wynn Resorts and its subsidiaries on its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The information contained on or that can be accessed through the Wynn Resorts website (other than the specified SEC filings incorporated by reference in this prospectus supplement) is not incorporated by reference in this prospectus supplement. You should not consider such information contained on the Wynn Resorts website or that can be accessed through such websites to be part of this prospectus supplement.</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jc w:val="both"/>
        <w:ind w:left="120" w:right="260" w:firstLine="440"/>
        <w:spacing w:after="0" w:line="238" w:lineRule="auto"/>
        <w:rPr>
          <w:sz w:val="20"/>
          <w:szCs w:val="20"/>
          <w:color w:val="auto"/>
        </w:rPr>
      </w:pPr>
      <w:r>
        <w:rPr>
          <w:rFonts w:ascii="Arial" w:cs="Arial" w:eastAsia="Arial" w:hAnsi="Arial"/>
          <w:sz w:val="18"/>
          <w:szCs w:val="18"/>
          <w:color w:val="auto"/>
        </w:rPr>
        <w:t>On November 6, 2019, we filed with the SEC a registration statement on Form S-3 utilizing a shelf registration process relating to the securities described in this prospectus supplement, which became effective upon filing. Under this shelf registration process, we may, from time to time, offer and sell securities in one or more offerings.</w:t>
      </w:r>
    </w:p>
    <w:p>
      <w:pPr>
        <w:spacing w:after="0" w:line="154"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offering of our Common Stock and also adds to and updates information contained in the accompanying prospectus. The second part is the accompanying prospectus, which gives more general information. If information varies between this prospectus supplement and the accompanying prospectus, you should rely on the information in this prospectus supplement. The rules of the SEC allow us to incorporate by reference information into this prospectus supplement. This information incorporated by reference is considered to be a part of this prospectus supplement, and information that we file later with the SEC, to the extent incorporated by reference, will automatically update and supersede this information. See “Incorporation By Reference.” You should read both this prospectus supplement and the accompanying prospectus together with additional information described under the heading “Where You Can Find More Information” before investing in our Common Stock.</w:t>
      </w:r>
    </w:p>
    <w:p>
      <w:pPr>
        <w:spacing w:after="0" w:line="160"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not authorized any dealer, salesman or other person to give any information or to make any representation other than those contained in or incorporated by reference into this prospectus supplement or the accompanying prospectus. You must not rely upon any information or representation not contained in or incorporated by reference into this prospectus supplement or the accompanying prospectus. This prospectus supplement and accompanying prospectus do not constitute an offer to sell or the solicitation of an offer to buy any securities other than our Common Stock offered hereby, nor do this prospectus supplement and accompanying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and accompanying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and accompanying prospectus is delivered or securities are sold on a later date.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980" w:hanging="432"/>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prior to the closing of this offering with the SEC automatically will update and supersede earlier information contained or incorporated by reference in this prospectus supplement.</w:t>
      </w:r>
    </w:p>
    <w:p>
      <w:pPr>
        <w:spacing w:after="0" w:line="15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incorporate by reference into this prospectus supplement the documents listed below and any future filings that Wynn Resorts, Limited makes with the SEC under Section 13(a), 13(c), 14 or 15(d) of the Securities Exchange Act of 1934, as amended (the “Exchange Act”), prior to the closing of this offering (other than current reports or the portions thereof furnished under Item 2.02 or Item 7.01 of Form 8-K, including the related exhibits under Item 9.01):</w:t>
      </w:r>
    </w:p>
    <w:p>
      <w:pPr>
        <w:spacing w:after="0" w:line="73" w:lineRule="exact"/>
        <w:rPr>
          <w:sz w:val="20"/>
          <w:szCs w:val="20"/>
          <w:color w:val="auto"/>
        </w:rPr>
      </w:pPr>
    </w:p>
    <w:p>
      <w:pPr>
        <w:ind w:left="980" w:right="40" w:hanging="432"/>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Annual Report of Wynn Resorts, Limited on </w:t>
      </w:r>
      <w:hyperlink r:id="rId1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28, 2020 (the “2019 10-K”);</w:t>
      </w:r>
    </w:p>
    <w:p>
      <w:pPr>
        <w:spacing w:after="0" w:line="73" w:lineRule="exact"/>
        <w:rPr>
          <w:rFonts w:ascii="Arial" w:cs="Arial" w:eastAsia="Arial" w:hAnsi="Arial"/>
          <w:sz w:val="18"/>
          <w:szCs w:val="18"/>
          <w:color w:val="auto"/>
        </w:rPr>
      </w:pPr>
    </w:p>
    <w:p>
      <w:pPr>
        <w:ind w:left="980" w:right="60" w:hanging="432"/>
        <w:spacing w:after="0" w:line="239" w:lineRule="auto"/>
        <w:tabs>
          <w:tab w:leader="none" w:pos="980" w:val="left"/>
        </w:tabs>
        <w:numPr>
          <w:ilvl w:val="0"/>
          <w:numId w:val="4"/>
        </w:numPr>
        <w:rPr>
          <w:rFonts w:ascii="Arial" w:cs="Arial" w:eastAsia="Arial" w:hAnsi="Arial"/>
          <w:sz w:val="18"/>
          <w:szCs w:val="18"/>
          <w:color w:val="0000EE"/>
        </w:rPr>
      </w:pPr>
      <w:hyperlink r:id="rId16">
        <w:r>
          <w:rPr>
            <w:rFonts w:ascii="Arial" w:cs="Arial" w:eastAsia="Arial" w:hAnsi="Arial"/>
            <w:sz w:val="18"/>
            <w:szCs w:val="18"/>
            <w:u w:val="single" w:color="auto"/>
            <w:color w:val="0000EE"/>
          </w:rPr>
          <w:t>Item 7</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the Annual Report of Wynn Resorts, Limited on</w:t>
      </w:r>
      <w:r>
        <w:rPr>
          <w:rFonts w:ascii="Arial" w:cs="Arial" w:eastAsia="Arial" w:hAnsi="Arial"/>
          <w:sz w:val="18"/>
          <w:szCs w:val="18"/>
          <w:color w:val="0000EE"/>
        </w:rPr>
        <w:t xml:space="preserve"> </w:t>
      </w:r>
      <w:hyperlink r:id="rId17">
        <w:r>
          <w:rPr>
            <w:rFonts w:ascii="Arial" w:cs="Arial" w:eastAsia="Arial" w:hAnsi="Arial"/>
            <w:sz w:val="18"/>
            <w:szCs w:val="18"/>
            <w:u w:val="single" w:color="auto"/>
            <w:color w:val="0000EE"/>
          </w:rPr>
          <w:t xml:space="preserve">Form 10-K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year ended December 31, 2018, filed with the SEC on</w:t>
      </w:r>
      <w:r>
        <w:rPr>
          <w:rFonts w:ascii="Arial" w:cs="Arial" w:eastAsia="Arial" w:hAnsi="Arial"/>
          <w:sz w:val="18"/>
          <w:szCs w:val="18"/>
          <w:color w:val="0000EE"/>
        </w:rPr>
        <w:t xml:space="preserve"> </w:t>
      </w:r>
      <w:r>
        <w:rPr>
          <w:rFonts w:ascii="Arial" w:cs="Arial" w:eastAsia="Arial" w:hAnsi="Arial"/>
          <w:sz w:val="18"/>
          <w:szCs w:val="18"/>
          <w:color w:val="000000"/>
        </w:rPr>
        <w:t>February 28, 2019;</w:t>
      </w:r>
    </w:p>
    <w:p>
      <w:pPr>
        <w:spacing w:after="0" w:line="73" w:lineRule="exact"/>
        <w:rPr>
          <w:rFonts w:ascii="Arial" w:cs="Arial" w:eastAsia="Arial" w:hAnsi="Arial"/>
          <w:sz w:val="18"/>
          <w:szCs w:val="18"/>
          <w:color w:val="0000EE"/>
        </w:rPr>
      </w:pPr>
    </w:p>
    <w:p>
      <w:pPr>
        <w:ind w:left="980" w:right="320" w:hanging="432"/>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Quarterly Report of Wynn Resorts, Limited on </w:t>
      </w:r>
      <w:hyperlink r:id="rId1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March 31, 2020, filed with the SEC on May 8, 2020;</w:t>
      </w:r>
    </w:p>
    <w:p>
      <w:pPr>
        <w:spacing w:after="0" w:line="73" w:lineRule="exact"/>
        <w:rPr>
          <w:rFonts w:ascii="Arial" w:cs="Arial" w:eastAsia="Arial" w:hAnsi="Arial"/>
          <w:sz w:val="18"/>
          <w:szCs w:val="18"/>
          <w:color w:val="auto"/>
        </w:rPr>
      </w:pPr>
    </w:p>
    <w:p>
      <w:pPr>
        <w:ind w:left="980" w:right="440" w:hanging="432"/>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Quarterly Report of Wynn Resorts, Limited on </w:t>
      </w:r>
      <w:hyperlink r:id="rId1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June 30, 2020, filed with the SEC on August 6, 2020;</w:t>
      </w:r>
    </w:p>
    <w:p>
      <w:pPr>
        <w:spacing w:after="0" w:line="73" w:lineRule="exact"/>
        <w:rPr>
          <w:rFonts w:ascii="Arial" w:cs="Arial" w:eastAsia="Arial" w:hAnsi="Arial"/>
          <w:sz w:val="18"/>
          <w:szCs w:val="18"/>
          <w:color w:val="auto"/>
        </w:rPr>
      </w:pPr>
    </w:p>
    <w:p>
      <w:pPr>
        <w:ind w:left="980" w:right="200" w:hanging="432"/>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Quarterly Report of Wynn Resorts, Limited on </w:t>
      </w:r>
      <w:hyperlink r:id="rId2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September 30, 2020, filed with the SEC on November 9, 2020 (the “Q3 2020 10-Q”);</w:t>
      </w:r>
    </w:p>
    <w:p>
      <w:pPr>
        <w:spacing w:after="0" w:line="73" w:lineRule="exact"/>
        <w:rPr>
          <w:rFonts w:ascii="Arial" w:cs="Arial" w:eastAsia="Arial" w:hAnsi="Arial"/>
          <w:sz w:val="18"/>
          <w:szCs w:val="18"/>
          <w:color w:val="auto"/>
        </w:rPr>
      </w:pPr>
    </w:p>
    <w:p>
      <w:pPr>
        <w:ind w:left="980" w:right="60" w:hanging="432"/>
        <w:spacing w:after="0" w:line="236" w:lineRule="auto"/>
        <w:tabs>
          <w:tab w:leader="none" w:pos="980" w:val="left"/>
        </w:tabs>
        <w:numPr>
          <w:ilvl w:val="0"/>
          <w:numId w:val="4"/>
        </w:numPr>
        <w:rPr>
          <w:rFonts w:ascii="Arial" w:cs="Arial" w:eastAsia="Arial" w:hAnsi="Arial"/>
          <w:sz w:val="18"/>
          <w:szCs w:val="18"/>
          <w:color w:val="0000EE"/>
        </w:rPr>
      </w:pPr>
      <w:hyperlink r:id="rId21">
        <w:r>
          <w:rPr>
            <w:rFonts w:ascii="Arial" w:cs="Arial" w:eastAsia="Arial" w:hAnsi="Arial"/>
            <w:sz w:val="18"/>
            <w:szCs w:val="18"/>
            <w:color w:val="auto"/>
          </w:rPr>
          <w:t xml:space="preserve">Current Reports of Wynn Resorts, Limited on Form 8-K, filed with the SEC on </w:t>
        </w:r>
        <w:r>
          <w:rPr>
            <w:rFonts w:ascii="Arial" w:cs="Arial" w:eastAsia="Arial" w:hAnsi="Arial"/>
            <w:sz w:val="18"/>
            <w:szCs w:val="18"/>
            <w:u w:val="single" w:color="auto"/>
            <w:color w:val="0000EE"/>
          </w:rPr>
          <w:t>February 6, 2020</w:t>
        </w:r>
        <w:r>
          <w:rPr>
            <w:rFonts w:ascii="Arial" w:cs="Arial" w:eastAsia="Arial" w:hAnsi="Arial"/>
            <w:sz w:val="18"/>
            <w:szCs w:val="18"/>
            <w:color w:val="auto"/>
          </w:rPr>
          <w:t xml:space="preserve"> (solely relating to Item 8.01), </w:t>
        </w:r>
        <w:r>
          <w:rPr>
            <w:rFonts w:ascii="Arial" w:cs="Arial" w:eastAsia="Arial" w:hAnsi="Arial"/>
            <w:sz w:val="18"/>
            <w:szCs w:val="18"/>
            <w:u w:val="single" w:color="auto"/>
            <w:color w:val="0000EE"/>
          </w:rPr>
          <w:t>April</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7, 2020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April 14,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April 15, 2020</w:t>
        </w:r>
      </w:hyperlink>
      <w:hyperlink r:id="rId21">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 xml:space="preserve">May 6, 2020 </w:t>
        </w:r>
      </w:hyperlink>
      <w:hyperlink r:id="rId21">
        <w:r>
          <w:rPr>
            <w:rFonts w:ascii="Arial" w:cs="Arial" w:eastAsia="Arial" w:hAnsi="Arial"/>
            <w:sz w:val="18"/>
            <w:szCs w:val="18"/>
            <w:color w:val="000000"/>
          </w:rPr>
          <w:t>(solely relating to Item 8.01),</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 xml:space="preserve">June 19, 2020 </w:t>
        </w:r>
      </w:hyperlink>
      <w:hyperlink r:id="rId21">
        <w:r>
          <w:rPr>
            <w:rFonts w:ascii="Arial" w:cs="Arial" w:eastAsia="Arial" w:hAnsi="Arial"/>
            <w:sz w:val="18"/>
            <w:szCs w:val="18"/>
            <w:color w:val="000000"/>
          </w:rPr>
          <w:t>(excluding Item 7.01 and the</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exhibits under Item 9.01), </w:t>
      </w:r>
      <w:hyperlink r:id="rId26">
        <w:r>
          <w:rPr>
            <w:rFonts w:ascii="Arial" w:cs="Arial" w:eastAsia="Arial" w:hAnsi="Arial"/>
            <w:sz w:val="18"/>
            <w:szCs w:val="18"/>
            <w:u w:val="single" w:color="auto"/>
            <w:color w:val="0000EE"/>
          </w:rPr>
          <w:t>June 30, 2020</w:t>
        </w:r>
      </w:hyperlink>
      <w:r>
        <w:rPr>
          <w:rFonts w:ascii="Arial" w:cs="Arial" w:eastAsia="Arial" w:hAnsi="Arial"/>
          <w:sz w:val="18"/>
          <w:szCs w:val="18"/>
          <w:color w:val="000000"/>
        </w:rPr>
        <w:t xml:space="preserve">, </w:t>
      </w:r>
      <w:hyperlink r:id="rId27">
        <w:r>
          <w:rPr>
            <w:rFonts w:ascii="Arial" w:cs="Arial" w:eastAsia="Arial" w:hAnsi="Arial"/>
            <w:sz w:val="18"/>
            <w:szCs w:val="18"/>
            <w:u w:val="single" w:color="auto"/>
            <w:color w:val="0000EE"/>
          </w:rPr>
          <w:t>August 20,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(solely relating to Item 5.02), </w:t>
      </w:r>
      <w:hyperlink r:id="rId28">
        <w:r>
          <w:rPr>
            <w:rFonts w:ascii="Arial" w:cs="Arial" w:eastAsia="Arial" w:hAnsi="Arial"/>
            <w:sz w:val="18"/>
            <w:szCs w:val="18"/>
            <w:u w:val="single" w:color="auto"/>
            <w:color w:val="0000EE"/>
          </w:rPr>
          <w:t>August 26,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(excluding Item 7.01 </w:t>
      </w:r>
      <w:hyperlink r:id="rId29">
        <w:r>
          <w:rPr>
            <w:rFonts w:ascii="Arial" w:cs="Arial" w:eastAsia="Arial" w:hAnsi="Arial"/>
            <w:sz w:val="18"/>
            <w:szCs w:val="18"/>
            <w:color w:val="000000"/>
          </w:rPr>
          <w:t xml:space="preserve">and the exhibits under Item 9.01) </w:t>
        </w:r>
        <w:r>
          <w:rPr>
            <w:rFonts w:ascii="Arial" w:cs="Arial" w:eastAsia="Arial" w:hAnsi="Arial"/>
            <w:sz w:val="18"/>
            <w:szCs w:val="18"/>
            <w:u w:val="single" w:color="auto"/>
            <w:color w:val="0000EE"/>
          </w:rPr>
          <w:t>October 20, 2020</w:t>
        </w:r>
        <w:r>
          <w:rPr>
            <w:rFonts w:ascii="Arial" w:cs="Arial" w:eastAsia="Arial" w:hAnsi="Arial"/>
            <w:sz w:val="18"/>
            <w:szCs w:val="18"/>
            <w:color w:val="000000"/>
          </w:rPr>
          <w:t xml:space="preserve"> (as amended on </w:t>
        </w:r>
        <w:r>
          <w:rPr>
            <w:rFonts w:ascii="Arial" w:cs="Arial" w:eastAsia="Arial" w:hAnsi="Arial"/>
            <w:sz w:val="18"/>
            <w:szCs w:val="18"/>
            <w:u w:val="single" w:color="auto"/>
            <w:color w:val="0000EE"/>
          </w:rPr>
          <w:t>November 6,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November 30,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December 22,</w:t>
        </w:r>
      </w:hyperlink>
      <w:r>
        <w:rPr>
          <w:rFonts w:ascii="Arial" w:cs="Arial" w:eastAsia="Arial" w:hAnsi="Arial"/>
          <w:sz w:val="18"/>
          <w:szCs w:val="18"/>
          <w:color w:val="000000"/>
        </w:rPr>
        <w:t xml:space="preserve"> </w:t>
      </w:r>
      <w:hyperlink r:id="rId29">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(excluding Item 7.01 and the exhibits under Item 9.01), and</w:t>
        </w:r>
        <w:r>
          <w:rPr>
            <w:rFonts w:ascii="Arial" w:cs="Arial" w:eastAsia="Arial" w:hAnsi="Arial"/>
            <w:sz w:val="18"/>
            <w:szCs w:val="18"/>
            <w:color w:val="0000EE"/>
          </w:rPr>
          <w:t xml:space="preserve"> </w:t>
        </w:r>
      </w:hyperlink>
      <w:hyperlink r:id="rId30">
        <w:r>
          <w:rPr>
            <w:rFonts w:ascii="Arial" w:cs="Arial" w:eastAsia="Arial" w:hAnsi="Arial"/>
            <w:sz w:val="18"/>
            <w:szCs w:val="18"/>
            <w:u w:val="single" w:color="auto"/>
            <w:color w:val="0000EE"/>
          </w:rPr>
          <w:t>January 6, 2021</w:t>
        </w:r>
      </w:hyperlink>
      <w:hyperlink r:id="rId29">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980" w:right="60" w:hanging="432"/>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w:t>
      </w:r>
      <w:hyperlink r:id="rId31">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29, 2020 incorporated by reference in our 2019 10-K; and</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included in </w:t>
      </w:r>
      <w:hyperlink r:id="rId32">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2019 10-K.</w:t>
      </w:r>
    </w:p>
    <w:p>
      <w:pPr>
        <w:spacing w:after="0" w:line="158" w:lineRule="exact"/>
        <w:rPr>
          <w:rFonts w:ascii="Arial" w:cs="Arial" w:eastAsia="Arial" w:hAnsi="Arial"/>
          <w:sz w:val="18"/>
          <w:szCs w:val="18"/>
          <w:color w:val="auto"/>
        </w:rPr>
      </w:pPr>
    </w:p>
    <w:p>
      <w:pPr>
        <w:ind w:left="120" w:firstLine="440"/>
        <w:spacing w:after="0" w:line="27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We have not authorized anyone to provide you with any additional information. Any statement contained in this prospectus supplement, or a document incorporated or deemed to be incorporated by reference in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17"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documents incorporated by reference in this prospectus supplement are available from us upon request. We will provide a copy of any and all of the information that is incorporated by reference in this prospectus supplement to any person, without charge, upon written or oral request. Exhibits to SEC filings will not be sent, however, unless those exhibits have specifically been incorporated by reference in this prospectus supplement. Requests for such copies should be directed to the following:</w:t>
      </w: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Wynn Resorts, Limited</w:t>
      </w:r>
    </w:p>
    <w:p>
      <w:pPr>
        <w:jc w:val="center"/>
        <w:ind w:right="-139"/>
        <w:spacing w:after="0" w:line="234" w:lineRule="auto"/>
        <w:rPr>
          <w:sz w:val="20"/>
          <w:szCs w:val="20"/>
          <w:color w:val="auto"/>
        </w:rPr>
      </w:pPr>
      <w:r>
        <w:rPr>
          <w:rFonts w:ascii="Arial" w:cs="Arial" w:eastAsia="Arial" w:hAnsi="Arial"/>
          <w:sz w:val="18"/>
          <w:szCs w:val="18"/>
          <w:color w:val="auto"/>
        </w:rPr>
        <w:t>3131 Las Vegas Boulevard South</w:t>
      </w:r>
    </w:p>
    <w:p>
      <w:pPr>
        <w:jc w:val="center"/>
        <w:ind w:right="-139"/>
        <w:spacing w:after="0" w:line="235" w:lineRule="auto"/>
        <w:rPr>
          <w:sz w:val="20"/>
          <w:szCs w:val="20"/>
          <w:color w:val="auto"/>
        </w:rPr>
      </w:pPr>
      <w:r>
        <w:rPr>
          <w:rFonts w:ascii="Arial" w:cs="Arial" w:eastAsia="Arial" w:hAnsi="Arial"/>
          <w:sz w:val="18"/>
          <w:szCs w:val="18"/>
          <w:color w:val="auto"/>
        </w:rPr>
        <w:t>Las Vegas, Nevada 89109</w:t>
      </w:r>
    </w:p>
    <w:p>
      <w:pPr>
        <w:ind w:left="5480" w:hanging="456"/>
        <w:spacing w:after="0" w:line="235" w:lineRule="auto"/>
        <w:tabs>
          <w:tab w:leader="none" w:pos="5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770-7555</w:t>
      </w:r>
    </w:p>
    <w:p>
      <w:pPr>
        <w:ind w:left="45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8" w:lineRule="exact"/>
        <w:rPr>
          <w:sz w:val="20"/>
          <w:szCs w:val="20"/>
          <w:color w:val="auto"/>
        </w:rPr>
      </w:pPr>
    </w:p>
    <w:p>
      <w:pPr>
        <w:ind w:left="120" w:right="540" w:firstLine="440"/>
        <w:spacing w:after="0" w:line="239" w:lineRule="auto"/>
        <w:rPr>
          <w:sz w:val="20"/>
          <w:szCs w:val="20"/>
          <w:color w:val="auto"/>
        </w:rPr>
      </w:pPr>
      <w:r>
        <w:rPr>
          <w:rFonts w:ascii="Arial" w:cs="Arial" w:eastAsia="Arial" w:hAnsi="Arial"/>
          <w:sz w:val="18"/>
          <w:szCs w:val="18"/>
          <w:color w:val="auto"/>
        </w:rPr>
        <w:t>Except as provided above, no other information, including information on or that can be accessed through Wynn Resorts’ website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is incorporated by reference in this prospectus supplement.</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0"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This prospectus supplement,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5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Any statements contained in this prospectus supplement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under “Risk Factors” in this prospectus supplement and the risks incorporated by reference herein, including those in our 2019 10-K and Q3 2020 10-Q.</w:t>
      </w:r>
    </w:p>
    <w:p>
      <w:pPr>
        <w:spacing w:after="0" w:line="155"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 supplement.</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DATA</w:t>
      </w:r>
    </w:p>
    <w:p>
      <w:pPr>
        <w:spacing w:after="0" w:line="180"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Industry data used throughout this prospectus supplement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PRESENTATION OF CERTAIN FINANCIAL INFORMATION</w:t>
      </w:r>
    </w:p>
    <w:p>
      <w:pPr>
        <w:spacing w:after="0" w:line="99"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This prospectus supplement includes certain financial information as of and for the three months and year ended December 31, 2020, for which consolidated financial statements are not yet available. Our independent registered public accounting firm, Ernst &amp; Young LLP, has not audited, reviewed or performed any procedures on this financial data, and accordingly, does not express an opinion or other form of assurance with respect to this financial data. Such financial data included in this prospectus supplement has been prepared by, and is the responsibility of, the Company’s management.</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NON-GAAP FINANCIAL MEASURES</w:t>
      </w:r>
    </w:p>
    <w:p>
      <w:pPr>
        <w:spacing w:after="0" w:line="180"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We have included certain financial measures in this prospectus supplement that have not been prepared in a manner that complies with generally accepted accounting principles in the United States of America (“GAAP”), including, but not limited to, Adjusted Property EBITDA, Adjusted net income (loss) attributable to Wynn Resorts, Limited and Adjusted net income (loss) attributable to Wynn Resorts, Limited per diluted share. We define Adjusted Property EBITDA as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We define Adjusted net income (loss) attributable to Wynn Resorts, Limited as net income (loss) attributable to Wynn Resorts, Limited before nonrecurring regulatory expense, litigation settlement net gain, pre-opening expenses, property charges and other, change in derivatives fair value, loss on extinguishment of debt, and foreign currency remeasurement and other, net of noncontrolling interests and income taxes calculated using the specific tax treatment applicable to the adjustments based on their respective jurisdictions.</w:t>
      </w:r>
    </w:p>
    <w:p>
      <w:pPr>
        <w:spacing w:after="0" w:line="160"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Adjusted Property EBITDA, Adjusted net income (loss) attributable to Wynn Resorts, Limited and Adjusted net income (loss) attributable to Wynn Resorts, Limited per diluted share are presented exclusively as supplemental disclosures to financial measures in accordance with GAAP because management believes that these non-GAAP financial measures are widely used to measure the performance, and as a principal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Adjusted net income (loss) attributable to Wynn Resorts, Limited and Adjusted net</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S-vi</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income (loss) attributable to Wynn Resorts, Limited per diluted share are used by management and/or evaluated by some investors, in addition to net income (loss) and earnings per share computed in accordance with GAAP, as an additional basis for assessing period-to-period results of our business. Adjusted Property EBITDA, 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S-vii</w:t>
      </w:r>
    </w:p>
    <w:p>
      <w:pPr>
        <w:sectPr>
          <w:pgSz w:w="11900" w:h="16838" w:orient="portrait"/>
          <w:cols w:equalWidth="0" w:num="1">
            <w:col w:w="10760"/>
          </w:cols>
          <w:pgMar w:left="320" w:top="459" w:right="8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16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6998970" cy="49161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i w:val="1"/>
          <w:iCs w:val="1"/>
          <w:color w:val="auto"/>
        </w:rPr>
        <w:t>The following summary should be read together with the information contained in other parts of this prospectus supplement and the accompanying prospectus or incorporated by reference herein or therein. This summary highlights selected information about the Company, including important information from this prospectus supplement and the accompanying prospectus regarding the offering of the Common Stock. You should read this prospectus supplement and the accompanying prospectus, including the documents we incorporate by reference, carefully to understand fully the terms of the offering as well as other considerations that are important to you in making a decision to invest in the Common Stock. You should pay special attention to the “Risk Factors” section of this prospectus supplement to determine whether an investment in the shares is appropriate for you. This prospectus supplement and the accompanying prospectus include and incorporate forward-looking statements that involve risks and uncertainties.</w:t>
      </w:r>
    </w:p>
    <w:p>
      <w:pPr>
        <w:spacing w:after="0" w:line="140" w:lineRule="exact"/>
        <w:rPr>
          <w:sz w:val="20"/>
          <w:szCs w:val="20"/>
          <w:color w:val="auto"/>
        </w:rPr>
      </w:pPr>
    </w:p>
    <w:p>
      <w:pPr>
        <w:ind w:left="300" w:right="100" w:firstLine="426"/>
        <w:spacing w:after="0" w:line="243" w:lineRule="auto"/>
        <w:rPr>
          <w:sz w:val="20"/>
          <w:szCs w:val="20"/>
          <w:color w:val="auto"/>
        </w:rPr>
      </w:pPr>
      <w:r>
        <w:rPr>
          <w:rFonts w:ascii="Arial" w:cs="Arial" w:eastAsia="Arial" w:hAnsi="Arial"/>
          <w:sz w:val="18"/>
          <w:szCs w:val="18"/>
          <w:i w:val="1"/>
          <w:iCs w:val="1"/>
          <w:color w:val="auto"/>
        </w:rPr>
        <w:t>The Common Stock will be issued by Wynn Resorts, Limited, a Nevada Corporation. Wynn Resorts, Limited is hereinafter referred to as the “Issuer.” Unless otherwise indicated or the context otherwise requires, all references in this prospectus supplement to the “Company” refers to Wynn Resorts, Limited and all references to “we,” “us” or “our,” or similar terms, refer to Wynn Resorts, Limited and its consolidated subsidiaries.</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99" w:lineRule="exact"/>
        <w:rPr>
          <w:sz w:val="20"/>
          <w:szCs w:val="20"/>
          <w:color w:val="auto"/>
        </w:rPr>
      </w:pPr>
    </w:p>
    <w:p>
      <w:pPr>
        <w:ind w:left="300" w:right="60" w:firstLine="426"/>
        <w:spacing w:after="0" w:line="237" w:lineRule="auto"/>
        <w:rPr>
          <w:sz w:val="20"/>
          <w:szCs w:val="20"/>
          <w:color w:val="auto"/>
        </w:rPr>
      </w:pPr>
      <w:r>
        <w:rPr>
          <w:rFonts w:ascii="Arial" w:cs="Arial" w:eastAsia="Arial" w:hAnsi="Arial"/>
          <w:sz w:val="18"/>
          <w:szCs w:val="18"/>
          <w:color w:val="auto"/>
        </w:rPr>
        <w:t>We are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154" w:lineRule="exact"/>
        <w:rPr>
          <w:sz w:val="20"/>
          <w:szCs w:val="20"/>
          <w:color w:val="auto"/>
        </w:rPr>
      </w:pPr>
    </w:p>
    <w:p>
      <w:pPr>
        <w:ind w:left="300" w:right="320" w:firstLine="426"/>
        <w:spacing w:after="0" w:line="236" w:lineRule="auto"/>
        <w:rPr>
          <w:sz w:val="20"/>
          <w:szCs w:val="20"/>
          <w:color w:val="auto"/>
        </w:rPr>
      </w:pPr>
      <w:r>
        <w:rPr>
          <w:rFonts w:ascii="Arial" w:cs="Arial" w:eastAsia="Arial" w:hAnsi="Arial"/>
          <w:sz w:val="18"/>
          <w:szCs w:val="18"/>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Additionally, we are a 50.1% owner and managing member of a joint venture that owns and leases certain retail space at Wynn Las Vegas (the “Retail Joint Venture”). In June 2019, we opened Encore Boston Harbor, an integrated resort in Everett, Massachusetts.</w:t>
      </w:r>
    </w:p>
    <w:p>
      <w:pPr>
        <w:spacing w:after="0" w:line="21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Results for Fourth Quarter and Year End 2020</w:t>
      </w:r>
    </w:p>
    <w:p>
      <w:pPr>
        <w:spacing w:after="0" w:line="99"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Operating revenues were $686.0 million for the fourth quarter of 2020, a decrease of 58.5%, or $967.5 million, from $1.65 billion for the fourth quarter of 2019. Operating revenues decreased $368.5 million, $343.5 million, $196.2 million, and $65.4 million at Wynn Palace, Wynn Macau, our Las Vegas Operations, and Encore Boston Harbor, respectively, from the fourth quarter of 2019.</w:t>
      </w:r>
    </w:p>
    <w:p>
      <w:pPr>
        <w:spacing w:after="0" w:line="1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73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100" w:firstLine="426"/>
        <w:spacing w:after="0" w:line="236" w:lineRule="auto"/>
        <w:rPr>
          <w:sz w:val="20"/>
          <w:szCs w:val="20"/>
          <w:color w:val="auto"/>
        </w:rPr>
      </w:pPr>
      <w:r>
        <w:rPr>
          <w:rFonts w:ascii="Arial" w:cs="Arial" w:eastAsia="Arial" w:hAnsi="Arial"/>
          <w:sz w:val="18"/>
          <w:szCs w:val="18"/>
          <w:color w:val="auto"/>
        </w:rPr>
        <w:t>Net loss attributable to Wynn Resorts, Limited was $269.5 million, or $2.53 per diluted share, for the fourth quarter of 2020, compared to net loss attributable to Wynn Resorts, Limited of $72.9 million, or $0.68 per diluted share, in the fourth quarter of 2019. Our fourth quarter 2019 results included a net tax provision of $157.4 million, primarily related to an increase in the valuation allowance on our deferred tax assets. Adjusted net loss attributable to Wynn Resorts, Limited was $262.2 million, or $2.45 per diluted share, for the fourth quarter of 2020, compared to adjusted net loss attributable to Wynn Resorts, Limited of $65.6 million, or $0.62 per diluted share, for the fourth quarter of 2019.</w:t>
      </w:r>
    </w:p>
    <w:p>
      <w:pPr>
        <w:spacing w:after="0" w:line="156"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Adjusted Property EBITDA was $69.8 million for the fourth quarter of 2020, compared to $443.1 million for the fourth quarter of 2019. Adjusted Property EBITDA decreased $148.9 million, $159.4 million, and $59.1 million at Wynn Palace, Wynn Macau, and our Las Vegas Operations, respectively, and increased $1.4 million at Encore Boston Harbor.</w:t>
      </w:r>
    </w:p>
    <w:p>
      <w:pPr>
        <w:spacing w:after="0" w:line="154"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For the year ended December 31, 2020, operating revenues decreased 68.3%, or $4.52 billion, to $2.10 billion, compared to $6.61 billion in the year ended December 31, 2019. Operating revenues decreased $2.04 billion, $1.60 billion, $885.5 million, and $2.3 million at Wynn Palace, Wynn Macau, our Las Vegas Operations, and Encore Boston Harbor, respectively. Encore Boston Harbor opened on June 23, 2019.</w:t>
      </w:r>
    </w:p>
    <w:p>
      <w:pPr>
        <w:spacing w:after="0" w:line="154"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Net loss attributable to Wynn Resorts, Limited was $2.07 billion, or $19.37 per diluted share in 2020, compared to net income attributable to Wynn Resorts, Limited of $123.0 million, or $1.15 per diluted share in the year ended December 31, 2019. Our 2020 results included a net tax provision of $564.7 million, primarily related to an increase in the valuation allowance against deferred tax assets no longer expected to be realized. Our 2019 results included a net tax provision of $176.8 million, primarily related to an increase in the valuation allowance on our deferred tax assets. Adjusted net loss attributable to Wynn Resorts, Limited was $2.05 billion, or $19.18 per diluted share, in 2020, compared to adjusted net income of $279.5 million, or $2.61 per diluted share, in the year ended December 31, 2019.</w:t>
      </w:r>
    </w:p>
    <w:p>
      <w:pPr>
        <w:spacing w:after="0" w:line="155" w:lineRule="exact"/>
        <w:rPr>
          <w:sz w:val="20"/>
          <w:szCs w:val="20"/>
          <w:color w:val="auto"/>
        </w:rPr>
      </w:pPr>
    </w:p>
    <w:p>
      <w:pPr>
        <w:ind w:left="300" w:right="240" w:firstLine="426"/>
        <w:spacing w:after="0" w:line="238" w:lineRule="auto"/>
        <w:rPr>
          <w:sz w:val="20"/>
          <w:szCs w:val="20"/>
          <w:color w:val="auto"/>
        </w:rPr>
      </w:pPr>
      <w:r>
        <w:rPr>
          <w:rFonts w:ascii="Arial" w:cs="Arial" w:eastAsia="Arial" w:hAnsi="Arial"/>
          <w:sz w:val="18"/>
          <w:szCs w:val="18"/>
          <w:color w:val="auto"/>
        </w:rPr>
        <w:t>Full year Adjusted Property EBITDA decreased 117.9%, or $2.14 billion, to $(324.3) million, compared to $1.82 billion in the year ended December 31, 2019. Adjusted Property EBITDA decreased $879.2 million, $736.0 million, $470.2 million, and $46.9 million at Wynn Palace, Wynn Macau, our Las Vegas Operations, and Encore Boston Harbor, respectively.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Property Results for Fourth Quarter and Year End 2020</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Macau Operations</w:t>
      </w:r>
    </w:p>
    <w:p>
      <w:pPr>
        <w:spacing w:after="0" w:line="97" w:lineRule="exact"/>
        <w:rPr>
          <w:sz w:val="20"/>
          <w:szCs w:val="20"/>
          <w:color w:val="auto"/>
        </w:rPr>
      </w:pPr>
    </w:p>
    <w:p>
      <w:pPr>
        <w:ind w:left="300" w:firstLine="426"/>
        <w:spacing w:after="0" w:line="268" w:lineRule="auto"/>
        <w:rPr>
          <w:sz w:val="20"/>
          <w:szCs w:val="20"/>
          <w:color w:val="auto"/>
        </w:rPr>
      </w:pPr>
      <w:r>
        <w:rPr>
          <w:rFonts w:ascii="Arial" w:cs="Arial" w:eastAsia="Arial" w:hAnsi="Arial"/>
          <w:sz w:val="16"/>
          <w:szCs w:val="16"/>
          <w:color w:val="auto"/>
        </w:rPr>
        <w:t>Our casino operations at Wynn Palace and Wynn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On September 23, 2020, the People’s Republic of China (“PRC”) authorities fully resumed the Individual Visit Scheme exit visa program, subject to certain testing requirements and health declarations. 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 adverse developments in the COVID-19 situation in Macau and other regions with access to Macau.</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90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6998970" cy="4890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Wynn Palace</w:t>
      </w:r>
    </w:p>
    <w:p>
      <w:pPr>
        <w:spacing w:after="0" w:line="95"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Operating revenues from Wynn Palace were $221.5 million for the fourth quarter of 2020, a 62.5% decrease from $590.0 million for the fourth quarter of 2019. Adjusted Property EBITDA from Wynn Palace was $28.7 million for the fourth quarter of 2020, compared with $177.6 million for the fourth quarter of 2019. VIP table games win as a percentage of turnover was 1.97%, below the property’s expected range of 2.7% to 3.0% and below the 3.07% experienced in the fourth quarter of 2019. Table games win percentage in mass market operations was 21.6%, below the 25.2% experienced in the fourth quarter of 2019.</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Wynn Macau</w:t>
      </w:r>
    </w:p>
    <w:p>
      <w:pPr>
        <w:spacing w:after="0" w:line="9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Operating revenues from Wynn Macau were $181.9 million for the fourth quarter of 2020, a 65.4% decrease from $525.4 million for the fourth quarter of 2019. Adjusted Property EBITDA from Wynn Macau was $10.7 million for the fourth quarter of 2020, compared with $170.1 million for the fourth quarter of 2019. VIP Table games win as a percentage of turnover was 3.10%, above the property’s expected range of 2.7% to 3.0% and below the 3.27% experienced in the fourth quarter of 2019. Table games win percentage in mass market operations was 17.9%, below the 20.3% experienced in the fourth quarter of 2019.</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97"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 We are currently unable to determine when certain of these measures will be lifted.</w:t>
      </w:r>
    </w:p>
    <w:p>
      <w:pPr>
        <w:spacing w:after="0" w:line="157" w:lineRule="exact"/>
        <w:rPr>
          <w:sz w:val="20"/>
          <w:szCs w:val="20"/>
          <w:color w:val="auto"/>
        </w:rPr>
      </w:pPr>
    </w:p>
    <w:p>
      <w:pPr>
        <w:ind w:left="300" w:right="340" w:firstLine="426"/>
        <w:spacing w:after="0" w:line="237" w:lineRule="auto"/>
        <w:rPr>
          <w:sz w:val="20"/>
          <w:szCs w:val="20"/>
          <w:color w:val="auto"/>
        </w:rPr>
      </w:pPr>
      <w:r>
        <w:rPr>
          <w:rFonts w:ascii="Arial" w:cs="Arial" w:eastAsia="Arial" w:hAnsi="Arial"/>
          <w:sz w:val="18"/>
          <w:szCs w:val="18"/>
          <w:color w:val="auto"/>
        </w:rPr>
        <w:t>Operating revenues from our Las Vegas Operations were $172.5 million for the fourth quarter of 2020, a 53.2% decrease from $368.8 million for the fourth quarter of 2019. Adjusted Property EBITDA from our Las Vegas Operations for the fourth quarter of 2020 was $21.0 million, compared with $80.1 million for the fourth quarter of 2019. Table games win percentage was 24.4%, within the property’s expected range of 22% to 26% and above the 17.4% experienced in the fourth quarter of 2019.</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97"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6"/>
          <w:szCs w:val="16"/>
          <w:color w:val="auto"/>
        </w:rPr>
        <w:t>Encore Boston Harbor ceased all operations and closed to the public on March 15, 2020, and reopened on July 10, 2020 with certain COVID-19 specific protective measures in place, such as limiting the number of seats per table game, slot machine spacing, temperature checks, capacity restrictions, and mask protection. Subsequent to reopening, certain food and beverage outlets have remained temporarily closed and our hotel operations were limited to Thursday through Sunday. On November 6, 2020, pursuant to a Massachusetts directive implementing an overnight curfew on certain businesses, Encore Boston Harbor limited its daily operating hours and temporarily closed the hotel tower. On January 25, 2021, the limitations on operating hours were lifted, and Encore Boston Harbor restored certain operations and reopened its hotel tower on a Thursday through Sunday weekly schedule. The protective measures, including capacity restrictions, are still in place. We are currently unable to determine when the remaining measures will be lifted.</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10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200" w:firstLine="426"/>
        <w:spacing w:after="0" w:line="237" w:lineRule="auto"/>
        <w:rPr>
          <w:sz w:val="20"/>
          <w:szCs w:val="20"/>
          <w:color w:val="auto"/>
        </w:rPr>
      </w:pPr>
      <w:r>
        <w:rPr>
          <w:rFonts w:ascii="Arial" w:cs="Arial" w:eastAsia="Arial" w:hAnsi="Arial"/>
          <w:sz w:val="18"/>
          <w:szCs w:val="18"/>
          <w:color w:val="auto"/>
        </w:rPr>
        <w:t>Operating revenues from Encore Boston Harbor were $103.9 million for the fourth quarter of 2020, a 38.6% decrease from $169.3 million for the fourth quarter of 2019. Adjusted Property EBITDA from Encore Boston Harbor for the fourth quarter of 2020 was $16.7 million, compared with $15.3 million for the fourth quarter of 2019. Table games win percentage was 20.9%, within the property’s expected range of 18% to 22% and above the 19.2% experienced in the fourth quarter of 2019.</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Wynn Interactive</w:t>
      </w:r>
    </w:p>
    <w:p>
      <w:pPr>
        <w:spacing w:after="0" w:line="99" w:lineRule="exact"/>
        <w:rPr>
          <w:sz w:val="20"/>
          <w:szCs w:val="20"/>
          <w:color w:val="auto"/>
        </w:rPr>
      </w:pPr>
    </w:p>
    <w:p>
      <w:pPr>
        <w:ind w:left="300" w:firstLine="426"/>
        <w:spacing w:after="0" w:line="235" w:lineRule="auto"/>
        <w:rPr>
          <w:sz w:val="20"/>
          <w:szCs w:val="20"/>
          <w:color w:val="auto"/>
        </w:rPr>
      </w:pPr>
      <w:r>
        <w:rPr>
          <w:rFonts w:ascii="Arial" w:cs="Arial" w:eastAsia="Arial" w:hAnsi="Arial"/>
          <w:sz w:val="18"/>
          <w:szCs w:val="18"/>
          <w:color w:val="auto"/>
        </w:rPr>
        <w:t>In October 2020, Wynn Interactive Ltd. (“Wynn Interactive”) was formed through the merger of our U.S. online sports betting and gaming business, social casino business, and our strategic partner, BetBull Limited (“BetBull”). Following the merger, Wynn Resorts owns approximately 72% of, and consolidates, Wynn Interactive. We believe this transaction positions Wynn Resorts to capitalize on developing opportunities in digital and interactive sports betting and gaming throughout the U.S., by combining Wynn Resorts’ nationally recognized brand with BetBull’s digital sports betting operational capabilities and technology. Our digital and interactive sports betting app, WynnBET, is currently operational in New Jersey, Colorado, and Michigan. In addition, subject to all necessary legislative authorizations and regulatory approvals, we have secured market access and have submitted an application for licensing in Indiana, have secured market access in Iowa and Ohio, have received conditional licensing in Tennessee, and have submitted an application for licensing in Virginia. On February 4, 2021, we secured market access in New York State through a local casino operator, pending legalization of online sports betting or of online casinos in the state and subject to regulatory and licensing approval. The results of Wynn Interactive are presented within Corporate and other.</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Balance Sheet as of Year End 2020</w:t>
      </w:r>
    </w:p>
    <w:p>
      <w:pPr>
        <w:spacing w:after="0" w:line="99"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Our cash and cash equivalents as of December 31, 2020 totaled $3.48 billion, comprised of approximately $2.43 billion held by WML and subsidiaries, approximately $297.8 million held by Wynn Resorts Finance excluding WML, and approximately $755.2 million at Corporate and other.</w:t>
      </w:r>
    </w:p>
    <w:p>
      <w:pPr>
        <w:spacing w:after="0" w:line="154" w:lineRule="exact"/>
        <w:rPr>
          <w:sz w:val="20"/>
          <w:szCs w:val="20"/>
          <w:color w:val="auto"/>
        </w:rPr>
      </w:pPr>
    </w:p>
    <w:p>
      <w:pPr>
        <w:ind w:left="300" w:right="400" w:firstLine="426"/>
        <w:spacing w:after="0" w:line="239" w:lineRule="auto"/>
        <w:rPr>
          <w:sz w:val="20"/>
          <w:szCs w:val="20"/>
          <w:color w:val="auto"/>
        </w:rPr>
      </w:pPr>
      <w:r>
        <w:rPr>
          <w:rFonts w:ascii="Arial" w:cs="Arial" w:eastAsia="Arial" w:hAnsi="Arial"/>
          <w:sz w:val="18"/>
          <w:szCs w:val="18"/>
          <w:color w:val="auto"/>
        </w:rPr>
        <w:t>As of December 31, 2020, the available borrowing capacity under the Wynn Macau Revolver was $343.5 million, and available borrowing capacity under the Wynn Resorts Finance Revolver was $117.9 million.</w:t>
      </w:r>
    </w:p>
    <w:p>
      <w:pPr>
        <w:spacing w:after="0" w:line="155" w:lineRule="exact"/>
        <w:rPr>
          <w:sz w:val="20"/>
          <w:szCs w:val="20"/>
          <w:color w:val="auto"/>
        </w:rPr>
      </w:pPr>
    </w:p>
    <w:p>
      <w:pPr>
        <w:jc w:val="both"/>
        <w:ind w:left="300" w:right="60" w:firstLine="426"/>
        <w:spacing w:after="0" w:line="238" w:lineRule="auto"/>
        <w:rPr>
          <w:sz w:val="20"/>
          <w:szCs w:val="20"/>
          <w:color w:val="auto"/>
        </w:rPr>
      </w:pPr>
      <w:r>
        <w:rPr>
          <w:rFonts w:ascii="Arial" w:cs="Arial" w:eastAsia="Arial" w:hAnsi="Arial"/>
          <w:sz w:val="18"/>
          <w:szCs w:val="18"/>
          <w:color w:val="auto"/>
        </w:rPr>
        <w:t>Total current and long-term debt outstanding at December 31, 2020 was $13.07 billion, comprised of $6.35 billion of Macau related debt, $3.12 billion of Wynn Las Vegas debt, $2.99 billion of Wynn Resorts Finance debt, and $612.3 million of debt held by the retail joint venture which we consolidate.</w:t>
      </w:r>
    </w:p>
    <w:p>
      <w:pPr>
        <w:spacing w:after="0" w:line="154"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On December 22, 2020, WML issued $750.0 million aggregate principal amount of 5.625% Senior Notes due 2028. WML used approximately $412.5 million of net proceeds from the offering to facilitate the prepayment of a portion of the term loan outstanding under the Wynn Macau Credit Facilities in January 2021. In addition, WML used approximately $318.5 million of net proceeds from the offering to facilitate the repayment of revolver borrowings outstanding under the Wynn Macau Credit Facilities in December 2020. Accordingly, as of December 31, 2020, the available borrowing capacity under the Wynn Macau Revolver was $343.5 million.</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Financial Results for Fourth Quarter and Year End 2020</w:t>
      </w:r>
    </w:p>
    <w:p>
      <w:pPr>
        <w:spacing w:after="0" w:line="99" w:lineRule="exact"/>
        <w:rPr>
          <w:sz w:val="20"/>
          <w:szCs w:val="20"/>
          <w:color w:val="auto"/>
        </w:rPr>
      </w:pPr>
    </w:p>
    <w:p>
      <w:pPr>
        <w:ind w:left="300" w:right="400" w:firstLine="426"/>
        <w:spacing w:after="0" w:line="239" w:lineRule="auto"/>
        <w:rPr>
          <w:sz w:val="20"/>
          <w:szCs w:val="20"/>
          <w:color w:val="auto"/>
        </w:rPr>
      </w:pPr>
      <w:r>
        <w:rPr>
          <w:rFonts w:ascii="Arial" w:cs="Arial" w:eastAsia="Arial" w:hAnsi="Arial"/>
          <w:sz w:val="18"/>
          <w:szCs w:val="18"/>
          <w:color w:val="auto"/>
        </w:rPr>
        <w:t>The following table provides the consolidated statements of operations of Wynn Resorts, Limited and its subsidiaries for the three months and the year ended December 31, 2020 (in thousands, except per share data) (unaudited):</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338"/>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rPr>
              <w:t>Year Ended</w:t>
            </w:r>
          </w:p>
        </w:tc>
      </w:tr>
      <w:tr>
        <w:trPr>
          <w:trHeight w:val="165"/>
        </w:trPr>
        <w:tc>
          <w:tcPr>
            <w:tcW w:w="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78"/>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jc w:val="center"/>
              <w:ind w:right="44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18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r>
      <w:tr>
        <w:trPr>
          <w:trHeight w:val="183"/>
        </w:trPr>
        <w:tc>
          <w:tcPr>
            <w:tcW w:w="18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revenues:</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Casino</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455,156</w:t>
            </w:r>
          </w:p>
        </w:tc>
        <w:tc>
          <w:tcPr>
            <w:tcW w:w="1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1,137,956</w:t>
            </w:r>
          </w:p>
        </w:tc>
        <w:tc>
          <w:tcPr>
            <w:tcW w:w="1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1,237,230</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4,573,924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Rooms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76,733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208,209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307,973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804,162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Food and beverage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79,577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199,073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329,584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818,822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Entertainment, retail and other</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74,529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108,221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221,074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414,191</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5920" w:type="dxa"/>
            <w:vAlign w:val="bottom"/>
          </w:tcPr>
          <w:p>
            <w:pPr>
              <w:ind w:left="860"/>
              <w:spacing w:after="0"/>
              <w:rPr>
                <w:sz w:val="20"/>
                <w:szCs w:val="20"/>
                <w:color w:val="auto"/>
              </w:rPr>
            </w:pPr>
            <w:r>
              <w:rPr>
                <w:rFonts w:ascii="Arial" w:cs="Arial" w:eastAsia="Arial" w:hAnsi="Arial"/>
                <w:sz w:val="18"/>
                <w:szCs w:val="18"/>
                <w:b w:val="1"/>
                <w:bCs w:val="1"/>
                <w:color w:val="auto"/>
              </w:rPr>
              <w:t>Total operating 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685,995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1,653,459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2,095,861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6,611,099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Casino</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330,287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726,504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1,064,976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2,924,254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Rooms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32,436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71,053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172,223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276,095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Food and beverage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84,457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168,996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398,792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696,498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Entertainment, retail and other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31,405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40,570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107,228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170,206</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173,544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230,682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720,849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896,670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Provision for credit losses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64,375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21,898</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Pre-opening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2,797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6,506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102,009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184,004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725,502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624,878</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67,455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Total operating expenses</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864,606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1,426,881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3,327,906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5,732,794</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(178,611)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(1,232,045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1,415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4,470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15,384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24,449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 of amounts capitalized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(149,287)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(113,049)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(556,474)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(414,030)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Change in derivatives fair value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1,219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3,686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(13,060)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(3,228)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(4,601)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(12,437)</w:t>
            </w: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Other income (expense), net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(131,112)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(86,629)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(530,230)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(390,087)</w:t>
            </w:r>
          </w:p>
        </w:tc>
        <w:tc>
          <w:tcPr>
            <w:tcW w:w="200" w:type="dxa"/>
            <w:vAlign w:val="bottom"/>
          </w:tcPr>
          <w:p>
            <w:pPr>
              <w:spacing w:after="0"/>
              <w:rPr>
                <w:sz w:val="17"/>
                <w:szCs w:val="17"/>
                <w:color w:val="auto"/>
              </w:rPr>
            </w:pPr>
          </w:p>
        </w:tc>
      </w:tr>
      <w:tr>
        <w:trPr>
          <w:trHeight w:val="210"/>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(309,723)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139,949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(1,762,275)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(157,419)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(564,671)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(176,840)</w:t>
            </w:r>
          </w:p>
        </w:tc>
        <w:tc>
          <w:tcPr>
            <w:tcW w:w="200" w:type="dxa"/>
            <w:vAlign w:val="bottom"/>
          </w:tcPr>
          <w:p>
            <w:pPr>
              <w:spacing w:after="0"/>
              <w:rPr>
                <w:sz w:val="17"/>
                <w:szCs w:val="17"/>
                <w:color w:val="auto"/>
              </w:rPr>
            </w:pPr>
          </w:p>
        </w:tc>
      </w:tr>
      <w:tr>
        <w:trPr>
          <w:trHeight w:val="210"/>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(310,291)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(2,326,946)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311,378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Less: net (income) loss attributable to noncontrolling interests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40,789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(55,472)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259,701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(188,393)</w:t>
            </w:r>
          </w:p>
        </w:tc>
        <w:tc>
          <w:tcPr>
            <w:tcW w:w="200" w:type="dxa"/>
            <w:vAlign w:val="bottom"/>
          </w:tcPr>
          <w:p>
            <w:pPr>
              <w:spacing w:after="0"/>
              <w:rPr>
                <w:sz w:val="17"/>
                <w:szCs w:val="17"/>
                <w:color w:val="auto"/>
              </w:rPr>
            </w:pPr>
          </w:p>
        </w:tc>
      </w:tr>
      <w:tr>
        <w:trPr>
          <w:trHeight w:val="210"/>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(269,502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(72,942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(2,067,245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(0.68)</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(19.37)</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860"/>
              <w:spacing w:after="0" w:line="202" w:lineRule="exact"/>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(0.68)</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(19.37)</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860"/>
              <w:spacing w:after="0" w:line="202" w:lineRule="exact"/>
              <w:rPr>
                <w:sz w:val="20"/>
                <w:szCs w:val="20"/>
                <w:color w:val="auto"/>
              </w:rPr>
            </w:pPr>
            <w:r>
              <w:rPr>
                <w:rFonts w:ascii="Arial" w:cs="Arial" w:eastAsia="Arial" w:hAnsi="Arial"/>
                <w:sz w:val="18"/>
                <w:szCs w:val="18"/>
                <w:color w:val="auto"/>
              </w:rPr>
              <w:t>Basic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106,818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106,608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106,745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106,745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106,818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106,608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106,745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106,985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6100" w:type="dxa"/>
            <w:vAlign w:val="bottom"/>
            <w:tcBorders>
              <w:bottom w:val="single" w:sz="8" w:color="auto"/>
            </w:tcBorders>
            <w:gridSpan w:val="2"/>
          </w:tcPr>
          <w:p>
            <w:pPr>
              <w:ind w:left="180"/>
              <w:spacing w:after="0" w:line="200" w:lineRule="exact"/>
              <w:rPr>
                <w:sz w:val="20"/>
                <w:szCs w:val="20"/>
                <w:color w:val="auto"/>
              </w:rPr>
            </w:pPr>
            <w:r>
              <w:rPr>
                <w:rFonts w:ascii="Arial" w:cs="Arial" w:eastAsia="Arial" w:hAnsi="Arial"/>
                <w:sz w:val="18"/>
                <w:szCs w:val="18"/>
                <w:color w:val="auto"/>
              </w:rPr>
              <w:t>Dividends declared per common share:</w:t>
            </w:r>
          </w:p>
        </w:tc>
        <w:tc>
          <w:tcPr>
            <w:tcW w:w="56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58"/>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359"/>
        </w:trPr>
        <w:tc>
          <w:tcPr>
            <w:tcW w:w="180" w:type="dxa"/>
            <w:vAlign w:val="bottom"/>
          </w:tcPr>
          <w:p>
            <w:pPr>
              <w:spacing w:after="0"/>
              <w:rPr>
                <w:sz w:val="24"/>
                <w:szCs w:val="24"/>
                <w:color w:val="auto"/>
              </w:rPr>
            </w:pPr>
          </w:p>
        </w:tc>
        <w:tc>
          <w:tcPr>
            <w:tcW w:w="5920" w:type="dxa"/>
            <w:vAlign w:val="bottom"/>
          </w:tcPr>
          <w:p>
            <w:pPr>
              <w:ind w:left="5180"/>
              <w:spacing w:after="0"/>
              <w:rPr>
                <w:sz w:val="20"/>
                <w:szCs w:val="20"/>
                <w:color w:val="auto"/>
              </w:rPr>
            </w:pPr>
            <w:r>
              <w:rPr>
                <w:rFonts w:ascii="Arial" w:cs="Arial" w:eastAsia="Arial" w:hAnsi="Arial"/>
                <w:sz w:val="18"/>
                <w:szCs w:val="18"/>
                <w:color w:val="auto"/>
              </w:rPr>
              <w:t>S-5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04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6998970" cy="27044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provides a reconciliation of net income (loss) attributable to Wynn Resorts, Limited to adjusted net income (loss)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attributable to Wynn Resorts, Limited for the periods presented (in thousands, except per share data) (unaudited):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7"/>
          </w:tcPr>
          <w:p>
            <w:pPr>
              <w:jc w:val="center"/>
              <w:ind w:right="4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4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5"/>
              </w:rPr>
              <w:t>(269,502)</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(72,942)</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7"/>
              </w:rPr>
              <w:t>(2,067,245)</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122,985</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Nonrecurring regulatory expense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Litigation settlement net gain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(30,200)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Pre-opening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2,797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102,009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20,286</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Change in derivatives fair 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Foreign currency remeasurement and 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(15,541)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(28,521)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Income tax impact on adjustments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Noncontrolling interests impact on adjustments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6,714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(12,908)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net income (loss) attributable to Wynn Resorts, Limited</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5"/>
              </w:rPr>
              <w:t>(262,229)</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(65,570)</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7"/>
              </w:rPr>
              <w:t>(2,047,252)</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279,463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98"/>
              </w:rPr>
              <w:t>Adjusted net income (loss) attributable to Wynn Resorts, Limited per diluted</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(0.62)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(19.18)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auto"/>
            </w:tcBorders>
          </w:tcPr>
          <w:p>
            <w:pPr>
              <w:spacing w:after="0"/>
              <w:rPr>
                <w:sz w:val="16"/>
                <w:szCs w:val="16"/>
                <w:color w:val="auto"/>
              </w:rPr>
            </w:pPr>
          </w:p>
        </w:tc>
        <w:tc>
          <w:tcPr>
            <w:tcW w:w="646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Weighted average common shares outstanding—diluted</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106,818</w:t>
            </w:r>
          </w:p>
        </w:tc>
        <w:tc>
          <w:tcPr>
            <w:tcW w:w="1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5"/>
              </w:rPr>
              <w:t>106,608</w:t>
            </w:r>
          </w:p>
        </w:tc>
        <w:tc>
          <w:tcPr>
            <w:tcW w:w="1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106,745</w:t>
            </w:r>
          </w:p>
        </w:tc>
        <w:tc>
          <w:tcPr>
            <w:tcW w:w="1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8"/>
              </w:rPr>
              <w:t>106,985</w:t>
            </w: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6460" w:type="dxa"/>
            <w:vAlign w:val="bottom"/>
          </w:tcPr>
          <w:p>
            <w:pPr>
              <w:ind w:left="5180"/>
              <w:spacing w:after="0"/>
              <w:rPr>
                <w:sz w:val="20"/>
                <w:szCs w:val="20"/>
                <w:color w:val="auto"/>
              </w:rPr>
            </w:pPr>
            <w:r>
              <w:rPr>
                <w:rFonts w:ascii="Arial" w:cs="Arial" w:eastAsia="Arial" w:hAnsi="Arial"/>
                <w:sz w:val="18"/>
                <w:szCs w:val="18"/>
                <w:color w:val="auto"/>
              </w:rPr>
              <w:t>S-6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180" w:firstLine="426"/>
        <w:spacing w:after="0" w:line="239" w:lineRule="auto"/>
        <w:rPr>
          <w:sz w:val="20"/>
          <w:szCs w:val="20"/>
          <w:color w:val="auto"/>
        </w:rPr>
      </w:pPr>
      <w:r>
        <w:rPr>
          <w:rFonts w:ascii="Arial" w:cs="Arial" w:eastAsia="Arial" w:hAnsi="Arial"/>
          <w:sz w:val="18"/>
          <w:szCs w:val="18"/>
          <w:color w:val="auto"/>
        </w:rPr>
        <w:t>The following tables provide a reconciliation of operating income (loss) to Adjusted Property EBITDA for the periods presented (in thousands) (unaudited):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3"/>
                <w:szCs w:val="13"/>
                <w:b w:val="1"/>
                <w:bCs w:val="1"/>
                <w:color w:val="auto"/>
              </w:rPr>
              <w:t>Three Months Ended December 31,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Operating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Depreciation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rPr>
              <w:t>Property</w:t>
            </w:r>
          </w:p>
        </w:tc>
        <w:tc>
          <w:tcPr>
            <w:tcW w:w="180" w:type="dxa"/>
            <w:vAlign w:val="bottom"/>
          </w:tcPr>
          <w:p>
            <w:pPr>
              <w:spacing w:after="0"/>
              <w:rPr>
                <w:sz w:val="10"/>
                <w:szCs w:val="10"/>
                <w:color w:val="auto"/>
              </w:rPr>
            </w:pPr>
          </w:p>
        </w:tc>
        <w:tc>
          <w:tcPr>
            <w:tcW w:w="11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Management</w:t>
            </w:r>
          </w:p>
        </w:tc>
        <w:tc>
          <w:tcPr>
            <w:tcW w:w="6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0"/>
              </w:rPr>
              <w:t>Corporate</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2"/>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Pre-opening</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93"/>
              <w:spacing w:after="0"/>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charges and</w:t>
            </w:r>
          </w:p>
        </w:tc>
        <w:tc>
          <w:tcPr>
            <w:tcW w:w="180" w:type="dxa"/>
            <w:vAlign w:val="bottom"/>
          </w:tcPr>
          <w:p>
            <w:pPr>
              <w:spacing w:after="0"/>
              <w:rPr>
                <w:sz w:val="12"/>
                <w:szCs w:val="12"/>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and license</w:t>
            </w:r>
          </w:p>
        </w:tc>
        <w:tc>
          <w:tcPr>
            <w:tcW w:w="6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4"/>
              </w:rPr>
              <w:t>expenses</w:t>
            </w:r>
          </w:p>
        </w:tc>
        <w:tc>
          <w:tcPr>
            <w:tcW w:w="34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Stock-based</w:t>
            </w:r>
          </w:p>
        </w:tc>
        <w:tc>
          <w:tcPr>
            <w:tcW w:w="3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5"/>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expenses</w:t>
            </w:r>
          </w:p>
        </w:tc>
        <w:tc>
          <w:tcPr>
            <w:tcW w:w="3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95"/>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fees</w:t>
            </w: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4"/>
              </w:rPr>
              <w:t>and other</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2"/>
              </w:rPr>
              <w:t>compensation</w:t>
            </w:r>
          </w:p>
        </w:tc>
        <w:tc>
          <w:tcPr>
            <w:tcW w:w="3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6"/>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600" w:type="dxa"/>
            <w:vAlign w:val="bottom"/>
            <w:gridSpan w:val="3"/>
          </w:tcPr>
          <w:p>
            <w:pPr>
              <w:ind w:left="520"/>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(50,278)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439</w:t>
            </w:r>
          </w:p>
        </w:tc>
        <w:tc>
          <w:tcPr>
            <w:tcW w:w="5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67,455</w:t>
            </w: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918</w:t>
            </w:r>
          </w:p>
        </w:tc>
        <w:tc>
          <w:tcPr>
            <w:tcW w:w="160" w:type="dxa"/>
            <w:vAlign w:val="bottom"/>
          </w:tcPr>
          <w:p>
            <w:pPr>
              <w:spacing w:after="0"/>
              <w:rPr>
                <w:sz w:val="12"/>
                <w:szCs w:val="12"/>
                <w:color w:val="auto"/>
              </w:rPr>
            </w:pP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640" w:type="dxa"/>
            <w:vAlign w:val="bottom"/>
          </w:tcPr>
          <w:p>
            <w:pPr>
              <w:jc w:val="center"/>
              <w:ind w:left="233"/>
              <w:spacing w:after="0"/>
              <w:rPr>
                <w:sz w:val="20"/>
                <w:szCs w:val="20"/>
                <w:color w:val="auto"/>
              </w:rPr>
            </w:pPr>
            <w:r>
              <w:rPr>
                <w:rFonts w:ascii="Arial" w:cs="Arial" w:eastAsia="Arial" w:hAnsi="Arial"/>
                <w:sz w:val="13"/>
                <w:szCs w:val="13"/>
                <w:color w:val="auto"/>
              </w:rPr>
              <w:t>7,196</w:t>
            </w:r>
          </w:p>
        </w:tc>
        <w:tc>
          <w:tcPr>
            <w:tcW w:w="300" w:type="dxa"/>
            <w:vAlign w:val="bottom"/>
          </w:tcPr>
          <w:p>
            <w:pPr>
              <w:spacing w:after="0"/>
              <w:rPr>
                <w:sz w:val="12"/>
                <w:szCs w:val="12"/>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867</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2,135</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(21,315)</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20,396</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1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233"/>
              <w:spacing w:after="0"/>
              <w:rPr>
                <w:sz w:val="20"/>
                <w:szCs w:val="20"/>
                <w:color w:val="auto"/>
              </w:rPr>
            </w:pPr>
            <w:r>
              <w:rPr>
                <w:rFonts w:ascii="Arial" w:cs="Arial" w:eastAsia="Arial" w:hAnsi="Arial"/>
                <w:sz w:val="13"/>
                <w:szCs w:val="13"/>
                <w:color w:val="auto"/>
              </w:rPr>
              <w:t>6,078</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(2,753)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441</w:t>
            </w:r>
          </w:p>
        </w:tc>
        <w:tc>
          <w:tcPr>
            <w:tcW w:w="3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(74,346)</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439</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88,959</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1,659</w:t>
            </w:r>
          </w:p>
        </w:tc>
        <w:tc>
          <w:tcPr>
            <w:tcW w:w="1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13,274</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3,012</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6,441</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39,438</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Las Vegas Operations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(49,125)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49,332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2,828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left="233"/>
              <w:spacing w:after="0"/>
              <w:rPr>
                <w:sz w:val="20"/>
                <w:szCs w:val="20"/>
                <w:color w:val="auto"/>
              </w:rPr>
            </w:pPr>
            <w:r>
              <w:rPr>
                <w:rFonts w:ascii="Arial" w:cs="Arial" w:eastAsia="Arial" w:hAnsi="Arial"/>
                <w:sz w:val="13"/>
                <w:szCs w:val="13"/>
                <w:color w:val="auto"/>
              </w:rPr>
              <w:t>8,303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5,419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4,024</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(34,911)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39,373</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233"/>
              <w:spacing w:after="0"/>
              <w:rPr>
                <w:sz w:val="20"/>
                <w:szCs w:val="20"/>
                <w:color w:val="auto"/>
              </w:rPr>
            </w:pPr>
            <w:r>
              <w:rPr>
                <w:rFonts w:ascii="Arial" w:cs="Arial" w:eastAsia="Arial" w:hAnsi="Arial"/>
                <w:sz w:val="13"/>
                <w:szCs w:val="13"/>
                <w:color w:val="auto"/>
              </w:rPr>
              <w:t>5,013</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16,667</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Corporate and 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(20,229)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6,340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15,614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(26,590)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7,296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10,011</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 (178,611)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892</w:t>
            </w:r>
          </w:p>
        </w:tc>
        <w:tc>
          <w:tcPr>
            <w:tcW w:w="50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184,004</w:t>
            </w:r>
          </w:p>
        </w:tc>
        <w:tc>
          <w:tcPr>
            <w:tcW w:w="400" w:type="dxa"/>
            <w:vAlign w:val="bottom"/>
            <w:tcBorders>
              <w:lef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23,754</w:t>
            </w:r>
          </w:p>
        </w:tc>
        <w:tc>
          <w:tcPr>
            <w:tcW w:w="160" w:type="dxa"/>
            <w:vAlign w:val="bottom"/>
            <w:tcBorders>
              <w:left w:val="single" w:sz="8" w:color="CCEEFF"/>
            </w:tcBorders>
            <w:shd w:val="clear" w:color="auto" w:fill="CCEEFF"/>
          </w:tcPr>
          <w:p>
            <w:pPr>
              <w:spacing w:after="0"/>
              <w:rPr>
                <w:sz w:val="12"/>
                <w:szCs w:val="12"/>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17,989</w:t>
            </w:r>
          </w:p>
        </w:tc>
        <w:tc>
          <w:tcPr>
            <w:tcW w:w="600" w:type="dxa"/>
            <w:vAlign w:val="bottom"/>
            <w:tcBorders>
              <w:left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21,753</w:t>
            </w:r>
          </w:p>
        </w:tc>
        <w:tc>
          <w:tcPr>
            <w:tcW w:w="3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69,781</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3"/>
                <w:szCs w:val="13"/>
                <w:b w:val="1"/>
                <w:bCs w:val="1"/>
                <w:color w:val="auto"/>
              </w:rPr>
              <w:t>Three Months Ended December 31, 2019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gridSpan w:val="4"/>
          </w:tcPr>
          <w:p>
            <w:pPr>
              <w:ind w:left="20"/>
              <w:spacing w:after="0" w:line="126" w:lineRule="exact"/>
              <w:rPr>
                <w:sz w:val="20"/>
                <w:szCs w:val="20"/>
                <w:color w:val="auto"/>
              </w:rPr>
            </w:pPr>
            <w:r>
              <w:rPr>
                <w:rFonts w:ascii="Arial" w:cs="Arial" w:eastAsia="Arial" w:hAnsi="Arial"/>
                <w:sz w:val="13"/>
                <w:szCs w:val="13"/>
                <w:b w:val="1"/>
                <w:bCs w:val="1"/>
                <w:color w:val="auto"/>
              </w:rPr>
              <w:t>Operating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Depreciation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Property</w:t>
            </w:r>
          </w:p>
        </w:tc>
        <w:tc>
          <w:tcPr>
            <w:tcW w:w="180" w:type="dxa"/>
            <w:vAlign w:val="bottom"/>
          </w:tcPr>
          <w:p>
            <w:pPr>
              <w:spacing w:after="0"/>
              <w:rPr>
                <w:sz w:val="10"/>
                <w:szCs w:val="10"/>
                <w:color w:val="auto"/>
              </w:rPr>
            </w:pPr>
          </w:p>
        </w:tc>
        <w:tc>
          <w:tcPr>
            <w:tcW w:w="11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Management</w:t>
            </w:r>
          </w:p>
        </w:tc>
        <w:tc>
          <w:tcPr>
            <w:tcW w:w="60" w:type="dxa"/>
            <w:vAlign w:val="bottom"/>
          </w:tcPr>
          <w:p>
            <w:pPr>
              <w:spacing w:after="0"/>
              <w:rPr>
                <w:sz w:val="10"/>
                <w:szCs w:val="10"/>
                <w:color w:val="auto"/>
              </w:rPr>
            </w:pPr>
          </w:p>
        </w:tc>
        <w:tc>
          <w:tcPr>
            <w:tcW w:w="6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w w:val="86"/>
              </w:rPr>
              <w:t>Corporate</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Pre-opening</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33"/>
              <w:spacing w:after="0"/>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charges and</w:t>
            </w:r>
          </w:p>
        </w:tc>
        <w:tc>
          <w:tcPr>
            <w:tcW w:w="180" w:type="dxa"/>
            <w:vAlign w:val="bottom"/>
          </w:tcPr>
          <w:p>
            <w:pPr>
              <w:spacing w:after="0"/>
              <w:rPr>
                <w:sz w:val="12"/>
                <w:szCs w:val="12"/>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and license</w:t>
            </w:r>
          </w:p>
        </w:tc>
        <w:tc>
          <w:tcPr>
            <w:tcW w:w="6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expenses</w:t>
            </w:r>
          </w:p>
        </w:tc>
        <w:tc>
          <w:tcPr>
            <w:tcW w:w="34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Stock-based</w:t>
            </w:r>
          </w:p>
        </w:tc>
        <w:tc>
          <w:tcPr>
            <w:tcW w:w="38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4"/>
                <w:szCs w:val="14"/>
                <w:color w:val="auto"/>
              </w:rPr>
            </w:pPr>
          </w:p>
        </w:tc>
        <w:tc>
          <w:tcPr>
            <w:tcW w:w="74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expenses</w:t>
            </w:r>
          </w:p>
        </w:tc>
        <w:tc>
          <w:tcPr>
            <w:tcW w:w="3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95"/>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fees</w:t>
            </w:r>
          </w:p>
        </w:tc>
        <w:tc>
          <w:tcPr>
            <w:tcW w:w="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and other</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2"/>
              </w:rPr>
              <w:t>compensation</w:t>
            </w:r>
          </w:p>
        </w:tc>
        <w:tc>
          <w:tcPr>
            <w:tcW w:w="3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60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88,303</w:t>
            </w:r>
          </w:p>
        </w:tc>
        <w:tc>
          <w:tcPr>
            <w:tcW w:w="220" w:type="dxa"/>
            <w:vAlign w:val="bottom"/>
          </w:tcPr>
          <w:p>
            <w:pPr>
              <w:spacing w:after="0"/>
              <w:rPr>
                <w:sz w:val="12"/>
                <w:szCs w:val="12"/>
                <w:color w:val="auto"/>
              </w:rPr>
            </w:pPr>
          </w:p>
        </w:tc>
        <w:tc>
          <w:tcPr>
            <w:tcW w:w="26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66,337</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(466)</w:t>
            </w:r>
          </w:p>
        </w:tc>
        <w:tc>
          <w:tcPr>
            <w:tcW w:w="3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640" w:type="dxa"/>
            <w:vAlign w:val="bottom"/>
          </w:tcPr>
          <w:p>
            <w:pPr>
              <w:jc w:val="center"/>
              <w:ind w:left="153"/>
              <w:spacing w:after="0"/>
              <w:rPr>
                <w:sz w:val="20"/>
                <w:szCs w:val="20"/>
                <w:color w:val="auto"/>
              </w:rPr>
            </w:pPr>
            <w:r>
              <w:rPr>
                <w:rFonts w:ascii="Arial" w:cs="Arial" w:eastAsia="Arial" w:hAnsi="Arial"/>
                <w:sz w:val="13"/>
                <w:szCs w:val="13"/>
                <w:color w:val="auto"/>
              </w:rPr>
              <w:t>20,853</w:t>
            </w:r>
          </w:p>
        </w:tc>
        <w:tc>
          <w:tcPr>
            <w:tcW w:w="30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1,392</w:t>
            </w:r>
          </w:p>
        </w:tc>
        <w:tc>
          <w:tcPr>
            <w:tcW w:w="6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1,198</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$ 177,617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123,161</w:t>
            </w:r>
          </w:p>
        </w:tc>
        <w:tc>
          <w:tcPr>
            <w:tcW w:w="22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23,601</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(234)</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153"/>
              <w:spacing w:after="0"/>
              <w:rPr>
                <w:sz w:val="20"/>
                <w:szCs w:val="20"/>
                <w:color w:val="auto"/>
              </w:rPr>
            </w:pPr>
            <w:r>
              <w:rPr>
                <w:rFonts w:ascii="Arial" w:cs="Arial" w:eastAsia="Arial" w:hAnsi="Arial"/>
                <w:sz w:val="13"/>
                <w:szCs w:val="13"/>
                <w:color w:val="auto"/>
              </w:rPr>
              <w:t>18,475</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170,086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2,162</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265</w:t>
            </w:r>
          </w:p>
        </w:tc>
        <w:tc>
          <w:tcPr>
            <w:tcW w:w="3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207,917</w:t>
            </w:r>
          </w:p>
        </w:tc>
        <w:tc>
          <w:tcPr>
            <w:tcW w:w="22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1,699</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91,053</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(695)</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153"/>
              <w:spacing w:after="0"/>
              <w:rPr>
                <w:sz w:val="20"/>
                <w:szCs w:val="20"/>
                <w:color w:val="auto"/>
              </w:rPr>
            </w:pPr>
            <w:r>
              <w:rPr>
                <w:rFonts w:ascii="Arial" w:cs="Arial" w:eastAsia="Arial" w:hAnsi="Arial"/>
                <w:sz w:val="13"/>
                <w:szCs w:val="13"/>
                <w:b w:val="1"/>
                <w:bCs w:val="1"/>
                <w:color w:val="auto"/>
              </w:rPr>
              <w:t>39,328</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5,090</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3,311</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347,703</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Las Vegas Operations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44,471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4,886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left="153"/>
              <w:spacing w:after="0"/>
              <w:rPr>
                <w:sz w:val="20"/>
                <w:szCs w:val="20"/>
                <w:color w:val="auto"/>
              </w:rPr>
            </w:pPr>
            <w:r>
              <w:rPr>
                <w:rFonts w:ascii="Arial" w:cs="Arial" w:eastAsia="Arial" w:hAnsi="Arial"/>
                <w:sz w:val="13"/>
                <w:szCs w:val="13"/>
                <w:color w:val="auto"/>
              </w:rPr>
              <w:t>17,610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5,087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1,323</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80,139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(34,146)</w:t>
            </w:r>
          </w:p>
        </w:tc>
        <w:tc>
          <w:tcPr>
            <w:tcW w:w="22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36,752</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2,618</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15,260</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Corporate and 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46,211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2,778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(1,825)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color w:val="auto"/>
              </w:rPr>
              <w:t>(65,284)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13,584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3,604</w:t>
            </w:r>
          </w:p>
        </w:tc>
        <w:tc>
          <w:tcPr>
            <w:tcW w:w="3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4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226,578</w:t>
            </w:r>
          </w:p>
        </w:tc>
        <w:tc>
          <w:tcPr>
            <w:tcW w:w="220" w:type="dxa"/>
            <w:vAlign w:val="bottom"/>
            <w:tcBorders>
              <w:left w:val="single" w:sz="8" w:color="CCEEFF"/>
            </w:tcBorders>
            <w:shd w:val="clear" w:color="auto" w:fill="CCEEFF"/>
          </w:tcPr>
          <w:p>
            <w:pPr>
              <w:spacing w:after="0"/>
              <w:rPr>
                <w:sz w:val="12"/>
                <w:szCs w:val="12"/>
                <w:color w:val="auto"/>
              </w:rPr>
            </w:pPr>
          </w:p>
        </w:tc>
        <w:tc>
          <w:tcPr>
            <w:tcW w:w="2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2,797</w:t>
            </w:r>
          </w:p>
        </w:tc>
        <w:tc>
          <w:tcPr>
            <w:tcW w:w="500" w:type="dxa"/>
            <w:vAlign w:val="bottom"/>
            <w:tcBorders>
              <w:lef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175,054</w:t>
            </w:r>
          </w:p>
        </w:tc>
        <w:tc>
          <w:tcPr>
            <w:tcW w:w="400" w:type="dxa"/>
            <w:vAlign w:val="bottom"/>
            <w:tcBorders>
              <w:left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2,366</w:t>
            </w:r>
          </w:p>
        </w:tc>
        <w:tc>
          <w:tcPr>
            <w:tcW w:w="160" w:type="dxa"/>
            <w:vAlign w:val="bottom"/>
            <w:tcBorders>
              <w:left w:val="single" w:sz="8" w:color="CCEEFF"/>
            </w:tcBorders>
            <w:shd w:val="clear" w:color="auto" w:fill="CCEEFF"/>
          </w:tcPr>
          <w:p>
            <w:pPr>
              <w:spacing w:after="0"/>
              <w:rPr>
                <w:sz w:val="12"/>
                <w:szCs w:val="12"/>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26,379</w:t>
            </w:r>
          </w:p>
        </w:tc>
        <w:tc>
          <w:tcPr>
            <w:tcW w:w="60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9,928</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xml:space="preserve"> 443,102</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50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6998970" cy="31502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3"/>
                <w:szCs w:val="13"/>
                <w:b w:val="1"/>
                <w:bCs w:val="1"/>
                <w:color w:val="auto"/>
              </w:rPr>
              <w:t>Year Ended December 31, 2020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3"/>
          </w:tcPr>
          <w:p>
            <w:pPr>
              <w:jc w:val="center"/>
              <w:ind w:right="160"/>
              <w:spacing w:after="0" w:line="126"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Depreciation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Management</w:t>
            </w:r>
          </w:p>
        </w:tc>
        <w:tc>
          <w:tcPr>
            <w:tcW w:w="80" w:type="dxa"/>
            <w:vAlign w:val="bottom"/>
          </w:tcPr>
          <w:p>
            <w:pPr>
              <w:spacing w:after="0"/>
              <w:rPr>
                <w:sz w:val="10"/>
                <w:szCs w:val="10"/>
                <w:color w:val="auto"/>
              </w:rPr>
            </w:pPr>
          </w:p>
        </w:tc>
        <w:tc>
          <w:tcPr>
            <w:tcW w:w="920" w:type="dxa"/>
            <w:vAlign w:val="bottom"/>
            <w:gridSpan w:val="3"/>
          </w:tcPr>
          <w:p>
            <w:pPr>
              <w:ind w:left="60"/>
              <w:spacing w:after="0" w:line="126"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Pre-opening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3"/>
              <w:spacing w:after="0"/>
              <w:rPr>
                <w:sz w:val="20"/>
                <w:szCs w:val="20"/>
                <w:color w:val="auto"/>
              </w:rPr>
            </w:pPr>
            <w:r>
              <w:rPr>
                <w:rFonts w:ascii="Arial" w:cs="Arial" w:eastAsia="Arial" w:hAnsi="Arial"/>
                <w:sz w:val="13"/>
                <w:szCs w:val="13"/>
                <w:b w:val="1"/>
                <w:bCs w:val="1"/>
                <w:color w:val="auto"/>
              </w:rPr>
              <w:t>and</w:t>
            </w:r>
          </w:p>
        </w:tc>
        <w:tc>
          <w:tcPr>
            <w:tcW w:w="20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charges and</w:t>
            </w:r>
          </w:p>
        </w:tc>
        <w:tc>
          <w:tcPr>
            <w:tcW w:w="100" w:type="dxa"/>
            <w:vAlign w:val="bottom"/>
          </w:tcPr>
          <w:p>
            <w:pPr>
              <w:spacing w:after="0"/>
              <w:rPr>
                <w:sz w:val="12"/>
                <w:szCs w:val="1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and license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Stock-based</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expenses</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fees</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and other(1)</w:t>
            </w: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(477,759)</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1,432</w:t>
            </w:r>
          </w:p>
        </w:tc>
        <w:tc>
          <w:tcPr>
            <w:tcW w:w="3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269,110</w:t>
            </w:r>
          </w:p>
        </w:tc>
        <w:tc>
          <w:tcPr>
            <w:tcW w:w="3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24,712</w:t>
            </w:r>
          </w:p>
        </w:tc>
        <w:tc>
          <w:tcPr>
            <w:tcW w:w="100" w:type="dxa"/>
            <w:vAlign w:val="bottom"/>
          </w:tcPr>
          <w:p>
            <w:pPr>
              <w:spacing w:after="0"/>
              <w:rPr>
                <w:sz w:val="12"/>
                <w:szCs w:val="12"/>
                <w:color w:val="auto"/>
              </w:rPr>
            </w:pP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21,121</w:t>
            </w:r>
          </w:p>
        </w:tc>
        <w:tc>
          <w:tcPr>
            <w:tcW w:w="180" w:type="dxa"/>
            <w:vAlign w:val="bottom"/>
          </w:tcPr>
          <w:p>
            <w:pPr>
              <w:spacing w:after="0"/>
              <w:rPr>
                <w:sz w:val="12"/>
                <w:szCs w:val="12"/>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4,056</w:t>
            </w:r>
          </w:p>
        </w:tc>
        <w:tc>
          <w:tcPr>
            <w:tcW w:w="140" w:type="dxa"/>
            <w:vAlign w:val="bottom"/>
          </w:tcPr>
          <w:p>
            <w:pPr>
              <w:spacing w:after="0"/>
              <w:rPr>
                <w:sz w:val="12"/>
                <w:szCs w:val="12"/>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7,681</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$(149,647)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(214,606)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89,527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(87,189)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(11,641)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1,603</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(704,006)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1,432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363,080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39,862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14,207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20,259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(236,836)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Las Vegas Operations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(326,729)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2,490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196,292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35,213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9,475</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(56,356)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(220,053)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(23,762)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Corporate and other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2,584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21,461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(92,726)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(2,457)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29,800</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(7,351)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9"/>
              </w:rPr>
              <w:t>(1,232,045)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6,506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725,502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67,455</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46,023</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62,254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(324,305)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720" w:hanging="422"/>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Corporate and other includes a $30.2 million net gain recorded in relation to a derivative litigation settlement.</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rPr>
              <w:t>Year Ended December 31,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Depreciation</w:t>
            </w:r>
          </w:p>
        </w:tc>
        <w:tc>
          <w:tcPr>
            <w:tcW w:w="24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charges</w:t>
            </w:r>
          </w:p>
        </w:tc>
        <w:tc>
          <w:tcPr>
            <w:tcW w:w="12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Management</w:t>
            </w:r>
          </w:p>
        </w:tc>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99"/>
              </w:rPr>
              <w:t>Corporate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Pre-opening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3"/>
              <w:spacing w:after="0"/>
              <w:rPr>
                <w:sz w:val="20"/>
                <w:szCs w:val="20"/>
                <w:color w:val="auto"/>
              </w:rPr>
            </w:pPr>
            <w:r>
              <w:rPr>
                <w:rFonts w:ascii="Arial" w:cs="Arial" w:eastAsia="Arial" w:hAnsi="Arial"/>
                <w:sz w:val="13"/>
                <w:szCs w:val="13"/>
                <w:b w:val="1"/>
                <w:bCs w:val="1"/>
                <w:color w:val="auto"/>
              </w:rPr>
              <w:t>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and</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and license</w:t>
            </w:r>
          </w:p>
        </w:tc>
        <w:tc>
          <w:tcPr>
            <w:tcW w:w="6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expenses</w:t>
            </w:r>
          </w:p>
        </w:tc>
        <w:tc>
          <w:tcPr>
            <w:tcW w:w="2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Stock-based</w:t>
            </w:r>
          </w:p>
        </w:tc>
        <w:tc>
          <w:tcPr>
            <w:tcW w:w="240" w:type="dxa"/>
            <w:vAlign w:val="bottom"/>
          </w:tcPr>
          <w:p>
            <w:pPr>
              <w:spacing w:after="0"/>
              <w:rPr>
                <w:sz w:val="12"/>
                <w:szCs w:val="12"/>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expenses</w:t>
            </w:r>
          </w:p>
        </w:tc>
        <w:tc>
          <w:tcPr>
            <w:tcW w:w="2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fees</w:t>
            </w: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2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compensation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780" w:type="dxa"/>
            <w:vAlign w:val="bottom"/>
            <w:gridSpan w:val="2"/>
          </w:tcPr>
          <w:p>
            <w:pPr>
              <w:ind w:left="70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359,286</w:t>
            </w:r>
          </w:p>
        </w:tc>
        <w:tc>
          <w:tcPr>
            <w:tcW w:w="16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264,758</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94,111</w:t>
            </w:r>
          </w:p>
        </w:tc>
        <w:tc>
          <w:tcPr>
            <w:tcW w:w="240" w:type="dxa"/>
            <w:vAlign w:val="bottom"/>
          </w:tcPr>
          <w:p>
            <w:pPr>
              <w:spacing w:after="0"/>
              <w:rPr>
                <w:sz w:val="12"/>
                <w:szCs w:val="12"/>
                <w:color w:val="auto"/>
              </w:rPr>
            </w:pPr>
          </w:p>
        </w:tc>
        <w:tc>
          <w:tcPr>
            <w:tcW w:w="1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5,583</w:t>
            </w:r>
          </w:p>
        </w:tc>
        <w:tc>
          <w:tcPr>
            <w:tcW w:w="5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4,797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729,535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461,821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90,448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74,076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6,515</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648,837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(15,586)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4,465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10,023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805,521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2,224</w:t>
            </w: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359,671</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168,187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22,121</w:t>
            </w:r>
          </w:p>
        </w:tc>
        <w:tc>
          <w:tcPr>
            <w:tcW w:w="2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14,765</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1,378,372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Las Vegas Operations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123,306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177,509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14,241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76,520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16,215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413,886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(195,589)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96,649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78,378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14,524</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Corporate and other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145,067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2,887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(271,438)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97,368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878,305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102,009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624,878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20,286</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150,228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39,702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1,815,408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70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6998970" cy="26701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200" w:firstLine="426"/>
        <w:spacing w:after="0" w:line="239" w:lineRule="auto"/>
        <w:rPr>
          <w:sz w:val="20"/>
          <w:szCs w:val="20"/>
          <w:color w:val="auto"/>
        </w:rPr>
      </w:pPr>
      <w:r>
        <w:rPr>
          <w:rFonts w:ascii="Arial" w:cs="Arial" w:eastAsia="Arial" w:hAnsi="Arial"/>
          <w:sz w:val="18"/>
          <w:szCs w:val="18"/>
          <w:color w:val="auto"/>
        </w:rPr>
        <w:t>The following table provides a reconciliation of net income (loss) attributable to Wynn Resorts, Limited to Adjusted Property EBITDA for the periods presented (in thousands) (unaudited):</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left="556"/>
              <w:spacing w:after="0"/>
              <w:rPr>
                <w:sz w:val="20"/>
                <w:szCs w:val="20"/>
                <w:color w:val="auto"/>
              </w:rPr>
            </w:pPr>
            <w:r>
              <w:rPr>
                <w:rFonts w:ascii="Arial" w:cs="Arial" w:eastAsia="Arial" w:hAnsi="Arial"/>
                <w:sz w:val="13"/>
                <w:szCs w:val="13"/>
                <w:b w:val="1"/>
                <w:bCs w:val="1"/>
                <w:color w:val="auto"/>
              </w:rPr>
              <w:t>Year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7"/>
          </w:tcPr>
          <w:p>
            <w:pPr>
              <w:jc w:val="center"/>
              <w:ind w:right="46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18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49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income (loss) attributable to Wynn Resorts, Limited</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8"/>
              </w:rPr>
              <w:t>(269,502)</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(72,942)</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9"/>
              </w:rPr>
              <w:t>(2,067,245)</w:t>
            </w:r>
          </w:p>
        </w:tc>
        <w:tc>
          <w:tcPr>
            <w:tcW w:w="34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122,985</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Net income (loss) attributable to noncontrolling interests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(40,789)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55,472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(259,701)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188,393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Pre-opening expenses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102,009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184,004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175,054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725,502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624,878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67,455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20,286</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Corporate expenses and other</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17,989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26,379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46,023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150,228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21,753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39,702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(15,384)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(24,449)</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 of amounts capitalized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149,287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113,049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556,474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414,030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Change in derivatives fair value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13,060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(18,505)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(28,521)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(15,159)</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157,419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564,671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176,840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160" w:type="dxa"/>
            <w:vAlign w:val="bottom"/>
            <w:gridSpan w:val="2"/>
          </w:tcPr>
          <w:p>
            <w:pPr>
              <w:ind w:left="180"/>
              <w:spacing w:after="0"/>
              <w:rPr>
                <w:sz w:val="20"/>
                <w:szCs w:val="20"/>
                <w:color w:val="auto"/>
              </w:rPr>
            </w:pPr>
            <w:r>
              <w:rPr>
                <w:rFonts w:ascii="Arial" w:cs="Arial" w:eastAsia="Arial" w:hAnsi="Arial"/>
                <w:sz w:val="18"/>
                <w:szCs w:val="18"/>
                <w:b w:val="1"/>
                <w:bCs w:val="1"/>
                <w:color w:val="auto"/>
              </w:rPr>
              <w:t>Adjusted Property EBITDA</w:t>
            </w:r>
          </w:p>
        </w:tc>
        <w:tc>
          <w:tcPr>
            <w:tcW w:w="9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443,102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(324,305</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1,815,408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330"/>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S-9</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07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6998970" cy="43072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100" w:firstLine="426"/>
        <w:spacing w:after="0" w:line="239" w:lineRule="auto"/>
        <w:rPr>
          <w:sz w:val="20"/>
          <w:szCs w:val="20"/>
          <w:color w:val="auto"/>
        </w:rPr>
      </w:pPr>
      <w:r>
        <w:rPr>
          <w:rFonts w:ascii="Arial" w:cs="Arial" w:eastAsia="Arial" w:hAnsi="Arial"/>
          <w:sz w:val="18"/>
          <w:szCs w:val="18"/>
          <w:color w:val="auto"/>
        </w:rPr>
        <w:t>The following tables provide supplemental data for Wynn Resorts, Limited and its subsidiaries (dollars in thousands, except for win per unit per day, ADR and REVPAR) (unaudited):</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1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040" w:type="dxa"/>
            <w:vAlign w:val="bottom"/>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12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3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Wynn Palace Supplemental Information</w:t>
            </w:r>
          </w:p>
        </w:tc>
        <w:tc>
          <w:tcPr>
            <w:tcW w:w="10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394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159,835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490,379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368,284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2,139,756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(82.8)</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Rooms</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19,463</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43,194</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(54.9)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46,110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174,576</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(73.6)</w:t>
            </w:r>
          </w:p>
        </w:tc>
      </w:tr>
      <w:tr>
        <w:trPr>
          <w:trHeight w:val="149"/>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29,685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43,198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117,376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(63.2)</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Entertainment, retail and other(7)</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23,377</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26,727</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(12.5)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47,828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111,986</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(57.3)</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34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221,488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589,985</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b w:val="1"/>
                <w:bCs w:val="1"/>
                <w:color w:val="auto"/>
              </w:rPr>
              <w:t>(62.5)</w:t>
            </w:r>
          </w:p>
        </w:tc>
        <w:tc>
          <w:tcPr>
            <w:tcW w:w="22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505,420</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2,543,694</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(80.1)</w:t>
            </w:r>
          </w:p>
        </w:tc>
      </w:tr>
      <w:tr>
        <w:trPr>
          <w:trHeight w:val="149"/>
        </w:trPr>
        <w:tc>
          <w:tcPr>
            <w:tcW w:w="434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28,732</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177,617</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(83.8)</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(149,647)</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729,535</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(120.5)</w:t>
            </w:r>
          </w:p>
        </w:tc>
      </w:tr>
      <w:tr>
        <w:trPr>
          <w:trHeight w:val="148"/>
        </w:trPr>
        <w:tc>
          <w:tcPr>
            <w:tcW w:w="43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VIP:</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VIP turnover</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2,807,063</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9,314,053</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(69.9)</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9,631,018</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45,847,647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(79.0)</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VIP 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55,428</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286,355</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168,435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1,519,225</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(88.9)</w:t>
            </w:r>
          </w:p>
        </w:tc>
      </w:tr>
      <w:tr>
        <w:trPr>
          <w:trHeight w:val="149"/>
        </w:trPr>
        <w:tc>
          <w:tcPr>
            <w:tcW w:w="4340" w:type="dxa"/>
            <w:vAlign w:val="bottom"/>
          </w:tcPr>
          <w:p>
            <w:pPr>
              <w:ind w:left="1300"/>
              <w:spacing w:after="0"/>
              <w:rPr>
                <w:sz w:val="20"/>
                <w:szCs w:val="20"/>
                <w:color w:val="auto"/>
              </w:rPr>
            </w:pPr>
            <w:r>
              <w:rPr>
                <w:rFonts w:ascii="Arial" w:cs="Arial" w:eastAsia="Arial" w:hAnsi="Arial"/>
                <w:sz w:val="13"/>
                <w:szCs w:val="13"/>
                <w:color w:val="auto"/>
              </w:rPr>
              <w:t>VIP table games win as a % of turnover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3.07%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3.31%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5,908</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29,897</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38,224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(87.3)</w:t>
            </w: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Mass market: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drop(2)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658,501</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1,252,993</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(47.4)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1,242,100</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5,122,897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(75.8)</w:t>
            </w: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142,284</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315,423</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299,181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1,251,920</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(76.1)</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games win %</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25.2%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24.4%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7,006</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15,421</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15,902</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Average number of slot machines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940</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1,054</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(43.9)</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handle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457,234</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1,031,988</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999,942</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3,918,554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(74.5)</w:t>
            </w:r>
          </w:p>
        </w:tc>
      </w:tr>
      <w:tr>
        <w:trPr>
          <w:trHeight w:val="149"/>
        </w:trPr>
        <w:tc>
          <w:tcPr>
            <w:tcW w:w="4340" w:type="dxa"/>
            <w:vAlign w:val="bottom"/>
          </w:tcPr>
          <w:p>
            <w:pPr>
              <w:ind w:left="1300"/>
              <w:spacing w:after="0"/>
              <w:rPr>
                <w:sz w:val="20"/>
                <w:szCs w:val="20"/>
                <w:color w:val="auto"/>
              </w:rPr>
            </w:pPr>
            <w:r>
              <w:rPr>
                <w:rFonts w:ascii="Arial" w:cs="Arial" w:eastAsia="Arial" w:hAnsi="Arial"/>
                <w:sz w:val="13"/>
                <w:szCs w:val="13"/>
                <w:color w:val="auto"/>
              </w:rPr>
              <w:t>Slot machine win(3)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14,379</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53,110</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(72.9)</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39,175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195,367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(79.9)</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(63.0)</w:t>
            </w: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Room statistics: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Occupancy</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96.9%</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97.2%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ADR(4)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192</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268</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(28.4)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269</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(12.6)</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REVPAR(5)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(73.3)</w:t>
            </w:r>
          </w:p>
        </w:tc>
      </w:tr>
    </w:tbl>
    <w:p>
      <w:pPr>
        <w:spacing w:after="0" w:line="165" w:lineRule="exact"/>
        <w:rPr>
          <w:sz w:val="20"/>
          <w:szCs w:val="20"/>
          <w:color w:val="auto"/>
        </w:rPr>
      </w:pPr>
    </w:p>
    <w:p>
      <w:pPr>
        <w:ind w:left="300" w:right="280" w:firstLine="426"/>
        <w:spacing w:after="0" w:line="272"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We are currently unable to determine when these measures will be lifted.</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1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6998970" cy="4015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1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040" w:type="dxa"/>
            <w:vAlign w:val="bottom"/>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12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3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Wynn Macau Supplemental Information</w:t>
            </w:r>
          </w:p>
        </w:tc>
        <w:tc>
          <w:tcPr>
            <w:tcW w:w="10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394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130,837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455,943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344,595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1,796,209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(80.8)</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Rooms</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15,631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28,316</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(44.8)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39,111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110,387</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(64.6)</w:t>
            </w:r>
          </w:p>
        </w:tc>
      </w:tr>
      <w:tr>
        <w:trPr>
          <w:trHeight w:val="149"/>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20,888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33,094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81,576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(59.4)</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Entertainment, retail and other(7)</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21,171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20,236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57,857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81,857</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(29.3)</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34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181,912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525,383</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b w:val="1"/>
                <w:bCs w:val="1"/>
                <w:color w:val="auto"/>
              </w:rPr>
              <w:t>(65.4)</w:t>
            </w:r>
          </w:p>
        </w:tc>
        <w:tc>
          <w:tcPr>
            <w:tcW w:w="22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474,657</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2,070,029</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(77.1)</w:t>
            </w:r>
          </w:p>
        </w:tc>
      </w:tr>
      <w:tr>
        <w:trPr>
          <w:trHeight w:val="149"/>
        </w:trPr>
        <w:tc>
          <w:tcPr>
            <w:tcW w:w="434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10,706</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170,086</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(93.7)</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(87,189)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648,837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(113.4)</w:t>
            </w:r>
          </w:p>
        </w:tc>
      </w:tr>
      <w:tr>
        <w:trPr>
          <w:trHeight w:val="148"/>
        </w:trPr>
        <w:tc>
          <w:tcPr>
            <w:tcW w:w="43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VIP:</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VIP turnover</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1,771,818</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7,931,833</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(77.7)</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5,841,627</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35,426,483</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(83.5)</w:t>
            </w: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VIP 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54,916</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259,729</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185,059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1,081,934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(82.9)</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VIP table games win as a % of turnover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3.27%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3.05%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6,559</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28,617</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27,864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(78.7)</w:t>
            </w: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Mass market: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drop(2)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632,479</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1,391,906</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(54.6)</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1,384,537</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5,410,439</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(74.4)</w:t>
            </w: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113,130</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283,172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259,361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1,099,353</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(76.4)</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games win %</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20.3%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20.3%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5,124</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14,425</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(77.4)</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Average number of slot machines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790</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(37.5)</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handle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314,248</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825,763</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830,785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3,545,899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(76.6)</w:t>
            </w:r>
          </w:p>
        </w:tc>
      </w:tr>
      <w:tr>
        <w:trPr>
          <w:trHeight w:val="149"/>
        </w:trPr>
        <w:tc>
          <w:tcPr>
            <w:tcW w:w="4340" w:type="dxa"/>
            <w:vAlign w:val="bottom"/>
          </w:tcPr>
          <w:p>
            <w:pPr>
              <w:ind w:left="1300"/>
              <w:spacing w:after="0"/>
              <w:rPr>
                <w:sz w:val="20"/>
                <w:szCs w:val="20"/>
                <w:color w:val="auto"/>
              </w:rPr>
            </w:pPr>
            <w:r>
              <w:rPr>
                <w:rFonts w:ascii="Arial" w:cs="Arial" w:eastAsia="Arial" w:hAnsi="Arial"/>
                <w:sz w:val="13"/>
                <w:szCs w:val="13"/>
                <w:color w:val="auto"/>
              </w:rPr>
              <w:t>Slot machine win(3)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12,160</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42,669</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(71.5)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31,153</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170,358</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(81.7)</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(69.6)</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Poker rake</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5,705</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2,083</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20,835</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(90.0)</w:t>
            </w:r>
          </w:p>
        </w:tc>
      </w:tr>
      <w:tr>
        <w:trPr>
          <w:trHeight w:val="148"/>
        </w:trPr>
        <w:tc>
          <w:tcPr>
            <w:tcW w:w="43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Room statistics: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Occupancy</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99.3%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99.2%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ADR(4)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r>
      <w:tr>
        <w:trPr>
          <w:trHeight w:val="162"/>
        </w:trPr>
        <w:tc>
          <w:tcPr>
            <w:tcW w:w="4340" w:type="dxa"/>
            <w:vAlign w:val="bottom"/>
          </w:tcPr>
          <w:p>
            <w:pPr>
              <w:ind w:left="1300"/>
              <w:spacing w:after="0"/>
              <w:rPr>
                <w:sz w:val="20"/>
                <w:szCs w:val="20"/>
                <w:color w:val="auto"/>
              </w:rPr>
            </w:pPr>
            <w:r>
              <w:rPr>
                <w:rFonts w:ascii="Arial" w:cs="Arial" w:eastAsia="Arial" w:hAnsi="Arial"/>
                <w:sz w:val="13"/>
                <w:szCs w:val="13"/>
                <w:color w:val="auto"/>
              </w:rPr>
              <w:t>REVPAR(5)</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153</w:t>
            </w: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289</w:t>
            </w:r>
          </w:p>
        </w:tc>
        <w:tc>
          <w:tcPr>
            <w:tcW w:w="3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(47.1)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24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284</w:t>
            </w:r>
          </w:p>
        </w:tc>
        <w:tc>
          <w:tcPr>
            <w:tcW w:w="3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(66.2)</w:t>
            </w:r>
          </w:p>
        </w:tc>
      </w:tr>
    </w:tbl>
    <w:p>
      <w:pPr>
        <w:spacing w:after="0" w:line="151" w:lineRule="exact"/>
        <w:rPr>
          <w:sz w:val="20"/>
          <w:szCs w:val="20"/>
          <w:color w:val="auto"/>
        </w:rPr>
      </w:pPr>
    </w:p>
    <w:p>
      <w:pPr>
        <w:ind w:left="300" w:right="280" w:firstLine="426"/>
        <w:spacing w:after="0" w:line="272"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We are currently unable to determine when these measures will be lifted.</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27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6998970" cy="3227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left="433"/>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4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3"/>
                <w:szCs w:val="13"/>
                <w:b w:val="1"/>
                <w:bCs w:val="1"/>
                <w:color w:val="auto"/>
              </w:rPr>
              <w:t>2020</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4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Las Vegas Operations Supplemental Information</w:t>
            </w:r>
          </w:p>
        </w:tc>
        <w:tc>
          <w:tcPr>
            <w:tcW w:w="10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420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75,472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75,665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236,826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394,104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(39.9)</w:t>
            </w:r>
          </w:p>
        </w:tc>
      </w:tr>
      <w:tr>
        <w:trPr>
          <w:trHeight w:val="149"/>
        </w:trPr>
        <w:tc>
          <w:tcPr>
            <w:tcW w:w="4200" w:type="dxa"/>
            <w:vAlign w:val="bottom"/>
          </w:tcPr>
          <w:p>
            <w:pPr>
              <w:ind w:left="860"/>
              <w:spacing w:after="0"/>
              <w:rPr>
                <w:sz w:val="20"/>
                <w:szCs w:val="20"/>
                <w:color w:val="auto"/>
              </w:rPr>
            </w:pPr>
            <w:r>
              <w:rPr>
                <w:rFonts w:ascii="Arial" w:cs="Arial" w:eastAsia="Arial" w:hAnsi="Arial"/>
                <w:sz w:val="13"/>
                <w:szCs w:val="13"/>
                <w:color w:val="auto"/>
              </w:rPr>
              <w:t>Rooms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38,654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120,340</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(67.9)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202,073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483,055</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(58.2)</w:t>
            </w:r>
          </w:p>
        </w:tc>
      </w:tr>
      <w:tr>
        <w:trPr>
          <w:trHeight w:val="148"/>
        </w:trPr>
        <w:tc>
          <w:tcPr>
            <w:tcW w:w="42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39,312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120,257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216,426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558,782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(61.3)</w:t>
            </w:r>
          </w:p>
        </w:tc>
      </w:tr>
      <w:tr>
        <w:trPr>
          <w:trHeight w:val="148"/>
        </w:trPr>
        <w:tc>
          <w:tcPr>
            <w:tcW w:w="4200" w:type="dxa"/>
            <w:vAlign w:val="bottom"/>
          </w:tcPr>
          <w:p>
            <w:pPr>
              <w:ind w:left="860"/>
              <w:spacing w:after="0"/>
              <w:rPr>
                <w:sz w:val="20"/>
                <w:szCs w:val="20"/>
                <w:color w:val="auto"/>
              </w:rPr>
            </w:pPr>
            <w:r>
              <w:rPr>
                <w:rFonts w:ascii="Arial" w:cs="Arial" w:eastAsia="Arial" w:hAnsi="Arial"/>
                <w:sz w:val="13"/>
                <w:szCs w:val="13"/>
                <w:color w:val="auto"/>
              </w:rPr>
              <w:t>Entertainment, retail and other</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19,102</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52,514</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(63.6)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92,622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197,516</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(53.1)</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28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172,540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368,776</w:t>
            </w: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b w:val="1"/>
                <w:bCs w:val="1"/>
                <w:color w:val="auto"/>
              </w:rPr>
              <w:t>(53.2)</w:t>
            </w: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747,947</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1,633,457</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(54.2)</w:t>
            </w:r>
          </w:p>
        </w:tc>
      </w:tr>
      <w:tr>
        <w:trPr>
          <w:trHeight w:val="149"/>
        </w:trPr>
        <w:tc>
          <w:tcPr>
            <w:tcW w:w="428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21,027</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80,139</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(56,356)</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413,886</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(113.6)</w:t>
            </w:r>
          </w:p>
        </w:tc>
      </w:tr>
      <w:tr>
        <w:trPr>
          <w:trHeight w:val="148"/>
        </w:trPr>
        <w:tc>
          <w:tcPr>
            <w:tcW w:w="42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Average number of table games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232</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236</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drop(2)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296,565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414,451</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1,127,309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1,690,132</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(33.3)</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72,295</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71,935</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0.5</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238,490</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395,439</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(39.7)</w:t>
            </w:r>
          </w:p>
        </w:tc>
      </w:tr>
      <w:tr>
        <w:trPr>
          <w:trHeight w:val="149"/>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17.4%</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4,305</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3,364</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28.0</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3,873</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4,581</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(15.5)</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slot machines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handle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802,294</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942,940</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(14.9)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2,452,811</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3,427,820</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(28.4)</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46,923</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63,106</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159,387</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230,954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(31.0)</w:t>
            </w:r>
          </w:p>
        </w:tc>
      </w:tr>
      <w:tr>
        <w:trPr>
          <w:trHeight w:val="149"/>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319</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387</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(17.6)</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354</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Poker rake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3,012</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(74.0)</w:t>
            </w:r>
          </w:p>
        </w:tc>
      </w:tr>
      <w:tr>
        <w:trPr>
          <w:trHeight w:val="148"/>
        </w:trPr>
        <w:tc>
          <w:tcPr>
            <w:tcW w:w="4280" w:type="dxa"/>
            <w:vAlign w:val="bottom"/>
          </w:tcPr>
          <w:p>
            <w:pPr>
              <w:ind w:left="860"/>
              <w:spacing w:after="0"/>
              <w:rPr>
                <w:sz w:val="20"/>
                <w:szCs w:val="20"/>
                <w:color w:val="auto"/>
              </w:rPr>
            </w:pPr>
            <w:r>
              <w:rPr>
                <w:rFonts w:ascii="Arial" w:cs="Arial" w:eastAsia="Arial" w:hAnsi="Arial"/>
                <w:sz w:val="13"/>
                <w:szCs w:val="13"/>
                <w:color w:val="auto"/>
              </w:rPr>
              <w:t>Room statistics: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Occupancy</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89.4%</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ADR(4)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305</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322</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(5.3)</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319</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325</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REVPAR(5)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(44.4)</w:t>
            </w:r>
          </w:p>
        </w:tc>
      </w:tr>
    </w:tbl>
    <w:p>
      <w:pPr>
        <w:spacing w:after="0" w:line="165"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Note: 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We are currently unable to determine when these measures will be lifted.</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38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6998970" cy="4838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3"/>
                <w:szCs w:val="13"/>
                <w:b w:val="1"/>
                <w:bCs w:val="1"/>
                <w:color w:val="auto"/>
              </w:rPr>
              <w:t>2020</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w w:val="96"/>
              </w:rPr>
              <w:t>2019</w:t>
            </w:r>
          </w:p>
        </w:tc>
        <w:tc>
          <w:tcPr>
            <w:tcW w:w="34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4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Encore Boston Harbor Supplemental Information(8)</w:t>
            </w:r>
          </w:p>
        </w:tc>
        <w:tc>
          <w:tcPr>
            <w:tcW w:w="9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430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89,012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$ 115,969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287,525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243,855</w:t>
            </w:r>
          </w:p>
        </w:tc>
        <w:tc>
          <w:tcPr>
            <w:tcW w:w="840" w:type="dxa"/>
            <w:vAlign w:val="bottom"/>
            <w:gridSpan w:val="2"/>
            <w:shd w:val="clear" w:color="auto" w:fill="CCEEFF"/>
          </w:tcPr>
          <w:p>
            <w:pPr>
              <w:jc w:val="center"/>
              <w:ind w:left="513"/>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2"/>
                <w:szCs w:val="12"/>
                <w:color w:val="auto"/>
              </w:rPr>
            </w:pPr>
          </w:p>
        </w:tc>
      </w:tr>
      <w:tr>
        <w:trPr>
          <w:trHeight w:val="149"/>
        </w:trPr>
        <w:tc>
          <w:tcPr>
            <w:tcW w:w="4300" w:type="dxa"/>
            <w:vAlign w:val="bottom"/>
          </w:tcPr>
          <w:p>
            <w:pPr>
              <w:ind w:left="860"/>
              <w:spacing w:after="0"/>
              <w:rPr>
                <w:sz w:val="20"/>
                <w:szCs w:val="20"/>
                <w:color w:val="auto"/>
              </w:rPr>
            </w:pPr>
            <w:r>
              <w:rPr>
                <w:rFonts w:ascii="Arial" w:cs="Arial" w:eastAsia="Arial" w:hAnsi="Arial"/>
                <w:sz w:val="13"/>
                <w:szCs w:val="13"/>
                <w:color w:val="auto"/>
              </w:rPr>
              <w:t>Rooms</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2,985</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16,359</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(81.8)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20,679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36,144</w:t>
            </w:r>
          </w:p>
        </w:tc>
        <w:tc>
          <w:tcPr>
            <w:tcW w:w="940" w:type="dxa"/>
            <w:vAlign w:val="bottom"/>
            <w:gridSpan w:val="3"/>
          </w:tcPr>
          <w:p>
            <w:pPr>
              <w:jc w:val="center"/>
              <w:ind w:left="433"/>
              <w:spacing w:after="0"/>
              <w:rPr>
                <w:sz w:val="20"/>
                <w:szCs w:val="20"/>
                <w:color w:val="auto"/>
              </w:rPr>
            </w:pPr>
            <w:r>
              <w:rPr>
                <w:rFonts w:ascii="Arial" w:cs="Arial" w:eastAsia="Arial" w:hAnsi="Arial"/>
                <w:sz w:val="13"/>
                <w:szCs w:val="13"/>
                <w:color w:val="auto"/>
              </w:rPr>
              <w:t>(42.8)</w:t>
            </w:r>
          </w:p>
        </w:tc>
      </w:tr>
      <w:tr>
        <w:trPr>
          <w:trHeight w:val="148"/>
        </w:trPr>
        <w:tc>
          <w:tcPr>
            <w:tcW w:w="43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28,243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36,866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61,088</w:t>
            </w:r>
          </w:p>
        </w:tc>
        <w:tc>
          <w:tcPr>
            <w:tcW w:w="940" w:type="dxa"/>
            <w:vAlign w:val="bottom"/>
            <w:gridSpan w:val="3"/>
            <w:shd w:val="clear" w:color="auto" w:fill="CCEEFF"/>
          </w:tcPr>
          <w:p>
            <w:pPr>
              <w:jc w:val="center"/>
              <w:ind w:left="433"/>
              <w:spacing w:after="0"/>
              <w:rPr>
                <w:sz w:val="20"/>
                <w:szCs w:val="20"/>
                <w:color w:val="auto"/>
              </w:rPr>
            </w:pPr>
            <w:r>
              <w:rPr>
                <w:rFonts w:ascii="Arial" w:cs="Arial" w:eastAsia="Arial" w:hAnsi="Arial"/>
                <w:sz w:val="13"/>
                <w:szCs w:val="13"/>
                <w:color w:val="auto"/>
              </w:rPr>
              <w:t>(39.7)</w:t>
            </w:r>
          </w:p>
        </w:tc>
      </w:tr>
      <w:tr>
        <w:trPr>
          <w:trHeight w:val="148"/>
        </w:trPr>
        <w:tc>
          <w:tcPr>
            <w:tcW w:w="4300" w:type="dxa"/>
            <w:vAlign w:val="bottom"/>
          </w:tcPr>
          <w:p>
            <w:pPr>
              <w:ind w:left="860"/>
              <w:spacing w:after="0"/>
              <w:rPr>
                <w:sz w:val="20"/>
                <w:szCs w:val="20"/>
                <w:color w:val="auto"/>
              </w:rPr>
            </w:pPr>
            <w:r>
              <w:rPr>
                <w:rFonts w:ascii="Arial" w:cs="Arial" w:eastAsia="Arial" w:hAnsi="Arial"/>
                <w:sz w:val="13"/>
                <w:szCs w:val="13"/>
                <w:color w:val="auto"/>
              </w:rPr>
              <w:t>Entertainment, retail and other</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8,744</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(46.2)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16,596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22,832</w:t>
            </w:r>
          </w:p>
        </w:tc>
        <w:tc>
          <w:tcPr>
            <w:tcW w:w="940" w:type="dxa"/>
            <w:vAlign w:val="bottom"/>
            <w:gridSpan w:val="3"/>
          </w:tcPr>
          <w:p>
            <w:pPr>
              <w:jc w:val="center"/>
              <w:ind w:left="433"/>
              <w:spacing w:after="0"/>
              <w:rPr>
                <w:sz w:val="20"/>
                <w:szCs w:val="20"/>
                <w:color w:val="auto"/>
              </w:rPr>
            </w:pPr>
            <w:r>
              <w:rPr>
                <w:rFonts w:ascii="Arial" w:cs="Arial" w:eastAsia="Arial" w:hAnsi="Arial"/>
                <w:sz w:val="13"/>
                <w:szCs w:val="13"/>
                <w:color w:val="auto"/>
              </w:rPr>
              <w:t>(27.3)</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28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103,884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169,315</w:t>
            </w: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b w:val="1"/>
                <w:bCs w:val="1"/>
                <w:color w:val="auto"/>
              </w:rPr>
              <w:t>(38.6)</w:t>
            </w: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361,666</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363,919</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(0.6)</w:t>
            </w:r>
          </w:p>
        </w:tc>
      </w:tr>
      <w:tr>
        <w:trPr>
          <w:trHeight w:val="149"/>
        </w:trPr>
        <w:tc>
          <w:tcPr>
            <w:tcW w:w="428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16,667</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15,260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9.2</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(23,762)</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23,150</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(202.6)</w:t>
            </w:r>
          </w:p>
        </w:tc>
      </w:tr>
      <w:tr>
        <w:trPr>
          <w:trHeight w:val="148"/>
        </w:trPr>
        <w:tc>
          <w:tcPr>
            <w:tcW w:w="42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Average number of table games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drop(2)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204,445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362,696</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697,873</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778,898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42,697</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69,766</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(38.8)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147,512</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151,247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(2.5)</w:t>
            </w:r>
          </w:p>
        </w:tc>
      </w:tr>
      <w:tr>
        <w:trPr>
          <w:trHeight w:val="149"/>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19.2%</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2,371</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4,726</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(49.8)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3,256</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5,178</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(37.1)</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slot machines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handle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722,408</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856,446</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(15.7)</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2,303,582</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1,847,080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57,301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67,383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180,207</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138,264</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2"/>
                <w:szCs w:val="12"/>
                <w:color w:val="auto"/>
              </w:rPr>
            </w:pPr>
          </w:p>
        </w:tc>
      </w:tr>
      <w:tr>
        <w:trPr>
          <w:trHeight w:val="149"/>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333</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33.2</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238</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Poker rake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5,660</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(58.6)</w:t>
            </w:r>
          </w:p>
        </w:tc>
      </w:tr>
      <w:tr>
        <w:trPr>
          <w:trHeight w:val="148"/>
        </w:trPr>
        <w:tc>
          <w:tcPr>
            <w:tcW w:w="4280" w:type="dxa"/>
            <w:vAlign w:val="bottom"/>
          </w:tcPr>
          <w:p>
            <w:pPr>
              <w:ind w:left="860"/>
              <w:spacing w:after="0"/>
              <w:rPr>
                <w:sz w:val="20"/>
                <w:szCs w:val="20"/>
                <w:color w:val="auto"/>
              </w:rPr>
            </w:pPr>
            <w:r>
              <w:rPr>
                <w:rFonts w:ascii="Arial" w:cs="Arial" w:eastAsia="Arial" w:hAnsi="Arial"/>
                <w:sz w:val="13"/>
                <w:szCs w:val="13"/>
                <w:color w:val="auto"/>
              </w:rPr>
              <w:t>Room statistics: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Occupancy</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76.0%</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72.6%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ADR(4)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303</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352</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(13.9)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294</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391</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(24.8)</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REVPAR(5)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(22.9)</w:t>
            </w:r>
          </w:p>
        </w:tc>
      </w:tr>
    </w:tbl>
    <w:p>
      <w:pPr>
        <w:spacing w:after="0" w:line="165" w:lineRule="exact"/>
        <w:rPr>
          <w:sz w:val="20"/>
          <w:szCs w:val="20"/>
          <w:color w:val="auto"/>
        </w:rPr>
      </w:pPr>
    </w:p>
    <w:p>
      <w:pPr>
        <w:ind w:left="300" w:firstLine="426"/>
        <w:spacing w:after="0" w:line="269" w:lineRule="auto"/>
        <w:rPr>
          <w:sz w:val="20"/>
          <w:szCs w:val="20"/>
          <w:color w:val="auto"/>
        </w:rPr>
      </w:pPr>
      <w:r>
        <w:rPr>
          <w:rFonts w:ascii="Arial" w:cs="Arial" w:eastAsia="Arial" w:hAnsi="Arial"/>
          <w:sz w:val="16"/>
          <w:szCs w:val="16"/>
          <w:color w:val="auto"/>
        </w:rPr>
        <w:t>Note: Encore Boston Harbor ceased all operations and closed to the public on March 15, 2020, for the remainder of the first and second quarters of 2020. On July 10, 2020, Encore Boston Harbor reopened with certain COVID-19 specific protective measures in place, such as limiting the number of seats per table game, slot machine spacing, temperature checks, and mask protection. We are currently unable to determine when these measures will be lifted. In addition, certain food and beverage outlets remain closed, and hotel reservations were limited to Thursday through Sunday until their temporary closure on November 6, 2020, pursuant to a state directive limiting the operating hours of certain businesses, including restaurants and casinos. Accordingly, Encore Boston Harbor’s room statistics have been computed based on 20 and 141 days of operations for the three months and year ended December 31, 2020, respectively.</w:t>
      </w:r>
    </w:p>
    <w:p>
      <w:pPr>
        <w:spacing w:after="0" w:line="119" w:lineRule="exact"/>
        <w:rPr>
          <w:sz w:val="20"/>
          <w:szCs w:val="20"/>
          <w:color w:val="auto"/>
        </w:rPr>
      </w:pPr>
    </w:p>
    <w:p>
      <w:pPr>
        <w:ind w:left="720" w:right="160" w:hanging="422"/>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Table games win is presented net of loyalty program accruals but before discounts, commissions and the allocation of casino revenues to rooms, food and beverage and other revenues for services provided to casino customers on a complimentary basis.</w:t>
      </w:r>
    </w:p>
    <w:p>
      <w:pPr>
        <w:ind w:left="720" w:right="40" w:hanging="422"/>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720" w:hanging="422"/>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Slot machine win is calculated as gross slot machine win minus progressive and loyalty program accruals.</w:t>
      </w:r>
    </w:p>
    <w:p>
      <w:pPr>
        <w:ind w:left="720" w:hanging="422"/>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ADR is average daily rate and is calculated by dividing total room revenues including complimentaries (less service charges, if any) by total rooms occupied.</w:t>
      </w:r>
    </w:p>
    <w:p>
      <w:pPr>
        <w:ind w:left="720" w:hanging="422"/>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REVPAR is revenue per available room and is calculated by dividing total room revenues including complimentaries (less service charges, if any) by total rooms available.</w:t>
      </w:r>
    </w:p>
    <w:p>
      <w:pPr>
        <w:ind w:left="720" w:right="100" w:hanging="422"/>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Income (Loss) Attributable to Wynn Resorts, Limited to Adjusted Property EBITDA.</w:t>
      </w:r>
    </w:p>
    <w:p>
      <w:pPr>
        <w:ind w:left="720" w:hanging="422"/>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For the year ended December 31, 2020, reflects the impact of rent concessions provided to tenants.</w:t>
      </w:r>
    </w:p>
    <w:p>
      <w:pPr>
        <w:ind w:left="720" w:hanging="422"/>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Encore Boston Harbor opened on June 23, 2019.</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10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Investigation</w:t>
      </w:r>
    </w:p>
    <w:p>
      <w:pPr>
        <w:spacing w:after="0" w:line="99"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Risk Factors</w:t>
      </w:r>
    </w:p>
    <w:p>
      <w:pPr>
        <w:spacing w:after="0" w:line="99" w:lineRule="exact"/>
        <w:rPr>
          <w:sz w:val="20"/>
          <w:szCs w:val="20"/>
          <w:color w:val="auto"/>
        </w:rPr>
      </w:pPr>
    </w:p>
    <w:p>
      <w:pPr>
        <w:ind w:left="300" w:right="420" w:firstLine="426"/>
        <w:spacing w:after="0" w:line="239" w:lineRule="auto"/>
        <w:rPr>
          <w:sz w:val="20"/>
          <w:szCs w:val="20"/>
          <w:color w:val="auto"/>
        </w:rPr>
      </w:pPr>
      <w:r>
        <w:rPr>
          <w:rFonts w:ascii="Arial" w:cs="Arial" w:eastAsia="Arial" w:hAnsi="Arial"/>
          <w:sz w:val="18"/>
          <w:szCs w:val="18"/>
          <w:color w:val="auto"/>
        </w:rPr>
        <w:t>The following is a summary of the principal risk factors described in the “Risk Factors” section that could adversely affect our business, operations and financial results. For a more complete discussion, please refer to “Risk Factors.”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5" w:lineRule="exact"/>
        <w:rPr>
          <w:sz w:val="20"/>
          <w:szCs w:val="20"/>
          <w:color w:val="auto"/>
        </w:rPr>
      </w:pPr>
    </w:p>
    <w:p>
      <w:pPr>
        <w:ind w:left="300" w:right="300" w:firstLine="426"/>
        <w:spacing w:after="0" w:line="249" w:lineRule="auto"/>
        <w:rPr>
          <w:sz w:val="20"/>
          <w:szCs w:val="20"/>
          <w:color w:val="auto"/>
        </w:rPr>
      </w:pPr>
      <w:r>
        <w:rPr>
          <w:rFonts w:ascii="Arial" w:cs="Arial" w:eastAsia="Arial" w:hAnsi="Arial"/>
          <w:sz w:val="18"/>
          <w:szCs w:val="18"/>
          <w:b w:val="1"/>
          <w:bCs w:val="1"/>
          <w:color w:val="auto"/>
        </w:rPr>
        <w:t>Impact and Duration of the COVID-19 Pandemic</w:t>
      </w:r>
      <w:r>
        <w:rPr>
          <w:rFonts w:ascii="Arial" w:cs="Arial" w:eastAsia="Arial" w:hAnsi="Arial"/>
          <w:sz w:val="18"/>
          <w:szCs w:val="18"/>
          <w:color w:val="auto"/>
        </w:rPr>
        <w:t>. The outbreak of the novel coronavirus COVID-19 has had and will likely</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have an adverse effect on our business, operations, financial condition and operating results, and the ability of our subsidiaries to pay dividends and distributions.</w:t>
      </w:r>
    </w:p>
    <w:p>
      <w:pPr>
        <w:spacing w:after="0" w:line="125" w:lineRule="exact"/>
        <w:rPr>
          <w:sz w:val="20"/>
          <w:szCs w:val="20"/>
          <w:color w:val="auto"/>
        </w:rPr>
      </w:pPr>
    </w:p>
    <w:p>
      <w:pPr>
        <w:ind w:left="300" w:right="280" w:firstLine="426"/>
        <w:spacing w:after="0" w:line="264" w:lineRule="auto"/>
        <w:rPr>
          <w:sz w:val="20"/>
          <w:szCs w:val="20"/>
          <w:color w:val="auto"/>
        </w:rPr>
      </w:pPr>
      <w:r>
        <w:rPr>
          <w:rFonts w:ascii="Arial" w:cs="Arial" w:eastAsia="Arial" w:hAnsi="Arial"/>
          <w:sz w:val="18"/>
          <w:szCs w:val="18"/>
          <w:b w:val="1"/>
          <w:bCs w:val="1"/>
          <w:color w:val="auto"/>
        </w:rPr>
        <w:t>Compliance with Laws and Regulations</w:t>
      </w:r>
      <w:r>
        <w:rPr>
          <w:rFonts w:ascii="Arial" w:cs="Arial" w:eastAsia="Arial" w:hAnsi="Arial"/>
          <w:sz w:val="18"/>
          <w:szCs w:val="18"/>
          <w:color w:val="auto"/>
        </w:rPr>
        <w:t>. We are subject to extensive state and local regulation, and licensing and gaming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have significant control over our operations.</w:t>
      </w:r>
    </w:p>
    <w:p>
      <w:pPr>
        <w:spacing w:after="0" w:line="112" w:lineRule="exact"/>
        <w:rPr>
          <w:sz w:val="20"/>
          <w:szCs w:val="20"/>
          <w:color w:val="auto"/>
        </w:rPr>
      </w:pPr>
    </w:p>
    <w:p>
      <w:pPr>
        <w:ind w:left="300" w:right="120" w:firstLine="426"/>
        <w:spacing w:after="0" w:line="264"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Ongoing investigations, litigation and other disputes could distract management and result in negative publicity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scrutiny from regulators.</w:t>
      </w:r>
    </w:p>
    <w:p>
      <w:pPr>
        <w:spacing w:after="0" w:line="112" w:lineRule="exact"/>
        <w:rPr>
          <w:sz w:val="20"/>
          <w:szCs w:val="20"/>
          <w:color w:val="auto"/>
        </w:rPr>
      </w:pPr>
    </w:p>
    <w:p>
      <w:pPr>
        <w:ind w:left="300" w:firstLine="426"/>
        <w:spacing w:after="0" w:line="264" w:lineRule="auto"/>
        <w:rPr>
          <w:sz w:val="20"/>
          <w:szCs w:val="20"/>
          <w:color w:val="auto"/>
        </w:rPr>
      </w:pPr>
      <w:r>
        <w:rPr>
          <w:rFonts w:ascii="Arial" w:cs="Arial" w:eastAsia="Arial" w:hAnsi="Arial"/>
          <w:sz w:val="18"/>
          <w:szCs w:val="18"/>
          <w:b w:val="1"/>
          <w:bCs w:val="1"/>
          <w:color w:val="auto"/>
        </w:rPr>
        <w:t>Human Capital Management</w:t>
      </w:r>
      <w:r>
        <w:rPr>
          <w:rFonts w:ascii="Arial" w:cs="Arial" w:eastAsia="Arial" w:hAnsi="Arial"/>
          <w:sz w:val="18"/>
          <w:szCs w:val="18"/>
          <w:color w:val="auto"/>
        </w:rPr>
        <w:t>. We depend on the continued services of key managers and employees. Labor actions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labor problems could also negatively impact our operations.</w:t>
      </w:r>
    </w:p>
    <w:p>
      <w:pPr>
        <w:spacing w:after="0" w:line="112" w:lineRule="exact"/>
        <w:rPr>
          <w:sz w:val="20"/>
          <w:szCs w:val="20"/>
          <w:color w:val="auto"/>
        </w:rPr>
      </w:pPr>
    </w:p>
    <w:p>
      <w:pPr>
        <w:ind w:left="300" w:firstLine="426"/>
        <w:spacing w:after="0" w:line="242" w:lineRule="auto"/>
        <w:rPr>
          <w:sz w:val="20"/>
          <w:szCs w:val="20"/>
          <w:color w:val="auto"/>
        </w:rPr>
      </w:pPr>
      <w:r>
        <w:rPr>
          <w:rFonts w:ascii="Arial" w:cs="Arial" w:eastAsia="Arial" w:hAnsi="Arial"/>
          <w:sz w:val="18"/>
          <w:szCs w:val="18"/>
          <w:b w:val="1"/>
          <w:bCs w:val="1"/>
          <w:color w:val="auto"/>
        </w:rPr>
        <w:t>Changes in Macro Economic, Political and Societal Conditions</w:t>
      </w:r>
      <w:r>
        <w:rPr>
          <w:rFonts w:ascii="Arial" w:cs="Arial" w:eastAsia="Arial" w:hAnsi="Arial"/>
          <w:sz w:val="18"/>
          <w:szCs w:val="18"/>
          <w:color w:val="auto"/>
        </w:rPr>
        <w:t>. Our business is particularly sensitive to reductions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consumer spending, including as a result of economic downturns, increasing geopolitical tensions, visa and travel restrictions or difficulties, severe disruptions in air and other travel, anti-corruption campaigns, restrictions on international money transfers, acts or the threat of acts of terrorism, outbreaks of infectious diseases and other events that may otherwise negatively impact tourists’ willingness to visit our resorts.</w:t>
      </w:r>
    </w:p>
    <w:p>
      <w:pPr>
        <w:spacing w:after="0" w:line="131" w:lineRule="exact"/>
        <w:rPr>
          <w:sz w:val="20"/>
          <w:szCs w:val="20"/>
          <w:color w:val="auto"/>
        </w:rPr>
      </w:pPr>
    </w:p>
    <w:p>
      <w:pPr>
        <w:jc w:val="center"/>
        <w:ind w:left="600" w:right="440"/>
        <w:spacing w:after="0" w:line="452" w:lineRule="auto"/>
        <w:rPr>
          <w:sz w:val="20"/>
          <w:szCs w:val="20"/>
          <w:color w:val="auto"/>
        </w:rPr>
      </w:pPr>
      <w:r>
        <w:rPr>
          <w:rFonts w:ascii="Arial" w:cs="Arial" w:eastAsia="Arial" w:hAnsi="Arial"/>
          <w:sz w:val="18"/>
          <w:szCs w:val="18"/>
          <w:b w:val="1"/>
          <w:bCs w:val="1"/>
          <w:color w:val="auto"/>
        </w:rPr>
        <w:t>Competition</w:t>
      </w:r>
      <w:r>
        <w:rPr>
          <w:rFonts w:ascii="Arial" w:cs="Arial" w:eastAsia="Arial" w:hAnsi="Arial"/>
          <w:sz w:val="18"/>
          <w:szCs w:val="18"/>
          <w:color w:val="auto"/>
        </w:rPr>
        <w:t>.  Our casino, hotel, convention and other facilities face intense competition, which may increase in the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S-14</w:t>
      </w:r>
    </w:p>
    <w:p>
      <w:pPr>
        <w:sectPr>
          <w:pgSz w:w="11900" w:h="16838" w:orient="portrait"/>
          <w:cols w:equalWidth="0" w:num="1">
            <w:col w:w="10780"/>
          </w:cols>
          <w:pgMar w:left="320" w:top="459" w:right="7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7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6998970" cy="4375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00" w:firstLine="426"/>
        <w:spacing w:after="0" w:line="244" w:lineRule="auto"/>
        <w:rPr>
          <w:sz w:val="20"/>
          <w:szCs w:val="20"/>
          <w:color w:val="auto"/>
        </w:rPr>
      </w:pPr>
      <w:r>
        <w:rPr>
          <w:rFonts w:ascii="Arial" w:cs="Arial" w:eastAsia="Arial" w:hAnsi="Arial"/>
          <w:sz w:val="18"/>
          <w:szCs w:val="18"/>
          <w:b w:val="1"/>
          <w:bCs w:val="1"/>
          <w:color w:val="auto"/>
        </w:rPr>
        <w:t>Reliance on Certain Subsidiaries and Customers</w:t>
      </w:r>
      <w:r>
        <w:rPr>
          <w:rFonts w:ascii="Arial" w:cs="Arial" w:eastAsia="Arial" w:hAnsi="Arial"/>
          <w:sz w:val="18"/>
          <w:szCs w:val="18"/>
          <w:color w:val="auto"/>
        </w:rPr>
        <w:t>. We are entirely dependent on a limited number of resorts for all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 which subjects us to greater risks than a gaming company with more operating properties. Our business also relies on premium customers to whom we often extend credit, and we may not be able to collect gaming receivables from our credit players or credit play may decrease.</w:t>
      </w:r>
    </w:p>
    <w:p>
      <w:pPr>
        <w:spacing w:after="0" w:line="130" w:lineRule="exact"/>
        <w:rPr>
          <w:sz w:val="20"/>
          <w:szCs w:val="20"/>
          <w:color w:val="auto"/>
        </w:rPr>
      </w:pPr>
    </w:p>
    <w:p>
      <w:pPr>
        <w:ind w:left="300" w:right="20" w:firstLine="426"/>
        <w:spacing w:after="0" w:line="264" w:lineRule="auto"/>
        <w:rPr>
          <w:sz w:val="20"/>
          <w:szCs w:val="20"/>
          <w:color w:val="auto"/>
        </w:rPr>
      </w:pPr>
      <w:r>
        <w:rPr>
          <w:rFonts w:ascii="Arial" w:cs="Arial" w:eastAsia="Arial" w:hAnsi="Arial"/>
          <w:sz w:val="18"/>
          <w:szCs w:val="18"/>
          <w:b w:val="1"/>
          <w:bCs w:val="1"/>
          <w:color w:val="auto"/>
        </w:rPr>
        <w:t>Ability to Execute Our Growth Strategy</w:t>
      </w:r>
      <w:r>
        <w:rPr>
          <w:rFonts w:ascii="Arial" w:cs="Arial" w:eastAsia="Arial" w:hAnsi="Arial"/>
          <w:sz w:val="18"/>
          <w:szCs w:val="18"/>
          <w:color w:val="auto"/>
        </w:rPr>
        <w:t>. Our new projects may not be successful and we could encounter higher than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cost increases and construction risks in the development of our projects.</w:t>
      </w:r>
    </w:p>
    <w:p>
      <w:pPr>
        <w:spacing w:after="0" w:line="112" w:lineRule="exact"/>
        <w:rPr>
          <w:sz w:val="20"/>
          <w:szCs w:val="20"/>
          <w:color w:val="auto"/>
        </w:rPr>
      </w:pPr>
    </w:p>
    <w:p>
      <w:pPr>
        <w:ind w:left="300" w:right="280" w:firstLine="426"/>
        <w:spacing w:after="0" w:line="264" w:lineRule="auto"/>
        <w:rPr>
          <w:sz w:val="20"/>
          <w:szCs w:val="20"/>
          <w:color w:val="auto"/>
        </w:rPr>
      </w:pPr>
      <w:r>
        <w:rPr>
          <w:rFonts w:ascii="Arial" w:cs="Arial" w:eastAsia="Arial" w:hAnsi="Arial"/>
          <w:sz w:val="18"/>
          <w:szCs w:val="18"/>
          <w:b w:val="1"/>
          <w:bCs w:val="1"/>
          <w:color w:val="auto"/>
        </w:rPr>
        <w:t>Internal Controls</w:t>
      </w:r>
      <w:r>
        <w:rPr>
          <w:rFonts w:ascii="Arial" w:cs="Arial" w:eastAsia="Arial" w:hAnsi="Arial"/>
          <w:sz w:val="18"/>
          <w:szCs w:val="18"/>
          <w:color w:val="auto"/>
        </w:rPr>
        <w:t>. Any violation of applicable Anti-Money Laundering laws, regulations or the Foreign Corrupt Practices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could adversely affect our business, performance, prospects, value, financial condition and results of operations.</w:t>
      </w:r>
    </w:p>
    <w:p>
      <w:pPr>
        <w:spacing w:after="0" w:line="112" w:lineRule="exact"/>
        <w:rPr>
          <w:sz w:val="20"/>
          <w:szCs w:val="20"/>
          <w:color w:val="auto"/>
        </w:rPr>
      </w:pPr>
    </w:p>
    <w:p>
      <w:pPr>
        <w:ind w:left="720"/>
        <w:spacing w:after="0"/>
        <w:tabs>
          <w:tab w:leader="none" w:pos="3560" w:val="left"/>
        </w:tabs>
        <w:rPr>
          <w:sz w:val="20"/>
          <w:szCs w:val="20"/>
          <w:color w:val="auto"/>
        </w:rPr>
      </w:pPr>
      <w:r>
        <w:rPr>
          <w:rFonts w:ascii="Arial" w:cs="Arial" w:eastAsia="Arial" w:hAnsi="Arial"/>
          <w:sz w:val="18"/>
          <w:szCs w:val="18"/>
          <w:b w:val="1"/>
          <w:bCs w:val="1"/>
          <w:color w:val="auto"/>
        </w:rPr>
        <w:t>Marketing and Public Relations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continued success depends on our ability to maintain the reputation of our resorts.</w:t>
      </w:r>
    </w:p>
    <w:p>
      <w:pPr>
        <w:spacing w:after="0" w:line="158" w:lineRule="exact"/>
        <w:rPr>
          <w:sz w:val="20"/>
          <w:szCs w:val="20"/>
          <w:color w:val="auto"/>
        </w:rPr>
      </w:pPr>
    </w:p>
    <w:p>
      <w:pPr>
        <w:ind w:left="300" w:right="340" w:firstLine="426"/>
        <w:spacing w:after="0" w:line="264" w:lineRule="auto"/>
        <w:rPr>
          <w:sz w:val="20"/>
          <w:szCs w:val="20"/>
          <w:color w:val="auto"/>
        </w:rPr>
      </w:pPr>
      <w:r>
        <w:rPr>
          <w:rFonts w:ascii="Arial" w:cs="Arial" w:eastAsia="Arial" w:hAnsi="Arial"/>
          <w:sz w:val="18"/>
          <w:szCs w:val="18"/>
          <w:b w:val="1"/>
          <w:bCs w:val="1"/>
          <w:color w:val="auto"/>
        </w:rPr>
        <w:t>Use of Technologies</w:t>
      </w:r>
      <w:r>
        <w:rPr>
          <w:rFonts w:ascii="Arial" w:cs="Arial" w:eastAsia="Arial" w:hAnsi="Arial"/>
          <w:sz w:val="18"/>
          <w:szCs w:val="18"/>
          <w:color w:val="auto"/>
        </w:rPr>
        <w:t>. We rely on information technology in our operations and any material failure, weakness, interruption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security could prevent us from effectively operating our business.</w:t>
      </w:r>
    </w:p>
    <w:p>
      <w:pPr>
        <w:spacing w:after="0" w:line="112" w:lineRule="exact"/>
        <w:rPr>
          <w:sz w:val="20"/>
          <w:szCs w:val="20"/>
          <w:color w:val="auto"/>
        </w:rPr>
      </w:pPr>
    </w:p>
    <w:p>
      <w:pPr>
        <w:ind w:left="300" w:right="460" w:firstLine="426"/>
        <w:spacing w:after="0" w:line="264" w:lineRule="auto"/>
        <w:rPr>
          <w:sz w:val="20"/>
          <w:szCs w:val="20"/>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 If a third party successfully challenges our ownership of, or right to use, the Wynn-related trademarks</w:t>
      </w:r>
      <w:r>
        <w:rPr>
          <w:rFonts w:ascii="Arial" w:cs="Arial" w:eastAsia="Arial" w:hAnsi="Arial"/>
          <w:sz w:val="18"/>
          <w:szCs w:val="18"/>
          <w:b w:val="1"/>
          <w:bCs w:val="1"/>
          <w:color w:val="auto"/>
        </w:rPr>
        <w:t xml:space="preserve"> </w:t>
      </w:r>
      <w:r>
        <w:rPr>
          <w:rFonts w:ascii="Arial" w:cs="Arial" w:eastAsia="Arial" w:hAnsi="Arial"/>
          <w:sz w:val="18"/>
          <w:szCs w:val="18"/>
          <w:color w:val="auto"/>
        </w:rPr>
        <w:t>and/or service marks, our business or results of operations could be harmed.</w:t>
      </w:r>
    </w:p>
    <w:p>
      <w:pPr>
        <w:spacing w:after="0" w:line="112" w:lineRule="exact"/>
        <w:rPr>
          <w:sz w:val="20"/>
          <w:szCs w:val="20"/>
          <w:color w:val="auto"/>
        </w:rPr>
      </w:pPr>
    </w:p>
    <w:p>
      <w:pPr>
        <w:ind w:left="300" w:right="540" w:firstLine="426"/>
        <w:spacing w:after="0" w:line="264" w:lineRule="auto"/>
        <w:rPr>
          <w:sz w:val="20"/>
          <w:szCs w:val="20"/>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Our insurance coverage may not be adequate to cover all possible losses that we could suffer, including losses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terrorism, and our insurance costs may increase.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Associated with Our Macau Operations</w:t>
      </w:r>
    </w:p>
    <w:p>
      <w:pPr>
        <w:spacing w:after="0" w:line="75" w:lineRule="exact"/>
        <w:rPr>
          <w:sz w:val="20"/>
          <w:szCs w:val="20"/>
          <w:color w:val="auto"/>
        </w:rPr>
      </w:pPr>
    </w:p>
    <w:p>
      <w:pPr>
        <w:ind w:left="300" w:right="40" w:firstLine="426"/>
        <w:spacing w:after="0" w:line="244" w:lineRule="auto"/>
        <w:rPr>
          <w:sz w:val="20"/>
          <w:szCs w:val="20"/>
          <w:color w:val="auto"/>
        </w:rPr>
      </w:pPr>
      <w:r>
        <w:rPr>
          <w:rFonts w:ascii="Arial" w:cs="Arial" w:eastAsia="Arial" w:hAnsi="Arial"/>
          <w:sz w:val="18"/>
          <w:szCs w:val="18"/>
          <w:b w:val="1"/>
          <w:bCs w:val="1"/>
          <w:color w:val="auto"/>
        </w:rPr>
        <w:t>Licensure</w:t>
      </w:r>
      <w:r>
        <w:rPr>
          <w:rFonts w:ascii="Arial" w:cs="Arial" w:eastAsia="Arial" w:hAnsi="Arial"/>
          <w:sz w:val="18"/>
          <w:szCs w:val="18"/>
          <w:color w:val="auto"/>
        </w:rPr>
        <w:t>. If our Macau Operations fail to comply with the concession agreement, the Macau government can terminate our</w:t>
      </w:r>
      <w:r>
        <w:rPr>
          <w:rFonts w:ascii="Arial" w:cs="Arial" w:eastAsia="Arial" w:hAnsi="Arial"/>
          <w:sz w:val="18"/>
          <w:szCs w:val="18"/>
          <w:b w:val="1"/>
          <w:bCs w:val="1"/>
          <w:color w:val="auto"/>
        </w:rPr>
        <w:t xml:space="preserve"> </w:t>
      </w:r>
      <w:r>
        <w:rPr>
          <w:rFonts w:ascii="Arial" w:cs="Arial" w:eastAsia="Arial" w:hAnsi="Arial"/>
          <w:sz w:val="18"/>
          <w:szCs w:val="18"/>
          <w:color w:val="auto"/>
        </w:rPr>
        <w:t>concession without compensation to us. We are also subject to the risk that revenues from our Macau gaming operations will end if we cannot secure an extension or renewal of our concession, or a new concession, by June 26, 2022, or if the Macau government exercises its redemption right.</w:t>
      </w:r>
    </w:p>
    <w:p>
      <w:pPr>
        <w:spacing w:after="0" w:line="130"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b w:val="1"/>
          <w:bCs w:val="1"/>
          <w:color w:val="auto"/>
        </w:rPr>
        <w:t>Compliance with Laws and Regulations</w:t>
      </w:r>
      <w:r>
        <w:rPr>
          <w:rFonts w:ascii="Arial" w:cs="Arial" w:eastAsia="Arial" w:hAnsi="Arial"/>
          <w:sz w:val="16"/>
          <w:szCs w:val="16"/>
          <w:color w:val="auto"/>
        </w:rPr>
        <w:t>. Our failure to adhere to the regulatory and gaming requirements in Macau could result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revocation of our Macau Operations’ concession or otherwise negatively affect its operations in Macau. The smoking control legislation in Macau could also have an adverse effect on our business, financial condition, results of operations and cash flows.</w:t>
      </w:r>
    </w:p>
    <w:p>
      <w:pPr>
        <w:spacing w:after="0" w:line="89" w:lineRule="exact"/>
        <w:rPr>
          <w:sz w:val="20"/>
          <w:szCs w:val="20"/>
          <w:color w:val="auto"/>
        </w:rPr>
      </w:pPr>
    </w:p>
    <w:p>
      <w:pPr>
        <w:ind w:left="300" w:firstLine="426"/>
        <w:spacing w:after="0" w:line="264" w:lineRule="auto"/>
        <w:rPr>
          <w:sz w:val="20"/>
          <w:szCs w:val="20"/>
          <w:color w:val="auto"/>
        </w:rPr>
      </w:pPr>
      <w:r>
        <w:rPr>
          <w:rFonts w:ascii="Arial" w:cs="Arial" w:eastAsia="Arial" w:hAnsi="Arial"/>
          <w:sz w:val="18"/>
          <w:szCs w:val="18"/>
          <w:b w:val="1"/>
          <w:bCs w:val="1"/>
          <w:color w:val="auto"/>
        </w:rPr>
        <w:t>Ability to Execute Our Growth Strategy</w:t>
      </w:r>
      <w:r>
        <w:rPr>
          <w:rFonts w:ascii="Arial" w:cs="Arial" w:eastAsia="Arial" w:hAnsi="Arial"/>
          <w:sz w:val="18"/>
          <w:szCs w:val="18"/>
          <w:color w:val="auto"/>
        </w:rPr>
        <w:t>. The Macau government has established a maximum number of gaming tables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be operated in Macau and has limited the number of new gaming tables at new gaming areas in Macau.</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53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998970" cy="2653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360" w:firstLine="426"/>
        <w:spacing w:after="0" w:line="264" w:lineRule="auto"/>
        <w:rPr>
          <w:sz w:val="20"/>
          <w:szCs w:val="20"/>
          <w:color w:val="auto"/>
        </w:rPr>
      </w:pPr>
      <w:r>
        <w:rPr>
          <w:rFonts w:ascii="Arial" w:cs="Arial" w:eastAsia="Arial" w:hAnsi="Arial"/>
          <w:sz w:val="18"/>
          <w:szCs w:val="18"/>
          <w:b w:val="1"/>
          <w:bCs w:val="1"/>
          <w:color w:val="auto"/>
        </w:rPr>
        <w:t>Reliance on Gaming Promoters</w:t>
      </w:r>
      <w:r>
        <w:rPr>
          <w:rFonts w:ascii="Arial" w:cs="Arial" w:eastAsia="Arial" w:hAnsi="Arial"/>
          <w:sz w:val="18"/>
          <w:szCs w:val="18"/>
          <w:color w:val="auto"/>
        </w:rPr>
        <w:t>. We depend upon gaming promoters for a significant portion of our gaming revenue.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could subject us to risks, including our ability to attract customers and to maintain or grow our gaming revenues.</w:t>
      </w:r>
    </w:p>
    <w:p>
      <w:pPr>
        <w:spacing w:after="0" w:line="112" w:lineRule="exact"/>
        <w:rPr>
          <w:sz w:val="20"/>
          <w:szCs w:val="20"/>
          <w:color w:val="auto"/>
        </w:rPr>
      </w:pPr>
    </w:p>
    <w:p>
      <w:pPr>
        <w:ind w:left="300" w:right="100" w:firstLine="426"/>
        <w:spacing w:after="0" w:line="264" w:lineRule="auto"/>
        <w:rPr>
          <w:sz w:val="20"/>
          <w:szCs w:val="20"/>
          <w:color w:val="auto"/>
        </w:rPr>
      </w:pPr>
      <w:r>
        <w:rPr>
          <w:rFonts w:ascii="Arial" w:cs="Arial" w:eastAsia="Arial" w:hAnsi="Arial"/>
          <w:sz w:val="18"/>
          <w:szCs w:val="18"/>
          <w:b w:val="1"/>
          <w:bCs w:val="1"/>
          <w:color w:val="auto"/>
        </w:rPr>
        <w:t>Potential Conflicts of Interest</w:t>
      </w:r>
      <w:r>
        <w:rPr>
          <w:rFonts w:ascii="Arial" w:cs="Arial" w:eastAsia="Arial" w:hAnsi="Arial"/>
          <w:sz w:val="18"/>
          <w:szCs w:val="18"/>
          <w:color w:val="auto"/>
        </w:rPr>
        <w:t>. Conflicts of interest may arise because certain of our directors and officers are also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Wynn Macau, Limited.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 Related to Share Ownership and Stockholder Matters</w:t>
      </w:r>
    </w:p>
    <w:p>
      <w:pPr>
        <w:spacing w:after="0" w:line="75" w:lineRule="exact"/>
        <w:rPr>
          <w:sz w:val="20"/>
          <w:szCs w:val="20"/>
          <w:color w:val="auto"/>
        </w:rPr>
      </w:pPr>
    </w:p>
    <w:p>
      <w:pPr>
        <w:ind w:left="720"/>
        <w:spacing w:after="0"/>
        <w:tabs>
          <w:tab w:leader="none" w:pos="2660" w:val="left"/>
        </w:tabs>
        <w:rPr>
          <w:sz w:val="20"/>
          <w:szCs w:val="20"/>
          <w:color w:val="auto"/>
        </w:rPr>
      </w:pPr>
      <w:r>
        <w:rPr>
          <w:rFonts w:ascii="Arial" w:cs="Arial" w:eastAsia="Arial" w:hAnsi="Arial"/>
          <w:sz w:val="18"/>
          <w:szCs w:val="18"/>
          <w:b w:val="1"/>
          <w:bCs w:val="1"/>
          <w:color w:val="auto"/>
        </w:rPr>
        <w:t>Controlling Interests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largest stockholders are able to exert significant influence over our operations and future direction.</w:t>
      </w:r>
    </w:p>
    <w:p>
      <w:pPr>
        <w:spacing w:after="0" w:line="158" w:lineRule="exact"/>
        <w:rPr>
          <w:sz w:val="20"/>
          <w:szCs w:val="20"/>
          <w:color w:val="auto"/>
        </w:rPr>
      </w:pPr>
    </w:p>
    <w:p>
      <w:pPr>
        <w:ind w:left="300" w:right="100" w:firstLine="426"/>
        <w:spacing w:after="0" w:line="249" w:lineRule="auto"/>
        <w:rPr>
          <w:sz w:val="20"/>
          <w:szCs w:val="20"/>
          <w:color w:val="auto"/>
        </w:rPr>
      </w:pPr>
      <w:r>
        <w:rPr>
          <w:rFonts w:ascii="Arial" w:cs="Arial" w:eastAsia="Arial" w:hAnsi="Arial"/>
          <w:sz w:val="18"/>
          <w:szCs w:val="18"/>
          <w:b w:val="1"/>
          <w:bCs w:val="1"/>
          <w:color w:val="auto"/>
        </w:rPr>
        <w:t>Volatility of Our Stock Price</w:t>
      </w:r>
      <w:r>
        <w:rPr>
          <w:rFonts w:ascii="Arial" w:cs="Arial" w:eastAsia="Arial" w:hAnsi="Arial"/>
          <w:sz w:val="18"/>
          <w:szCs w:val="18"/>
          <w:color w:val="auto"/>
        </w:rPr>
        <w:t>. Our stock price may be volatile and may fluctuate in response to a number of events and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general United States, China and world economic and financial conditions, our own quarterly operating results or changes in recommendations by securities analysts.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75" w:lineRule="exact"/>
        <w:rPr>
          <w:sz w:val="20"/>
          <w:szCs w:val="20"/>
          <w:color w:val="auto"/>
        </w:rPr>
      </w:pPr>
    </w:p>
    <w:p>
      <w:pPr>
        <w:ind w:left="300" w:right="220" w:firstLine="426"/>
        <w:spacing w:after="0" w:line="264" w:lineRule="auto"/>
        <w:rPr>
          <w:sz w:val="20"/>
          <w:szCs w:val="20"/>
          <w:color w:val="auto"/>
        </w:rPr>
      </w:pPr>
      <w:r>
        <w:rPr>
          <w:rFonts w:ascii="Arial" w:cs="Arial" w:eastAsia="Arial" w:hAnsi="Arial"/>
          <w:sz w:val="18"/>
          <w:szCs w:val="18"/>
          <w:b w:val="1"/>
          <w:bCs w:val="1"/>
          <w:color w:val="auto"/>
        </w:rPr>
        <w:t>Capital Need</w:t>
      </w:r>
      <w:r>
        <w:rPr>
          <w:rFonts w:ascii="Arial" w:cs="Arial" w:eastAsia="Arial" w:hAnsi="Arial"/>
          <w:sz w:val="18"/>
          <w:szCs w:val="18"/>
          <w:color w:val="auto"/>
        </w:rPr>
        <w:t>. We are highly leveraged and future cash flow may not be sufficient for us to meet our obligations, and we might</w:t>
      </w:r>
      <w:r>
        <w:rPr>
          <w:rFonts w:ascii="Arial" w:cs="Arial" w:eastAsia="Arial" w:hAnsi="Arial"/>
          <w:sz w:val="18"/>
          <w:szCs w:val="18"/>
          <w:b w:val="1"/>
          <w:bCs w:val="1"/>
          <w:color w:val="auto"/>
        </w:rPr>
        <w:t xml:space="preserve"> </w:t>
      </w:r>
      <w:r>
        <w:rPr>
          <w:rFonts w:ascii="Arial" w:cs="Arial" w:eastAsia="Arial" w:hAnsi="Arial"/>
          <w:sz w:val="18"/>
          <w:szCs w:val="18"/>
          <w:color w:val="auto"/>
        </w:rPr>
        <w:t>have difficulty obtaining more financing.</w:t>
      </w:r>
    </w:p>
    <w:p>
      <w:pPr>
        <w:spacing w:after="0" w:line="112" w:lineRule="exact"/>
        <w:rPr>
          <w:sz w:val="20"/>
          <w:szCs w:val="20"/>
          <w:color w:val="auto"/>
        </w:rPr>
      </w:pPr>
    </w:p>
    <w:p>
      <w:pPr>
        <w:ind w:left="300" w:firstLine="426"/>
        <w:spacing w:after="0" w:line="264" w:lineRule="auto"/>
        <w:rPr>
          <w:sz w:val="20"/>
          <w:szCs w:val="20"/>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 The agreements governing our debt facilities contain certain covenants that restrict our ability to engage</w:t>
      </w:r>
      <w:r>
        <w:rPr>
          <w:rFonts w:ascii="Arial" w:cs="Arial" w:eastAsia="Arial" w:hAnsi="Arial"/>
          <w:sz w:val="18"/>
          <w:szCs w:val="18"/>
          <w:b w:val="1"/>
          <w:bCs w:val="1"/>
          <w:color w:val="auto"/>
        </w:rPr>
        <w:t xml:space="preserve"> </w:t>
      </w:r>
      <w:r>
        <w:rPr>
          <w:rFonts w:ascii="Arial" w:cs="Arial" w:eastAsia="Arial" w:hAnsi="Arial"/>
          <w:sz w:val="18"/>
          <w:szCs w:val="18"/>
          <w:color w:val="auto"/>
        </w:rPr>
        <w:t>in certain transactions and may impair our ability to respond to changing business and economic conditions.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860"/>
          </w:cols>
          <w:pgMar w:left="320" w:top="459" w:right="7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04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80" w:lineRule="exact"/>
        <w:rPr>
          <w:sz w:val="20"/>
          <w:szCs w:val="20"/>
          <w:color w:val="auto"/>
        </w:rPr>
      </w:pPr>
    </w:p>
    <w:p>
      <w:pPr>
        <w:jc w:val="both"/>
        <w:ind w:left="300" w:right="160" w:firstLine="426"/>
        <w:spacing w:after="0" w:line="237" w:lineRule="auto"/>
        <w:rPr>
          <w:sz w:val="20"/>
          <w:szCs w:val="20"/>
          <w:color w:val="auto"/>
        </w:rPr>
      </w:pPr>
      <w:r>
        <w:rPr>
          <w:rFonts w:ascii="Arial" w:cs="Arial" w:eastAsia="Arial" w:hAnsi="Arial"/>
          <w:sz w:val="18"/>
          <w:szCs w:val="18"/>
          <w:color w:val="auto"/>
        </w:rPr>
        <w:t>The selected data presented below as of and for the years ended December 31, 2019, 2018 and 2017 is derived from our audited consolidated financial statements incorporated by reference herein. The selected data presented below as of September 30, 2020 and for the nine months ended September 30, 2020 and 2019 is derived from our unaudited consolidated financial statements incorporated by reference herein.</w:t>
      </w:r>
    </w:p>
    <w:p>
      <w:pPr>
        <w:spacing w:after="0" w:line="154"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incorporated by reference from our 2019 10-K and Q3 2020 10-Q as well as the other information contained in this prospectus supplement.</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3"/>
                <w:szCs w:val="13"/>
                <w:b w:val="1"/>
                <w:bCs w:val="1"/>
                <w:color w:val="auto"/>
              </w:rPr>
              <w:t>2020(1)(2)(5)</w:t>
            </w: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2019(1)(2)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3"/>
                <w:szCs w:val="13"/>
                <w:b w:val="1"/>
                <w:bCs w:val="1"/>
                <w:color w:val="auto"/>
              </w:rPr>
              <w:t>2019(1)(2)</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2018(2)(3)</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3"/>
                <w:szCs w:val="13"/>
                <w:b w:val="1"/>
                <w:bCs w:val="1"/>
                <w:color w:val="auto"/>
              </w:rPr>
              <w:t>2017(2)(4)</w:t>
            </w:r>
          </w:p>
        </w:tc>
        <w:tc>
          <w:tcPr>
            <w:tcW w:w="1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Income Data: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1,409,866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4,957,640</w:t>
            </w:r>
          </w:p>
        </w:tc>
        <w:tc>
          <w:tcPr>
            <w:tcW w:w="180" w:type="dxa"/>
            <w:vAlign w:val="bottom"/>
          </w:tcPr>
          <w:p>
            <w:pPr>
              <w:spacing w:after="0"/>
              <w:rPr>
                <w:sz w:val="17"/>
                <w:szCs w:val="17"/>
                <w:color w:val="auto"/>
              </w:rPr>
            </w:pP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97"/>
              </w:rPr>
              <w:t>6,611,099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w w:val="99"/>
              </w:rPr>
              <w:t>6,717,660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6,070,160</w:t>
            </w:r>
          </w:p>
        </w:tc>
        <w:tc>
          <w:tcPr>
            <w:tcW w:w="12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5,614</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102,009</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53,490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26,692</w:t>
            </w: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(1,053,434)</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651,727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878,305</w:t>
            </w:r>
          </w:p>
        </w:tc>
        <w:tc>
          <w:tcPr>
            <w:tcW w:w="24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735,544</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1,055,565</w:t>
            </w:r>
          </w:p>
        </w:tc>
        <w:tc>
          <w:tcPr>
            <w:tcW w:w="12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(2,016,655)</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311,378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803,084</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889,254</w:t>
            </w: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w w:val="99"/>
              </w:rPr>
              <w:t>Net (income) loss attributable to noncontrolling 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218,912</w:t>
            </w: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(132,921)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(188,393)</w:t>
            </w:r>
          </w:p>
        </w:tc>
        <w:tc>
          <w:tcPr>
            <w:tcW w:w="240" w:type="dxa"/>
            <w:vAlign w:val="bottom"/>
          </w:tcPr>
          <w:p>
            <w:pPr>
              <w:spacing w:after="0"/>
              <w:rPr>
                <w:sz w:val="17"/>
                <w:szCs w:val="17"/>
                <w:color w:val="auto"/>
              </w:rPr>
            </w:pPr>
          </w:p>
        </w:tc>
        <w:tc>
          <w:tcPr>
            <w:tcW w:w="10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(230,654)</w:t>
            </w:r>
          </w:p>
        </w:tc>
        <w:tc>
          <w:tcPr>
            <w:tcW w:w="2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(142,073)</w:t>
            </w:r>
          </w:p>
        </w:tc>
      </w:tr>
      <w:tr>
        <w:trPr>
          <w:trHeight w:val="206"/>
        </w:trPr>
        <w:tc>
          <w:tcPr>
            <w:tcW w:w="4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(loss) attributable to Wynn Resorts,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43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Limited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8"/>
              <w:spacing w:after="0" w:line="200" w:lineRule="exact"/>
              <w:rPr>
                <w:sz w:val="20"/>
                <w:szCs w:val="20"/>
                <w:color w:val="auto"/>
              </w:rPr>
            </w:pPr>
            <w:r>
              <w:rPr>
                <w:rFonts w:ascii="Arial" w:cs="Arial" w:eastAsia="Arial" w:hAnsi="Arial"/>
                <w:sz w:val="18"/>
                <w:szCs w:val="18"/>
                <w:color w:val="auto"/>
              </w:rPr>
              <w:t>(1,797,743)</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195,927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line="200" w:lineRule="exact"/>
              <w:rPr>
                <w:sz w:val="20"/>
                <w:szCs w:val="20"/>
                <w:color w:val="auto"/>
              </w:rPr>
            </w:pPr>
            <w:r>
              <w:rPr>
                <w:rFonts w:ascii="Arial" w:cs="Arial" w:eastAsia="Arial" w:hAnsi="Arial"/>
                <w:sz w:val="18"/>
                <w:szCs w:val="18"/>
                <w:color w:val="auto"/>
              </w:rPr>
              <w:t>122,985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line="200" w:lineRule="exact"/>
              <w:rPr>
                <w:sz w:val="20"/>
                <w:szCs w:val="20"/>
                <w:color w:val="auto"/>
              </w:rPr>
            </w:pPr>
            <w:r>
              <w:rPr>
                <w:rFonts w:ascii="Arial" w:cs="Arial" w:eastAsia="Arial" w:hAnsi="Arial"/>
                <w:sz w:val="18"/>
                <w:szCs w:val="18"/>
                <w:color w:val="auto"/>
              </w:rPr>
              <w:t>572,430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747,181</w:t>
            </w: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Basic income (loss) per share</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(16.85)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180" w:type="dxa"/>
            <w:vAlign w:val="bottom"/>
          </w:tcPr>
          <w:p>
            <w:pPr>
              <w:spacing w:after="0"/>
              <w:rPr>
                <w:sz w:val="17"/>
                <w:szCs w:val="17"/>
                <w:color w:val="auto"/>
              </w:rPr>
            </w:pP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1.15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5.37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12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income (loss) per share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(16.85)</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7"/>
                <w:szCs w:val="17"/>
                <w:color w:val="auto"/>
              </w:rPr>
            </w:pPr>
          </w:p>
        </w:tc>
      </w:tr>
    </w:tbl>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jc w:val="center"/>
              <w:ind w:right="193"/>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8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As of December 31,</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4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4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4140" w:type="dxa"/>
            <w:vAlign w:val="bottom"/>
          </w:tcPr>
          <w:p>
            <w:pPr>
              <w:spacing w:after="0"/>
              <w:rPr>
                <w:sz w:val="14"/>
                <w:szCs w:val="14"/>
                <w:color w:val="auto"/>
              </w:rPr>
            </w:pPr>
          </w:p>
        </w:tc>
        <w:tc>
          <w:tcPr>
            <w:tcW w:w="2520" w:type="dxa"/>
            <w:vAlign w:val="bottom"/>
            <w:gridSpan w:val="2"/>
          </w:tcPr>
          <w:p>
            <w:pPr>
              <w:jc w:val="center"/>
              <w:ind w:left="936"/>
              <w:spacing w:after="0"/>
              <w:rPr>
                <w:sz w:val="20"/>
                <w:szCs w:val="20"/>
                <w:color w:val="auto"/>
              </w:rPr>
            </w:pPr>
            <w:r>
              <w:rPr>
                <w:rFonts w:ascii="Arial" w:cs="Arial" w:eastAsia="Arial" w:hAnsi="Arial"/>
                <w:sz w:val="13"/>
                <w:szCs w:val="13"/>
                <w:b w:val="1"/>
                <w:bCs w:val="1"/>
                <w:color w:val="auto"/>
              </w:rPr>
              <w:t>2020</w:t>
            </w:r>
          </w:p>
        </w:tc>
        <w:tc>
          <w:tcPr>
            <w:tcW w:w="1300" w:type="dxa"/>
            <w:vAlign w:val="bottom"/>
            <w:gridSpan w:val="2"/>
          </w:tcPr>
          <w:p>
            <w:pPr>
              <w:jc w:val="right"/>
              <w:ind w:right="413"/>
              <w:spacing w:after="0"/>
              <w:rPr>
                <w:sz w:val="20"/>
                <w:szCs w:val="20"/>
                <w:color w:val="auto"/>
              </w:rPr>
            </w:pPr>
            <w:r>
              <w:rPr>
                <w:rFonts w:ascii="Arial" w:cs="Arial" w:eastAsia="Arial" w:hAnsi="Arial"/>
                <w:sz w:val="13"/>
                <w:szCs w:val="13"/>
                <w:b w:val="1"/>
                <w:bCs w:val="1"/>
                <w:color w:val="auto"/>
              </w:rPr>
              <w:t>2019</w:t>
            </w:r>
          </w:p>
        </w:tc>
        <w:tc>
          <w:tcPr>
            <w:tcW w:w="1480" w:type="dxa"/>
            <w:vAlign w:val="bottom"/>
          </w:tcPr>
          <w:p>
            <w:pPr>
              <w:jc w:val="right"/>
              <w:ind w:right="518"/>
              <w:spacing w:after="0"/>
              <w:rPr>
                <w:sz w:val="20"/>
                <w:szCs w:val="20"/>
                <w:color w:val="auto"/>
              </w:rPr>
            </w:pPr>
            <w:r>
              <w:rPr>
                <w:rFonts w:ascii="Arial" w:cs="Arial" w:eastAsia="Arial" w:hAnsi="Arial"/>
                <w:sz w:val="13"/>
                <w:szCs w:val="13"/>
                <w:b w:val="1"/>
                <w:bCs w:val="1"/>
                <w:color w:val="auto"/>
              </w:rPr>
              <w:t>2018</w:t>
            </w:r>
          </w:p>
        </w:tc>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2"/>
          </w:tcPr>
          <w:p>
            <w:pPr>
              <w:jc w:val="right"/>
              <w:ind w:right="898"/>
              <w:spacing w:after="0" w:line="142" w:lineRule="exact"/>
              <w:rPr>
                <w:sz w:val="20"/>
                <w:szCs w:val="20"/>
                <w:color w:val="auto"/>
              </w:rPr>
            </w:pPr>
            <w:r>
              <w:rPr>
                <w:rFonts w:ascii="Arial" w:cs="Arial" w:eastAsia="Arial" w:hAnsi="Arial"/>
                <w:sz w:val="13"/>
                <w:szCs w:val="13"/>
                <w:b w:val="1"/>
                <w:bCs w:val="1"/>
                <w:color w:val="auto"/>
              </w:rPr>
              <w:t>(in thousands)</w:t>
            </w:r>
          </w:p>
        </w:tc>
        <w:tc>
          <w:tcPr>
            <w:tcW w:w="1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520" w:type="dxa"/>
            <w:vAlign w:val="bottom"/>
            <w:gridSpan w:val="2"/>
          </w:tcPr>
          <w:p>
            <w:pPr>
              <w:jc w:val="right"/>
              <w:ind w:right="173"/>
              <w:spacing w:after="0" w:line="202" w:lineRule="exact"/>
              <w:rPr>
                <w:sz w:val="20"/>
                <w:szCs w:val="20"/>
                <w:color w:val="auto"/>
              </w:rPr>
            </w:pPr>
            <w:r>
              <w:rPr>
                <w:rFonts w:ascii="Arial" w:cs="Arial" w:eastAsia="Arial" w:hAnsi="Arial"/>
                <w:sz w:val="18"/>
                <w:szCs w:val="18"/>
                <w:color w:val="auto"/>
              </w:rPr>
              <w:t>$  3,554,895</w:t>
            </w:r>
          </w:p>
        </w:tc>
        <w:tc>
          <w:tcPr>
            <w:tcW w:w="1300" w:type="dxa"/>
            <w:vAlign w:val="bottom"/>
            <w:gridSpan w:val="2"/>
          </w:tcPr>
          <w:p>
            <w:pPr>
              <w:jc w:val="right"/>
              <w:ind w:right="53"/>
              <w:spacing w:after="0" w:line="202" w:lineRule="exact"/>
              <w:rPr>
                <w:sz w:val="20"/>
                <w:szCs w:val="20"/>
                <w:color w:val="auto"/>
              </w:rPr>
            </w:pPr>
            <w:r>
              <w:rPr>
                <w:rFonts w:ascii="Arial" w:cs="Arial" w:eastAsia="Arial" w:hAnsi="Arial"/>
                <w:sz w:val="18"/>
                <w:szCs w:val="18"/>
                <w:color w:val="auto"/>
              </w:rPr>
              <w:t>$  2,351,904</w:t>
            </w:r>
          </w:p>
        </w:tc>
        <w:tc>
          <w:tcPr>
            <w:tcW w:w="14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  2,215,001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  2,804,474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2520" w:type="dxa"/>
            <w:vAlign w:val="bottom"/>
            <w:gridSpan w:val="2"/>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127,140</w:t>
            </w:r>
          </w:p>
        </w:tc>
        <w:tc>
          <w:tcPr>
            <w:tcW w:w="1300" w:type="dxa"/>
            <w:vAlign w:val="bottom"/>
            <w:gridSpan w:val="2"/>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477,333</w:t>
            </w:r>
          </w:p>
        </w:tc>
        <w:tc>
          <w:tcPr>
            <w:tcW w:w="148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1,912,801</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1,016,207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520" w:type="dxa"/>
            <w:vAlign w:val="bottom"/>
            <w:gridSpan w:val="2"/>
          </w:tcPr>
          <w:p>
            <w:pPr>
              <w:jc w:val="right"/>
              <w:ind w:right="173"/>
              <w:spacing w:after="0" w:line="202" w:lineRule="exact"/>
              <w:rPr>
                <w:sz w:val="20"/>
                <w:szCs w:val="20"/>
                <w:color w:val="auto"/>
              </w:rPr>
            </w:pPr>
            <w:r>
              <w:rPr>
                <w:rFonts w:ascii="Arial" w:cs="Arial" w:eastAsia="Arial" w:hAnsi="Arial"/>
                <w:sz w:val="18"/>
                <w:szCs w:val="18"/>
                <w:color w:val="auto"/>
              </w:rPr>
              <w:t>13,967,116</w:t>
            </w:r>
          </w:p>
        </w:tc>
        <w:tc>
          <w:tcPr>
            <w:tcW w:w="1300" w:type="dxa"/>
            <w:vAlign w:val="bottom"/>
            <w:gridSpan w:val="2"/>
          </w:tcPr>
          <w:p>
            <w:pPr>
              <w:jc w:val="right"/>
              <w:ind w:right="53"/>
              <w:spacing w:after="0" w:line="202" w:lineRule="exact"/>
              <w:rPr>
                <w:sz w:val="20"/>
                <w:szCs w:val="20"/>
                <w:color w:val="auto"/>
              </w:rPr>
            </w:pPr>
            <w:r>
              <w:rPr>
                <w:rFonts w:ascii="Arial" w:cs="Arial" w:eastAsia="Arial" w:hAnsi="Arial"/>
                <w:sz w:val="18"/>
                <w:szCs w:val="18"/>
                <w:color w:val="auto"/>
              </w:rPr>
              <w:t>13,871,281</w:t>
            </w:r>
          </w:p>
        </w:tc>
        <w:tc>
          <w:tcPr>
            <w:tcW w:w="14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13,216,269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12,681,739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long-term obligations(6)</w:t>
            </w:r>
          </w:p>
        </w:tc>
        <w:tc>
          <w:tcPr>
            <w:tcW w:w="2520" w:type="dxa"/>
            <w:vAlign w:val="bottom"/>
            <w:gridSpan w:val="2"/>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12,825,047</w:t>
            </w:r>
          </w:p>
        </w:tc>
        <w:tc>
          <w:tcPr>
            <w:tcW w:w="1300" w:type="dxa"/>
            <w:vAlign w:val="bottom"/>
            <w:gridSpan w:val="2"/>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10,346,925</w:t>
            </w:r>
          </w:p>
        </w:tc>
        <w:tc>
          <w:tcPr>
            <w:tcW w:w="148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9,519,417</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9,673,099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520" w:type="dxa"/>
            <w:vAlign w:val="bottom"/>
            <w:gridSpan w:val="2"/>
          </w:tcPr>
          <w:p>
            <w:pPr>
              <w:jc w:val="right"/>
              <w:ind w:right="113"/>
              <w:spacing w:after="0"/>
              <w:rPr>
                <w:sz w:val="20"/>
                <w:szCs w:val="20"/>
                <w:color w:val="auto"/>
              </w:rPr>
            </w:pPr>
            <w:r>
              <w:rPr>
                <w:rFonts w:ascii="Arial" w:cs="Arial" w:eastAsia="Arial" w:hAnsi="Arial"/>
                <w:sz w:val="18"/>
                <w:szCs w:val="18"/>
                <w:color w:val="auto"/>
              </w:rPr>
              <w:t>(546,631)</w:t>
            </w:r>
          </w:p>
        </w:tc>
        <w:tc>
          <w:tcPr>
            <w:tcW w:w="1300" w:type="dxa"/>
            <w:vAlign w:val="bottom"/>
            <w:gridSpan w:val="2"/>
          </w:tcPr>
          <w:p>
            <w:pPr>
              <w:jc w:val="right"/>
              <w:ind w:right="53"/>
              <w:spacing w:after="0"/>
              <w:rPr>
                <w:sz w:val="20"/>
                <w:szCs w:val="20"/>
                <w:color w:val="auto"/>
              </w:rPr>
            </w:pPr>
            <w:r>
              <w:rPr>
                <w:rFonts w:ascii="Arial" w:cs="Arial" w:eastAsia="Arial" w:hAnsi="Arial"/>
                <w:sz w:val="18"/>
                <w:szCs w:val="18"/>
                <w:color w:val="auto"/>
              </w:rPr>
              <w:t>1,541,472</w:t>
            </w:r>
          </w:p>
        </w:tc>
        <w:tc>
          <w:tcPr>
            <w:tcW w:w="1480" w:type="dxa"/>
            <w:vAlign w:val="bottom"/>
          </w:tcPr>
          <w:p>
            <w:pPr>
              <w:jc w:val="right"/>
              <w:ind w:right="158"/>
              <w:spacing w:after="0"/>
              <w:rPr>
                <w:sz w:val="20"/>
                <w:szCs w:val="20"/>
                <w:color w:val="auto"/>
              </w:rPr>
            </w:pPr>
            <w:r>
              <w:rPr>
                <w:rFonts w:ascii="Arial" w:cs="Arial" w:eastAsia="Arial" w:hAnsi="Arial"/>
                <w:sz w:val="18"/>
                <w:szCs w:val="18"/>
                <w:color w:val="auto"/>
              </w:rPr>
              <w:t>1,814,789</w:t>
            </w:r>
          </w:p>
        </w:tc>
        <w:tc>
          <w:tcPr>
            <w:tcW w:w="1140" w:type="dxa"/>
            <w:vAlign w:val="bottom"/>
          </w:tcPr>
          <w:p>
            <w:pPr>
              <w:jc w:val="right"/>
              <w:spacing w:after="0"/>
              <w:rPr>
                <w:sz w:val="20"/>
                <w:szCs w:val="20"/>
                <w:color w:val="auto"/>
              </w:rPr>
            </w:pPr>
            <w:r>
              <w:rPr>
                <w:rFonts w:ascii="Arial" w:cs="Arial" w:eastAsia="Arial" w:hAnsi="Arial"/>
                <w:sz w:val="18"/>
                <w:szCs w:val="18"/>
                <w:color w:val="auto"/>
              </w:rPr>
              <w:t>1,078,350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20" w:hanging="422"/>
        <w:spacing w:after="0"/>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Encore Boston Harbor opened on June 23, 2019.</w:t>
      </w:r>
    </w:p>
    <w:p>
      <w:pPr>
        <w:ind w:left="720" w:right="100" w:hanging="422"/>
        <w:spacing w:after="0" w:line="238" w:lineRule="auto"/>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The results presented reflect the Company’s adoption of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xml:space="preserve"> (“ASC 606”), effective January 1, 2018. 2017 operating revenues have been adjusted to reflect the full retrospective adoption of ASC 606, with no impact to operating income or net income. See Item 8—“Financial Statements and Supplementary Data,” Note 2, “Basis of Presentation and Significant Accounting Policies” in our 2019 10-K, incorporated by reference herein.</w:t>
      </w:r>
    </w:p>
    <w:p>
      <w:pPr>
        <w:ind w:left="720" w:right="260" w:hanging="422"/>
        <w:spacing w:after="0" w:line="243" w:lineRule="auto"/>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the fourth quarter of 2018, we recorded a tax benefit of $390.9 million related to clarified U.S. tax reform guidance issued by the Internal Revenue Service in the fourth quarter of 2018, which was incremental to the provisional tax benefit recorded during the fourth quarter of 2017. See Item 8—“Financial Statements and Supplementary Data,” Note 13, “Income Taxes” in our 2019 10-K, incorporated by reference herein. Additionally, the Company incurred a litigation settlement expense totaling $463.6 million in 2018. See Item 8—“Financial Statements and Supplementary Data,” Note 7, “Long-Term Debt” in our 2019 10-K, incorporated by reference herein.</w:t>
      </w: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92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998970" cy="7924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20" w:right="260" w:hanging="422"/>
        <w:spacing w:after="0" w:line="238" w:lineRule="auto"/>
        <w:tabs>
          <w:tab w:leader="none" w:pos="720" w:val="left"/>
        </w:tabs>
        <w:numPr>
          <w:ilvl w:val="0"/>
          <w:numId w:val="9"/>
        </w:numPr>
        <w:rPr>
          <w:rFonts w:ascii="Arial" w:cs="Arial" w:eastAsia="Arial" w:hAnsi="Arial"/>
          <w:sz w:val="13"/>
          <w:szCs w:val="13"/>
          <w:color w:val="auto"/>
        </w:rPr>
      </w:pPr>
      <w:r>
        <w:rPr>
          <w:rFonts w:ascii="Arial" w:cs="Arial" w:eastAsia="Arial" w:hAnsi="Arial"/>
          <w:sz w:val="13"/>
          <w:szCs w:val="13"/>
          <w:color w:val="auto"/>
        </w:rPr>
        <w:t>During the fourth quarter of 2017, we recorded a provisional income tax benefit of $339.9 million related to the enactment of U.S. tax reform. See Item 8—“Financial Statements and Supplementary Data,” Note 13, “Income Taxes” in our 2019 10-K, incorporated by reference herein.</w:t>
      </w:r>
    </w:p>
    <w:p>
      <w:pPr>
        <w:ind w:left="720" w:hanging="422"/>
        <w:spacing w:after="0" w:line="238" w:lineRule="auto"/>
        <w:tabs>
          <w:tab w:leader="none" w:pos="720" w:val="left"/>
        </w:tabs>
        <w:numPr>
          <w:ilvl w:val="0"/>
          <w:numId w:val="9"/>
        </w:numPr>
        <w:rPr>
          <w:rFonts w:ascii="Arial" w:cs="Arial" w:eastAsia="Arial" w:hAnsi="Arial"/>
          <w:sz w:val="13"/>
          <w:szCs w:val="13"/>
          <w:color w:val="auto"/>
        </w:rPr>
      </w:pPr>
      <w:r>
        <w:rPr>
          <w:rFonts w:ascii="Arial" w:cs="Arial" w:eastAsia="Arial" w:hAnsi="Arial"/>
          <w:sz w:val="13"/>
          <w:szCs w:val="13"/>
          <w:color w:val="auto"/>
        </w:rPr>
        <w:t>Net loss and Net loss attributable to Wynn Resorts for the nine-month period ended September 30, 2020 reflects a provision for income taxes of $564.1 million, primarily related to an increase in the valuation allowances for U.S. foreign tax credits, U.S. loss carryforwards and other U.S. deferred tax assets.</w:t>
      </w:r>
    </w:p>
    <w:p>
      <w:pPr>
        <w:ind w:left="720" w:right="320" w:hanging="422"/>
        <w:spacing w:after="0" w:line="248" w:lineRule="auto"/>
        <w:tabs>
          <w:tab w:leader="none" w:pos="7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long-term debt, other long-term liabilities, and deferred income tax liabilities, net. In addition, the September 30, 2020 and December 31, 2019 information includes long-term operating lease liabilities recorded in connection with the adoption of ASC 842 on January 1, 2019 and, as a result, are not comparable to December 31, 2018 and 2017 information.</w:t>
      </w:r>
    </w:p>
    <w:p>
      <w:pPr>
        <w:spacing w:after="0" w:line="14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740"/>
          </w:cols>
          <w:pgMar w:left="320" w:top="459" w:right="8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24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300" w:right="280" w:firstLine="426"/>
        <w:spacing w:after="0" w:line="243" w:lineRule="auto"/>
        <w:rPr>
          <w:sz w:val="20"/>
          <w:szCs w:val="20"/>
          <w:color w:val="auto"/>
        </w:rPr>
      </w:pPr>
      <w:r>
        <w:rPr>
          <w:rFonts w:ascii="Arial" w:cs="Arial" w:eastAsia="Arial" w:hAnsi="Arial"/>
          <w:sz w:val="18"/>
          <w:szCs w:val="18"/>
          <w:i w:val="1"/>
          <w:iCs w:val="1"/>
          <w:color w:val="auto"/>
        </w:rPr>
        <w:t>The following summary contains basic information about this offering. This summary is not intended to be complete. You should read the full text and more specific details contained elsewhere in this prospectus supplement and the accompanying prospectus. For a more complete description of the shares of Common Stock, see the description of our Common Stock set forth in Exhibit 4.2 to our 2019 10-K, which is incorporated by reference herein.</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Issuer</w:t>
            </w:r>
          </w:p>
        </w:tc>
        <w:tc>
          <w:tcPr>
            <w:tcW w:w="6880" w:type="dxa"/>
            <w:vAlign w:val="bottom"/>
          </w:tcPr>
          <w:p>
            <w:pPr>
              <w:ind w:left="80"/>
              <w:spacing w:after="0"/>
              <w:rPr>
                <w:sz w:val="20"/>
                <w:szCs w:val="20"/>
                <w:color w:val="auto"/>
              </w:rPr>
            </w:pPr>
            <w:r>
              <w:rPr>
                <w:rFonts w:ascii="Arial" w:cs="Arial" w:eastAsia="Arial" w:hAnsi="Arial"/>
                <w:sz w:val="18"/>
                <w:szCs w:val="18"/>
                <w:color w:val="auto"/>
              </w:rPr>
              <w:t>Wynn Resorts, Limited, a Nevada corporation.</w:t>
            </w:r>
          </w:p>
        </w:tc>
      </w:tr>
      <w:tr>
        <w:trPr>
          <w:trHeight w:val="410"/>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Common Stock Offered</w:t>
            </w:r>
          </w:p>
        </w:tc>
        <w:tc>
          <w:tcPr>
            <w:tcW w:w="6880" w:type="dxa"/>
            <w:vAlign w:val="bottom"/>
          </w:tcPr>
          <w:p>
            <w:pPr>
              <w:ind w:left="80"/>
              <w:spacing w:after="0"/>
              <w:rPr>
                <w:sz w:val="20"/>
                <w:szCs w:val="20"/>
                <w:color w:val="auto"/>
              </w:rPr>
            </w:pPr>
            <w:r>
              <w:rPr>
                <w:rFonts w:ascii="Arial" w:cs="Arial" w:eastAsia="Arial" w:hAnsi="Arial"/>
                <w:sz w:val="18"/>
                <w:szCs w:val="18"/>
                <w:color w:val="auto"/>
              </w:rPr>
              <w:t>6,500,000 shares of Common Stock (or 7,475,000 shares of Common Stock if the</w:t>
            </w:r>
          </w:p>
        </w:tc>
      </w:tr>
      <w:tr>
        <w:trPr>
          <w:trHeight w:val="203"/>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underwriters exercise their option to purchase additional shares of Common Stock in</w:t>
            </w:r>
          </w:p>
        </w:tc>
      </w:tr>
      <w:tr>
        <w:trPr>
          <w:trHeight w:val="211"/>
        </w:trPr>
        <w:tc>
          <w:tcPr>
            <w:tcW w:w="414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full).</w:t>
            </w:r>
          </w:p>
        </w:tc>
      </w:tr>
      <w:tr>
        <w:trPr>
          <w:trHeight w:val="375"/>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Underwriters’ option to purchase additional</w:t>
            </w:r>
          </w:p>
        </w:tc>
        <w:tc>
          <w:tcPr>
            <w:tcW w:w="6880" w:type="dxa"/>
            <w:vAlign w:val="bottom"/>
          </w:tcPr>
          <w:p>
            <w:pPr>
              <w:ind w:left="80"/>
              <w:spacing w:after="0"/>
              <w:rPr>
                <w:sz w:val="20"/>
                <w:szCs w:val="20"/>
                <w:color w:val="auto"/>
              </w:rPr>
            </w:pPr>
            <w:r>
              <w:rPr>
                <w:rFonts w:ascii="Arial" w:cs="Arial" w:eastAsia="Arial" w:hAnsi="Arial"/>
                <w:sz w:val="18"/>
                <w:szCs w:val="18"/>
                <w:color w:val="auto"/>
              </w:rPr>
              <w:t>We have granted the underwriters a 30-day option to purchase from us up to an</w:t>
            </w:r>
          </w:p>
        </w:tc>
      </w:tr>
      <w:tr>
        <w:trPr>
          <w:trHeight w:val="233"/>
        </w:trPr>
        <w:tc>
          <w:tcPr>
            <w:tcW w:w="4140" w:type="dxa"/>
            <w:vAlign w:val="bottom"/>
          </w:tcPr>
          <w:p>
            <w:pPr>
              <w:ind w:left="260"/>
              <w:spacing w:after="0"/>
              <w:rPr>
                <w:sz w:val="20"/>
                <w:szCs w:val="20"/>
                <w:color w:val="auto"/>
              </w:rPr>
            </w:pPr>
            <w:r>
              <w:rPr>
                <w:rFonts w:ascii="Arial" w:cs="Arial" w:eastAsia="Arial" w:hAnsi="Arial"/>
                <w:sz w:val="18"/>
                <w:szCs w:val="18"/>
                <w:b w:val="1"/>
                <w:bCs w:val="1"/>
                <w:color w:val="auto"/>
              </w:rPr>
              <w:t>shares</w:t>
            </w:r>
          </w:p>
        </w:tc>
        <w:tc>
          <w:tcPr>
            <w:tcW w:w="6880" w:type="dxa"/>
            <w:vAlign w:val="bottom"/>
          </w:tcPr>
          <w:p>
            <w:pPr>
              <w:ind w:left="80"/>
              <w:spacing w:after="0"/>
              <w:rPr>
                <w:sz w:val="20"/>
                <w:szCs w:val="20"/>
                <w:color w:val="auto"/>
              </w:rPr>
            </w:pPr>
            <w:r>
              <w:rPr>
                <w:rFonts w:ascii="Arial" w:cs="Arial" w:eastAsia="Arial" w:hAnsi="Arial"/>
                <w:sz w:val="18"/>
                <w:szCs w:val="18"/>
                <w:color w:val="auto"/>
              </w:rPr>
              <w:t>additional 975,000 shares of Common Stock.</w:t>
            </w:r>
          </w:p>
        </w:tc>
      </w:tr>
      <w:tr>
        <w:trPr>
          <w:trHeight w:val="388"/>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w w:val="98"/>
              </w:rPr>
              <w:t>Common Stock to be Outstanding Immediately</w:t>
            </w:r>
          </w:p>
        </w:tc>
        <w:tc>
          <w:tcPr>
            <w:tcW w:w="6880" w:type="dxa"/>
            <w:vAlign w:val="bottom"/>
          </w:tcPr>
          <w:p>
            <w:pPr>
              <w:ind w:left="80"/>
              <w:spacing w:after="0"/>
              <w:rPr>
                <w:sz w:val="20"/>
                <w:szCs w:val="20"/>
                <w:color w:val="auto"/>
              </w:rPr>
            </w:pPr>
            <w:r>
              <w:rPr>
                <w:rFonts w:ascii="Arial" w:cs="Arial" w:eastAsia="Arial" w:hAnsi="Arial"/>
                <w:sz w:val="18"/>
                <w:szCs w:val="18"/>
                <w:color w:val="auto"/>
              </w:rPr>
              <w:t>114,641,357 shares of Common Stock (or 115,616,357 shares of Common Stock if</w:t>
            </w:r>
          </w:p>
        </w:tc>
      </w:tr>
      <w:tr>
        <w:trPr>
          <w:trHeight w:val="224"/>
        </w:trPr>
        <w:tc>
          <w:tcPr>
            <w:tcW w:w="4140" w:type="dxa"/>
            <w:vAlign w:val="bottom"/>
          </w:tcPr>
          <w:p>
            <w:pPr>
              <w:ind w:left="260"/>
              <w:spacing w:after="0"/>
              <w:rPr>
                <w:sz w:val="20"/>
                <w:szCs w:val="20"/>
                <w:color w:val="auto"/>
              </w:rPr>
            </w:pPr>
            <w:r>
              <w:rPr>
                <w:rFonts w:ascii="Arial" w:cs="Arial" w:eastAsia="Arial" w:hAnsi="Arial"/>
                <w:sz w:val="18"/>
                <w:szCs w:val="18"/>
                <w:b w:val="1"/>
                <w:bCs w:val="1"/>
                <w:color w:val="auto"/>
              </w:rPr>
              <w:t>Following this Offering</w:t>
            </w:r>
          </w:p>
        </w:tc>
        <w:tc>
          <w:tcPr>
            <w:tcW w:w="6880" w:type="dxa"/>
            <w:vAlign w:val="bottom"/>
          </w:tcPr>
          <w:p>
            <w:pPr>
              <w:ind w:left="80"/>
              <w:spacing w:after="0"/>
              <w:rPr>
                <w:sz w:val="20"/>
                <w:szCs w:val="20"/>
                <w:color w:val="auto"/>
              </w:rPr>
            </w:pPr>
            <w:r>
              <w:rPr>
                <w:rFonts w:ascii="Arial" w:cs="Arial" w:eastAsia="Arial" w:hAnsi="Arial"/>
                <w:sz w:val="18"/>
                <w:szCs w:val="18"/>
                <w:color w:val="auto"/>
              </w:rPr>
              <w:t>the underwriters exercise their option to purchase additional shares of Common</w:t>
            </w:r>
          </w:p>
        </w:tc>
      </w:tr>
      <w:tr>
        <w:trPr>
          <w:trHeight w:val="211"/>
        </w:trPr>
        <w:tc>
          <w:tcPr>
            <w:tcW w:w="414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Stock in full) (in each case, based on shares outstanding on February 4, 2021).</w:t>
            </w:r>
          </w:p>
        </w:tc>
      </w:tr>
      <w:tr>
        <w:trPr>
          <w:trHeight w:val="397"/>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6880" w:type="dxa"/>
            <w:vAlign w:val="bottom"/>
          </w:tcPr>
          <w:p>
            <w:pPr>
              <w:ind w:left="80"/>
              <w:spacing w:after="0"/>
              <w:rPr>
                <w:sz w:val="20"/>
                <w:szCs w:val="20"/>
                <w:color w:val="auto"/>
              </w:rPr>
            </w:pPr>
            <w:r>
              <w:rPr>
                <w:rFonts w:ascii="Arial" w:cs="Arial" w:eastAsia="Arial" w:hAnsi="Arial"/>
                <w:sz w:val="18"/>
                <w:szCs w:val="18"/>
                <w:color w:val="auto"/>
              </w:rPr>
              <w:t>We estimate that the net proceeds from this offering will be approximately</w:t>
            </w:r>
          </w:p>
        </w:tc>
      </w:tr>
      <w:tr>
        <w:trPr>
          <w:trHeight w:val="203"/>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$732.6 million (or $842.4 million if the underwriters exercise their option to purchase</w:t>
            </w:r>
          </w:p>
        </w:tc>
      </w:tr>
      <w:tr>
        <w:trPr>
          <w:trHeight w:val="203"/>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additional shares in full), after deducting underwriting discounts, and excluding</w:t>
            </w:r>
          </w:p>
        </w:tc>
      </w:tr>
      <w:tr>
        <w:trPr>
          <w:trHeight w:val="203"/>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estimated offering expenses payable by us. We expect to use the net proceeds from</w:t>
            </w:r>
          </w:p>
        </w:tc>
      </w:tr>
      <w:tr>
        <w:trPr>
          <w:trHeight w:val="202"/>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the sale of the shares for general corporate purposes. General corporate purposes</w:t>
            </w:r>
          </w:p>
        </w:tc>
      </w:tr>
      <w:tr>
        <w:trPr>
          <w:trHeight w:val="203"/>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may include capital expenditures, additions to working capital, investments in our</w:t>
            </w:r>
          </w:p>
        </w:tc>
      </w:tr>
      <w:tr>
        <w:trPr>
          <w:trHeight w:val="203"/>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subsidiaries, and repayment of indebtedness, among other things. Net proceeds</w:t>
            </w:r>
          </w:p>
        </w:tc>
      </w:tr>
      <w:tr>
        <w:trPr>
          <w:trHeight w:val="211"/>
        </w:trPr>
        <w:tc>
          <w:tcPr>
            <w:tcW w:w="414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may be temporarily invested prior to use. See “Use of Proceeds.”</w:t>
            </w:r>
          </w:p>
        </w:tc>
      </w:tr>
      <w:tr>
        <w:trPr>
          <w:trHeight w:val="397"/>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Trading Symbol for our Common Stock</w:t>
            </w:r>
          </w:p>
        </w:tc>
        <w:tc>
          <w:tcPr>
            <w:tcW w:w="6880" w:type="dxa"/>
            <w:vAlign w:val="bottom"/>
          </w:tcPr>
          <w:p>
            <w:pPr>
              <w:ind w:left="80"/>
              <w:spacing w:after="0"/>
              <w:rPr>
                <w:sz w:val="20"/>
                <w:szCs w:val="20"/>
                <w:color w:val="auto"/>
              </w:rPr>
            </w:pPr>
            <w:r>
              <w:rPr>
                <w:rFonts w:ascii="Arial" w:cs="Arial" w:eastAsia="Arial" w:hAnsi="Arial"/>
                <w:sz w:val="18"/>
                <w:szCs w:val="18"/>
                <w:color w:val="auto"/>
              </w:rPr>
              <w:t>Our common stock is listed on the Nasdaq Global Select Market under the symbol</w:t>
            </w:r>
          </w:p>
        </w:tc>
      </w:tr>
      <w:tr>
        <w:trPr>
          <w:trHeight w:val="211"/>
        </w:trPr>
        <w:tc>
          <w:tcPr>
            <w:tcW w:w="4140" w:type="dxa"/>
            <w:vAlign w:val="bottom"/>
          </w:tcPr>
          <w:p>
            <w:pPr>
              <w:spacing w:after="0"/>
              <w:rPr>
                <w:sz w:val="18"/>
                <w:szCs w:val="18"/>
                <w:color w:val="auto"/>
              </w:rPr>
            </w:pPr>
          </w:p>
        </w:tc>
        <w:tc>
          <w:tcPr>
            <w:tcW w:w="6880" w:type="dxa"/>
            <w:vAlign w:val="bottom"/>
          </w:tcPr>
          <w:p>
            <w:pPr>
              <w:ind w:left="80"/>
              <w:spacing w:after="0"/>
              <w:rPr>
                <w:sz w:val="20"/>
                <w:szCs w:val="20"/>
                <w:color w:val="auto"/>
              </w:rPr>
            </w:pPr>
            <w:r>
              <w:rPr>
                <w:rFonts w:ascii="Arial" w:cs="Arial" w:eastAsia="Arial" w:hAnsi="Arial"/>
                <w:sz w:val="18"/>
                <w:szCs w:val="18"/>
                <w:color w:val="auto"/>
              </w:rPr>
              <w:t>“WYNN.”</w:t>
            </w:r>
          </w:p>
        </w:tc>
      </w:tr>
      <w:tr>
        <w:trPr>
          <w:trHeight w:val="397"/>
        </w:trPr>
        <w:tc>
          <w:tcPr>
            <w:tcW w:w="4140" w:type="dxa"/>
            <w:vAlign w:val="bottom"/>
          </w:tcPr>
          <w:p>
            <w:pPr>
              <w:ind w:left="180"/>
              <w:spacing w:after="0"/>
              <w:rPr>
                <w:sz w:val="20"/>
                <w:szCs w:val="20"/>
                <w:color w:val="auto"/>
              </w:rPr>
            </w:pPr>
            <w:r>
              <w:rPr>
                <w:rFonts w:ascii="Arial" w:cs="Arial" w:eastAsia="Arial" w:hAnsi="Arial"/>
                <w:sz w:val="18"/>
                <w:szCs w:val="18"/>
                <w:b w:val="1"/>
                <w:bCs w:val="1"/>
                <w:color w:val="auto"/>
              </w:rPr>
              <w:t>U.S. Federal Income Tax Considerations</w:t>
            </w:r>
          </w:p>
        </w:tc>
        <w:tc>
          <w:tcPr>
            <w:tcW w:w="6880" w:type="dxa"/>
            <w:vAlign w:val="bottom"/>
          </w:tcPr>
          <w:p>
            <w:pPr>
              <w:ind w:left="80"/>
              <w:spacing w:after="0"/>
              <w:rPr>
                <w:sz w:val="20"/>
                <w:szCs w:val="20"/>
                <w:color w:val="auto"/>
              </w:rPr>
            </w:pPr>
            <w:r>
              <w:rPr>
                <w:rFonts w:ascii="Arial" w:cs="Arial" w:eastAsia="Arial" w:hAnsi="Arial"/>
                <w:sz w:val="18"/>
                <w:szCs w:val="18"/>
                <w:color w:val="auto"/>
              </w:rPr>
              <w:t>For a discussion of material U.S. federal income tax consequences to non-U.S.</w:t>
            </w:r>
          </w:p>
        </w:tc>
      </w:tr>
      <w:tr>
        <w:trPr>
          <w:trHeight w:val="203"/>
        </w:trPr>
        <w:tc>
          <w:tcPr>
            <w:tcW w:w="4140" w:type="dxa"/>
            <w:vAlign w:val="bottom"/>
          </w:tcPr>
          <w:p>
            <w:pPr>
              <w:spacing w:after="0"/>
              <w:rPr>
                <w:sz w:val="17"/>
                <w:szCs w:val="17"/>
                <w:color w:val="auto"/>
              </w:rPr>
            </w:pPr>
          </w:p>
        </w:tc>
        <w:tc>
          <w:tcPr>
            <w:tcW w:w="6880" w:type="dxa"/>
            <w:vAlign w:val="bottom"/>
          </w:tcPr>
          <w:p>
            <w:pPr>
              <w:ind w:left="80"/>
              <w:spacing w:after="0" w:line="202" w:lineRule="exact"/>
              <w:rPr>
                <w:sz w:val="20"/>
                <w:szCs w:val="20"/>
                <w:color w:val="auto"/>
              </w:rPr>
            </w:pPr>
            <w:r>
              <w:rPr>
                <w:rFonts w:ascii="Arial" w:cs="Arial" w:eastAsia="Arial" w:hAnsi="Arial"/>
                <w:sz w:val="18"/>
                <w:szCs w:val="18"/>
                <w:color w:val="auto"/>
              </w:rPr>
              <w:t>holders of holding and disposing of shares of our Common Stock, see “Material U.S.</w:t>
            </w:r>
          </w:p>
        </w:tc>
      </w:tr>
      <w:tr>
        <w:trPr>
          <w:trHeight w:val="196"/>
        </w:trPr>
        <w:tc>
          <w:tcPr>
            <w:tcW w:w="4140" w:type="dxa"/>
            <w:vAlign w:val="bottom"/>
            <w:tcBorders>
              <w:bottom w:val="single" w:sz="8" w:color="auto"/>
            </w:tcBorders>
          </w:tcPr>
          <w:p>
            <w:pPr>
              <w:spacing w:after="0"/>
              <w:rPr>
                <w:sz w:val="17"/>
                <w:szCs w:val="17"/>
                <w:color w:val="auto"/>
              </w:rPr>
            </w:pPr>
          </w:p>
        </w:tc>
        <w:tc>
          <w:tcPr>
            <w:tcW w:w="68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Federal Income Tax Consequences to Non-U.S. Holders.”</w:t>
            </w:r>
          </w:p>
        </w:tc>
      </w:tr>
      <w:tr>
        <w:trPr>
          <w:trHeight w:val="359"/>
        </w:trPr>
        <w:tc>
          <w:tcPr>
            <w:tcW w:w="4140" w:type="dxa"/>
            <w:vAlign w:val="bottom"/>
          </w:tcPr>
          <w:p>
            <w:pPr>
              <w:spacing w:after="0"/>
              <w:rPr>
                <w:sz w:val="24"/>
                <w:szCs w:val="24"/>
                <w:color w:val="auto"/>
              </w:rPr>
            </w:pPr>
          </w:p>
        </w:tc>
        <w:tc>
          <w:tcPr>
            <w:tcW w:w="6880" w:type="dxa"/>
            <w:vAlign w:val="bottom"/>
          </w:tcPr>
          <w:p>
            <w:pPr>
              <w:ind w:left="1180"/>
              <w:spacing w:after="0"/>
              <w:rPr>
                <w:sz w:val="20"/>
                <w:szCs w:val="20"/>
                <w:color w:val="auto"/>
              </w:rPr>
            </w:pPr>
            <w:r>
              <w:rPr>
                <w:rFonts w:ascii="Arial" w:cs="Arial" w:eastAsia="Arial" w:hAnsi="Arial"/>
                <w:sz w:val="18"/>
                <w:szCs w:val="18"/>
                <w:color w:val="auto"/>
              </w:rPr>
              <w:t>S-19</w:t>
            </w: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29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998970" cy="152971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8" w:lineRule="exact"/>
        <w:rPr>
          <w:sz w:val="20"/>
          <w:szCs w:val="20"/>
          <w:color w:val="auto"/>
        </w:rPr>
      </w:pPr>
    </w:p>
    <w:p>
      <w:pPr>
        <w:ind w:left="300" w:right="120" w:firstLine="34"/>
        <w:spacing w:after="0" w:line="238" w:lineRule="auto"/>
        <w:rPr>
          <w:sz w:val="20"/>
          <w:szCs w:val="20"/>
          <w:color w:val="auto"/>
        </w:rPr>
      </w:pPr>
      <w:r>
        <w:rPr>
          <w:rFonts w:ascii="Arial" w:cs="Arial" w:eastAsia="Arial" w:hAnsi="Arial"/>
          <w:sz w:val="18"/>
          <w:szCs w:val="18"/>
          <w:color w:val="auto"/>
        </w:rPr>
        <w:t>You should carefully consider the information set forth in the section of this prospectus supplement entitled “Risk factors” as well as the other information included in or incorporated by reference into this prospectus supplement and the accompanying prospectus before deciding whether to invest in the shares.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supplement:</w:t>
      </w:r>
    </w:p>
    <w:p>
      <w:pPr>
        <w:spacing w:after="0" w:line="77" w:lineRule="exact"/>
        <w:rPr>
          <w:sz w:val="20"/>
          <w:szCs w:val="20"/>
          <w:color w:val="auto"/>
        </w:rPr>
      </w:pPr>
    </w:p>
    <w:p>
      <w:pPr>
        <w:ind w:left="700" w:hanging="402"/>
        <w:spacing w:after="0" w:line="23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23,700 shares issuable upon the exercise of options outstanding as of February 4, 2021 with a weighted average exercise price of $80.42 per share; and</w:t>
      </w:r>
    </w:p>
    <w:p>
      <w:pPr>
        <w:spacing w:after="0" w:line="73" w:lineRule="exact"/>
        <w:rPr>
          <w:rFonts w:ascii="Arial" w:cs="Arial" w:eastAsia="Arial" w:hAnsi="Arial"/>
          <w:sz w:val="18"/>
          <w:szCs w:val="18"/>
          <w:color w:val="auto"/>
        </w:rPr>
      </w:pPr>
    </w:p>
    <w:p>
      <w:pPr>
        <w:ind w:left="700" w:right="560" w:hanging="402"/>
        <w:spacing w:after="0" w:line="23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an estimated 3,211,599 shares reserved for issuance pursuant to future grants of awards under our 2014 Omnibus Incentive Plan as of February 4, 2021.</w:t>
      </w:r>
    </w:p>
    <w:p>
      <w:pPr>
        <w:spacing w:after="0" w:line="1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0900"/>
          </w:cols>
          <w:pgMar w:left="320" w:top="459" w:right="6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0" w:right="40" w:firstLine="440"/>
        <w:spacing w:after="0" w:line="278" w:lineRule="auto"/>
        <w:rPr>
          <w:sz w:val="20"/>
          <w:szCs w:val="20"/>
          <w:color w:val="auto"/>
        </w:rPr>
      </w:pPr>
      <w:r>
        <w:rPr>
          <w:rFonts w:ascii="Arial" w:cs="Arial" w:eastAsia="Arial" w:hAnsi="Arial"/>
          <w:sz w:val="16"/>
          <w:szCs w:val="16"/>
          <w:i w:val="1"/>
          <w:iCs w:val="1"/>
          <w:color w:val="auto"/>
        </w:rPr>
        <w:t>You should carefully consider the risks described below, together with the other information included or incorporated by reference in this prospectus supplement,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Common Stock could decline substantially, and you may lose part or all of your investment.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158"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color w:val="auto"/>
        </w:rPr>
        <w:t>The initial outbreak of COVID-19 and subsequent COVID-19 pandemic have had and will likely continue to have an adverse effect on our business, operations, financial condition and operating results, and the ability of our subsidiaries to pay dividends and distributions.</w:t>
      </w:r>
    </w:p>
    <w:p>
      <w:pPr>
        <w:spacing w:after="0" w:line="66"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 January 2020, an outbreak of a new strain of coronavirus, COVID-19, was identified and has since then spread around the world. Currently, there are no fully-effective treatments that are broadly approved for COVID-19 and there can be no assurance that a fully-effective treatment will be developed. While vaccines have been developed and approved for use by certain governmental health agencies, there is considerable uncertainty with regard to how quickly such vaccines can be deployed to the general public and how quickly they will stem the spread of COVID-19. The COVID-19 pandemic and the spread, and risk of resurgence, of COVID-19 have and continue to negatively impact many aspects of our business and the ability and desire of people to travel and participate in activities at crowded indoor places, such as those we offer at our properties.</w:t>
      </w:r>
    </w:p>
    <w:p>
      <w:pPr>
        <w:spacing w:after="0" w:line="15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response to and as part of a continuing effort to reduce the initial spread of COVID-19, each of our properties was closed temporarily pursuant to government directives. Since reopening, we have implemented certain COVID-19 specific protective measures at each location, such as limiting the number of seats per table game, increasing the spacing between slot machines, temperature checks, and mask protection. Health declarations and proof of negative COVID-19 test results are required for entry into gaming areas in Macau. Although all of our properties are currently open, we cannot predict whether future closures, in full or in part, will occur. For example, in response to an increase in COVID-19 cases in Massachusetts, on November 2, 2020, the Governor of Massachusetts issued a directive limiting the operating hours of certain businesses, including restaurants and casinos, effective November 6, 2020. Encore Boston Harbor modified its hours of operation as a result of this directive, which was lifted on January 25, 2021.</w:t>
      </w:r>
    </w:p>
    <w:p>
      <w:pPr>
        <w:spacing w:after="0" w:line="154" w:lineRule="exact"/>
        <w:rPr>
          <w:sz w:val="20"/>
          <w:szCs w:val="20"/>
          <w:color w:val="auto"/>
        </w:rPr>
      </w:pPr>
    </w:p>
    <w:p>
      <w:pPr>
        <w:ind w:left="120" w:right="120" w:firstLine="440"/>
        <w:spacing w:after="0" w:line="235" w:lineRule="auto"/>
        <w:rPr>
          <w:sz w:val="20"/>
          <w:szCs w:val="20"/>
          <w:color w:val="auto"/>
        </w:rPr>
      </w:pPr>
      <w:r>
        <w:rPr>
          <w:rFonts w:ascii="Arial" w:cs="Arial" w:eastAsia="Arial" w:hAnsi="Arial"/>
          <w:sz w:val="18"/>
          <w:szCs w:val="18"/>
          <w:color w:val="auto"/>
        </w:rPr>
        <w:t>Visitation to our properties and gross gaming revenues have significantly decreased since the outbreak of COVID-19, driven by the strong deterrent effect of the COVID-19 pandemic on travel and social activities, broad quarantine measures, travel restrictions and advisories, including recommendations by the U.S. Department of State and the Centers for Disease Control and Prevention, and in Macau, the suspension or reduced availability of the IVS, group tour scheme and other travel visas for visitors. While some of the initial protective measures and restrictions have eased since their initial implementation, certain border control, travel-related restrictions and conditions, including quarantine and medical observation measures, stringent health declarations, COVID-19 testing and other procedures remain in place. 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adverse developments in the COVID-19 situation. Moreover, once travel advisories and restrictions are fully lifted, demand for casino resorts may remain weak for a significant length of time and inbound tourism to Macau may be slow to recover. We cannot predict when, or even if, operating results at our properties will return to pre-outbreak levels. In particular, consumer behavior related to discretionary spending and traveling, including demand for casino resorts, may be negatively impacted by the adverse changes in the perceived or actual economic climate, including higher unemployment rates, declines in income levels and loss of personal wealth resulting from the impact of the COVID-19 pandemic. In addition, we cannot predict the impact that the COVID-19 pandemic will have on our partners, such as tenants, travel agencies, suppliers and other vendors, which may adversely impact our operations.</w:t>
      </w:r>
    </w:p>
    <w:p>
      <w:pPr>
        <w:spacing w:after="0" w:line="15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Given the uncertainty around the extent and timing of the potential future spread or mitigation of COVID-19 and around the imposition or relaxation of containment measures, the impact on our results of operations, cash flows and financial condition in 2021 and potentially thereafter will be material, but cannot be reasonably estimated at this time. To the extent the COVID-19 pandemic adversely affects our business, operations, financial condition and operating results, it may also have the effect of heightening many of the other risks related to our business, including those relating to our ability to raise capital, our high level of indebtedness, our need to generate sufficient cash flows to service our indebtedness, and our ability to comply with the covenants or other restrictions contained in the agreements that govern our indebtedness. In addition, the COVID-19 pandemic has significantly increased global economic and demand uncertainty. Global recovery from the economic fallout of the COVID-19 pandemic could take many years, which could continue to have adversely impact our financial condition and operations.</w:t>
      </w:r>
    </w:p>
    <w:p>
      <w:pPr>
        <w:spacing w:after="0" w:line="219" w:lineRule="exact"/>
        <w:rPr>
          <w:sz w:val="20"/>
          <w:szCs w:val="20"/>
          <w:color w:val="auto"/>
        </w:rPr>
      </w:pPr>
    </w:p>
    <w:p>
      <w:pPr>
        <w:ind w:left="120" w:right="240"/>
        <w:spacing w:after="0" w:line="249" w:lineRule="auto"/>
        <w:rPr>
          <w:sz w:val="20"/>
          <w:szCs w:val="20"/>
          <w:color w:val="auto"/>
        </w:rPr>
      </w:pPr>
      <w:r>
        <w:rPr>
          <w:rFonts w:ascii="Arial" w:cs="Arial" w:eastAsia="Arial" w:hAnsi="Arial"/>
          <w:sz w:val="18"/>
          <w:szCs w:val="18"/>
          <w:b w:val="1"/>
          <w:b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6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spacing w:after="0" w:line="15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56" w:lineRule="exact"/>
        <w:rPr>
          <w:sz w:val="20"/>
          <w:szCs w:val="20"/>
          <w:color w:val="auto"/>
        </w:rPr>
      </w:pPr>
    </w:p>
    <w:p>
      <w:pPr>
        <w:ind w:left="120" w:right="60" w:firstLine="440"/>
        <w:spacing w:after="0" w:line="299" w:lineRule="auto"/>
        <w:rPr>
          <w:sz w:val="20"/>
          <w:szCs w:val="20"/>
          <w:color w:val="auto"/>
        </w:rPr>
      </w:pPr>
      <w:r>
        <w:rPr>
          <w:rFonts w:ascii="Arial" w:cs="Arial" w:eastAsia="Arial" w:hAnsi="Arial"/>
          <w:sz w:val="16"/>
          <w:szCs w:val="16"/>
          <w:color w:val="auto"/>
        </w:rPr>
        <w:t>Nevada and Massachusetts regulatory authorities have broad powers to request detailed financial and other information, to limit, condition, suspend or revoke a registration, gaming license or related approvals; approve changes in our operations; and levy fines or require</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20"/>
        <w:spacing w:after="0" w:line="237" w:lineRule="auto"/>
        <w:rPr>
          <w:sz w:val="20"/>
          <w:szCs w:val="20"/>
          <w:color w:val="auto"/>
        </w:rPr>
      </w:pPr>
      <w:r>
        <w:rPr>
          <w:rFonts w:ascii="Arial" w:cs="Arial" w:eastAsia="Arial" w:hAnsi="Arial"/>
          <w:sz w:val="18"/>
          <w:szCs w:val="18"/>
          <w:color w:val="auto"/>
        </w:rPr>
        <w:t>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54"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Failure to adhere to the regulatory and gaming requirements in Macau could result in the revocation of our Macau Operations’ concession or otherwise negatively affect its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pacing w:after="0" w:line="154"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Each of these regulatory authorities has extensive power to license and oversee the operations of our casino resorts and has taken action and could take action against the Company and its related licensees, including actions that could affect the ability or terms upon which our subsidiaries hold their gaming licenses and concessions, and the suitability of the Company to continue as a stockholder of those affiliates.</w:t>
      </w:r>
    </w:p>
    <w:p>
      <w:pPr>
        <w:spacing w:after="0" w:line="213" w:lineRule="exact"/>
        <w:rPr>
          <w:sz w:val="20"/>
          <w:szCs w:val="20"/>
          <w:color w:val="auto"/>
        </w:rPr>
      </w:pPr>
    </w:p>
    <w:p>
      <w:pPr>
        <w:ind w:left="120" w:right="440"/>
        <w:spacing w:after="0" w:line="264" w:lineRule="auto"/>
        <w:rPr>
          <w:sz w:val="20"/>
          <w:szCs w:val="20"/>
          <w:color w:val="auto"/>
        </w:rPr>
      </w:pPr>
      <w:r>
        <w:rPr>
          <w:rFonts w:ascii="Arial" w:cs="Arial" w:eastAsia="Arial" w:hAnsi="Arial"/>
          <w:sz w:val="18"/>
          <w:szCs w:val="18"/>
          <w:b w:val="1"/>
          <w:bCs w:val="1"/>
          <w:color w:val="auto"/>
        </w:rPr>
        <w:t>Ongoing investigations, litigation and other disputes could distract management and result in negative publicity and additional scrutiny from regulators.</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 is subject to various claims related to our operations. These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214"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b w:val="1"/>
          <w:bCs w:val="1"/>
          <w:color w:val="auto"/>
        </w:rPr>
        <w:t>We depend on the continued services of key managers and employees. If we do not retain our key personnel or attract and retain other highly skilled employees, our business will suffer.</w:t>
      </w:r>
    </w:p>
    <w:p>
      <w:pPr>
        <w:spacing w:after="0" w:line="5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216" w:lineRule="exact"/>
        <w:rPr>
          <w:sz w:val="20"/>
          <w:szCs w:val="20"/>
          <w:color w:val="auto"/>
        </w:rPr>
      </w:pPr>
    </w:p>
    <w:p>
      <w:pPr>
        <w:ind w:left="120" w:right="800"/>
        <w:spacing w:after="0" w:line="264" w:lineRule="auto"/>
        <w:rPr>
          <w:sz w:val="20"/>
          <w:szCs w:val="20"/>
          <w:color w:val="auto"/>
        </w:rPr>
      </w:pPr>
      <w:r>
        <w:rPr>
          <w:rFonts w:ascii="Arial" w:cs="Arial" w:eastAsia="Arial" w:hAnsi="Arial"/>
          <w:sz w:val="18"/>
          <w:szCs w:val="18"/>
          <w:b w:val="1"/>
          <w:bCs w:val="1"/>
          <w:color w:val="auto"/>
        </w:rPr>
        <w:t>Our business is particularly sensitive to reductions in discretionary consumer spending, including as a result of economic downturns or increasing geopolitical tensions.</w:t>
      </w:r>
    </w:p>
    <w:p>
      <w:pPr>
        <w:spacing w:after="0" w:line="5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global macroeconomic environment is facing significant challenges, including an extended economic downturn, and possibly a global recession, caused primarily by the global COVID-19 pandemic, dampened business sentiment and outlook, the various geopolitical and trade-related tensions. Our financial results have been, and are expected to continue to be, affected by the global and regional economy. Any severe or prolonged slowdown in the global or regional economy may materially and adversely affect our business, results of operations and financial condition.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6"/>
          <w:szCs w:val="16"/>
          <w:color w:val="auto"/>
        </w:rPr>
        <w:t>Recently there have also been heightened tensions in international relations, notably with respect to international trade, including increases in tariffs and company and industry specific restrictions. These issues, in addition to changes in national security policies and geopolitical issues can impact the global and regional economy and impact our business in a negative fashion. Various types of restrictions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global equity and debt capital markets, which could trigger a severe contraction of liquidity in the global credit markets.</w:t>
      </w:r>
    </w:p>
    <w:p>
      <w:pPr>
        <w:spacing w:after="0" w:line="13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6"/>
          <w:szCs w:val="16"/>
          <w:color w:val="auto"/>
        </w:rPr>
        <w:t>Consumer demand for hotels, casino resorts, trade shows, conventions and for the type of luxury amenities that we offer is particularly sensitive to downturns in the economy, which adversely affect discretionary spending on leisure activities. Because a significant number of our customers come from the PRC, Hong Kong and Taiwan, the economic condition of Macau and its surrounding region, in particular, affects the gaming industry in Macau and our Macau Operations. Changes in discretionary consumer spending or consumer preferences brought about by factors such as perceived or actual general economic conditions, high unemployment, perceived or actual changes in disposable consumer income and wealth, economic recession, changes in consumer confidence in the economy, fears of war and acts of terrorism could reduce customer demand for the luxury amenities and leisure activities we offer and may negatively impact our operating results.</w:t>
      </w:r>
    </w:p>
    <w:p>
      <w:pPr>
        <w:spacing w:after="0" w:line="195"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8"/>
          <w:szCs w:val="18"/>
          <w:b w:val="1"/>
          <w:bCs w:val="1"/>
          <w:color w:val="auto"/>
        </w:rPr>
        <w:t>Demand for our products and services may be negatively impacted by strained international relations, economic disruptions, visa and travel restrictions or difficulties, anti-corruption campaigns, restrictions on international money transfers and other policies or campaigns implemented by regional governments.</w:t>
      </w:r>
    </w:p>
    <w:p>
      <w:pPr>
        <w:spacing w:after="0" w:line="6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 significant amount of our gaming revenues is generated from customers arriving from the PRC, Hong Kong and Taiwan. Strained international relations, economic disruption and other similar events could negatively impact the number of visitors to our facilities and the amount they spend. 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could disrupt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and the amount of money they spend. The overall effect of these campaigns and monetary transfer restrictions may negatively affect our revenues and results of operations.</w:t>
      </w:r>
    </w:p>
    <w:p>
      <w:pPr>
        <w:spacing w:after="0" w:line="21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b w:val="1"/>
          <w:b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72" w:lineRule="exact"/>
        <w:rPr>
          <w:sz w:val="20"/>
          <w:szCs w:val="20"/>
          <w:color w:val="auto"/>
        </w:rPr>
      </w:pPr>
    </w:p>
    <w:p>
      <w:pPr>
        <w:ind w:left="120" w:right="180" w:firstLine="440"/>
        <w:spacing w:after="0" w:line="239"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 In addition, governmental action and uncertainty resulting from global political trends and policies of major global economies, including potential barriers to travel, trade and immigration can reduce demand for hospitality products and services, including visitation to our resorts.</w:t>
      </w:r>
    </w:p>
    <w:p>
      <w:pPr>
        <w:spacing w:after="0" w:line="15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Furthermore, the attack in Las Vegas on October 1, 2017 underscores the possibility that large public facilities could become the target of mass shootings or other attacks in the future. The occurrence or the possibility of attacks could cause all or 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continued success depends on our ability to maintain the reputation of our resorts.</w:t>
      </w:r>
    </w:p>
    <w:p>
      <w:pPr>
        <w:spacing w:after="0" w:line="99" w:lineRule="exact"/>
        <w:rPr>
          <w:sz w:val="20"/>
          <w:szCs w:val="20"/>
          <w:color w:val="auto"/>
        </w:rPr>
      </w:pPr>
    </w:p>
    <w:p>
      <w:pPr>
        <w:ind w:left="120" w:firstLine="440"/>
        <w:spacing w:after="0" w:line="271" w:lineRule="auto"/>
        <w:rPr>
          <w:sz w:val="20"/>
          <w:szCs w:val="20"/>
          <w:color w:val="auto"/>
        </w:rPr>
      </w:pPr>
      <w:r>
        <w:rPr>
          <w:rFonts w:ascii="Arial" w:cs="Arial" w:eastAsia="Arial" w:hAnsi="Arial"/>
          <w:sz w:val="16"/>
          <w:szCs w:val="16"/>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189" w:lineRule="exact"/>
        <w:rPr>
          <w:sz w:val="20"/>
          <w:szCs w:val="20"/>
          <w:color w:val="auto"/>
        </w:rPr>
      </w:pPr>
    </w:p>
    <w:p>
      <w:pPr>
        <w:ind w:left="120" w:right="140"/>
        <w:spacing w:after="0" w:line="264" w:lineRule="auto"/>
        <w:rPr>
          <w:sz w:val="20"/>
          <w:szCs w:val="20"/>
          <w:color w:val="auto"/>
        </w:rPr>
      </w:pPr>
      <w:r>
        <w:rPr>
          <w:rFonts w:ascii="Arial" w:cs="Arial" w:eastAsia="Arial" w:hAnsi="Arial"/>
          <w:sz w:val="18"/>
          <w:szCs w:val="18"/>
          <w:b w:val="1"/>
          <w:bCs w:val="1"/>
          <w:color w:val="auto"/>
        </w:rPr>
        <w:t>We are entirely dependent on a limited number of resorts for all of our cash flow, which subjects us to greater risks than a gaming company with more operating properties.</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outbreak of infectious diseases; an increase in the cost of maintaining our properties; a decline in the number of visitors to Las Vegas, Macau or Boston; and a decrease in gaming and non-casino activities at our resorts. Any of these factors could negatively affect our results of operations and our ability to generate sufficient cash flow to make payments or maintain our covenants with respect to our debt.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a parent company and our primary source of cash is and will be distributions from our subsidiaries.</w:t>
      </w:r>
    </w:p>
    <w:p>
      <w:pPr>
        <w:spacing w:after="0" w:line="9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6"/>
          <w:szCs w:val="16"/>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if the Coronavirus outbreak continues to interrupt our gaming operations or visitation to Macau or if the outbreak escalates, it may have a material adverse effect on our subsidiaries’ results of operations and their ability to pay dividends or distributions to us.</w:t>
      </w:r>
    </w:p>
    <w:p>
      <w:pPr>
        <w:spacing w:after="0" w:line="130"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casino, hotel, convention and other facilities face intense competition, which may increase in the future.</w:t>
      </w:r>
    </w:p>
    <w:p>
      <w:pPr>
        <w:spacing w:after="0" w:line="81" w:lineRule="exact"/>
        <w:rPr>
          <w:sz w:val="20"/>
          <w:szCs w:val="20"/>
          <w:color w:val="auto"/>
        </w:rPr>
      </w:pPr>
    </w:p>
    <w:p>
      <w:pPr>
        <w:ind w:left="120" w:right="680" w:firstLine="440"/>
        <w:spacing w:after="0" w:line="26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casino/hotel industry is highly competitive. Increased competition could result in a loss of customers,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negatively affect our cash flows and results of operations.</w:t>
      </w:r>
    </w:p>
    <w:p>
      <w:pPr>
        <w:spacing w:after="0" w:line="119"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There are three gaming concessions and three subconcessions authorized by the Macau government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of casinos in Macau, of which the concession we hold is one.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w:t>
      </w:r>
    </w:p>
    <w:p>
      <w:pPr>
        <w:spacing w:after="0" w:line="155"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136"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i w:val="1"/>
          <w:iCs w:val="1"/>
          <w:color w:val="auto"/>
        </w:rPr>
        <w:t xml:space="preserve">Las Vegas Operations and Encore Boston Harbor. </w:t>
      </w:r>
      <w:r>
        <w:rPr>
          <w:rFonts w:ascii="Arial" w:cs="Arial" w:eastAsia="Arial" w:hAnsi="Arial"/>
          <w:sz w:val="18"/>
          <w:szCs w:val="18"/>
          <w:color w:val="auto"/>
        </w:rPr>
        <w:t>Our Las Vegas Operations compete with other Las Vegas Strip hotels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hotel casinos 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213" w:lineRule="exact"/>
        <w:rPr>
          <w:sz w:val="20"/>
          <w:szCs w:val="20"/>
          <w:color w:val="auto"/>
        </w:rPr>
      </w:pPr>
    </w:p>
    <w:p>
      <w:pPr>
        <w:ind w:left="120" w:right="80"/>
        <w:spacing w:after="0" w:line="264" w:lineRule="auto"/>
        <w:rPr>
          <w:sz w:val="20"/>
          <w:szCs w:val="20"/>
          <w:color w:val="auto"/>
        </w:rPr>
      </w:pPr>
      <w:r>
        <w:rPr>
          <w:rFonts w:ascii="Arial" w:cs="Arial" w:eastAsia="Arial" w:hAnsi="Arial"/>
          <w:sz w:val="18"/>
          <w:szCs w:val="18"/>
          <w:b w:val="1"/>
          <w:bCs w:val="1"/>
          <w:color w:val="auto"/>
        </w:rPr>
        <w:t>Our business relies on premium customers. We often extend credit, and we may not be able to collect gaming receivables from our credit players or credit play may decrease.</w:t>
      </w:r>
    </w:p>
    <w:p>
      <w:pPr>
        <w:spacing w:after="0" w:line="35" w:lineRule="exact"/>
        <w:rPr>
          <w:sz w:val="20"/>
          <w:szCs w:val="20"/>
          <w:color w:val="auto"/>
        </w:rPr>
      </w:pPr>
    </w:p>
    <w:p>
      <w:pPr>
        <w:ind w:left="120" w:right="480" w:firstLine="440"/>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 loss or a reduction in the play of the most significant of these customers could have a material adverse effect on our business, financial condition, results of operations and cash flows. Adverse global or regional economic conditions, could reduce the frequency of visits by these customers and revenue generated from them.</w:t>
      </w:r>
    </w:p>
    <w:p>
      <w:pPr>
        <w:spacing w:after="0" w:line="152"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137"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Although the law in Macau permits casino operators to extend credit to gaming customers, our Macau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5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136"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8"/>
          <w:szCs w:val="18"/>
          <w:i w:val="1"/>
          <w:iCs w:val="1"/>
          <w:color w:val="auto"/>
        </w:rPr>
        <w:t>Las Vegas Operations and Encore Boston Harbor</w:t>
      </w:r>
      <w:r>
        <w:rPr>
          <w:rFonts w:ascii="Arial" w:cs="Arial" w:eastAsia="Arial" w:hAnsi="Arial"/>
          <w:sz w:val="18"/>
          <w:szCs w:val="18"/>
          <w:color w:val="auto"/>
        </w:rPr>
        <w:t>. While gaming debts evidenced by a credit instrument, including what is commonly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a “marker,”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Win rates for our gaming operations depend on a variety of factors, some of which are beyond our control.</w:t>
      </w:r>
    </w:p>
    <w:p>
      <w:pPr>
        <w:spacing w:after="0" w:line="9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5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219" w:lineRule="exact"/>
        <w:rPr>
          <w:sz w:val="20"/>
          <w:szCs w:val="20"/>
          <w:color w:val="auto"/>
        </w:rPr>
      </w:pPr>
    </w:p>
    <w:p>
      <w:pPr>
        <w:ind w:left="120" w:right="60"/>
        <w:spacing w:after="0" w:line="264" w:lineRule="auto"/>
        <w:rPr>
          <w:sz w:val="20"/>
          <w:szCs w:val="20"/>
          <w:color w:val="auto"/>
        </w:rPr>
      </w:pPr>
      <w:r>
        <w:rPr>
          <w:rFonts w:ascii="Arial" w:cs="Arial" w:eastAsia="Arial" w:hAnsi="Arial"/>
          <w:sz w:val="18"/>
          <w:szCs w:val="18"/>
          <w:b w:val="1"/>
          <w:bCs w:val="1"/>
          <w:color w:val="auto"/>
        </w:rPr>
        <w:t>Our new projects may not be successful. Construction projects will be subject to development and construction risks, which could have an adverse effect on our financial condition, results of operations or cash flows.</w:t>
      </w:r>
    </w:p>
    <w:p>
      <w:pPr>
        <w:spacing w:after="0" w:line="53" w:lineRule="exact"/>
        <w:rPr>
          <w:sz w:val="20"/>
          <w:szCs w:val="20"/>
          <w:color w:val="auto"/>
        </w:rPr>
      </w:pPr>
    </w:p>
    <w:p>
      <w:pPr>
        <w:ind w:left="120" w:firstLine="440"/>
        <w:spacing w:after="0" w:line="268" w:lineRule="auto"/>
        <w:rPr>
          <w:sz w:val="20"/>
          <w:szCs w:val="20"/>
          <w:color w:val="auto"/>
        </w:rPr>
      </w:pPr>
      <w:r>
        <w:rPr>
          <w:rFonts w:ascii="Arial" w:cs="Arial" w:eastAsia="Arial" w:hAnsi="Arial"/>
          <w:sz w:val="16"/>
          <w:szCs w:val="16"/>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could encounter higher than expected cost increases in the development of our projects.</w:t>
      </w:r>
    </w:p>
    <w:p>
      <w:pPr>
        <w:spacing w:after="0" w:line="9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6"/>
          <w:szCs w:val="16"/>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this project may not be completed. Failure to complete this project may negatively affect our financial condition, our results of operations and our ability to pay our debt.</w:t>
      </w:r>
    </w:p>
    <w:p>
      <w:pPr>
        <w:spacing w:after="0" w:line="191" w:lineRule="exact"/>
        <w:rPr>
          <w:sz w:val="20"/>
          <w:szCs w:val="20"/>
          <w:color w:val="auto"/>
        </w:rPr>
      </w:pPr>
    </w:p>
    <w:p>
      <w:pPr>
        <w:ind w:left="120" w:right="600"/>
        <w:spacing w:after="0" w:line="264" w:lineRule="auto"/>
        <w:rPr>
          <w:sz w:val="20"/>
          <w:szCs w:val="20"/>
          <w:color w:val="auto"/>
        </w:rPr>
      </w:pPr>
      <w:r>
        <w:rPr>
          <w:rFonts w:ascii="Arial" w:cs="Arial" w:eastAsia="Arial" w:hAnsi="Arial"/>
          <w:sz w:val="18"/>
          <w:szCs w:val="18"/>
          <w:b w:val="1"/>
          <w:bCs w:val="1"/>
          <w:color w:val="auto"/>
        </w:rPr>
        <w:t>Any violation of applicable Anti-Money Laundering laws, regulations or the Foreign Corrupt Practices Act or sanctions could adversely affect our business, performance, prospects, value, financial condition, and results of operations.</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57" w:lineRule="exact"/>
        <w:rPr>
          <w:sz w:val="20"/>
          <w:szCs w:val="20"/>
          <w:color w:val="auto"/>
        </w:rPr>
      </w:pPr>
    </w:p>
    <w:p>
      <w:pPr>
        <w:jc w:val="both"/>
        <w:ind w:left="120" w:right="40" w:firstLine="440"/>
        <w:spacing w:after="0" w:line="264" w:lineRule="auto"/>
        <w:rPr>
          <w:sz w:val="20"/>
          <w:szCs w:val="20"/>
          <w:color w:val="auto"/>
        </w:rPr>
      </w:pPr>
      <w:r>
        <w:rPr>
          <w:rFonts w:ascii="Arial" w:cs="Arial" w:eastAsia="Arial" w:hAnsi="Arial"/>
          <w:sz w:val="16"/>
          <w:szCs w:val="16"/>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w:t>
      </w:r>
    </w:p>
    <w:p>
      <w:pPr>
        <w:ind w:left="120" w:right="40"/>
        <w:spacing w:after="0" w:line="272" w:lineRule="auto"/>
        <w:rPr>
          <w:sz w:val="20"/>
          <w:szCs w:val="20"/>
          <w:color w:val="auto"/>
        </w:rPr>
      </w:pPr>
      <w:r>
        <w:rPr>
          <w:rFonts w:ascii="Arial" w:cs="Arial" w:eastAsia="Arial" w:hAnsi="Arial"/>
          <w:sz w:val="16"/>
          <w:szCs w:val="16"/>
          <w:color w:val="auto"/>
        </w:rPr>
        <w:t>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132"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214" w:lineRule="exact"/>
        <w:rPr>
          <w:sz w:val="20"/>
          <w:szCs w:val="20"/>
          <w:color w:val="auto"/>
        </w:rPr>
      </w:pPr>
    </w:p>
    <w:p>
      <w:pPr>
        <w:ind w:left="120" w:right="320"/>
        <w:spacing w:after="0" w:line="264"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53"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exceeded our initial estimates. We may be required to conduct additional investigations and remediation with respect to this site.</w:t>
      </w:r>
    </w:p>
    <w:p>
      <w:pPr>
        <w:spacing w:after="0" w:line="214" w:lineRule="exact"/>
        <w:rPr>
          <w:sz w:val="20"/>
          <w:szCs w:val="20"/>
          <w:color w:val="auto"/>
        </w:rPr>
      </w:pPr>
    </w:p>
    <w:p>
      <w:pPr>
        <w:ind w:left="120" w:right="840"/>
        <w:spacing w:after="0" w:line="264" w:lineRule="auto"/>
        <w:rPr>
          <w:sz w:val="20"/>
          <w:szCs w:val="20"/>
          <w:color w:val="auto"/>
        </w:rPr>
      </w:pPr>
      <w:r>
        <w:rPr>
          <w:rFonts w:ascii="Arial" w:cs="Arial" w:eastAsia="Arial" w:hAnsi="Arial"/>
          <w:sz w:val="18"/>
          <w:szCs w:val="18"/>
          <w:b w:val="1"/>
          <w:bCs w:val="1"/>
          <w:color w:val="auto"/>
        </w:rPr>
        <w:t>Adverse incidents or adverse publicity concerning our resorts or our corporate responsibilities could harm our brand and reputation and negatively impact our financial results.</w:t>
      </w:r>
    </w:p>
    <w:p>
      <w:pPr>
        <w:spacing w:after="0" w:line="5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changing laws and regulations may result in additional expenses and compliance risks.</w:t>
      </w:r>
    </w:p>
    <w:p>
      <w:pPr>
        <w:spacing w:after="0" w:line="9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6"/>
          <w:szCs w:val="16"/>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subject to taxation by various governments and agencies. The rate of taxation could change.</w:t>
      </w:r>
    </w:p>
    <w:p>
      <w:pPr>
        <w:spacing w:after="0" w:line="99"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We are subject to taxation by various governments and agencies, both in the U.S. and in Macau.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System failure, information leakage and the cost of maintaining sufficient cybersecurity could adversely affect our business.</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w:t>
      </w:r>
    </w:p>
    <w:p>
      <w:pPr>
        <w:spacing w:after="0" w:line="16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spacing w:after="0" w:line="15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spacing w:after="0" w:line="219" w:lineRule="exact"/>
        <w:rPr>
          <w:sz w:val="20"/>
          <w:szCs w:val="20"/>
          <w:color w:val="auto"/>
        </w:rPr>
      </w:pPr>
    </w:p>
    <w:p>
      <w:pPr>
        <w:ind w:left="120" w:right="820"/>
        <w:spacing w:after="0" w:line="327" w:lineRule="auto"/>
        <w:rPr>
          <w:sz w:val="20"/>
          <w:szCs w:val="20"/>
          <w:color w:val="auto"/>
        </w:rPr>
      </w:pPr>
      <w:r>
        <w:rPr>
          <w:rFonts w:ascii="Arial" w:cs="Arial" w:eastAsia="Arial" w:hAnsi="Arial"/>
          <w:sz w:val="16"/>
          <w:szCs w:val="16"/>
          <w:b w:val="1"/>
          <w:b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7" w:lineRule="exact"/>
        <w:rPr>
          <w:sz w:val="20"/>
          <w:szCs w:val="20"/>
          <w:color w:val="auto"/>
        </w:rPr>
      </w:pPr>
    </w:p>
    <w:p>
      <w:pPr>
        <w:jc w:val="both"/>
        <w:ind w:left="120" w:right="380" w:firstLine="440"/>
        <w:spacing w:after="0" w:line="238" w:lineRule="auto"/>
        <w:rPr>
          <w:sz w:val="20"/>
          <w:szCs w:val="20"/>
          <w:color w:val="auto"/>
        </w:rPr>
      </w:pPr>
      <w:r>
        <w:rPr>
          <w:rFonts w:ascii="Arial" w:cs="Arial" w:eastAsia="Arial" w:hAnsi="Arial"/>
          <w:sz w:val="18"/>
          <w:szCs w:val="18"/>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which became effective in May 2018 and replaced the old data protection laws of each EU member state, requires companies to meet new and more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w:t>
      </w:r>
    </w:p>
    <w:p>
      <w:pPr>
        <w:spacing w:after="0" w:line="3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could suffer if our computer systems and websites are disrupted or cease to operate effectively.</w:t>
      </w:r>
    </w:p>
    <w:p>
      <w:pPr>
        <w:spacing w:after="0" w:line="99"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219" w:lineRule="exact"/>
        <w:rPr>
          <w:sz w:val="20"/>
          <w:szCs w:val="20"/>
          <w:color w:val="auto"/>
        </w:rPr>
      </w:pPr>
    </w:p>
    <w:p>
      <w:pPr>
        <w:ind w:left="120" w:right="300"/>
        <w:spacing w:after="0" w:line="264" w:lineRule="auto"/>
        <w:rPr>
          <w:sz w:val="20"/>
          <w:szCs w:val="20"/>
          <w:color w:val="auto"/>
        </w:rPr>
      </w:pPr>
      <w:r>
        <w:rPr>
          <w:rFonts w:ascii="Arial" w:cs="Arial" w:eastAsia="Arial" w:hAnsi="Arial"/>
          <w:sz w:val="18"/>
          <w:szCs w:val="18"/>
          <w:b w:val="1"/>
          <w:bCs w:val="1"/>
          <w:color w:val="auto"/>
        </w:rPr>
        <w:t>If a third party successfully challenges our ownership of, or right to use, the Wynn-related trademarks and/or service marks, our business or results of operations could be harmed.</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157" w:lineRule="exact"/>
        <w:rPr>
          <w:sz w:val="20"/>
          <w:szCs w:val="20"/>
          <w:color w:val="auto"/>
        </w:rPr>
      </w:pPr>
    </w:p>
    <w:p>
      <w:pPr>
        <w:ind w:left="120" w:right="220" w:firstLine="440"/>
        <w:spacing w:after="0" w:line="239"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eligible for registration unless the surname has acquired “secondary meaning.” To date, we have been successful in demonstrating to the PTO such secondary meaning for the Wynn name, in certain of the applications, based upon factors including Mr. Wynn’s historical prominence as a resort developer, but we cannot assure you that we will be successful with the other pending applications.</w:t>
      </w:r>
    </w:p>
    <w:p>
      <w:pPr>
        <w:spacing w:after="0" w:line="15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54"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Labor actions and other labor problems could negatively impact our operations.</w:t>
      </w:r>
    </w:p>
    <w:p>
      <w:pPr>
        <w:spacing w:after="0" w:line="9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union activity in the future. The impact of any union activity is undetermined and could have a material adverse effect on our business, financial condition, results of operations and cash flows.</w:t>
      </w:r>
    </w:p>
    <w:p>
      <w:pPr>
        <w:spacing w:after="0" w:line="213" w:lineRule="exact"/>
        <w:rPr>
          <w:sz w:val="20"/>
          <w:szCs w:val="20"/>
          <w:color w:val="auto"/>
        </w:rPr>
      </w:pPr>
    </w:p>
    <w:p>
      <w:pPr>
        <w:ind w:left="120" w:right="440"/>
        <w:spacing w:after="0" w:line="264" w:lineRule="auto"/>
        <w:rPr>
          <w:sz w:val="20"/>
          <w:szCs w:val="20"/>
          <w:color w:val="auto"/>
        </w:rPr>
      </w:pPr>
      <w:r>
        <w:rPr>
          <w:rFonts w:ascii="Arial" w:cs="Arial" w:eastAsia="Arial" w:hAnsi="Arial"/>
          <w:sz w:val="18"/>
          <w:szCs w:val="18"/>
          <w:b w:val="1"/>
          <w:bCs w:val="1"/>
          <w:color w:val="auto"/>
        </w:rPr>
        <w:t>Our insurance coverage may not be adequate to cover all possible losses that we could suffer, including losses resulting from terrorism, and our insurance costs may increase.</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5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13" w:lineRule="exact"/>
        <w:rPr>
          <w:sz w:val="20"/>
          <w:szCs w:val="20"/>
          <w:color w:val="auto"/>
        </w:rPr>
      </w:pPr>
    </w:p>
    <w:p>
      <w:pPr>
        <w:ind w:left="120" w:right="3620" w:firstLine="3631"/>
        <w:spacing w:after="0" w:line="436" w:lineRule="auto"/>
        <w:rPr>
          <w:sz w:val="20"/>
          <w:szCs w:val="20"/>
          <w:color w:val="auto"/>
        </w:rPr>
      </w:pPr>
      <w:r>
        <w:rPr>
          <w:rFonts w:ascii="Arial" w:cs="Arial" w:eastAsia="Arial" w:hAnsi="Arial"/>
          <w:sz w:val="16"/>
          <w:szCs w:val="16"/>
          <w:b w:val="1"/>
          <w:bCs w:val="1"/>
          <w:color w:val="auto"/>
        </w:rPr>
        <w:t>Risks Associated with our Macau Operations Our Macau Operations may be affected by adverse political and economic conditions.</w:t>
      </w:r>
    </w:p>
    <w:p>
      <w:pPr>
        <w:spacing w:after="0" w:line="2"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6"/>
          <w:szCs w:val="16"/>
          <w:color w:val="auto"/>
        </w:rPr>
        <w:t>Our Macau Operations are subject to significant political, economic and social risks inherent in doing business in an emerging market. The future success of our Macau Operations will depend on political and economic conditions in Macau and the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191" w:lineRule="exact"/>
        <w:rPr>
          <w:sz w:val="20"/>
          <w:szCs w:val="20"/>
          <w:color w:val="auto"/>
        </w:rPr>
      </w:pPr>
    </w:p>
    <w:p>
      <w:pPr>
        <w:ind w:left="120" w:right="400"/>
        <w:spacing w:after="0" w:line="264" w:lineRule="auto"/>
        <w:rPr>
          <w:sz w:val="20"/>
          <w:szCs w:val="20"/>
          <w:color w:val="auto"/>
        </w:rPr>
      </w:pPr>
      <w:r>
        <w:rPr>
          <w:rFonts w:ascii="Arial" w:cs="Arial" w:eastAsia="Arial" w:hAnsi="Arial"/>
          <w:sz w:val="18"/>
          <w:szCs w:val="18"/>
          <w:b w:val="1"/>
          <w:bCs w:val="1"/>
          <w:color w:val="auto"/>
        </w:rPr>
        <w:t>Revenues from our Macau gaming operations will end if we cannot secure an extension or renewal of our concession, or a new concession, by June 26, 2022, or if the Macau government exercises its redemption right.</w:t>
      </w:r>
    </w:p>
    <w:p>
      <w:pPr>
        <w:spacing w:after="0" w:line="5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term of our concession agreement with the Macau government ends on June 26, 2022. Unless the term of our concession agreement is extended or renewed or we receive a new gaming concession or other right to operate gaming at our resorts in Macau, subject to any separate arrangement with the Macau government, all of our gaming operations and related equipment in Macau will be automatically transferred to the Macau government without compensation to us and we will cease to generate any revenues from these operations at the end of the term of our concession agreement. The Macau government has publicly commented that it is studying the process by which concessions and subconcessions may be renewed, extended or issued. Effective since June 2017, the Macau government may redeem our concession agreement by providing us at least one year’s prior notice. In the event the Macau government exercises this redemption right, we are entitled to fair compensation or indemnity based on the amount of revenue generated during the tax year prior to the redemption multiplied by the remaining years under our concession. We are considering various options to place us in a good position for the renewal, extension or concession application process; however, we may not be able to extend our concession agreement or renew our concession or obtain a new concession on terms favorable to us or at all. If our concession is redeemed, the compensation paid to us may not be adequate to compensate us for the loss of future revenues. The redemption of or failure to extend or renew our concession or obtain a new concession would have a material adverse effect on our results of operations.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compete for limited labor resources in Macau and local policies may also affect our ability to employ imported labor.</w:t>
      </w:r>
    </w:p>
    <w:p>
      <w:pPr>
        <w:spacing w:after="0" w:line="99"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will continue to increase as other competitors expand their operations. We seek employees from outside Macau to adequately staff our resorts where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spacing w:after="0" w:line="215" w:lineRule="exact"/>
        <w:rPr>
          <w:sz w:val="20"/>
          <w:szCs w:val="20"/>
          <w:color w:val="auto"/>
        </w:rPr>
      </w:pPr>
    </w:p>
    <w:p>
      <w:pPr>
        <w:ind w:left="120" w:right="220"/>
        <w:spacing w:after="0" w:line="264" w:lineRule="auto"/>
        <w:rPr>
          <w:sz w:val="20"/>
          <w:szCs w:val="20"/>
          <w:color w:val="auto"/>
        </w:rPr>
      </w:pPr>
      <w:r>
        <w:rPr>
          <w:rFonts w:ascii="Arial" w:cs="Arial" w:eastAsia="Arial" w:hAnsi="Arial"/>
          <w:sz w:val="18"/>
          <w:szCs w:val="18"/>
          <w:b w:val="1"/>
          <w:bCs w:val="1"/>
          <w:color w:val="auto"/>
        </w:rPr>
        <w:t>The smoking control legislation in Macau could have an adverse effect on our business, financial condition, results of operations and cash flows.</w:t>
      </w:r>
    </w:p>
    <w:p>
      <w:pPr>
        <w:spacing w:after="0" w:line="5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and disrupt the number of customers visiting or the amount of time visiting customers spend at our property, which could have a material adverse effect on our business, financial condition, results of operations and cash flows.</w:t>
      </w:r>
    </w:p>
    <w:p>
      <w:pPr>
        <w:spacing w:after="0" w:line="215" w:lineRule="exact"/>
        <w:rPr>
          <w:sz w:val="20"/>
          <w:szCs w:val="20"/>
          <w:color w:val="auto"/>
        </w:rPr>
      </w:pPr>
    </w:p>
    <w:p>
      <w:pPr>
        <w:ind w:left="120" w:right="300"/>
        <w:spacing w:after="0" w:line="264" w:lineRule="auto"/>
        <w:rPr>
          <w:sz w:val="20"/>
          <w:szCs w:val="20"/>
          <w:color w:val="auto"/>
        </w:rPr>
      </w:pPr>
      <w:r>
        <w:rPr>
          <w:rFonts w:ascii="Arial" w:cs="Arial" w:eastAsia="Arial" w:hAnsi="Arial"/>
          <w:sz w:val="18"/>
          <w:szCs w:val="18"/>
          <w:b w:val="1"/>
          <w:bCs w:val="1"/>
          <w:color w:val="auto"/>
        </w:rPr>
        <w:t>Transportation services, infrastructure and related facilities may need to be improved to accommodate the demand of visitors to Macau.</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Transportation services, infrastructure and related facilities within Macau and between Macau, Hong Kong and the PRC may need to be improved to accommodate the increased visitation to Macau driven by additional casino projects and attractions that are under construction and to be developed in the future as well as the opening of the Hong Kong-Zhuhai-Macau Bridge which may further strain existing transportation infrastructure.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Extreme weather conditions may have an adverse impact on our Macau Operations.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215" w:lineRule="exact"/>
        <w:rPr>
          <w:sz w:val="20"/>
          <w:szCs w:val="20"/>
          <w:color w:val="auto"/>
        </w:rPr>
      </w:pPr>
    </w:p>
    <w:p>
      <w:pPr>
        <w:ind w:left="120" w:right="600"/>
        <w:spacing w:after="0" w:line="327" w:lineRule="auto"/>
        <w:rPr>
          <w:sz w:val="20"/>
          <w:szCs w:val="20"/>
          <w:color w:val="auto"/>
        </w:rPr>
      </w:pPr>
      <w:r>
        <w:rPr>
          <w:rFonts w:ascii="Arial" w:cs="Arial" w:eastAsia="Arial" w:hAnsi="Arial"/>
          <w:sz w:val="16"/>
          <w:szCs w:val="16"/>
          <w:b w:val="1"/>
          <w:b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7"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Macau laws. The concession agreement expressly provides a non-exhaustive list of facts and circumstances under which the government of Macau may unilaterally rescind the concession agreement of our Macau Operations, including if it conducts unauthorized games or activities that are excluded from its corporate purpose; suspends gaming operations in Macau for more than seven consecutive days (or more than 14 days in a civil year) without justification; defaults in payment of taxes, premiums, contributions or other required amounts; does not comply with government inspections or supervision; systematically fails to observe its obligations under the concession system; or does not comply with directions issued by the Macau government, in particular the Macau gaming regulator; fails to maintain bank guarantees or bonds satisfactory to the government; is the subject of bankruptcy proceedings or becomes insolvent; engages in serious fraudulent activity, damaging to the public interest; or repeatedly violates applicable gaming laws.</w:t>
      </w:r>
    </w:p>
    <w:p>
      <w:pPr>
        <w:spacing w:after="0" w:line="15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6"/>
          <w:szCs w:val="16"/>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Nevada gaming laws apply to our Macau Operations’ gaming activities and associations.</w:t>
      </w:r>
    </w:p>
    <w:p>
      <w:pPr>
        <w:spacing w:after="0" w:line="9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With respect to our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NGC if our Macau-related subsidiaries knowingly violate any Macau laws relating to their Macau gaming operations; fail to conduct our Macau Operations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 engage in any activity or enter into any association that interferes with the ability of the State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Macau is unsuitable or prohibited, our Macau-related subsidiaries will either be required to terminate the activity or association, or will be prohibited from undertaking the activity or association. Consequently, should the NGC find that our Macau-related subsidiary’s gaming activities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associations in Macau are unsuitable, those subsidiaries may be prohibited from undertaking their planned gaming activities or associations in Macau, or be required to divest their investment in Macau, possibly on unfavorable terms.</w:t>
      </w:r>
    </w:p>
    <w:p>
      <w:pPr>
        <w:spacing w:after="0" w:line="214"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b w:val="1"/>
          <w:b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66"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A significant portion of our gaming revenue in Macau is generated by clientele of our gaming promoters. There is intense competition among casino operators in Macau for services provided by gaming promoters. We anticipate that this competition will further intensify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premium customers. In addition, if our gaming promoters are unable to develop or maintain relationships with premium customers, our ability to maintain or grow our gaming revenues will be hampered.</w:t>
      </w:r>
    </w:p>
    <w:p>
      <w:pPr>
        <w:spacing w:after="0" w:line="214" w:lineRule="exact"/>
        <w:rPr>
          <w:sz w:val="20"/>
          <w:szCs w:val="20"/>
          <w:color w:val="auto"/>
        </w:rPr>
      </w:pPr>
    </w:p>
    <w:p>
      <w:pPr>
        <w:ind w:left="120" w:right="420"/>
        <w:spacing w:after="0" w:line="249" w:lineRule="auto"/>
        <w:rPr>
          <w:sz w:val="20"/>
          <w:szCs w:val="20"/>
          <w:color w:val="auto"/>
        </w:rPr>
      </w:pPr>
      <w:r>
        <w:rPr>
          <w:rFonts w:ascii="Arial" w:cs="Arial" w:eastAsia="Arial" w:hAnsi="Arial"/>
          <w:sz w:val="18"/>
          <w:szCs w:val="18"/>
          <w:b w:val="1"/>
          <w:bCs w:val="1"/>
          <w:color w:val="auto"/>
        </w:rPr>
        <w:t>The financial resources of our gaming promoters may be insufficient to allow them to continue doing business in Macau which could adversely affect our business and financial condition. Our gaming promoters may experience difficulty in attracting customers.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Economic and regulatory factors in the region may cause our gaming promoters to experience difficulties in their Macau operations,</w:t>
      </w:r>
    </w:p>
    <w:p>
      <w:pPr>
        <w:ind w:left="120"/>
        <w:spacing w:after="0" w:line="234" w:lineRule="auto"/>
        <w:rPr>
          <w:sz w:val="20"/>
          <w:szCs w:val="20"/>
          <w:color w:val="auto"/>
        </w:rPr>
      </w:pPr>
      <w:r>
        <w:rPr>
          <w:rFonts w:ascii="Arial" w:cs="Arial" w:eastAsia="Arial" w:hAnsi="Arial"/>
          <w:sz w:val="18"/>
          <w:szCs w:val="18"/>
          <w:color w:val="auto"/>
        </w:rPr>
        <w:t>including intensified competition in attracting customers to come to Macau. Further, gaming promoters may face a decrease in</w:t>
      </w:r>
    </w:p>
    <w:p>
      <w:pPr>
        <w:ind w:left="120"/>
        <w:spacing w:after="0" w:line="235" w:lineRule="auto"/>
        <w:rPr>
          <w:sz w:val="20"/>
          <w:szCs w:val="20"/>
          <w:color w:val="auto"/>
        </w:rPr>
      </w:pPr>
      <w:r>
        <w:rPr>
          <w:rFonts w:ascii="Arial" w:cs="Arial" w:eastAsia="Arial" w:hAnsi="Arial"/>
          <w:sz w:val="18"/>
          <w:szCs w:val="18"/>
          <w:color w:val="auto"/>
        </w:rPr>
        <w:t>liquidity, limiting their ability to grant credit to their customers, and difficulties in collecting credit they extended previously. The inability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attract sufficient customers, grant credit and collect amounts due in a timely manner may negatively affect our gaming promoters’ operations,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causing gaming promoters to wind up or liquidate their operations or resulting in some of our gaming promoters leaving Macau. Current and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future difficulties could have an adverse impact on our results of operations.</w:t>
      </w:r>
    </w:p>
    <w:p>
      <w:pPr>
        <w:spacing w:after="0" w:line="217" w:lineRule="exact"/>
        <w:rPr>
          <w:sz w:val="20"/>
          <w:szCs w:val="20"/>
          <w:color w:val="auto"/>
        </w:rPr>
      </w:pPr>
    </w:p>
    <w:p>
      <w:pPr>
        <w:ind w:left="120" w:right="840"/>
        <w:spacing w:after="0" w:line="264" w:lineRule="auto"/>
        <w:rPr>
          <w:sz w:val="20"/>
          <w:szCs w:val="20"/>
          <w:color w:val="auto"/>
        </w:rPr>
      </w:pPr>
      <w:r>
        <w:rPr>
          <w:rFonts w:ascii="Arial" w:cs="Arial" w:eastAsia="Arial" w:hAnsi="Arial"/>
          <w:sz w:val="18"/>
          <w:szCs w:val="18"/>
          <w:b w:val="1"/>
          <w:bCs w:val="1"/>
          <w:color w:val="auto"/>
        </w:rPr>
        <w:t>Increased competition for the services of gaming promoters may require us to pay increased commission rates to gaming promoters.</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216" w:lineRule="exact"/>
        <w:rPr>
          <w:sz w:val="20"/>
          <w:szCs w:val="20"/>
          <w:color w:val="auto"/>
        </w:rPr>
      </w:pPr>
    </w:p>
    <w:p>
      <w:pPr>
        <w:ind w:left="120" w:right="200"/>
        <w:spacing w:after="0" w:line="249" w:lineRule="auto"/>
        <w:rPr>
          <w:sz w:val="20"/>
          <w:szCs w:val="20"/>
          <w:color w:val="auto"/>
        </w:rPr>
      </w:pPr>
      <w:r>
        <w:rPr>
          <w:rFonts w:ascii="Arial" w:cs="Arial" w:eastAsia="Arial" w:hAnsi="Arial"/>
          <w:sz w:val="18"/>
          <w:szCs w:val="18"/>
          <w:b w:val="1"/>
          <w:b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66"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 If our gaming promoters are unable to maintain required standards of probity and integrity, we may face adverse consequences from gaming regulators with authority over our operations.</w:t>
      </w:r>
    </w:p>
    <w:p>
      <w:pPr>
        <w:spacing w:after="0" w:line="213"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Unfavorable changes in currency exchange rates may increase our Macau Operations’ obligations under the concession agreement and cause fluctuations in the value of our investment in Macau.</w:t>
      </w:r>
    </w:p>
    <w:p>
      <w:pPr>
        <w:spacing w:after="0" w:line="5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154" w:lineRule="exact"/>
        <w:rPr>
          <w:sz w:val="20"/>
          <w:szCs w:val="20"/>
          <w:color w:val="auto"/>
        </w:rPr>
      </w:pPr>
    </w:p>
    <w:p>
      <w:pPr>
        <w:ind w:left="120" w:right="560" w:firstLine="440"/>
        <w:spacing w:after="0" w:line="299" w:lineRule="auto"/>
        <w:rPr>
          <w:sz w:val="20"/>
          <w:szCs w:val="20"/>
          <w:color w:val="auto"/>
        </w:rPr>
      </w:pPr>
      <w:r>
        <w:rPr>
          <w:rFonts w:ascii="Arial" w:cs="Arial" w:eastAsia="Arial" w:hAnsi="Arial"/>
          <w:sz w:val="16"/>
          <w:szCs w:val="16"/>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0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exchange controls and currency export restrictions could negatively impact our Macau Operations.</w:t>
      </w:r>
    </w:p>
    <w:p>
      <w:pPr>
        <w:spacing w:after="0" w:line="9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Macau subsidiaries’ indebtedness is secured by a substantial portion of their assets.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60"/>
        <w:spacing w:after="0" w:line="299" w:lineRule="auto"/>
        <w:rPr>
          <w:sz w:val="20"/>
          <w:szCs w:val="20"/>
          <w:color w:val="auto"/>
        </w:rPr>
      </w:pPr>
      <w:r>
        <w:rPr>
          <w:rFonts w:ascii="Arial" w:cs="Arial" w:eastAsia="Arial" w:hAnsi="Arial"/>
          <w:sz w:val="16"/>
          <w:szCs w:val="16"/>
          <w:color w:val="auto"/>
        </w:rPr>
        <w:t>first be entitled to payment from their collateral security, and then would the holders of our Macau subsidiaries’ unsecured debt be entitled to payment from their remaining assets, and only then would we, as a holder of capital stock, be entitled to distribution of any remaining assets.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 may arise because certain of our directors and officers are also directors of Wynn Macau, Limited.</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2020,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213" w:lineRule="exact"/>
        <w:rPr>
          <w:sz w:val="20"/>
          <w:szCs w:val="20"/>
          <w:color w:val="auto"/>
        </w:rPr>
      </w:pPr>
    </w:p>
    <w:p>
      <w:pPr>
        <w:ind w:left="120" w:right="280"/>
        <w:spacing w:after="0" w:line="264" w:lineRule="auto"/>
        <w:rPr>
          <w:sz w:val="20"/>
          <w:szCs w:val="20"/>
          <w:color w:val="auto"/>
        </w:rPr>
      </w:pPr>
      <w:r>
        <w:rPr>
          <w:rFonts w:ascii="Arial" w:cs="Arial" w:eastAsia="Arial" w:hAnsi="Arial"/>
          <w:sz w:val="18"/>
          <w:szCs w:val="18"/>
          <w:b w:val="1"/>
          <w:bCs w:val="1"/>
          <w:color w:val="auto"/>
        </w:rPr>
        <w:t>The Macau government has established a maximum number of gaming tables that can be operated in Macau and has limited the number of new gaming tables at new gaming areas in Macau.</w:t>
      </w:r>
    </w:p>
    <w:p>
      <w:pPr>
        <w:spacing w:after="0" w:line="5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As of December 31, 2020, we had a total of 323 table games at Wynn Palace and 331 at Wynn Macau.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Risks Related to Share Ownership and Stockholder Matters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largest stockholders are able to exert significant influence over our operations and future direction.</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of December 31, 2020, Elaine P. Wynn owned approximately 9% of our outstanding common stock. As a result, Elaine P. Wynn may be able to exert significant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later of (i) the date that Phil Satre no longer serves as Chair of the Board and (ii) the day after the conclusion of the 2020 annual meeting of the Company’s stockholders, unless earlier terminated pursuant to the circumstances described in the Cooperation Agreement.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stock price may be volatile.</w:t>
      </w:r>
    </w:p>
    <w:p>
      <w:pPr>
        <w:spacing w:after="0" w:line="99" w:lineRule="exact"/>
        <w:rPr>
          <w:sz w:val="20"/>
          <w:szCs w:val="20"/>
          <w:color w:val="auto"/>
        </w:rPr>
      </w:pPr>
    </w:p>
    <w:p>
      <w:pPr>
        <w:ind w:left="120" w:right="180" w:firstLine="440"/>
        <w:spacing w:after="0" w:line="239"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Our stock price may fluctuate in response to a number of events and factors, such</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91"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The future issuance or sales of our shares of Common Stock, or the perception that these sales may occur, could cause the market price of our shares of Common Stock to decline.</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Sales of substantial amounts of our shares of Common Stock in the public market, or the perception that these sales may occur, as well as the issuance, or the conversion of all or a portion, of shares of Common Stock, convertible preferred stock or convertible or exchangeable debt securities, could cause the market price of our shares of Common Stock to decline. This could also impair our ability to raise additional capital through the sale of our equity securities. The market price of our shares of Common Stock could decline as a result of future sales of shares of Common Stock, convertible preferred shares or convertible or exchangeable notes by us or sales by directors, executive officers or shareholders after this offering. We cannot predict the size of future issuances of our shares of Common Stock, convertible preferred shares or convertible notes or the effect, if any, that future sales and issuances of shares of Common Stock would have on the market price of our shares of Common Stock.</w:t>
      </w:r>
    </w:p>
    <w:p>
      <w:pPr>
        <w:spacing w:after="0" w:line="154"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Subject to certain important exceptions, we, our directors and Section 16 officers have agreed not to offer to sell, or agree to sell, directly or indirectly, any shares of Common Stock without the permission of Deutsche Bank Securities Inc, Goldman Sachs &amp; Co. LLC and BofA Securities, Inc., for a period of 45 days from the date of this prospectus supplement. When the lock-up period expires, we, our directors and Section 16 officers will be able to sell shares of Common Stock or any securities convertible or exercisable or exchangeable for shares in the public market. In addition, Deutsche Bank Securities Inc. and Goldman Sachs &amp; Co. LLC may release all or some portion of the shares of Common Stock subject to lock-up agreements prior to expiration of the lock-up period. Sales of a substantial number of such shares of Common Stock upon expiration, or early release of, or pursuant to an exception under, the lock-up period, or the perception that such sales may occur, could cause our share price to decline or make it more difficult for holders of our shares of Common Stock to sell such shares at a time and price they deem appropriate.</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experience future dilution as a result of future equity issuances.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future, we may sell additional shares of Common Stock to raise capital or acquire interests in other companies by using shares of Common Stock or a combination of cash and shares. These events may dilute your ownership interest and have an adverse impact on the price of the shares of Common Stock. In addition, substantial numbers of shares of Common Stock are reserved for issuance upon the exercise of outstanding equity awards. Furthermore, sales of a substantial amount of shares of Common Stock or any securities convertible into or exercisable or exchangeable for shares of Common Stock in the public market or the perception that these sales or conversions may occur, could reduce the market price of the shares of Common Stock. This could also impair our ability to raise additional capital through the sale of our securities. No prediction can be made as to the effect, if any, that future sales or issuance of shares of Common Stock or other equity or equity-linked securities will have on the trading price of shares.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060"/>
          </w:cols>
          <w:pgMar w:left="320" w:top="459" w:right="5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4" w:lineRule="auto"/>
        <w:rPr>
          <w:sz w:val="20"/>
          <w:szCs w:val="20"/>
          <w:color w:val="auto"/>
        </w:rPr>
      </w:pPr>
      <w:r>
        <w:rPr>
          <w:rFonts w:ascii="Arial" w:cs="Arial" w:eastAsia="Arial" w:hAnsi="Arial"/>
          <w:sz w:val="18"/>
          <w:szCs w:val="18"/>
          <w:b w:val="1"/>
          <w:bCs w:val="1"/>
          <w:color w:val="auto"/>
        </w:rPr>
        <w:t>Non-U.S. holders may be subject to U.S. federal income tax and/or withholding tax if we are treated as a United States real property holding corporation.</w:t>
      </w:r>
    </w:p>
    <w:p>
      <w:pPr>
        <w:spacing w:after="0" w:line="53"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6"/>
          <w:szCs w:val="16"/>
          <w:color w:val="auto"/>
        </w:rPr>
        <w:t>A non-U.S. holder of our Common Stock may be subject to U.S. federal income and/or withholding tax if we are treated as a “United States real property holding corporation” (a “USRPHC”) for U.S. federal income tax purposes. Although there can be no assurance in this regard, we believe we are not currently a USRPHC and we currently do not anticipate becoming a USRPHC in the future. Because the determination of whether we are a USRPHC depends on the fair market value of our U.S. real property interests relative to the fair market value of our non-U.S. real property interests and other business assets, there can be no assurance that we are not or will not become a USRPHC. As a result, non-U.S. holders of our Common Stock may be subject to U.S. federal income or withholding tax, or both, in respect of payments in connection with a sale or other taxable disposition of Common Stock or in the case of certain distributions. Non-U.S. holders are urged to consult their tax advisors with respect to the U.S. federal income tax consequences of acquiring, owning, and disposing of our Common Stock. See the discussion under the heading “Material U.S. Federal Income Tax Consequences to Non-U.S. Holders”.</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Indebtedness</w:t>
      </w:r>
    </w:p>
    <w:p>
      <w:pPr>
        <w:spacing w:after="0" w:line="158" w:lineRule="exact"/>
        <w:rPr>
          <w:sz w:val="20"/>
          <w:szCs w:val="20"/>
          <w:color w:val="auto"/>
        </w:rPr>
      </w:pPr>
    </w:p>
    <w:p>
      <w:pPr>
        <w:ind w:left="120" w:right="420"/>
        <w:spacing w:after="0" w:line="264" w:lineRule="auto"/>
        <w:rPr>
          <w:sz w:val="20"/>
          <w:szCs w:val="20"/>
          <w:color w:val="auto"/>
        </w:rPr>
      </w:pPr>
      <w:r>
        <w:rPr>
          <w:rFonts w:ascii="Arial" w:cs="Arial" w:eastAsia="Arial" w:hAnsi="Arial"/>
          <w:sz w:val="18"/>
          <w:szCs w:val="18"/>
          <w:b w:val="1"/>
          <w:bCs w:val="1"/>
          <w:color w:val="auto"/>
        </w:rPr>
        <w:t>We are highly leveraged and future cash flow may not be sufficient for us to meet our obligations, and we might have difficulty obtaining more financing.</w:t>
      </w:r>
    </w:p>
    <w:p>
      <w:pPr>
        <w:spacing w:after="0" w:line="5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have a substantial amount of consolidated debt in relation to our equity. As of December 31, 2020, we had total outstanding debt of approximately $13.15 billion, which includes a portion of the funds we expect to need for the development and construction of our current projects. We may, however, incur additional indebtedness in connection with the construction of these projects. In addition, we are permitted to incur additional indebtedness if certain conditions are met, including conditions under our Wynn Macau Credit Facilities, our WRF Credit Facilities, and our indentures in connection with other future potential development plans.</w:t>
      </w:r>
    </w:p>
    <w:p>
      <w:pPr>
        <w:spacing w:after="0" w:line="157"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if any,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if market interest rates increase.</w:t>
      </w:r>
    </w:p>
    <w:p>
      <w:pPr>
        <w:spacing w:after="0" w:line="1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interest rates of certain of our credit agreements are tied to the London Interbank Offered Rate, or LIBOR. In July 2017, the head of the United Kingdom Financial Conduct Authority announced the desire to phase out the use of LIBOR by the end of 2021. If LIBOR ceases to exist, we may need to renegotiate any of our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the potential effect of any such event could have on our business and financial condition cannot yet be determined.</w:t>
      </w:r>
    </w:p>
    <w:p>
      <w:pPr>
        <w:spacing w:after="0" w:line="156"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64" w:lineRule="auto"/>
        <w:rPr>
          <w:sz w:val="20"/>
          <w:szCs w:val="20"/>
          <w:color w:val="auto"/>
        </w:rPr>
      </w:pPr>
      <w:r>
        <w:rPr>
          <w:rFonts w:ascii="Arial" w:cs="Arial" w:eastAsia="Arial" w:hAnsi="Arial"/>
          <w:sz w:val="18"/>
          <w:szCs w:val="18"/>
          <w:b w:val="1"/>
          <w:b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Future indebtedness or other contracts could contain covenants more restrictive than those contained in our existing debt facilities.</w:t>
      </w:r>
    </w:p>
    <w:p>
      <w:pPr>
        <w:spacing w:after="0" w:line="15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15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estimate that the net proceeds from this offering will be approximately $732.6 million (or $842.4 million if the underwriters exercise their option to purchase additional shares of Common Stock in full), after deducting underwriting discounts, and excluding estimated offering expenses payable by us. We intend to use such net proceeds of this offering for general corporate purposes. General corporate purposes may include capital expenditures, additions to working capital, investments in our subsidiaries, and repayment of indebtedness, among other things. Net proceeds may be temporarily invested prior to use.</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000"/>
          </w:cols>
          <w:pgMar w:left="320" w:top="459" w:right="5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 sets forth our cash and cash equivalents, and our capitalization, on a consolidated basis, as of September 30, 2020:</w:t>
      </w:r>
    </w:p>
    <w:p>
      <w:pPr>
        <w:spacing w:after="0" w:line="100" w:lineRule="exact"/>
        <w:rPr>
          <w:sz w:val="20"/>
          <w:szCs w:val="20"/>
          <w:color w:val="auto"/>
        </w:rPr>
      </w:pPr>
    </w:p>
    <w:p>
      <w:pPr>
        <w:ind w:left="980" w:hanging="432"/>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6" w:lineRule="exact"/>
        <w:rPr>
          <w:rFonts w:ascii="Arial" w:cs="Arial" w:eastAsia="Arial" w:hAnsi="Arial"/>
          <w:sz w:val="18"/>
          <w:szCs w:val="18"/>
          <w:color w:val="auto"/>
        </w:rPr>
      </w:pPr>
    </w:p>
    <w:p>
      <w:pPr>
        <w:ind w:left="980" w:right="860" w:hanging="432"/>
        <w:spacing w:after="0" w:line="23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adjusted basis after giving effect to the sale of 6,500,000 shares of Common Stock in this offering, after deducting underwriting discounts, but before estimated offering expenses payable by us.</w:t>
      </w:r>
    </w:p>
    <w:p>
      <w:pPr>
        <w:spacing w:after="0" w:line="15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data in the table should be read in conjunction with “Management’s Discussion and Analysis of Financial Condition and Results of Operations” and the consolidated financial statements and notes thereto included in our Q3 2020 10-Q incorporated by reference in this prospectus supplement as well as “Summary—Recent Developments.”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040" w:type="dxa"/>
            <w:vAlign w:val="bottom"/>
            <w:tcBorders>
              <w:bottom w:val="single" w:sz="8" w:color="CCEEFF"/>
            </w:tcBorders>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Actual</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As Adjusted</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Cash and cash equivalents(1)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3,554,895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4,287,445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Long-term debt, including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US and Corporate Related: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Wynn Resorts Finance Credit Facilities(2)</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Senior Term Loan Facility</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950,000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03"/>
        </w:trPr>
        <w:tc>
          <w:tcPr>
            <w:tcW w:w="83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Senior Revolving Credit Facility</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816,000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816,000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4.250%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2023 of Wynn Las Vegas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5.500%</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2025 of Wynn Las Vegas</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1,780,000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1,780,000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5.250%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2027 of Wynn Las Vegas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880,000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5.125%</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2029 of Wynn Resorts Finance</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7.750%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2025 of Wynn Resorts Finance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3"/>
        </w:trPr>
        <w:tc>
          <w:tcPr>
            <w:tcW w:w="83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Retail Term Loan(3)</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615,000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615,000</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Macau Related: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Wynn Macau Credit Facilities(4)</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Senior Term Loan Facility(5)</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1,306,974</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1,306,974</w:t>
            </w:r>
          </w:p>
        </w:tc>
        <w:tc>
          <w:tcPr>
            <w:tcW w:w="0" w:type="dxa"/>
            <w:vAlign w:val="bottom"/>
          </w:tcPr>
          <w:p>
            <w:pPr>
              <w:spacing w:after="0"/>
              <w:rPr>
                <w:sz w:val="1"/>
                <w:szCs w:val="1"/>
                <w:color w:val="auto"/>
              </w:rPr>
            </w:pPr>
          </w:p>
        </w:tc>
      </w:tr>
      <w:tr>
        <w:trPr>
          <w:trHeight w:val="203"/>
        </w:trPr>
        <w:tc>
          <w:tcPr>
            <w:tcW w:w="83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Senior Revolving Credit Facility(6)</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751,073</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751,073</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4.875%</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2024 of Wynn Macau</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5.500%</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2026 of Wynn Macau</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5.500%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2027 of Wynn Macau</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5.125%</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2029 of Wynn Macau</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5.625%</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2028 of Wynn Macau(7)</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9"/>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issuance costs and original issue discounts and premium, net</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(109,457)</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(109,457)</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long-term debt, including current portion</w:t>
            </w: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12,789,590</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12,789,590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Stockholders’ equity (deficit):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 attributable to Wynn Resorts, Limited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(128,703)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603,847</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(417,928)</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(417,928)</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(546,631)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185,919</w:t>
            </w: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12,242,959</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12,975,509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adjusted basis reflects $732.6 million of net proceeds from this offering and does not give effect to payment of fees and expenses in connection with this offering.</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20" w:hanging="424"/>
        <w:spacing w:after="0" w:line="238" w:lineRule="auto"/>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U.S. credit facilities consist of a $1.0 billion first lien term loan facility (the “WRF Term Loan Facility”) and a $850 million first lien revolving credit facility (the “WRF Revolving Credit Facility” and together with the WRF Term Loan Facility, the “WRF Credit Facilities”), under which Wynn Resorts Finance, LLC (“Wynn Resorts Finance”), an indirect wholly owned subsidiary of the Company, is the borrower. The WRF Credit Facilities bear interest at a rate of LIBOR plus 1.75% per year. As of September 30, 2020 and December 31, 2020, the weighted average interest rate was approximately 1.90%. As of December 31, 2020, the balance of the WRF Term Loan Facility was $937.5 million. Additionally, as of December 31, 2020, the available borrowing capacity under the WRF Revolving Credit Facility was $117.9 million, net of $16.1 million in outstanding letters of credit.</w:t>
      </w:r>
    </w:p>
    <w:p>
      <w:pPr>
        <w:spacing w:after="0" w:line="1" w:lineRule="exact"/>
        <w:rPr>
          <w:rFonts w:ascii="Arial" w:cs="Arial" w:eastAsia="Arial" w:hAnsi="Arial"/>
          <w:sz w:val="13"/>
          <w:szCs w:val="13"/>
          <w:color w:val="auto"/>
        </w:rPr>
      </w:pPr>
    </w:p>
    <w:p>
      <w:pPr>
        <w:ind w:left="540" w:hanging="424"/>
        <w:spacing w:after="0" w:line="238" w:lineRule="auto"/>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retail term loan facility consists of $615 million term loan facility (the “Retail Term Loan”). The borrowers are Wynn/CA Plaza Property Owner, LLC and Wynn/CA Property Owner, LLC, each a subsidiary of the Retail Joint Venture. The Retail Term Loan bears interest at a rate of LIBOR plus 1.70% per year. As of September 30, 2020 and December 31, 2020, the effective interest rate was 2.70%.</w:t>
      </w:r>
    </w:p>
    <w:p>
      <w:pPr>
        <w:ind w:left="540" w:right="140" w:hanging="424"/>
        <w:spacing w:after="0" w:line="238" w:lineRule="auto"/>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Macau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The borrowings under the Wynn Macau Credit Facilities bear interest at LIBOR or HIBOR plus a margin of 1.50% to 2.25% per annum based on Wynn Resorts Macau S.A.’s leverage ratio.</w:t>
      </w:r>
    </w:p>
    <w:p>
      <w:pPr>
        <w:spacing w:after="0" w:line="1" w:lineRule="exact"/>
        <w:rPr>
          <w:rFonts w:ascii="Arial" w:cs="Arial" w:eastAsia="Arial" w:hAnsi="Arial"/>
          <w:sz w:val="13"/>
          <w:szCs w:val="13"/>
          <w:color w:val="auto"/>
        </w:rPr>
      </w:pPr>
    </w:p>
    <w:p>
      <w:pPr>
        <w:jc w:val="both"/>
        <w:ind w:left="540" w:right="80" w:hanging="424"/>
        <w:spacing w:after="0" w:line="238" w:lineRule="auto"/>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 of September 30, 2020, approximately $739.2 million and $567.8 million of the Wynn Macau Senior Term Loan Facility bore interest at a rate of LIBOR plus 2.125% per year and HIBOR plus 2.125% per year, respectively. As of September 30, 2020, the weighted average interest rate was approximately 2.42%. As of December 31, 2020, the balance of the Wynn Macau Senior Term Loan Facility was $1.27 billion and approximately $717.3 million and $550.8 million of the Wynn Macau Senior Term Loan Facility bore interest at a rate of LIBOR plus 2.25% per year and HIBOR plus 2.25% per year, respectively. As of December 31, 2020, the weighted average interest rate was approximately 2.41%.</w:t>
      </w:r>
    </w:p>
    <w:p>
      <w:pPr>
        <w:spacing w:after="0" w:line="1" w:lineRule="exact"/>
        <w:rPr>
          <w:rFonts w:ascii="Arial" w:cs="Arial" w:eastAsia="Arial" w:hAnsi="Arial"/>
          <w:sz w:val="13"/>
          <w:szCs w:val="13"/>
          <w:color w:val="auto"/>
        </w:rPr>
      </w:pPr>
    </w:p>
    <w:p>
      <w:pPr>
        <w:ind w:left="540" w:right="180" w:hanging="424"/>
        <w:spacing w:after="0"/>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 of September 30, 2020, approximately $427.0 million and $324.1 million of the Wynn Macau Revolving Credit Facility bore interest at a rate of LIBOR plus 2.125% per year and HIBOR plus 2.125% per year, respectively. As of September 30, 2020, the weighted average interest rate was approximately 2.39%. As of December 31, 2020, approximately $231.7 million and $175.7 million of the Wynn Macau Revolving Credit Facility bore interest at a rate of LIBOR plus 2.25% per year and HIBOR plus 2.25% per year, respectively. As of December 31, 2020, the weighted average interest rate was approximately 2.44%. As of December 31, 2020, the balance of the Wynn Macau Senior Revolving Credit Facility was $407.4 million. As of December 31, 2020, the available borrowing capacity under the Wynn Macau Senior Revolving Credit Facility was $343.5 million.</w:t>
      </w:r>
    </w:p>
    <w:p>
      <w:pPr>
        <w:spacing w:after="0" w:line="143" w:lineRule="exact"/>
        <w:rPr>
          <w:rFonts w:ascii="Arial" w:cs="Arial" w:eastAsia="Arial" w:hAnsi="Arial"/>
          <w:sz w:val="13"/>
          <w:szCs w:val="13"/>
          <w:color w:val="auto"/>
        </w:rPr>
      </w:pPr>
    </w:p>
    <w:p>
      <w:pPr>
        <w:ind w:left="540" w:hanging="424"/>
        <w:spacing w:after="0"/>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December 22, 2020, WML issued an additional $750.0 million of its 5.625% Senior Notes due 2028.</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During the first quarter of 2020, we paid a cash dividend of $1.00 per share of Common Stock. During the first quarter of 2019, the Company paid a cash dividend per share of Common Stock of $0.75 per share and $1.00 per share for the three subsequent quarters, for annual cash dividends of $3.75 per share in 2019.</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May 2020, the Company announced that it had suspended its quarterly dividend program due to the financial impact of the COVID-19 pandemic. The Company currently intends to retain all available funds and any future earnings for use in the operation of its business, and therefore the Company does not currently expect to pay any cash dividends on shares of Common Stock. Any future determination to pay dividends to holders of shares of Common Stock will be at the discretion of the board of directors and will depend upon many factors, including our results of operations, financial condition, capital requirements, restrictions in debt agreements and lease agreements and other factors that our board of directors deems relevant.</w:t>
      </w:r>
    </w:p>
    <w:p>
      <w:pPr>
        <w:spacing w:after="0" w:line="15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Wynn Resorts is a holding company and, as a result, its ability to pay dividends is highly dependent on its ability to obtain funds and its subsidiaries’ ability to provide funds to it. Restrictions imposed by our subsidiaries’ debt instruments significantly restrict certain key subsidiaries from making dividends or distributions to Wynn Resorts.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OUR COMMON STOCK</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consider the description of our Common Stock as set forth in Exhibit 4.2 to our 2019 10-K.</w:t>
      </w:r>
    </w:p>
    <w:p>
      <w:pPr>
        <w:spacing w:after="0" w:line="16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0139"/>
          </w:cols>
          <w:pgMar w:left="320" w:top="45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U.S. federal income tax effects. The effects of other U.S. federal tax laws, such as estate and gift tax laws, and any applicable state, local or non-U.S. tax laws are not discussed. Non-U.S. Holders are urged to consult their tax advisors about the potential significant estate tax consequences with respect to investment in our Common Stock.</w:t>
      </w:r>
    </w:p>
    <w:p>
      <w:pPr>
        <w:spacing w:after="0" w:line="15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6"/>
          <w:szCs w:val="16"/>
          <w:color w:val="auto"/>
        </w:rPr>
        <w:t>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30"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or the requirements of Section 451 of the Code with respect to conforming the timing of income accruals to financial statements. In addition, it does not address consequences relevant to Non-U.S. Holders subject to special rules, including, without limitation:</w:t>
      </w:r>
    </w:p>
    <w:p>
      <w:pPr>
        <w:spacing w:after="0" w:line="76" w:lineRule="exact"/>
        <w:rPr>
          <w:sz w:val="20"/>
          <w:szCs w:val="20"/>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76" w:lineRule="exact"/>
        <w:rPr>
          <w:rFonts w:ascii="Arial" w:cs="Arial" w:eastAsia="Arial" w:hAnsi="Arial"/>
          <w:sz w:val="18"/>
          <w:szCs w:val="18"/>
          <w:color w:val="auto"/>
        </w:rPr>
      </w:pPr>
    </w:p>
    <w:p>
      <w:pPr>
        <w:ind w:left="980" w:right="720" w:hanging="432"/>
        <w:spacing w:after="0" w:line="23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76" w:lineRule="exact"/>
        <w:rPr>
          <w:rFonts w:ascii="Arial" w:cs="Arial" w:eastAsia="Arial" w:hAnsi="Arial"/>
          <w:sz w:val="18"/>
          <w:szCs w:val="18"/>
          <w:color w:val="auto"/>
        </w:rPr>
      </w:pPr>
    </w:p>
    <w:p>
      <w:pPr>
        <w:ind w:left="980" w:hanging="432"/>
        <w:spacing w:after="0" w:line="23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entities or arrangements treated as partnerships for U.S. federal income tax purposes (and investors therein);</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entities or governmental organizations;</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76" w:lineRule="exact"/>
        <w:rPr>
          <w:rFonts w:ascii="Arial" w:cs="Arial" w:eastAsia="Arial" w:hAnsi="Arial"/>
          <w:sz w:val="18"/>
          <w:szCs w:val="18"/>
          <w:color w:val="auto"/>
        </w:rPr>
      </w:pPr>
    </w:p>
    <w:p>
      <w:pPr>
        <w:ind w:left="980" w:right="920" w:hanging="432"/>
        <w:spacing w:after="0" w:line="23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73" w:lineRule="exact"/>
        <w:rPr>
          <w:rFonts w:ascii="Arial" w:cs="Arial" w:eastAsia="Arial" w:hAnsi="Arial"/>
          <w:sz w:val="18"/>
          <w:szCs w:val="18"/>
          <w:color w:val="auto"/>
        </w:rPr>
      </w:pPr>
    </w:p>
    <w:p>
      <w:pPr>
        <w:ind w:left="980" w:right="400" w:hanging="432"/>
        <w:spacing w:after="0" w:line="23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subject to special U.S. federal income tax accounting rules as a result of any item of gross income with respect to the Common Stock being taken into account in an applicable financial statement;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76" w:lineRule="exact"/>
        <w:rPr>
          <w:rFonts w:ascii="Arial" w:cs="Arial" w:eastAsia="Arial" w:hAnsi="Arial"/>
          <w:sz w:val="18"/>
          <w:szCs w:val="18"/>
          <w:color w:val="auto"/>
        </w:rPr>
      </w:pPr>
    </w:p>
    <w:p>
      <w:pPr>
        <w:ind w:left="980" w:right="260" w:hanging="432"/>
        <w:spacing w:after="0" w:line="23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897(l)(2) of the Code and entities all of the interests of which are held by qualified foreign pension funds.</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considering an investment in our Common Stock and the partners in such partnerships are urged to consult their tax advisors regarding the U.S. federal income tax consequences to them.</w:t>
      </w:r>
    </w:p>
    <w:p>
      <w:pPr>
        <w:spacing w:after="0" w:line="132" w:lineRule="exact"/>
        <w:rPr>
          <w:sz w:val="20"/>
          <w:szCs w:val="20"/>
          <w:color w:val="auto"/>
        </w:rPr>
      </w:pPr>
    </w:p>
    <w:p>
      <w:pPr>
        <w:ind w:left="120" w:right="140"/>
        <w:spacing w:after="0" w:line="280"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ARE URGED TO CONSULT THEIR TAX ADVISORS WITH RESPECT TO THE APPLICATION OF THE U.S. FEDERAL INCOME TAX LAWS TO THEIR PARTICULAR SITUATIONS AS WELL AS ANY TAX CONSEQUENCES OF THE PURCHASE, OWNERSHIP AND DISPOSITION OF OUR COMMON STOCK ARISING UNDER THE U.S. FEDERAL ESTATE OR GIFT TAX LAWS (OR OTHER U.S. FEDERAL TAX LAWS) OR UNDER THE LAWS OF ANY STATE, LOCAL OR NON-U.S. TAXING JURISDICTION OR UNDER ANY APPLICABLE INCOME TAX TREATY.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99"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3" w:lineRule="exact"/>
        <w:rPr>
          <w:sz w:val="20"/>
          <w:szCs w:val="20"/>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76" w:lineRule="exact"/>
        <w:rPr>
          <w:rFonts w:ascii="Arial" w:cs="Arial" w:eastAsia="Arial" w:hAnsi="Arial"/>
          <w:sz w:val="18"/>
          <w:szCs w:val="18"/>
          <w:color w:val="auto"/>
        </w:rPr>
      </w:pPr>
    </w:p>
    <w:p>
      <w:pPr>
        <w:ind w:left="980" w:right="180" w:hanging="432"/>
        <w:spacing w:after="0" w:line="23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76" w:lineRule="exact"/>
        <w:rPr>
          <w:rFonts w:ascii="Arial" w:cs="Arial" w:eastAsia="Arial" w:hAnsi="Arial"/>
          <w:sz w:val="18"/>
          <w:szCs w:val="18"/>
          <w:color w:val="auto"/>
        </w:rPr>
      </w:pPr>
    </w:p>
    <w:p>
      <w:pPr>
        <w:ind w:left="980" w:right="80" w:hanging="432"/>
        <w:spacing w:after="0" w:line="23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substantial decisions of which are subject to the control of one or more “United States persons” (within the meaning of Section 7701 (a)(30) of the Code), or (2) has a valid election in effect to be treated as a United States person for U.S. federal income tax purposes.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As described under “Dividend Policy” in this prospectus, we do not expect to make any distributions for the foreseeable future.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(determined separately for each share), but not below zero. Any excess will be treated as capital gain and will be treated as described below under “—Sale or Other Taxable Disposition.”</w:t>
      </w:r>
    </w:p>
    <w:p>
      <w:pPr>
        <w:spacing w:after="0" w:line="156" w:lineRule="exact"/>
        <w:rPr>
          <w:sz w:val="20"/>
          <w:szCs w:val="20"/>
          <w:color w:val="auto"/>
        </w:rPr>
      </w:pPr>
    </w:p>
    <w:p>
      <w:pPr>
        <w:ind w:left="120" w:right="360" w:firstLine="440"/>
        <w:spacing w:after="0" w:line="239"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amount of the dividends (or such lower rate specified by an applicable income tax treaty, provided the Non-U.S. Holder furnishes to the applicable withholding agent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57" w:lineRule="exact"/>
        <w:rPr>
          <w:sz w:val="20"/>
          <w:szCs w:val="20"/>
          <w:color w:val="auto"/>
        </w:rPr>
      </w:pPr>
    </w:p>
    <w:p>
      <w:pPr>
        <w:jc w:val="both"/>
        <w:ind w:left="120" w:right="320" w:firstLine="440"/>
        <w:spacing w:after="0" w:line="23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the Non-U.S. Holder will be exempt from the U.S. federal withholding tax described above, unless an applicable income tax treaty provides otherwise. To claim the exemption, the Non-U.S. Holder must furnish to the applicable withholding agent a valid IRS Form W-8ECI (or other applicable form), certifying that the dividends are effectively connected with the Non-U.S. Holder’s conduct of a trade or business within the United States.</w:t>
      </w:r>
    </w:p>
    <w:p>
      <w:pPr>
        <w:spacing w:after="0" w:line="157"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Unless an applicable income tax treaty provides otherwise, 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Non-U.S. Holder’s effectively connected earnings and profits, as adjusted for certain items. Non-U.S. Holders should consult their tax advisors regarding any applicable tax treaties that may provide for different rules.</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6"/>
          <w:szCs w:val="16"/>
          <w:color w:val="auto"/>
        </w:rPr>
        <w:t>In addition, if we are a USRPHC (as discussed below) and any distribution on our Common Stock exceeds our current and accumulated earnings and profits, the applicable withholding agent will need to choose to satisfy the withholding requirements either by treating the entire distribution as a dividend, subject to U.S. federal withholding tax at a rate of 30% or a lower applicable treaty rate as described above, provided that a minimum rate of 15% shall apply unless the applicable income tax treaty specifically identifies a lower rate for distributions from a USRPHC, or by treating only the amount of the distribution equal to our reasonable estimate of our current and accumulated earnings and profits as a dividend, with the excess portion of the distribution being subject to withholding at a rate of 15% or such lower rate as may be specified by an applicable income tax treaty. Because we can provide no assurance that we are not a USRPHC (as described below), an applicable withholding agent may apply the rules applicable to distributions by USRPHCs (as described in the preceding sentence).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Non-U.S. Holder will not be subject to U.S. federal income tax on any gain recognized upon the sale or other taxable disposition of our</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unless:</w:t>
      </w:r>
    </w:p>
    <w:p>
      <w:pPr>
        <w:spacing w:after="0" w:line="77" w:lineRule="exact"/>
        <w:rPr>
          <w:sz w:val="20"/>
          <w:szCs w:val="20"/>
          <w:color w:val="auto"/>
        </w:rPr>
      </w:pPr>
    </w:p>
    <w:p>
      <w:pPr>
        <w:ind w:left="980" w:hanging="43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w:t>
      </w:r>
    </w:p>
    <w:p>
      <w:pPr>
        <w:spacing w:after="0" w:line="76" w:lineRule="exact"/>
        <w:rPr>
          <w:rFonts w:ascii="Arial" w:cs="Arial" w:eastAsia="Arial" w:hAnsi="Arial"/>
          <w:sz w:val="18"/>
          <w:szCs w:val="18"/>
          <w:color w:val="auto"/>
        </w:rPr>
      </w:pPr>
    </w:p>
    <w:p>
      <w:pPr>
        <w:ind w:left="980" w:right="280" w:hanging="432"/>
        <w:spacing w:after="0" w:line="23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during the taxable year of the disposition and certain other requirements are met; or</w:t>
      </w:r>
    </w:p>
    <w:p>
      <w:pPr>
        <w:spacing w:after="0" w:line="73" w:lineRule="exact"/>
        <w:rPr>
          <w:rFonts w:ascii="Arial" w:cs="Arial" w:eastAsia="Arial" w:hAnsi="Arial"/>
          <w:sz w:val="18"/>
          <w:szCs w:val="18"/>
          <w:color w:val="auto"/>
        </w:rPr>
      </w:pPr>
    </w:p>
    <w:p>
      <w:pPr>
        <w:ind w:left="980" w:right="260" w:hanging="432"/>
        <w:spacing w:after="0" w:line="23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 at any time during the specified period (the “Applicable USRPHC Period”).</w:t>
      </w:r>
    </w:p>
    <w:p>
      <w:pPr>
        <w:spacing w:after="0" w:line="154" w:lineRule="exact"/>
        <w:rPr>
          <w:sz w:val="20"/>
          <w:szCs w:val="20"/>
          <w:color w:val="auto"/>
        </w:rPr>
      </w:pPr>
    </w:p>
    <w:p>
      <w:pPr>
        <w:ind w:left="120" w:right="340" w:firstLine="440"/>
        <w:spacing w:after="0" w:line="23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unless an applicable income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tax treaty provides otherwise. A Non-U.S. Holder that is a corporation also may be subject to a branch profits tax at a rate of 30% (or such lower rate specified by an applicable income tax treaty) on such Non-U.S. Holder’s effectively connected earnings and profits, as adjusted for certain items.</w:t>
      </w:r>
    </w:p>
    <w:p>
      <w:pPr>
        <w:spacing w:after="0" w:line="15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and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4" w:lineRule="exact"/>
        <w:rPr>
          <w:sz w:val="20"/>
          <w:szCs w:val="20"/>
          <w:color w:val="auto"/>
        </w:rPr>
      </w:pPr>
    </w:p>
    <w:p>
      <w:pPr>
        <w:ind w:left="120" w:right="180" w:firstLine="440"/>
        <w:spacing w:after="0" w:line="235" w:lineRule="auto"/>
        <w:rPr>
          <w:sz w:val="20"/>
          <w:szCs w:val="20"/>
          <w:color w:val="auto"/>
        </w:rPr>
      </w:pPr>
      <w:r>
        <w:rPr>
          <w:rFonts w:ascii="Arial" w:cs="Arial" w:eastAsia="Arial" w:hAnsi="Arial"/>
          <w:sz w:val="18"/>
          <w:szCs w:val="18"/>
          <w:color w:val="auto"/>
        </w:rPr>
        <w:t>With respect to the third bullet point above, although there can be no assurance in this regard, we believe we currently are not, and currently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no more than 5% of our Common Stock throughout the Applicable USRPHC Period. If the disposition of our Common Stock were subject to taxation under the rules governing USRPHCs, a Non-U.S. Holder would be required to file a U.S. federal income tax return and generally would be subject to the same treatment as a U.S. holder with respect to such gain. In addition, if we are or become a USRPHC and our Common Stock is not considered to be regularly traded on an established securities market at any time during the Applicable USRPHC Period, a 15% U.S. federal withholding tax would apply to the proceeds paid to a Non-U.S. Holder from a sale or other taxable disposition of our Common Stock.</w:t>
      </w:r>
    </w:p>
    <w:p>
      <w:pPr>
        <w:spacing w:after="0" w:line="160" w:lineRule="exact"/>
        <w:rPr>
          <w:sz w:val="20"/>
          <w:szCs w:val="20"/>
          <w:color w:val="auto"/>
        </w:rPr>
      </w:pPr>
    </w:p>
    <w:p>
      <w:pPr>
        <w:ind w:left="120" w:right="620" w:firstLine="440"/>
        <w:spacing w:after="0" w:line="239" w:lineRule="auto"/>
        <w:rPr>
          <w:sz w:val="20"/>
          <w:szCs w:val="20"/>
          <w:color w:val="auto"/>
        </w:rPr>
      </w:pPr>
      <w:r>
        <w:rPr>
          <w:rFonts w:ascii="Arial" w:cs="Arial" w:eastAsia="Arial" w:hAnsi="Arial"/>
          <w:sz w:val="18"/>
          <w:szCs w:val="18"/>
          <w:color w:val="auto"/>
        </w:rPr>
        <w:t>Non-U.S. Holders are urged to consult their tax advisors regarding potentially applicable income tax treaties that may provide for different rules.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Payments of dividends on our Common Stock will not be subject to backup withholding, provided the holder either certifies its non-U.S. status, such as by furnishing to the applicable withholding agent a valid IRS Form W-8BEN, W-8BEN-E or W-8ECI (or other applicable documentation), or otherwise establishes an exemption. However, information returns are required to be filed with the IRS in connection with any dividends on our Common Stock paid to the Non-U.S. Holder, regardless of whether any tax was actually withheld.</w:t>
      </w:r>
    </w:p>
    <w:p>
      <w:pPr>
        <w:spacing w:after="0" w:line="154"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Proceeds of the sale or other taxable disposition of our Common Stock generally will be subject to information reporting and possible backup withholding unless the applicable withholding agent receives the certification of the holder’s non-U.S. status, or the holder otherwise establishes an exemption. However, proceeds of a disposition of our Common Stock conducted through a non-U.S. office of a non-U.S. broker that does not have a specified relationship with the United States generally will not be subject to backup withholding or information reporting.</w:t>
      </w:r>
    </w:p>
    <w:p>
      <w:pPr>
        <w:spacing w:after="0" w:line="157" w:lineRule="exact"/>
        <w:rPr>
          <w:sz w:val="20"/>
          <w:szCs w:val="20"/>
          <w:color w:val="auto"/>
        </w:rPr>
      </w:pPr>
    </w:p>
    <w:p>
      <w:pPr>
        <w:ind w:left="120" w:right="480" w:firstLine="44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organized.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(regardless of whether such institutions or entities receive the payments as a beneficial owner or intermediary).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reporting and withholding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0"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Currently effective, proposed Treasury Regulations have been issued that, when finalized, generally will provide for the repeal of the 30% withholding tax that would have applied to all payments of gross proceeds from the sale or disposition of our Common Stock. In the preamble to the proposed Treasury Regulations, the government provided that taxpayers may rely upon this repeal until the issuance of final Treasury Regulations.</w:t>
      </w:r>
    </w:p>
    <w:p>
      <w:pPr>
        <w:spacing w:after="0" w:line="154" w:lineRule="exact"/>
        <w:rPr>
          <w:sz w:val="20"/>
          <w:szCs w:val="20"/>
          <w:color w:val="auto"/>
        </w:rPr>
      </w:pPr>
    </w:p>
    <w:p>
      <w:pPr>
        <w:ind w:left="120" w:right="400" w:firstLine="440"/>
        <w:spacing w:after="0" w:line="239" w:lineRule="auto"/>
        <w:rPr>
          <w:sz w:val="20"/>
          <w:szCs w:val="20"/>
          <w:color w:val="auto"/>
        </w:rPr>
      </w:pPr>
      <w:r>
        <w:rPr>
          <w:rFonts w:ascii="Arial" w:cs="Arial" w:eastAsia="Arial" w:hAnsi="Arial"/>
          <w:sz w:val="18"/>
          <w:szCs w:val="18"/>
          <w:color w:val="auto"/>
        </w:rPr>
        <w:t>Prospective investors are urged to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Deutsche Bank Securities Inc., Goldman Sachs &amp; Co. LLC and BofA Securities, Inc. are acting as representatives (the “Representatives”) of each of the underwriters. Subject to the terms and conditions set forth in an underwriting agreement among us and the Representatives, we have agreed to sell to the underwriters, and each of the underwriters has agreed, severally and not jointly, to purchase from us, the number of shares of Common Stock set forth opposite its name below:</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9520" w:type="dxa"/>
            <w:vAlign w:val="bottom"/>
            <w:vMerge w:val="restart"/>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9520" w:type="dxa"/>
            <w:vAlign w:val="bottom"/>
            <w:vMerge w:val="continue"/>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89"/>
        </w:trPr>
        <w:tc>
          <w:tcPr>
            <w:tcW w:w="9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Deutsche Bank Securities Inc.</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1,678,560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Goldman Sachs &amp; Co. LLC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1,518,270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BofA Securities, Inc.</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855,660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Fifth Third Securities, Inc.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333,385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BNP Paribas Securities Corp.</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296,595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Mizuho Securities USA LLC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291,460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Scotia Capital (USA) Inc.</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291,460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SMBC Nikko Securities America, Inc.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291,460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Truist Securities, Inc.</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291,460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Credit Agricole Securities (USA) Inc.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254,930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Citizens Capital Markets, Inc.</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173,875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J.P. Morgan Securities LLC</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151,320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Moelis &amp; Company LLC</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71,565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The underwriters are committed to purchase all the Common Stock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154" w:lineRule="exact"/>
        <w:rPr>
          <w:sz w:val="20"/>
          <w:szCs w:val="20"/>
          <w:color w:val="auto"/>
        </w:rPr>
      </w:pPr>
    </w:p>
    <w:p>
      <w:pPr>
        <w:ind w:left="560" w:right="1020"/>
        <w:spacing w:after="0" w:line="42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Our Common Stock is listed on the Nasdaq Global Select Market under the symbol “WYNN.”</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Discounts and Expenses</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supplement and to dealers at that price less a concession not in excess of $1.38 per share. After the initial offering, the public offering price, concession or any other term of the offering may be changed. Sales of shares made outside of the United States may be made by affiliates of the underwriters.</w:t>
      </w:r>
    </w:p>
    <w:p>
      <w:pPr>
        <w:spacing w:after="0" w:line="154" w:lineRule="exact"/>
        <w:rPr>
          <w:sz w:val="20"/>
          <w:szCs w:val="20"/>
          <w:color w:val="auto"/>
        </w:rPr>
      </w:pPr>
    </w:p>
    <w:p>
      <w:pPr>
        <w:ind w:left="120" w:right="760" w:firstLine="440"/>
        <w:spacing w:after="0" w:line="239"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300"/>
              <w:spacing w:after="0"/>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2"/>
                <w:szCs w:val="12"/>
                <w:color w:val="auto"/>
              </w:rPr>
            </w:pPr>
          </w:p>
        </w:tc>
        <w:tc>
          <w:tcPr>
            <w:tcW w:w="1140" w:type="dxa"/>
            <w:vAlign w:val="bottom"/>
            <w:gridSpan w:val="2"/>
          </w:tcPr>
          <w:p>
            <w:pPr>
              <w:ind w:left="260"/>
              <w:spacing w:after="0"/>
              <w:rPr>
                <w:sz w:val="20"/>
                <w:szCs w:val="20"/>
                <w:color w:val="auto"/>
              </w:rPr>
            </w:pPr>
            <w:r>
              <w:rPr>
                <w:rFonts w:ascii="Arial" w:cs="Arial" w:eastAsia="Arial" w:hAnsi="Arial"/>
                <w:sz w:val="13"/>
                <w:szCs w:val="13"/>
                <w:b w:val="1"/>
                <w:bCs w:val="1"/>
                <w:color w:val="auto"/>
              </w:rPr>
              <w:t>Gross</w:t>
            </w:r>
          </w:p>
        </w:tc>
      </w:tr>
      <w:tr>
        <w:trPr>
          <w:trHeight w:val="165"/>
        </w:trPr>
        <w:tc>
          <w:tcPr>
            <w:tcW w:w="396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Per Share</w:t>
            </w: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rPr>
              <w:t>Without Option</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With Option</w:t>
            </w:r>
          </w:p>
        </w:tc>
        <w:tc>
          <w:tcPr>
            <w:tcW w:w="60" w:type="dxa"/>
            <w:vAlign w:val="bottom"/>
            <w:tcBorders>
              <w:bottom w:val="single" w:sz="8" w:color="CCEEFF"/>
            </w:tcBorders>
          </w:tcPr>
          <w:p>
            <w:pPr>
              <w:spacing w:after="0"/>
              <w:rPr>
                <w:sz w:val="14"/>
                <w:szCs w:val="14"/>
                <w:color w:val="auto"/>
              </w:rPr>
            </w:pPr>
          </w:p>
        </w:tc>
      </w:tr>
      <w:tr>
        <w:trPr>
          <w:trHeight w:val="196"/>
        </w:trPr>
        <w:tc>
          <w:tcPr>
            <w:tcW w:w="39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Public offering price</w:t>
            </w:r>
          </w:p>
        </w:tc>
        <w:tc>
          <w:tcPr>
            <w:tcW w:w="3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115.00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747,500,000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859,625,000</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2.30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14,950,000</w:t>
            </w:r>
          </w:p>
        </w:tc>
        <w:tc>
          <w:tcPr>
            <w:tcW w:w="3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17,192,500</w:t>
            </w:r>
          </w:p>
        </w:tc>
        <w:tc>
          <w:tcPr>
            <w:tcW w:w="60" w:type="dxa"/>
            <w:vAlign w:val="bottom"/>
          </w:tcPr>
          <w:p>
            <w:pPr>
              <w:spacing w:after="0"/>
              <w:rPr>
                <w:sz w:val="17"/>
                <w:szCs w:val="17"/>
                <w:color w:val="auto"/>
              </w:rPr>
            </w:pPr>
          </w:p>
        </w:tc>
      </w:tr>
      <w:tr>
        <w:trPr>
          <w:trHeight w:val="202"/>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112.70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732,550,000</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842,432,500</w:t>
            </w:r>
          </w:p>
        </w:tc>
      </w:tr>
      <w:tr>
        <w:trPr>
          <w:trHeight w:val="511"/>
        </w:trPr>
        <w:tc>
          <w:tcPr>
            <w:tcW w:w="3960" w:type="dxa"/>
            <w:vAlign w:val="bottom"/>
          </w:tcPr>
          <w:p>
            <w:pPr>
              <w:spacing w:after="0"/>
              <w:rPr>
                <w:sz w:val="24"/>
                <w:szCs w:val="24"/>
                <w:color w:val="auto"/>
              </w:rPr>
            </w:pPr>
          </w:p>
        </w:tc>
        <w:tc>
          <w:tcPr>
            <w:tcW w:w="3220" w:type="dxa"/>
            <w:vAlign w:val="bottom"/>
            <w:gridSpan w:val="2"/>
          </w:tcPr>
          <w:p>
            <w:pPr>
              <w:jc w:val="right"/>
              <w:ind w:right="1433"/>
              <w:spacing w:after="0"/>
              <w:rPr>
                <w:sz w:val="20"/>
                <w:szCs w:val="20"/>
                <w:color w:val="auto"/>
              </w:rPr>
            </w:pPr>
            <w:r>
              <w:rPr>
                <w:rFonts w:ascii="Arial" w:cs="Arial" w:eastAsia="Arial" w:hAnsi="Arial"/>
                <w:sz w:val="18"/>
                <w:szCs w:val="18"/>
                <w:color w:val="auto"/>
              </w:rPr>
              <w:t>S-53</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share of the total expenses of this offering, excluding underwriting discounts, will be approximately $500,000.</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9" w:lineRule="exact"/>
        <w:rPr>
          <w:sz w:val="20"/>
          <w:szCs w:val="20"/>
          <w:color w:val="auto"/>
        </w:rPr>
      </w:pPr>
    </w:p>
    <w:p>
      <w:pPr>
        <w:ind w:left="120" w:right="240" w:firstLine="440"/>
        <w:spacing w:after="0" w:line="237"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975,000 additional shares of Common Stock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our Section 16 officers and directors have agreed not to offer, sell, pledge, contract to sell (including any short sale), grant any option to purchase or otherwise dispose of any shares of our Common Stock, or enter into any hedging transaction relating to shares of our Common Stock or other transactions which are designed to result in a disposition of shares of our Common Stock for a period of 45 days after the date of this prospectus supplement without the prior written consent of Deutsche Bank Securities Inc., Goldman Sachs &amp; Co. LLC and BofA Securities, Inc. Such lock-up agreements are subject to certain important exceptions.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99" w:lineRule="exact"/>
        <w:rPr>
          <w:sz w:val="20"/>
          <w:szCs w:val="20"/>
          <w:color w:val="auto"/>
        </w:rPr>
      </w:pPr>
    </w:p>
    <w:p>
      <w:pPr>
        <w:ind w:left="120" w:firstLine="440"/>
        <w:spacing w:after="0" w:line="26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our Common Stock referred to above, or may be “naked” shorts, which are short positions in excess of that amount. The underwriters may close out any covered short position either by exercising their option to purchase additional shares of our Common Stock,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to purchase additional shares of our Common Stock.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338" w:lineRule="exact"/>
        <w:rPr>
          <w:sz w:val="20"/>
          <w:szCs w:val="20"/>
          <w:color w:val="auto"/>
        </w:rPr>
      </w:pPr>
    </w:p>
    <w:p>
      <w:pPr>
        <w:ind w:left="120" w:right="400" w:firstLine="440"/>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of the underwriters can require the underwriters that sold those shares as part of this offering to repay the underwriting discount received by them.</w:t>
      </w:r>
    </w:p>
    <w:p>
      <w:pPr>
        <w:spacing w:after="0" w:line="157"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9"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of the underwriters and selling group members that may make Internet distributions on the same basis as other allocations.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restrictions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9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(as defined below), except that offers of shares may be made to the public in that Relevant State at any time under the following exemptions under the Prospectus Regulation:</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to any legal entity which is a qualified investor as defined under the Prospectus Regulation;</w:t>
      </w:r>
    </w:p>
    <w:p>
      <w:pPr>
        <w:spacing w:after="0" w:line="158" w:lineRule="exact"/>
        <w:rPr>
          <w:sz w:val="20"/>
          <w:szCs w:val="20"/>
          <w:color w:val="auto"/>
        </w:rPr>
      </w:pPr>
    </w:p>
    <w:p>
      <w:pPr>
        <w:ind w:left="120" w:right="400" w:firstLine="440"/>
        <w:spacing w:after="0" w:line="239" w:lineRule="auto"/>
        <w:rPr>
          <w:sz w:val="20"/>
          <w:szCs w:val="20"/>
          <w:color w:val="auto"/>
        </w:rPr>
      </w:pPr>
      <w:r>
        <w:rPr>
          <w:rFonts w:ascii="Arial" w:cs="Arial" w:eastAsia="Arial" w:hAnsi="Arial"/>
          <w:sz w:val="18"/>
          <w:szCs w:val="18"/>
          <w:color w:val="auto"/>
        </w:rPr>
        <w:t>b. to fewer than 150 natural or legal persons (other than qualified investors as defined under the Prospectus Regulation), subject to obtaining the prior consent of the underwriters for any such offer; or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in any other circumstances falling within Article 1(4) of the Prospectus Regulation,</w:t>
      </w:r>
    </w:p>
    <w:p>
      <w:pPr>
        <w:spacing w:after="0" w:line="158" w:lineRule="exact"/>
        <w:rPr>
          <w:sz w:val="20"/>
          <w:szCs w:val="20"/>
          <w:color w:val="auto"/>
        </w:rPr>
      </w:pPr>
    </w:p>
    <w:p>
      <w:pPr>
        <w:ind w:left="120" w:right="480" w:firstLine="440"/>
        <w:spacing w:after="0" w:line="239"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55" w:lineRule="exact"/>
        <w:rPr>
          <w:sz w:val="20"/>
          <w:szCs w:val="20"/>
          <w:color w:val="auto"/>
        </w:rPr>
      </w:pPr>
    </w:p>
    <w:p>
      <w:pPr>
        <w:jc w:val="both"/>
        <w:ind w:left="120" w:right="220" w:firstLine="440"/>
        <w:spacing w:after="0" w:line="238"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5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20" w:firstLine="440"/>
        <w:spacing w:after="0" w:line="239"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5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120" w:right="240" w:firstLine="440"/>
        <w:spacing w:after="0" w:line="239"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95" w:lineRule="exact"/>
        <w:rPr>
          <w:sz w:val="20"/>
          <w:szCs w:val="20"/>
          <w:color w:val="auto"/>
        </w:rPr>
      </w:pPr>
    </w:p>
    <w:p>
      <w:pPr>
        <w:ind w:left="120" w:right="460" w:firstLine="440"/>
        <w:spacing w:after="0" w:line="239" w:lineRule="auto"/>
        <w:rPr>
          <w:sz w:val="20"/>
          <w:szCs w:val="20"/>
          <w:color w:val="auto"/>
        </w:rPr>
      </w:pPr>
      <w:r>
        <w:rPr>
          <w:rFonts w:ascii="Arial" w:cs="Arial" w:eastAsia="Arial" w:hAnsi="Arial"/>
          <w:sz w:val="18"/>
          <w:szCs w:val="18"/>
          <w:color w:val="auto"/>
        </w:rPr>
        <w:t>No shares have been offered or will be offered pursuant to an offer to the public in the United Kingdom except that shares may be offered to the public in the United Kingdom:</w:t>
      </w:r>
    </w:p>
    <w:p>
      <w:pPr>
        <w:spacing w:after="0" w:line="74"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any time to any legal entity which is a qualified investor as defined in Article 2 of the UK Prospectus Regulation;</w:t>
      </w:r>
    </w:p>
    <w:p>
      <w:pPr>
        <w:spacing w:after="0" w:line="76" w:lineRule="exact"/>
        <w:rPr>
          <w:rFonts w:ascii="Arial" w:cs="Arial" w:eastAsia="Arial" w:hAnsi="Arial"/>
          <w:sz w:val="18"/>
          <w:szCs w:val="18"/>
          <w:color w:val="auto"/>
        </w:rPr>
      </w:pPr>
    </w:p>
    <w:p>
      <w:pPr>
        <w:ind w:left="540" w:right="580" w:hanging="424"/>
        <w:spacing w:after="0" w:line="23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any time to fewer than 150 natural or legal persons (other than qualified investors as defined in Article 2 of the UK Prospectus Regulation) in the United Kingdom subject to obtaining the prior consent of the underwriters for any such offer; or</w:t>
      </w:r>
    </w:p>
    <w:p>
      <w:pPr>
        <w:spacing w:after="0" w:line="73" w:lineRule="exact"/>
        <w:rPr>
          <w:rFonts w:ascii="Arial" w:cs="Arial" w:eastAsia="Arial" w:hAnsi="Arial"/>
          <w:sz w:val="18"/>
          <w:szCs w:val="18"/>
          <w:color w:val="auto"/>
        </w:rPr>
      </w:pPr>
    </w:p>
    <w:p>
      <w:pPr>
        <w:ind w:left="540" w:right="540" w:hanging="424"/>
        <w:spacing w:after="0" w:line="23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any time in any other circumstances falling within section 86 of the Financial Services and Markets Act 2000 (as amended, the “FSMA”),</w:t>
      </w:r>
    </w:p>
    <w:p>
      <w:pPr>
        <w:spacing w:after="0" w:line="155" w:lineRule="exact"/>
        <w:rPr>
          <w:sz w:val="20"/>
          <w:szCs w:val="20"/>
          <w:color w:val="auto"/>
        </w:rPr>
      </w:pPr>
    </w:p>
    <w:p>
      <w:pPr>
        <w:ind w:left="120" w:right="240" w:firstLine="440"/>
        <w:spacing w:after="0" w:line="239" w:lineRule="auto"/>
        <w:rPr>
          <w:sz w:val="20"/>
          <w:szCs w:val="20"/>
          <w:color w:val="auto"/>
        </w:rPr>
      </w:pPr>
      <w:r>
        <w:rPr>
          <w:rFonts w:ascii="Arial" w:cs="Arial" w:eastAsia="Arial" w:hAnsi="Arial"/>
          <w:sz w:val="18"/>
          <w:szCs w:val="18"/>
          <w:color w:val="auto"/>
        </w:rPr>
        <w:t>provided that no such offer of shares referred to in (a) to (c) above shall require the Issuer or any underwriter to publish a prospectus pursuant to section 85 of the FSMA or supplement a prospectus pursuant to Article 23 of UK Prospectus Regulation.</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120" w:right="220" w:firstLine="440"/>
        <w:spacing w:after="0" w:line="269" w:lineRule="auto"/>
        <w:rPr>
          <w:sz w:val="20"/>
          <w:szCs w:val="20"/>
          <w:color w:val="auto"/>
        </w:rPr>
      </w:pPr>
      <w:r>
        <w:rPr>
          <w:rFonts w:ascii="Arial" w:cs="Arial" w:eastAsia="Arial" w:hAnsi="Arial"/>
          <w:sz w:val="16"/>
          <w:szCs w:val="16"/>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is directed only at relevant persons and must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060"/>
          </w:cols>
          <w:pgMar w:left="32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740"/>
        <w:spacing w:after="0" w:line="239" w:lineRule="auto"/>
        <w:rPr>
          <w:sz w:val="20"/>
          <w:szCs w:val="20"/>
          <w:color w:val="auto"/>
        </w:rPr>
      </w:pPr>
      <w:r>
        <w:rPr>
          <w:rFonts w:ascii="Arial" w:cs="Arial" w:eastAsia="Arial" w:hAnsi="Arial"/>
          <w:sz w:val="18"/>
          <w:szCs w:val="18"/>
          <w:color w:val="auto"/>
        </w:rPr>
        <w:t>not be acted on or relied on by persons who are not relevant persons. Any investment or investment activity to which this prospectus supplement relates is available only to relevant persons and will be engaged in only with relevant persons.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95" w:lineRule="exact"/>
        <w:rPr>
          <w:sz w:val="20"/>
          <w:szCs w:val="20"/>
          <w:color w:val="auto"/>
        </w:rPr>
      </w:pPr>
    </w:p>
    <w:p>
      <w:pPr>
        <w:ind w:left="120" w:firstLine="440"/>
        <w:spacing w:after="0" w:line="267" w:lineRule="auto"/>
        <w:rPr>
          <w:sz w:val="20"/>
          <w:szCs w:val="20"/>
          <w:color w:val="auto"/>
        </w:rPr>
      </w:pPr>
      <w:r>
        <w:rPr>
          <w:rFonts w:ascii="Arial" w:cs="Arial" w:eastAsia="Arial" w:hAnsi="Arial"/>
          <w:sz w:val="16"/>
          <w:szCs w:val="16"/>
          <w:color w:val="auto"/>
        </w:rPr>
        <w:t>The shares of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Common Stock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9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 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0"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of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firstLine="440"/>
        <w:spacing w:after="0" w:line="235"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60"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9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Switzerland</w:t>
      </w:r>
    </w:p>
    <w:p>
      <w:pPr>
        <w:spacing w:after="0" w:line="9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supplement nor any other offering or marketing material relating to the shares constitutes a prospectus pursuant to the FinSA, and neither this prospectus supplement nor any other offering or marketing material relating to the shares may be publicly distributed or otherwise made publicly available in Switzerland.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the Dubai International Financial Centre (“DIFC”)</w:t>
      </w:r>
    </w:p>
    <w:p>
      <w:pPr>
        <w:spacing w:after="0" w:line="9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prospectus supplement in connection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54" w:lineRule="exact"/>
        <w:rPr>
          <w:sz w:val="20"/>
          <w:szCs w:val="20"/>
          <w:color w:val="auto"/>
        </w:rPr>
      </w:pPr>
    </w:p>
    <w:p>
      <w:pPr>
        <w:ind w:left="120" w:right="400" w:firstLine="440"/>
        <w:spacing w:after="0" w:line="238" w:lineRule="auto"/>
        <w:rPr>
          <w:sz w:val="20"/>
          <w:szCs w:val="20"/>
          <w:color w:val="auto"/>
        </w:rPr>
      </w:pPr>
      <w:r>
        <w:rPr>
          <w:rFonts w:ascii="Arial" w:cs="Arial" w:eastAsia="Arial" w:hAnsi="Arial"/>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9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shares of Common Stock may be sold only to purchasers in Canada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Canadian securities laws.</w:t>
      </w:r>
    </w:p>
    <w:p>
      <w:pPr>
        <w:spacing w:after="0" w:line="157"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relationships</w:t>
      </w:r>
    </w:p>
    <w:p>
      <w:pPr>
        <w:spacing w:after="0" w:line="95"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54" w:lineRule="exact"/>
        <w:rPr>
          <w:sz w:val="20"/>
          <w:szCs w:val="20"/>
          <w:color w:val="auto"/>
        </w:rPr>
      </w:pPr>
    </w:p>
    <w:p>
      <w:pPr>
        <w:jc w:val="both"/>
        <w:ind w:left="120" w:right="120" w:firstLine="440"/>
        <w:spacing w:after="0" w:line="238"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w:t>
      </w:r>
    </w:p>
    <w:p>
      <w:pPr>
        <w:spacing w:after="0" w:line="15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particular, affiliates of certain of the underwriters are agents and/or lenders under the senior secured credit facilities of our subsidiary Wynn Resorts Finance, LLC and such affiliates may receive a portion of the proceeds of this offering to the extent used to repay loans outstanding under Wynn Resorts Finance, LLC senior secured credit facilities. Furthermore, from</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Certain legal matters in connection with this offering will be passed upon for us by Kirkland &amp; Ellis LLP, New York, New York, and for the underwriters by Cahill Gordon &amp; Reindel LLP, New York, New York. Certain matters of Nevada law will be passed upon for us by Brownstein Hyatt Farber Schreck, LLP, Las Vegas, Nevada.</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and schedule included in our Annual Report on Form 10-K for the year ended December 31, 2019, and the effectiveness of our internal control over financial reporting as of December 31, 2019, as set forth in their reports, which are incorporated by reference in this prospectus supplement. Our financial statements and schedule are incorporated by reference in reliance on Ernst &amp; Young LLP’s reports, given on their authority as experts in accounting and auditing.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060"/>
          </w:cols>
          <w:pgMar w:left="320" w:top="459" w:right="5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171450</wp:posOffset>
            </wp:positionV>
            <wp:extent cx="2957195" cy="128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295719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Our common stock is quoted on the NASDAQ Global Select Market under the symbol “WYNN.” Our principal executive offices are located at 3131 Las Vegas Boulevard South, Las Vegas, Nevada 89109 and the telephone number of our principal executive offices is (702) 770-7555.</w:t>
      </w:r>
    </w:p>
    <w:p>
      <w:pPr>
        <w:spacing w:after="0" w:line="146"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187960</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7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215" w:lineRule="exact"/>
        <w:rPr>
          <w:sz w:val="20"/>
          <w:szCs w:val="20"/>
          <w:color w:val="auto"/>
        </w:rPr>
      </w:pPr>
    </w:p>
    <w:p>
      <w:pPr>
        <w:ind w:left="120" w:right="42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8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November 6, 2019.</w:t>
      </w:r>
    </w:p>
    <w:p>
      <w:pPr>
        <w:sectPr>
          <w:pgSz w:w="11900" w:h="16838" w:orient="portrait"/>
          <w:cols w:equalWidth="0" w:num="1">
            <w:col w:w="11060"/>
          </w:cols>
          <w:pgMar w:left="320" w:top="459" w:right="5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780" w:type="dxa"/>
            <w:vAlign w:val="bottom"/>
          </w:tcPr>
          <w:p>
            <w:pPr>
              <w:spacing w:after="0"/>
              <w:rPr>
                <w:sz w:val="20"/>
                <w:szCs w:val="20"/>
                <w:color w:val="auto"/>
              </w:rPr>
            </w:pPr>
          </w:p>
        </w:tc>
      </w:tr>
      <w:tr>
        <w:trPr>
          <w:trHeight w:val="513"/>
        </w:trPr>
        <w:tc>
          <w:tcPr>
            <w:tcW w:w="4300" w:type="dxa"/>
            <w:vAlign w:val="bottom"/>
          </w:tcPr>
          <w:p>
            <w:pPr>
              <w:spacing w:after="0"/>
              <w:rPr>
                <w:sz w:val="24"/>
                <w:szCs w:val="24"/>
                <w:color w:val="auto"/>
              </w:rPr>
            </w:pPr>
          </w:p>
        </w:tc>
        <w:tc>
          <w:tcPr>
            <w:tcW w:w="678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43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ABOUT THIS PROSPECTUS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RISK FACTORS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WHERE YOU CAN FIND MORE INFORMATION</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INCORPORATION BY REFERENCE</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4300" w:type="dxa"/>
            <w:vAlign w:val="bottom"/>
          </w:tcPr>
          <w:p>
            <w:pPr>
              <w:ind w:left="12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FORWARD-LOOKING STATEMENTS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THE COMPANY</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USE OF PROCEEDS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DESCRIPTION OF THE SECURITIES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LEGAL MATTERS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EXPERTS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right="60"/>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 Nevada corporation, and its consolidated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2018,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31" w:lineRule="exact"/>
        <w:rPr>
          <w:sz w:val="20"/>
          <w:szCs w:val="20"/>
          <w:color w:val="auto"/>
        </w:rPr>
      </w:pPr>
    </w:p>
    <w:p>
      <w:pPr>
        <w:ind w:left="1080" w:right="7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126">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28">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21"/>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on </w:t>
      </w:r>
      <w:hyperlink r:id="rId129">
        <w:r>
          <w:rPr>
            <w:rFonts w:ascii="Arial" w:cs="Arial" w:eastAsia="Arial" w:hAnsi="Arial"/>
            <w:sz w:val="16"/>
            <w:szCs w:val="16"/>
            <w:u w:val="single" w:color="auto"/>
            <w:color w:val="0000EE"/>
          </w:rPr>
          <w:t>January 29,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 respect to Item 8.01 only), </w:t>
      </w:r>
      <w:hyperlink r:id="rId130">
        <w:r>
          <w:rPr>
            <w:rFonts w:ascii="Arial" w:cs="Arial" w:eastAsia="Arial" w:hAnsi="Arial"/>
            <w:sz w:val="16"/>
            <w:szCs w:val="16"/>
            <w:u w:val="single" w:color="auto"/>
            <w:color w:val="0000EE"/>
          </w:rPr>
          <w:t>January 30,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 respect to Item 8.01 </w:t>
      </w:r>
      <w:hyperlink r:id="rId131">
        <w:r>
          <w:rPr>
            <w:rFonts w:ascii="Arial" w:cs="Arial" w:eastAsia="Arial" w:hAnsi="Arial"/>
            <w:sz w:val="16"/>
            <w:szCs w:val="16"/>
            <w:color w:val="auto"/>
          </w:rPr>
          <w:t xml:space="preserve">only), </w:t>
        </w:r>
        <w:r>
          <w:rPr>
            <w:rFonts w:ascii="Arial" w:cs="Arial" w:eastAsia="Arial" w:hAnsi="Arial"/>
            <w:sz w:val="16"/>
            <w:szCs w:val="16"/>
            <w:u w:val="single" w:color="auto"/>
            <w:color w:val="0000EE"/>
          </w:rPr>
          <w:t>May 2, 2019</w:t>
        </w:r>
        <w:r>
          <w:rPr>
            <w:rFonts w:ascii="Arial" w:cs="Arial" w:eastAsia="Arial" w:hAnsi="Arial"/>
            <w:sz w:val="16"/>
            <w:szCs w:val="16"/>
            <w:color w:val="auto"/>
          </w:rPr>
          <w:t xml:space="preserve"> (with respect to Item 8.01 only), </w:t>
        </w:r>
        <w:r>
          <w:rPr>
            <w:rFonts w:ascii="Arial" w:cs="Arial" w:eastAsia="Arial" w:hAnsi="Arial"/>
            <w:sz w:val="16"/>
            <w:szCs w:val="16"/>
            <w:u w:val="single" w:color="auto"/>
            <w:color w:val="0000EE"/>
          </w:rPr>
          <w:t>May 9, 2019</w:t>
        </w:r>
        <w:r>
          <w:rPr>
            <w:rFonts w:ascii="Arial" w:cs="Arial" w:eastAsia="Arial" w:hAnsi="Arial"/>
            <w:sz w:val="16"/>
            <w:szCs w:val="16"/>
            <w:color w:val="auto"/>
          </w:rPr>
          <w:t xml:space="preserve"> (with respect to Item 8.01 only), </w:t>
        </w:r>
        <w:r>
          <w:rPr>
            <w:rFonts w:ascii="Arial" w:cs="Arial" w:eastAsia="Arial" w:hAnsi="Arial"/>
            <w:sz w:val="16"/>
            <w:szCs w:val="16"/>
            <w:u w:val="single" w:color="auto"/>
            <w:color w:val="0000EE"/>
          </w:rPr>
          <w:t>May 13, 2019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4, 2019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August 6,</w:t>
        </w:r>
      </w:hyperlink>
      <w:r>
        <w:rPr>
          <w:rFonts w:ascii="Arial" w:cs="Arial" w:eastAsia="Arial" w:hAnsi="Arial"/>
          <w:sz w:val="16"/>
          <w:szCs w:val="16"/>
          <w:color w:val="auto"/>
        </w:rPr>
        <w:t xml:space="preserve"> </w:t>
      </w:r>
      <w:hyperlink r:id="rId131">
        <w:r>
          <w:rPr>
            <w:rFonts w:ascii="Arial" w:cs="Arial" w:eastAsia="Arial" w:hAnsi="Arial"/>
            <w:sz w:val="16"/>
            <w:szCs w:val="16"/>
            <w:u w:val="single" w:color="auto"/>
            <w:color w:val="0000EE"/>
          </w:rPr>
          <w:t>2019</w:t>
        </w:r>
        <w:r>
          <w:rPr>
            <w:rFonts w:ascii="Arial" w:cs="Arial" w:eastAsia="Arial" w:hAnsi="Arial"/>
            <w:sz w:val="16"/>
            <w:szCs w:val="16"/>
            <w:color w:val="0000EE"/>
          </w:rPr>
          <w:t xml:space="preserve"> </w:t>
        </w:r>
        <w:r>
          <w:rPr>
            <w:rFonts w:ascii="Arial" w:cs="Arial" w:eastAsia="Arial" w:hAnsi="Arial"/>
            <w:sz w:val="16"/>
            <w:szCs w:val="16"/>
            <w:color w:val="000000"/>
          </w:rPr>
          <w:t>(with respect to Item 8.01 only),</w:t>
        </w:r>
        <w:r>
          <w:rPr>
            <w:rFonts w:ascii="Arial" w:cs="Arial" w:eastAsia="Arial" w:hAnsi="Arial"/>
            <w:sz w:val="16"/>
            <w:szCs w:val="16"/>
            <w:color w:val="0000EE"/>
          </w:rPr>
          <w:t xml:space="preserve"> </w:t>
        </w:r>
      </w:hyperlink>
      <w:hyperlink r:id="rId132">
        <w:r>
          <w:rPr>
            <w:rFonts w:ascii="Arial" w:cs="Arial" w:eastAsia="Arial" w:hAnsi="Arial"/>
            <w:sz w:val="16"/>
            <w:szCs w:val="16"/>
            <w:u w:val="single" w:color="auto"/>
            <w:color w:val="0000EE"/>
          </w:rPr>
          <w:t>September 12, 2019</w:t>
        </w:r>
      </w:hyperlink>
      <w:hyperlink r:id="rId131">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133">
        <w:r>
          <w:rPr>
            <w:rFonts w:ascii="Arial" w:cs="Arial" w:eastAsia="Arial" w:hAnsi="Arial"/>
            <w:sz w:val="16"/>
            <w:szCs w:val="16"/>
            <w:u w:val="single" w:color="auto"/>
            <w:color w:val="0000EE"/>
          </w:rPr>
          <w:t>September 20, 2019</w:t>
        </w:r>
      </w:hyperlink>
      <w:hyperlink r:id="rId131">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134">
        <w:r>
          <w:rPr>
            <w:rFonts w:ascii="Arial" w:cs="Arial" w:eastAsia="Arial" w:hAnsi="Arial"/>
            <w:sz w:val="16"/>
            <w:szCs w:val="16"/>
            <w:u w:val="single" w:color="auto"/>
            <w:color w:val="0000EE"/>
          </w:rPr>
          <w:t xml:space="preserve">November 6, 2019 </w:t>
        </w:r>
      </w:hyperlink>
      <w:hyperlink r:id="rId131">
        <w:r>
          <w:rPr>
            <w:rFonts w:ascii="Arial" w:cs="Arial" w:eastAsia="Arial" w:hAnsi="Arial"/>
            <w:sz w:val="16"/>
            <w:szCs w:val="16"/>
            <w:color w:val="000000"/>
          </w:rPr>
          <w:t>(with respect to Item 8.01 only);</w:t>
        </w:r>
      </w:hyperlink>
    </w:p>
    <w:p>
      <w:pPr>
        <w:spacing w:after="0" w:line="54" w:lineRule="exact"/>
        <w:rPr>
          <w:rFonts w:ascii="Arial" w:cs="Arial" w:eastAsia="Arial" w:hAnsi="Arial"/>
          <w:sz w:val="16"/>
          <w:szCs w:val="16"/>
          <w:color w:val="0000EE"/>
        </w:rPr>
      </w:pPr>
    </w:p>
    <w:p>
      <w:pPr>
        <w:ind w:left="1080" w:right="12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set forth in our Registration Statement on </w:t>
      </w:r>
      <w:hyperlink r:id="rId135">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on October 7, 2002 (File No. 000-50028), including any amendment or reports filed for the purpose of updating the description of our common stock contained therein; and</w:t>
      </w:r>
    </w:p>
    <w:p>
      <w:pPr>
        <w:spacing w:after="0" w:line="29"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24" w:lineRule="exact"/>
        <w:rPr>
          <w:rFonts w:ascii="Arial" w:cs="Arial" w:eastAsia="Arial" w:hAnsi="Arial"/>
          <w:sz w:val="16"/>
          <w:szCs w:val="16"/>
          <w:color w:val="0000EE"/>
        </w:rPr>
      </w:pPr>
    </w:p>
    <w:p>
      <w:pPr>
        <w:ind w:left="120" w:right="420"/>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170" w:lineRule="exact"/>
        <w:rPr>
          <w:rFonts w:ascii="Arial" w:cs="Arial" w:eastAsia="Arial" w:hAnsi="Arial"/>
          <w:sz w:val="16"/>
          <w:szCs w:val="16"/>
          <w:color w:val="0000EE"/>
        </w:rPr>
      </w:pPr>
    </w:p>
    <w:p>
      <w:pPr>
        <w:ind w:left="120"/>
        <w:spacing w:after="0" w:line="296" w:lineRule="auto"/>
        <w:rPr>
          <w:sz w:val="20"/>
          <w:szCs w:val="20"/>
          <w:color w:val="auto"/>
        </w:rPr>
      </w:pPr>
      <w:r>
        <w:rPr>
          <w:rFonts w:ascii="Arial" w:cs="Arial" w:eastAsia="Arial" w:hAnsi="Arial"/>
          <w:sz w:val="16"/>
          <w:szCs w:val="16"/>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61" w:lineRule="exact"/>
        <w:rPr>
          <w:rFonts w:ascii="Arial" w:cs="Arial" w:eastAsia="Arial" w:hAnsi="Arial"/>
          <w:sz w:val="16"/>
          <w:szCs w:val="16"/>
          <w:color w:val="0000EE"/>
        </w:rPr>
      </w:pPr>
    </w:p>
    <w:p>
      <w:pPr>
        <w:ind w:left="120" w:right="100"/>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Wynn Resorts, Limited</w:t>
      </w:r>
    </w:p>
    <w:p>
      <w:pPr>
        <w:spacing w:after="0" w:line="23"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3131 Las Vegas Boulevard South</w:t>
      </w:r>
    </w:p>
    <w:p>
      <w:pPr>
        <w:spacing w:after="0" w:line="9"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Las Vegas, Nevada 89109</w:t>
      </w:r>
    </w:p>
    <w:p>
      <w:pPr>
        <w:spacing w:after="0" w:line="9" w:lineRule="exact"/>
        <w:rPr>
          <w:rFonts w:ascii="Arial" w:cs="Arial" w:eastAsia="Arial" w:hAnsi="Arial"/>
          <w:sz w:val="16"/>
          <w:szCs w:val="16"/>
          <w:color w:val="0000EE"/>
        </w:rPr>
      </w:pPr>
    </w:p>
    <w:p>
      <w:pPr>
        <w:ind w:left="5500" w:hanging="438"/>
        <w:spacing w:after="0"/>
        <w:tabs>
          <w:tab w:leader="none" w:pos="5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770-7555</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6"/>
          <w:szCs w:val="16"/>
          <w:color w:val="0000EE"/>
        </w:rPr>
      </w:pPr>
    </w:p>
    <w:p>
      <w:pPr>
        <w:ind w:left="120" w:right="160"/>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382"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rFonts w:ascii="Arial" w:cs="Arial" w:eastAsia="Arial" w:hAnsi="Arial"/>
          <w:sz w:val="16"/>
          <w:szCs w:val="16"/>
          <w:color w:val="0000EE"/>
        </w:rPr>
      </w:pPr>
    </w:p>
    <w:p>
      <w:pPr>
        <w:ind w:left="120" w:right="40"/>
        <w:spacing w:after="0" w:line="311" w:lineRule="auto"/>
        <w:rPr>
          <w:sz w:val="20"/>
          <w:szCs w:val="20"/>
          <w:color w:val="auto"/>
        </w:rPr>
      </w:pPr>
      <w:r>
        <w:rPr>
          <w:rFonts w:ascii="Arial" w:cs="Arial" w:eastAsia="Arial" w:hAnsi="Arial"/>
          <w:sz w:val="16"/>
          <w:szCs w:val="16"/>
          <w:color w:val="auto"/>
        </w:rPr>
        <w:t>This prospectus, including the documents incorporated by reference into this prospectus, contains forward-looking statements, including, but not limited to, information about our business strategy, development activities, competition and possible or assumed future results of operations. Any statements contained in this prospectus, including the documents incorporated by reference into this prospectus, that are not statements of historical fact</w:t>
      </w:r>
    </w:p>
    <w:p>
      <w:pPr>
        <w:spacing w:after="0" w:line="81"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may be deemed to be forward- looking statements. Without limiting the generality of the foregoing, in some cases you can identify forward-looking statements by terminology such as “may,” “will,” “should,” “would,” “could,” “believe,” “expect,” “anticipate,” “estimate,” “intend,” “plan,” “continue” or the negative of these terms or similar expressions.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93"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controversy and litigation related to Stephen A. Wynn and his separation from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the PRC to Macau;</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89"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25"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the sections entitled “Risk Factors” in our Annual Report on Form 10-K for the year ended December 31, 2018,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36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 designer, developer, owner and operator of destination casino resorts (integrated resorts). In the Macau Special Administrative Region of the People’s Republic of China, we own approximately 72% of Wynn Macau, Limited which includes the operations of the Wynn Palace and Wynn Macau resorts. In Las Vegas, Nevada, we operate and, with the exception of certain retail space, own 100% of Wynn Las Vegas. Additionally, we are a 50.1% owner and managing member of a joint venture that owns and leases certain retail space at Wynn Las Vegas. In Everett, Massachusetts, we own and operate Encore Boston Harbor.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 including, without limitation, repayment of debt, acquisitions, additions to working capital, capital expenditures, and/or investments in our subsidiaries.</w:t>
      </w:r>
    </w:p>
    <w:p>
      <w:pPr>
        <w:spacing w:after="0" w:line="3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Kirkland &amp; Ellis LLP, New York, New York, and, with respect to matters of Nevada law, by Brownstein Hyatt Farber Schreck, LLP, Las Vegas, Nevada. Any underwriters will be represented by their own legal counsel.</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9" w:right="5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consolidated financial statements and schedule of Wynn Resorts, Limited appearing in Wynn Resorts, Limited’s Annual Report (Form 10-K) for the year ended December 31, 2018, and the effectiveness of Wynn Resorts, Limited’s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288925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6863715</wp:posOffset>
            </wp:positionV>
            <wp:extent cx="699516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2912110</wp:posOffset>
            </wp:positionV>
            <wp:extent cx="2957195" cy="132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2957195" cy="132016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70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4"/>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702"/>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jpe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jpeg"/><Relationship Id="rId15" Type="http://schemas.openxmlformats.org/officeDocument/2006/relationships/hyperlink" Target="http://www.sec.gov/ix?doc=/Archives/edgar/data/1174922/000117492220000024/wynn-20191231.htm" TargetMode="External"/><Relationship Id="rId16" Type="http://schemas.openxmlformats.org/officeDocument/2006/relationships/hyperlink" Target="http://www.sec.gov/Archives/edgar/data/1174922/000117492219000021/wrl-20181231x10k.htm#sCE7E1EA0A795596AB6EC49284D4B3C2B" TargetMode="External"/><Relationship Id="rId17" Type="http://schemas.openxmlformats.org/officeDocument/2006/relationships/hyperlink" Target="http://www.sec.gov/Archives/edgar/data/1174922/000117492219000021/wrl-20181231x10k.htm" TargetMode="External"/><Relationship Id="rId18" Type="http://schemas.openxmlformats.org/officeDocument/2006/relationships/hyperlink" Target="http://www.sec.gov/ix?doc=/Archives/edgar/data/1174922/000117492220000085/wynn-20200331.htm" TargetMode="External"/><Relationship Id="rId19" Type="http://schemas.openxmlformats.org/officeDocument/2006/relationships/hyperlink" Target="http://www.sec.gov/ix?doc=/Archives/edgar/data/1174922/000117492220000143/wynn-20200630.htm" TargetMode="External"/><Relationship Id="rId20" Type="http://schemas.openxmlformats.org/officeDocument/2006/relationships/hyperlink" Target="http://www.sec.gov/ix?doc=/Archives/edgar/data/1174922/000117492220000199/wynn-20200930.htm" TargetMode="External"/><Relationship Id="rId21" Type="http://schemas.openxmlformats.org/officeDocument/2006/relationships/hyperlink" Target="http://www.sec.gov/ix?doc=/Archives/edgar/data/1174922/000117492220000062/wynn-20200407.htm" TargetMode="External"/><Relationship Id="rId22" Type="http://schemas.openxmlformats.org/officeDocument/2006/relationships/hyperlink" Target="http://www.sec.gov/ix?doc=/Archives/edgar/data/1174922/000117492220000066/wynn-20200414.htm" TargetMode="External"/><Relationship Id="rId23" Type="http://schemas.openxmlformats.org/officeDocument/2006/relationships/hyperlink" Target="http://www.sec.gov/ix?doc=/Archives/edgar/data/1174922/000117492220000070/wynn-20200410.htm" TargetMode="External"/><Relationship Id="rId24" Type="http://schemas.openxmlformats.org/officeDocument/2006/relationships/hyperlink" Target="http://www.sec.gov/ix?doc=/Archives/edgar/data/1174922/000117492220000082/wynn-20200506.htm" TargetMode="External"/><Relationship Id="rId25" Type="http://schemas.openxmlformats.org/officeDocument/2006/relationships/hyperlink" Target="http://www.sec.gov/ix?doc=/Archives/edgar/data/1174922/000117492220000098/wynn-20200619.htm" TargetMode="External"/><Relationship Id="rId26" Type="http://schemas.openxmlformats.org/officeDocument/2006/relationships/hyperlink" Target="http://www.sec.gov/ix?doc=/Archives/edgar/data/1174922/000117492220000125/wynn-20200625.htm" TargetMode="External"/><Relationship Id="rId27" Type="http://schemas.openxmlformats.org/officeDocument/2006/relationships/hyperlink" Target="http://www.sec.gov/ix?doc=/Archives/edgar/data/1174922/000117492220000161/wynn-20200818.htm" TargetMode="External"/><Relationship Id="rId28" Type="http://schemas.openxmlformats.org/officeDocument/2006/relationships/hyperlink" Target="http://www.sec.gov/ix?doc=/Archives/edgar/data/1174922/000117492220000165/wynn-20200826.htm" TargetMode="External"/><Relationship Id="rId29" Type="http://schemas.openxmlformats.org/officeDocument/2006/relationships/hyperlink" Target="http://www.sec.gov/ix?doc=/Archives/edgar/data/1174922/000117492220000218/wynn-20201222.htm" TargetMode="External"/><Relationship Id="rId30" Type="http://schemas.openxmlformats.org/officeDocument/2006/relationships/hyperlink" Target="http://www.sec.gov/ix?doc=/Archives/edgar/data/1174922/000117492221000007/wynn-20210101.htm" TargetMode="External"/><Relationship Id="rId31" Type="http://schemas.openxmlformats.org/officeDocument/2006/relationships/hyperlink" Target="http://www.sec.gov/Archives/edgar/data/1174922/000119312520126275/d882700ddef14a.htm" TargetMode="External"/><Relationship Id="rId32" Type="http://schemas.openxmlformats.org/officeDocument/2006/relationships/hyperlink" Target="http://www.sec.gov/Archives/edgar/data/1174922/000117492220000024/ex42-20191231.htm" TargetMode="External"/><Relationship Id="rId126" Type="http://schemas.openxmlformats.org/officeDocument/2006/relationships/hyperlink" Target="http://www.sec.gov/Archives/edgar/data/1174922/000117492219000065/wrl-1q1910q.htm" TargetMode="External"/><Relationship Id="rId127" Type="http://schemas.openxmlformats.org/officeDocument/2006/relationships/hyperlink" Target="http://www.sec.gov/ix?doc=/Archives/edgar/data/1174922/000117492219000080/wrl-q21910q.htm" TargetMode="External"/><Relationship Id="rId128" Type="http://schemas.openxmlformats.org/officeDocument/2006/relationships/hyperlink" Target="http://www.sec.gov/ix?doc=/Archives/edgar/data/1174922/000117492219000115/wrl-q31910q.htm" TargetMode="External"/><Relationship Id="rId129" Type="http://schemas.openxmlformats.org/officeDocument/2006/relationships/hyperlink" Target="http://www.sec.gov/Archives/edgar/data/1174922/000117492219000008/wrl_012519x8k.htm" TargetMode="External"/><Relationship Id="rId130" Type="http://schemas.openxmlformats.org/officeDocument/2006/relationships/hyperlink" Target="http://www.sec.gov/Archives/edgar/data/1174922/000117492219000013/wrl-erx123118.htm" TargetMode="External"/><Relationship Id="rId131" Type="http://schemas.openxmlformats.org/officeDocument/2006/relationships/hyperlink" Target="http://www.sec.gov/ix?doc=/Archives/edgar/data/1174922/000117492219000076/wrlq219earningsrelease.htm" TargetMode="External"/><Relationship Id="rId132" Type="http://schemas.openxmlformats.org/officeDocument/2006/relationships/hyperlink" Target="http://www.sec.gov/ix?doc=/Archives/edgar/data/1174922/000117492219000094/wynnresortspricing8-k.htm" TargetMode="External"/><Relationship Id="rId133" Type="http://schemas.openxmlformats.org/officeDocument/2006/relationships/hyperlink" Target="http://www.sec.gov/ix?doc=/Archives/edgar/data/1174922/000117492219000098/wrl092019x8k.htm" TargetMode="External"/><Relationship Id="rId134" Type="http://schemas.openxmlformats.org/officeDocument/2006/relationships/hyperlink" Target="http://www.sec.gov/ix?doc=/Archives/edgar/data/1174922/000117492219000113/wrlq319earningsrelease.htm" TargetMode="External"/><Relationship Id="rId135" Type="http://schemas.openxmlformats.org/officeDocument/2006/relationships/hyperlink" Target="http://www.sec.gov/Archives/edgar/data/1174922/000091205702037829/a2088774z8-a12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2021-02-10T15:24:45Z</dcterms:created>
  <dcterms:modified xsi:type="dcterms:W3CDTF">2021-02-10T15:24:45Z</dcterms:modified>
</cp:coreProperties>
</file>