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5,902,108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5,902,114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5,902,114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Wynn Resorts, Ltd.</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3131 Las Vegas Boulevard South, Las Vegas, NV 89109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right="678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International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983134107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5,902,114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5.1%</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5,902,108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5,902,114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spacing w:after="0" w:line="287" w:lineRule="auto"/>
        <w:rPr>
          <w:sz w:val="20"/>
          <w:szCs w:val="20"/>
          <w:color w:val="auto"/>
        </w:rPr>
      </w:pPr>
      <w:r>
        <w:rPr>
          <w:rFonts w:ascii="Arial" w:cs="Arial" w:eastAsia="Arial" w:hAnsi="Arial"/>
          <w:sz w:val="19"/>
          <w:szCs w:val="19"/>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CII's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International Investors." CII is deemed to be the beneficial owner of 5,902,114 shares or 5.1% of the 115,657,896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Walter R. Burkley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Walter R. Burkley</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2022-02-12T01:48:38Z</dcterms:created>
  <dcterms:modified xsi:type="dcterms:W3CDTF">2022-02-12T01:48:38Z</dcterms:modified>
</cp:coreProperties>
</file>