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905197588.xml.htm"/>
      <w:bookmarkStart w:id="1" w:name="kswfform4_168332905197588"/>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STROM DARNELL O.</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WYNN RESORTS, LIMITED</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3131 LAS VEGAS BOULEVARD SOUTH</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LAS VEGAS</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NV</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89109</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WYNN RESORTS LTD</w:t>
              </w:r>
            </w:hyperlink>
            <w:r>
              <w:rPr/>
              <w:t xml:space="preserve"> [ </w:t>
            </w:r>
            <w:r>
              <w:rPr>
                <w:rFonts w:ascii="Times;serif" w:hAnsi="Times;serif"/>
                <w:color w:val="0000FF"/>
                <w:sz w:val="24"/>
                <w:highlight w:val="white"/>
              </w:rPr>
              <w:t>WYNN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05/04/2023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05/04/2023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2,286</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11,245</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Restricted shares of common stock, par value $0.01 per share, of Wynn Resorts, Limited ("the Company") granted pursuant to the Company's Amended and Restated 2014 Omnibus Incentive Plan. Shares will vest in full on May 4, 2024, provided that if the reporting person's service with the Company is terminated for any reason other than death or complete disability, all restricted shares that are subject to restrictions upon the date of termination shall be forfeited.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Nicholas Pannucci, attorney-in-fact for Darnell O. Strom</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9766" TargetMode="External"/><Relationship Id="rId4" Type="http://schemas.openxmlformats.org/officeDocument/2006/relationships/hyperlink" Target="http://www.sec.gov/cgi-bin/browse-edgar?action=getcompany&amp;CIK=000117492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641</Words>
  <CharactersWithSpaces>4058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